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关于废止部分行政规范性文件的通知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各区县（自治县）经济信息委，两江新区、西部科学城重庆高新区、万盛经开区经信部门，有关单位：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根据《重庆市行政规范性文件管理办法》（重庆市人民政府令第329号），我委对制定的行政规范性文件进行清理，经研究，决定将《重庆市经济和信息化委员会关于加强中小企业集聚区规划建设的通知》（渝经信规范〔2021〕5号）等4件行政规范性文件予以废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本通知自公布之日起施行。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附件：废止的市经济信息委行政规范性文件目录（4件）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bookmarkStart w:id="0" w:name="_GoBack"/>
      <w:bookmarkEnd w:id="0"/>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 xml:space="preserve">                       重庆市经济和信息化委员会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 xml:space="preserve">                            2025年10月4日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0"/>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kern w:val="36"/>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eastAsia="zh-CN"/>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0" w:firstLineChars="0"/>
        <w:jc w:val="both"/>
        <w:textAlignment w:val="auto"/>
        <w:outlineLvl w:val="1"/>
        <w:rPr>
          <w:rFonts w:hint="default" w:ascii="Times New Roman" w:hAnsi="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pacing w:val="-20"/>
          <w:sz w:val="44"/>
          <w:szCs w:val="44"/>
          <w:lang w:val="en-US" w:eastAsia="zh-CN"/>
        </w:rPr>
      </w:pPr>
      <w:r>
        <w:rPr>
          <w:rFonts w:hint="default" w:ascii="Times New Roman" w:hAnsi="Times New Roman" w:eastAsia="方正小标宋_GBK" w:cs="Times New Roman"/>
          <w:color w:val="000000"/>
          <w:spacing w:val="-20"/>
          <w:sz w:val="44"/>
          <w:szCs w:val="44"/>
        </w:rPr>
        <w:t>废止的</w:t>
      </w:r>
      <w:r>
        <w:rPr>
          <w:rFonts w:hint="eastAsia" w:ascii="Times New Roman" w:hAnsi="Times New Roman" w:eastAsia="方正小标宋_GBK" w:cs="Times New Roman"/>
          <w:color w:val="000000"/>
          <w:spacing w:val="-20"/>
          <w:sz w:val="44"/>
          <w:szCs w:val="44"/>
          <w:lang w:eastAsia="zh-CN"/>
        </w:rPr>
        <w:t>市经济信息委行政</w:t>
      </w:r>
      <w:r>
        <w:rPr>
          <w:rFonts w:hint="default" w:ascii="Times New Roman" w:hAnsi="Times New Roman" w:eastAsia="方正小标宋_GBK" w:cs="Times New Roman"/>
          <w:color w:val="000000"/>
          <w:spacing w:val="-20"/>
          <w:sz w:val="44"/>
          <w:szCs w:val="44"/>
        </w:rPr>
        <w:t>规范性文件目录</w:t>
      </w:r>
      <w:r>
        <w:rPr>
          <w:rFonts w:hint="eastAsia" w:ascii="Times New Roman" w:hAnsi="Times New Roman" w:eastAsia="方正小标宋_GBK" w:cs="Times New Roman"/>
          <w:color w:val="000000"/>
          <w:spacing w:val="-20"/>
          <w:sz w:val="44"/>
          <w:szCs w:val="44"/>
          <w:lang w:eastAsia="zh-CN"/>
        </w:rPr>
        <w:t>（</w:t>
      </w:r>
      <w:r>
        <w:rPr>
          <w:rFonts w:hint="eastAsia" w:ascii="Times New Roman" w:hAnsi="Times New Roman" w:eastAsia="方正小标宋_GBK" w:cs="Times New Roman"/>
          <w:color w:val="000000"/>
          <w:spacing w:val="-20"/>
          <w:sz w:val="44"/>
          <w:szCs w:val="44"/>
          <w:lang w:val="en-US" w:eastAsia="zh-CN"/>
        </w:rPr>
        <w:t>4</w:t>
      </w:r>
      <w:r>
        <w:rPr>
          <w:rFonts w:hint="eastAsia" w:ascii="Times New Roman" w:hAnsi="Times New Roman" w:eastAsia="方正小标宋_GBK" w:cs="方正小标宋_GBK"/>
          <w:color w:val="000000"/>
          <w:spacing w:val="-20"/>
          <w:sz w:val="44"/>
          <w:szCs w:val="44"/>
          <w:lang w:val="en-US" w:eastAsia="zh-CN"/>
        </w:rPr>
        <w:t>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0"/>
        <w:rPr>
          <w:rFonts w:hint="default" w:ascii="Times New Roman" w:hAnsi="Times New Roman"/>
          <w:lang w:val="en-US" w:eastAsia="zh-CN"/>
        </w:rPr>
      </w:pPr>
    </w:p>
    <w:tbl>
      <w:tblPr>
        <w:tblStyle w:val="13"/>
        <w:tblW w:w="8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55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pacing w:val="-20"/>
                <w:sz w:val="32"/>
                <w:szCs w:val="32"/>
              </w:rPr>
            </w:pPr>
            <w:r>
              <w:rPr>
                <w:rFonts w:hint="default" w:ascii="Times New Roman" w:hAnsi="Times New Roman" w:eastAsia="方正黑体_GBK" w:cs="Times New Roman"/>
                <w:color w:val="000000"/>
                <w:spacing w:val="-20"/>
                <w:sz w:val="32"/>
                <w:szCs w:val="32"/>
              </w:rPr>
              <w:t>序号</w:t>
            </w:r>
          </w:p>
        </w:tc>
        <w:tc>
          <w:tcPr>
            <w:tcW w:w="5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名称</w:t>
            </w:r>
          </w:p>
        </w:tc>
        <w:tc>
          <w:tcPr>
            <w:tcW w:w="2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Times New Roman" w:hAnsi="Times New Roman" w:eastAsia="方正黑体_GBK" w:cs="Times New Roman"/>
                <w:color w:val="000000"/>
                <w:spacing w:val="-20"/>
                <w:sz w:val="30"/>
                <w:szCs w:val="30"/>
                <w:lang w:val="en-US" w:eastAsia="zh-CN"/>
              </w:rPr>
            </w:pPr>
            <w: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t>1</w:t>
            </w:r>
          </w:p>
        </w:tc>
        <w:tc>
          <w:tcPr>
            <w:tcW w:w="5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both"/>
              <w:textAlignment w:val="center"/>
              <w:rPr>
                <w:rFonts w:hint="default" w:ascii="Times New Roman" w:hAnsi="Times New Roman" w:eastAsia="方正黑体_GBK" w:cs="Times New Roman"/>
                <w:color w:val="000000"/>
                <w:sz w:val="30"/>
                <w:szCs w:val="30"/>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重庆市经济和信息化委员会关于加强中小企业集聚区规划建设的通知</w:t>
            </w:r>
          </w:p>
        </w:tc>
        <w:tc>
          <w:tcPr>
            <w:tcW w:w="25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方正黑体_GBK" w:cs="Times New Roman"/>
                <w:color w:val="000000"/>
                <w:sz w:val="30"/>
                <w:szCs w:val="30"/>
              </w:rPr>
            </w:pPr>
            <w:r>
              <w:rPr>
                <w:rFonts w:hint="default" w:ascii="Times New Roman" w:hAnsi="Times New Roman" w:eastAsia="方正仿宋_GBK" w:cs="Times New Roman"/>
                <w:i w:val="0"/>
                <w:color w:val="000000"/>
                <w:kern w:val="0"/>
                <w:sz w:val="30"/>
                <w:szCs w:val="30"/>
                <w:u w:val="none"/>
                <w:lang w:val="en-US" w:eastAsia="zh-CN" w:bidi="ar"/>
              </w:rPr>
              <w:t>渝经信规范〔2021〕5号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Times New Roman" w:hAnsi="Times New Roman" w:eastAsia="方正黑体_GBK" w:cs="Times New Roman"/>
                <w:color w:val="000000"/>
                <w:spacing w:val="-20"/>
                <w:sz w:val="30"/>
                <w:szCs w:val="30"/>
                <w:lang w:val="en-US" w:eastAsia="zh-CN"/>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2</w:t>
            </w:r>
          </w:p>
        </w:tc>
        <w:tc>
          <w:tcPr>
            <w:tcW w:w="5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both"/>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重庆市经济和信息化委员会关于印发重庆市独立法人新型企业研发机构管理办法的通知</w:t>
            </w:r>
          </w:p>
        </w:tc>
        <w:tc>
          <w:tcPr>
            <w:tcW w:w="25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渝经信规范〔2022〕1号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3</w:t>
            </w:r>
          </w:p>
        </w:tc>
        <w:tc>
          <w:tcPr>
            <w:tcW w:w="5550" w:type="dxa"/>
            <w:tcBorders>
              <w:top w:val="single" w:color="auto" w:sz="4" w:space="0"/>
              <w:left w:val="single" w:color="auto" w:sz="4" w:space="0"/>
              <w:bottom w:val="single" w:color="auto" w:sz="4" w:space="0"/>
              <w:right w:val="single" w:color="auto" w:sz="4" w:space="0"/>
            </w:tcBorders>
            <w:vAlign w:val="top"/>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pPr>
            <w:r>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t>重庆市经济和信息化委员会关于印发重庆市促进大中小企业融通发展工作方案（2022</w:t>
            </w:r>
            <w:r>
              <w:rPr>
                <w:rFonts w:hint="eastAsia"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t>—</w:t>
            </w:r>
            <w:r>
              <w:rPr>
                <w:rFonts w:hint="default" w:ascii="Times New Roman" w:hAnsi="Times New Roman" w:eastAsia="方正仿宋_GBK" w:cs="Times New Roman"/>
                <w:i w:val="0"/>
                <w:color w:val="000000"/>
                <w:spacing w:val="0"/>
                <w:w w:val="100"/>
                <w:kern w:val="0"/>
                <w:position w:val="0"/>
                <w:sz w:val="30"/>
                <w:szCs w:val="30"/>
                <w:u w:val="none" w:color="000000"/>
                <w:vertAlign w:val="baseline"/>
                <w:lang w:val="en-US" w:eastAsia="zh-CN" w:bidi="ar"/>
              </w:rPr>
              <w:t>2025年）的通知</w:t>
            </w:r>
          </w:p>
        </w:tc>
        <w:tc>
          <w:tcPr>
            <w:tcW w:w="2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pPr>
            <w:r>
              <w:rPr>
                <w:rFonts w:hint="default" w:ascii="Times New Roman" w:hAnsi="Times New Roman" w:eastAsia="方正仿宋_GBK" w:cs="Times New Roman"/>
                <w:i w:val="0"/>
                <w:color w:val="000000"/>
                <w:spacing w:val="0"/>
                <w:w w:val="100"/>
                <w:kern w:val="0"/>
                <w:position w:val="0"/>
                <w:sz w:val="30"/>
                <w:szCs w:val="30"/>
                <w:u w:val="none"/>
                <w:vertAlign w:val="baseline"/>
                <w:lang w:val="en-US" w:eastAsia="zh-CN" w:bidi="ar"/>
              </w:rPr>
              <w:t>渝经信规范〔2022〕8号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Times New Roman" w:hAnsi="Times New Roman" w:eastAsia="方正黑体_GBK" w:cs="Times New Roman"/>
                <w:color w:val="000000"/>
                <w:spacing w:val="-20"/>
                <w:sz w:val="30"/>
                <w:szCs w:val="30"/>
                <w:lang w:val="en-US" w:eastAsia="zh-CN"/>
              </w:rPr>
            </w:pPr>
            <w:r>
              <w:rPr>
                <w:rFonts w:hint="eastAsia" w:ascii="Times New Roman" w:hAnsi="Times New Roman" w:eastAsia="方正仿宋_GBK" w:cs="Times New Roman"/>
                <w:i w:val="0"/>
                <w:color w:val="000000"/>
                <w:spacing w:val="0"/>
                <w:w w:val="100"/>
                <w:kern w:val="0"/>
                <w:position w:val="0"/>
                <w:sz w:val="30"/>
                <w:szCs w:val="30"/>
                <w:u w:val="none"/>
                <w:vertAlign w:val="baseline"/>
                <w:lang w:val="en-US" w:eastAsia="zh-CN" w:bidi="ar"/>
              </w:rPr>
              <w:t>4</w:t>
            </w:r>
          </w:p>
        </w:tc>
        <w:tc>
          <w:tcPr>
            <w:tcW w:w="5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both"/>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重庆市经济和信息化委员会关于印发重庆市推动工业领域大规模设备更新和技术改造实施方案的通知</w:t>
            </w:r>
          </w:p>
        </w:tc>
        <w:tc>
          <w:tcPr>
            <w:tcW w:w="25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方正仿宋_GBK" w:cs="Times New Roman"/>
                <w:i w:val="0"/>
                <w:color w:val="000000"/>
                <w:kern w:val="0"/>
                <w:sz w:val="30"/>
                <w:szCs w:val="30"/>
                <w:u w:val="none"/>
                <w:lang w:val="en-US" w:eastAsia="zh-CN" w:bidi="ar"/>
              </w:rPr>
            </w:pPr>
            <w:r>
              <w:rPr>
                <w:rFonts w:hint="default" w:ascii="Times New Roman" w:hAnsi="Times New Roman" w:eastAsia="方正仿宋_GBK" w:cs="Times New Roman"/>
                <w:i w:val="0"/>
                <w:color w:val="000000"/>
                <w:kern w:val="0"/>
                <w:sz w:val="30"/>
                <w:szCs w:val="30"/>
                <w:u w:val="none"/>
                <w:lang w:val="en-US" w:eastAsia="zh-CN" w:bidi="ar"/>
              </w:rPr>
              <w:t>渝经信规范〔2024〕15号</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contextualSpacing/>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E122D"/>
    <w:multiLevelType w:val="multilevel"/>
    <w:tmpl w:val="F4AE122D"/>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86FD5"/>
    <w:rsid w:val="01E93D58"/>
    <w:rsid w:val="04B679C3"/>
    <w:rsid w:val="05F07036"/>
    <w:rsid w:val="06B149B0"/>
    <w:rsid w:val="06E00104"/>
    <w:rsid w:val="080F63D8"/>
    <w:rsid w:val="09341458"/>
    <w:rsid w:val="098254C2"/>
    <w:rsid w:val="0A766EDE"/>
    <w:rsid w:val="0AD64BE8"/>
    <w:rsid w:val="0B0912D7"/>
    <w:rsid w:val="0E025194"/>
    <w:rsid w:val="0EEF0855"/>
    <w:rsid w:val="11DB7C71"/>
    <w:rsid w:val="152D2DCA"/>
    <w:rsid w:val="187168EA"/>
    <w:rsid w:val="18FA03A9"/>
    <w:rsid w:val="196673CA"/>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93F08EE"/>
    <w:rsid w:val="5DC34279"/>
    <w:rsid w:val="5E500467"/>
    <w:rsid w:val="5FCD688E"/>
    <w:rsid w:val="5FF9BDAA"/>
    <w:rsid w:val="608816D1"/>
    <w:rsid w:val="60EF4E7F"/>
    <w:rsid w:val="62EE0142"/>
    <w:rsid w:val="648B0A32"/>
    <w:rsid w:val="658F6764"/>
    <w:rsid w:val="665233C1"/>
    <w:rsid w:val="68F07259"/>
    <w:rsid w:val="69AC0D42"/>
    <w:rsid w:val="6A597EEA"/>
    <w:rsid w:val="6AD9688B"/>
    <w:rsid w:val="6B68303F"/>
    <w:rsid w:val="6D0E3F22"/>
    <w:rsid w:val="6E8F3466"/>
    <w:rsid w:val="744E4660"/>
    <w:rsid w:val="753355A2"/>
    <w:rsid w:val="759F1C61"/>
    <w:rsid w:val="769F2DE8"/>
    <w:rsid w:val="76C673E0"/>
    <w:rsid w:val="76FDEB7C"/>
    <w:rsid w:val="786F21F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2">
    <w:name w:val="heading 2"/>
    <w:basedOn w:val="1"/>
    <w:next w:val="1"/>
    <w:unhideWhenUsed/>
    <w:qFormat/>
    <w:uiPriority w:val="0"/>
    <w:pPr>
      <w:keepNext/>
      <w:keepLines/>
      <w:numPr>
        <w:ilvl w:val="1"/>
        <w:numId w:val="1"/>
      </w:numPr>
      <w:spacing w:before="0" w:after="0" w:line="240" w:lineRule="auto"/>
      <w:ind w:left="0" w:hanging="575"/>
      <w:outlineLvl w:val="1"/>
    </w:pPr>
    <w:rPr>
      <w:rFonts w:ascii="Calibri Light" w:hAnsi="Calibri Light" w:eastAsia="方正楷体_GBK" w:cs="Times New Roman"/>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Calibri" w:hAnsi="Calibri" w:eastAsia="仿宋_GB2312" w:cs="Times New Roman"/>
      <w:sz w:val="28"/>
    </w:rPr>
  </w:style>
  <w:style w:type="paragraph" w:styleId="7">
    <w:name w:val="index 7"/>
    <w:basedOn w:val="1"/>
    <w:next w:val="1"/>
    <w:qFormat/>
    <w:uiPriority w:val="0"/>
    <w:pPr>
      <w:ind w:left="2520"/>
    </w:pPr>
    <w:rPr>
      <w:rFonts w:ascii="Calibri" w:hAnsi="Calibri"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默认"/>
    <w:qFormat/>
    <w:uiPriority w:val="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0" w:afterLines="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000000"/>
      <w:vertAlign w:val="baseline"/>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2025-10-09T06:32:37Z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