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重庆市经济和信息化委员会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关于印发《重庆市产业创新综合体（科技型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Times New Roman" w:hAnsi="Times New Roman" w:eastAsia="仿宋_GB2312" w:cs="Times New Roman"/>
          <w:color w:val="000000"/>
          <w:sz w:val="24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 w:bidi="ar-SA"/>
        </w:rPr>
        <w:t>企业主导型）建设管理办法（试行）》的通知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渝经信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规范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〔202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>各区县（自治县）经济信息委，两江新区、西部科学城重庆高新区、万盛经开区经信部门，有关单位：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0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kern w:val="36"/>
          <w:sz w:val="32"/>
          <w:szCs w:val="32"/>
          <w:lang w:val="en-US" w:eastAsia="zh-CN" w:bidi="ar-SA"/>
        </w:rPr>
        <w:t>为深入贯彻落实党中央、国务院决策部署和市委、市政府工作安排，加快布局建设一批产业创新综合体，进一步规范我市产业创新综合体（科技型企业主导型）建设、运行和管理，现将《重庆市产业创新综合体（科技型企业主导型）建设管理办法（试行）》印发给你们，请结合实际，认真贯彻执行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3520" w:firstLineChars="1100"/>
        <w:jc w:val="right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819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重庆市经济和信息化委员会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 xml:space="preserve">                            2025年5月27日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（此件公开发布）</w:t>
      </w:r>
    </w:p>
    <w:p>
      <w:pPr>
        <w:pStyle w:val="10"/>
        <w:keepNext w:val="0"/>
        <w:keepLines w:val="0"/>
        <w:pageBreakBefore w:val="0"/>
        <w:widowControl/>
        <w:suppressLineNumbers w:val="0"/>
        <w:shd w:val="clear" w:color="auto"/>
        <w:kinsoku/>
        <w:overflowPunct/>
        <w:topLinePunct w:val="0"/>
        <w:autoSpaceDE/>
        <w:autoSpaceDN/>
        <w:bidi w:val="0"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kern w:val="21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kern w:val="21"/>
          <w:sz w:val="44"/>
          <w:szCs w:val="44"/>
          <w:highlight w:val="none"/>
        </w:rPr>
        <w:t>重庆市</w:t>
      </w:r>
      <w:r>
        <w:rPr>
          <w:rFonts w:hint="default" w:ascii="Times New Roman" w:hAnsi="Times New Roman" w:eastAsia="方正小标宋_GBK" w:cs="Times New Roman"/>
          <w:kern w:val="21"/>
          <w:sz w:val="44"/>
          <w:szCs w:val="44"/>
          <w:highlight w:val="none"/>
          <w:lang w:eastAsia="zh-CN"/>
        </w:rPr>
        <w:t>产业</w:t>
      </w:r>
      <w:r>
        <w:rPr>
          <w:rFonts w:hint="default" w:ascii="Times New Roman" w:hAnsi="Times New Roman" w:eastAsia="方正小标宋_GBK" w:cs="Times New Roman"/>
          <w:kern w:val="21"/>
          <w:sz w:val="44"/>
          <w:szCs w:val="44"/>
          <w:highlight w:val="none"/>
        </w:rPr>
        <w:t>创新综合体（科技型企业主导型）</w:t>
      </w:r>
      <w:r>
        <w:rPr>
          <w:rFonts w:hint="default" w:ascii="Times New Roman" w:hAnsi="Times New Roman" w:eastAsia="方正小标宋_GBK" w:cs="Times New Roman"/>
          <w:kern w:val="21"/>
          <w:sz w:val="44"/>
          <w:szCs w:val="44"/>
          <w:highlight w:val="none"/>
          <w:lang w:eastAsia="zh-CN"/>
        </w:rPr>
        <w:t>建设</w:t>
      </w:r>
      <w:r>
        <w:rPr>
          <w:rFonts w:hint="default" w:ascii="Times New Roman" w:hAnsi="Times New Roman" w:eastAsia="方正小标宋_GBK" w:cs="Times New Roman"/>
          <w:kern w:val="21"/>
          <w:sz w:val="44"/>
          <w:szCs w:val="44"/>
          <w:highlight w:val="none"/>
        </w:rPr>
        <w:t>管理办法（试行）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Times New Roman" w:hAnsi="Times New Roman" w:eastAsia="方正仿宋_GBK" w:cs="Times New Roman"/>
          <w:b/>
          <w:bCs/>
          <w:kern w:val="44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楷体_GBK" w:cs="Times New Roman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21"/>
          <w:sz w:val="32"/>
          <w:szCs w:val="32"/>
          <w:highlight w:val="none"/>
        </w:rPr>
        <w:t>第一章  总</w:t>
      </w:r>
      <w:r>
        <w:rPr>
          <w:rFonts w:hint="default" w:ascii="Times New Roman" w:hAnsi="Times New Roman" w:eastAsia="方正黑体_GBK" w:cs="Times New Roman"/>
          <w:kern w:val="21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kern w:val="21"/>
          <w:sz w:val="32"/>
          <w:szCs w:val="32"/>
          <w:highlight w:val="none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  <w:t>第一条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为规范产业创新综合体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（科技型企业主导型）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建设、运行和管理，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lang w:val="en-US" w:eastAsia="zh-CN"/>
        </w:rPr>
        <w:t>推进科技创新和产业创新深度融合，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推动创新要素高效配置、关键技术协同攻关和科技成果产业化应用，根据《重庆市科技创新促进条例》，制定本办法。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8" w:firstLineChars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kern w:val="21"/>
          <w:sz w:val="32"/>
          <w:szCs w:val="32"/>
          <w:highlight w:val="none"/>
        </w:rPr>
        <w:t>第二条</w:t>
      </w:r>
      <w:r>
        <w:rPr>
          <w:rFonts w:hint="default" w:ascii="Times New Roman" w:hAnsi="Times New Roman" w:eastAsia="方正楷体_GBK" w:cs="Times New Roman"/>
          <w:kern w:val="21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方正楷体_GBK" w:cs="Times New Roman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lang w:eastAsia="zh-CN"/>
        </w:rPr>
        <w:t>产业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</w:rPr>
        <w:t>创新综合体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（科技型企业主导型）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lang w:eastAsia="zh-CN"/>
        </w:rPr>
        <w:t>（以下简称综合体）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</w:rPr>
        <w:t>是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1"/>
          <w:sz w:val="32"/>
          <w:szCs w:val="32"/>
          <w:highlight w:val="none"/>
        </w:rPr>
        <w:t>由创新能力突出的科技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1"/>
          <w:sz w:val="32"/>
          <w:szCs w:val="32"/>
          <w:highlight w:val="none"/>
          <w:lang w:eastAsia="zh-CN"/>
        </w:rPr>
        <w:t>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1"/>
          <w:sz w:val="32"/>
          <w:szCs w:val="32"/>
          <w:highlight w:val="none"/>
        </w:rPr>
        <w:t>企业牵头，整合产业链上下游创新资源和科创服务机构，以各方共同利益为基础，以带动产业转型升级为目标，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1"/>
          <w:sz w:val="32"/>
          <w:szCs w:val="32"/>
          <w:highlight w:val="none"/>
          <w:lang w:eastAsia="zh-CN"/>
        </w:rPr>
        <w:t>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签订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kern w:val="21"/>
          <w:sz w:val="32"/>
          <w:szCs w:val="32"/>
          <w:highlight w:val="none"/>
        </w:rPr>
        <w:t>具有法律约束力的契约为保障的非独立法人实体。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21"/>
          <w:sz w:val="32"/>
          <w:szCs w:val="32"/>
          <w:highlight w:val="none"/>
          <w:lang w:val="en-US" w:eastAsia="zh-CN" w:bidi="ar-SA"/>
        </w:rPr>
        <w:t>第三条</w:t>
      </w:r>
      <w:r>
        <w:rPr>
          <w:rFonts w:hint="default" w:ascii="Times New Roman" w:hAnsi="Times New Roman" w:eastAsia="方正楷体_GBK" w:cs="Times New Roman"/>
          <w:b w:val="0"/>
          <w:bCs/>
          <w:kern w:val="21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>综合体的主要任务是实施关键技术攻关、促进成果转移转化、优化创新资源配置、开展产业创新活动、推动产业链能级跃升、优化产业创新生态等。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/>
          <w:kern w:val="21"/>
          <w:sz w:val="32"/>
          <w:szCs w:val="32"/>
          <w:highlight w:val="none"/>
          <w:lang w:val="en-US" w:eastAsia="zh-CN" w:bidi="ar-SA"/>
        </w:rPr>
        <w:t>第四条</w:t>
      </w:r>
      <w:r>
        <w:rPr>
          <w:rFonts w:hint="default" w:ascii="Times New Roman" w:hAnsi="Times New Roman" w:eastAsia="方正楷体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>坚持</w:t>
      </w:r>
      <w:r>
        <w:rPr>
          <w:rFonts w:hint="eastAsia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>市场主导、政府引导，需求导向、突出重点，企业主体、多方共建</w:t>
      </w:r>
      <w:r>
        <w:rPr>
          <w:rFonts w:hint="eastAsia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>的建设原则，以及</w:t>
      </w:r>
      <w:r>
        <w:rPr>
          <w:rFonts w:hint="eastAsia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>自主申报、评审公示、动态管理、择优支持</w:t>
      </w:r>
      <w:r>
        <w:rPr>
          <w:rFonts w:hint="eastAsia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>的管理原则。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bCs w:val="0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>第五条</w:t>
      </w:r>
      <w:r>
        <w:rPr>
          <w:rFonts w:hint="default" w:ascii="Times New Roman" w:hAnsi="Times New Roman" w:eastAsia="方正楷体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kern w:val="21"/>
          <w:sz w:val="32"/>
          <w:szCs w:val="32"/>
          <w:highlight w:val="none"/>
          <w:lang w:val="en-US" w:eastAsia="zh-CN" w:bidi="ar-SA"/>
        </w:rPr>
        <w:t>重庆市经济和信息化委员会（以下简称市经济信息委）负责综合体的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1"/>
          <w:sz w:val="32"/>
          <w:szCs w:val="32"/>
          <w:highlight w:val="none"/>
          <w:lang w:val="en-US" w:eastAsia="zh-CN" w:bidi="ar-SA"/>
        </w:rPr>
        <w:t>规划布局、建设指导、评审公示、管理评价、政策支持等工作</w:t>
      </w:r>
      <w:r>
        <w:rPr>
          <w:rFonts w:hint="default" w:ascii="Times New Roman" w:hAnsi="Times New Roman" w:eastAsia="方正仿宋_GBK" w:cs="Times New Roman"/>
          <w:b w:val="0"/>
          <w:bCs w:val="0"/>
          <w:kern w:val="21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>各区县经信部门负责本区域综合体的培育建设、申报推荐、指导协调、日常管理、政策落实等工作。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21"/>
          <w:sz w:val="32"/>
          <w:szCs w:val="32"/>
          <w:highlight w:val="none"/>
          <w:lang w:val="en-US" w:eastAsia="zh-CN" w:bidi="ar-SA"/>
        </w:rPr>
        <w:t>综合体建设牵头单位负责落实建设、运行、管理主体责任，为综合体建设运行提供人、财、物、场地等必要条件。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kern w:val="21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1"/>
          <w:sz w:val="32"/>
          <w:szCs w:val="32"/>
          <w:highlight w:val="none"/>
          <w:lang w:eastAsia="zh-CN"/>
        </w:rPr>
        <w:t>第二章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 xml:space="preserve">  申报与评审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第六条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 xml:space="preserve">  综合体的申报与评审按照以下步骤组织实施：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（一）发布通知。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综合体的申报评审工作原则上每年开展一次，在门户网站发布申报通知。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）组建申报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符合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条件的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牵头单位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按照自愿原则和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shd w:val="clear" w:color="auto" w:fill="FFFFFF"/>
          <w:lang w:eastAsia="zh-CN"/>
        </w:rPr>
        <w:t>申报通知要求广泛征集、吸纳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lang w:val="en-US" w:eastAsia="zh-CN"/>
        </w:rPr>
        <w:t>成员单位组建综合体，共同编制建设方案、综合体章程等申报材料，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shd w:val="clear" w:color="auto" w:fill="FFFFFF"/>
          <w:lang w:val="en-US" w:eastAsia="zh-CN"/>
        </w:rPr>
        <w:t>报送至所在区县经信部门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区县推荐。各区县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经信部门负责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shd w:val="clear" w:color="auto" w:fill="FFFFFF"/>
          <w:lang w:eastAsia="zh-CN"/>
        </w:rPr>
        <w:t>辖区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内综合体的推荐工作，对申报材料的完整性、规范性、真实性等进行审核并提出推荐意见。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评审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公示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市经济信息委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按照公平、公正、公开的原则，对各区县提交的申报材料进行复核，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组织专家评审、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综合研究论证后，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择优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确定进入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综合体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建设单位的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名单，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开展公示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（五）公布挂牌。对通过评审公示的综合体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予以发文公布和授牌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，实施统一管理。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第七条</w:t>
      </w:r>
      <w:r>
        <w:rPr>
          <w:rFonts w:hint="default" w:ascii="Times New Roman" w:hAnsi="Times New Roman" w:eastAsia="方正楷体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申报综合体的牵头单位应具备以下基本条件：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（一）应为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能独立承担民事法律责任的企业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。采取联合申报的，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lang w:val="en-US" w:eastAsia="zh-CN" w:bidi="ar-SA"/>
        </w:rPr>
        <w:t>联合牵头单位原则上不超过3家。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具备较强的行业影响力、科研引领力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前沿技术识别能力、创新资源整合能力。具有稳定的研发队伍和雄厚的研发实力。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lang w:val="en-US" w:eastAsia="zh-CN" w:bidi="ar-SA"/>
        </w:rPr>
        <w:t>熟悉本企业所属产业链上下游相关企业情况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，具有强烈的场景开放和产业链补链强链意愿。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（四）具备组织高水平学术交流、创新供需对接、成果转移转化、人才引育、金融服务、课题</w:t>
      </w:r>
      <w:r>
        <w:rPr>
          <w:rFonts w:hint="eastAsia" w:ascii="方正仿宋_GBK" w:hAnsi="方正仿宋_GBK" w:eastAsia="方正仿宋_GBK" w:cs="方正仿宋_GBK"/>
          <w:color w:val="auto"/>
          <w:kern w:val="21"/>
          <w:sz w:val="32"/>
          <w:szCs w:val="32"/>
          <w:highlight w:val="none"/>
          <w:lang w:val="en-US" w:eastAsia="zh-CN" w:bidi="ar-SA"/>
        </w:rPr>
        <w:t>管理等方面的经验。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1"/>
          <w:sz w:val="32"/>
          <w:szCs w:val="32"/>
          <w:highlight w:val="red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kern w:val="21"/>
          <w:sz w:val="32"/>
          <w:szCs w:val="32"/>
          <w:highlight w:val="none"/>
          <w:lang w:val="en-US" w:eastAsia="zh-CN" w:bidi="ar-SA"/>
        </w:rPr>
        <w:t>（五）能够提供符合要求的办公场所、设施设备等综合体办公环境条件。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red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（六）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未被列入联合惩戒对象名单。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val="en-US" w:eastAsia="zh-CN"/>
        </w:rPr>
        <w:t>第八条</w:t>
      </w:r>
      <w:r>
        <w:rPr>
          <w:rFonts w:hint="default" w:ascii="Times New Roman" w:hAnsi="Times New Roman" w:eastAsia="方正楷体_GBK" w:cs="Times New Roman"/>
          <w:color w:val="auto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21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参加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综合体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成员单位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应具备以下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lang w:val="en-US" w:eastAsia="zh-CN" w:bidi="ar-SA"/>
        </w:rPr>
        <w:t>具备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与牵头单位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lang w:val="en-US" w:eastAsia="zh-CN" w:bidi="ar-SA"/>
        </w:rPr>
        <w:t>共建综合体的强烈意愿和合作基础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（二）企业作为成员的，应具备一定的研发和技术配套能力，能够在综合体中与其</w:t>
      </w:r>
      <w:r>
        <w:rPr>
          <w:rFonts w:hint="eastAsia" w:ascii="方正仿宋_GBK" w:hAnsi="方正仿宋_GBK" w:eastAsia="方正仿宋_GBK" w:cs="方正仿宋_GBK"/>
          <w:color w:val="auto"/>
          <w:kern w:val="21"/>
          <w:sz w:val="32"/>
          <w:szCs w:val="32"/>
          <w:highlight w:val="none"/>
          <w:lang w:val="en-US" w:eastAsia="zh-CN" w:bidi="ar-SA"/>
        </w:rPr>
        <w:t>他成员单位形成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互补关系。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（三）科研机构、高等学校作为成员的，应拥有行业领域内创新能力较强的研究团队，具备良好的科研实验条件。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（四）学会、协会、人才、金融等专业服务机构作为成员的，应具备较强的专业服务能力或创新资源、创新需求汇聚能力，能够为创新活动提供专业的支持保障。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第九条</w:t>
      </w:r>
      <w:r>
        <w:rPr>
          <w:rFonts w:hint="default" w:ascii="Times New Roman" w:hAnsi="Times New Roman" w:eastAsia="方正楷体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组建的综合体应当具备以下基本条件：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（一）建设方向应符合全市重点产业发展方向和科技创新发展布局，以攻克制约产业发展的关键共性技术、</w:t>
      </w:r>
      <w:r>
        <w:rPr>
          <w:rFonts w:hint="eastAsia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推动技术产品重大创新、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科技成果转化应用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为主要工作目标。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（二）组成单位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（包含牵头单位和成员单位，下同）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21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基本覆盖产业链上中下游企业、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lang w:val="en-US" w:eastAsia="zh-CN" w:bidi="ar-SA"/>
        </w:rPr>
        <w:t>科研机构、高等学校、协会学会和人才、金融、数据等领域科创服务机构</w:t>
      </w:r>
      <w:r>
        <w:rPr>
          <w:rFonts w:hint="eastAsia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lang w:val="en-US" w:eastAsia="zh-CN" w:bidi="ar-SA"/>
        </w:rPr>
        <w:t>中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21"/>
          <w:sz w:val="32"/>
          <w:szCs w:val="32"/>
          <w:u w:val="none"/>
          <w:shd w:val="clear" w:color="auto" w:fill="FFFFFF"/>
          <w:lang w:val="en-US" w:eastAsia="zh-CN" w:bidi="ar-SA"/>
        </w:rPr>
        <w:t>的多种类型，数量原则上不低于20个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lang w:val="en-US" w:eastAsia="zh-CN" w:bidi="ar-SA"/>
        </w:rPr>
        <w:t>应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成立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lang w:val="en-US" w:eastAsia="zh-CN" w:bidi="ar-SA"/>
        </w:rPr>
        <w:t>理事会、专家委员会、秘书处、专项工作组等必要的工作机构，建立项目管理、定期交流、资源共享、联动办公、督办评价等运行机制</w:t>
      </w:r>
      <w:r>
        <w:rPr>
          <w:rFonts w:hint="eastAsia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lang w:val="en-US" w:eastAsia="zh-CN" w:bidi="ar-SA"/>
        </w:rPr>
        <w:t>各组成单位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21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主要职责、权利义务明确合理，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lang w:val="en-US" w:eastAsia="zh-CN" w:bidi="ar-SA"/>
        </w:rPr>
        <w:t>运行管理机制完善。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kern w:val="21"/>
          <w:sz w:val="32"/>
          <w:szCs w:val="32"/>
          <w:highlight w:val="none"/>
          <w:u w:val="none"/>
          <w:shd w:val="clear" w:color="auto" w:fill="FFFFFF"/>
          <w:lang w:val="en-US" w:eastAsia="zh-CN" w:bidi="ar-SA"/>
        </w:rPr>
        <w:t>牵头单位与成员单位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lang w:val="en-US" w:eastAsia="zh-CN" w:bidi="ar-SA"/>
        </w:rPr>
        <w:t>签订有法律约束力的合作协议。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（四）设置的总体目标、年度目标合理，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预期将实现的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标志性成果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对产业发展有重要引领作用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auto"/>
          <w:lang w:val="en-US" w:eastAsia="zh-CN" w:bidi="ar-SA"/>
        </w:rPr>
        <w:t>。建设的计划步骤、方法措施可行，相关保障有力。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2" w:firstLineChars="200"/>
        <w:jc w:val="left"/>
        <w:textAlignment w:val="auto"/>
        <w:rPr>
          <w:rFonts w:hint="default" w:ascii="Times New Roman" w:hAnsi="Times New Roman" w:eastAsia="宋体" w:cs="Times New Roman"/>
          <w:b/>
          <w:bCs/>
          <w:color w:val="FF0000"/>
          <w:kern w:val="21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kern w:val="2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kern w:val="21"/>
          <w:sz w:val="32"/>
          <w:szCs w:val="32"/>
          <w:highlight w:val="none"/>
          <w:lang w:val="en-US" w:eastAsia="zh-CN"/>
        </w:rPr>
        <w:t xml:space="preserve">第三章  </w:t>
      </w:r>
      <w:r>
        <w:rPr>
          <w:rFonts w:hint="default" w:ascii="Times New Roman" w:hAnsi="Times New Roman" w:eastAsia="方正黑体_GBK" w:cs="Times New Roman"/>
          <w:b w:val="0"/>
          <w:bCs w:val="0"/>
          <w:kern w:val="21"/>
          <w:sz w:val="32"/>
          <w:szCs w:val="32"/>
          <w:highlight w:val="none"/>
          <w:lang w:val="en-US" w:eastAsia="zh-CN"/>
        </w:rPr>
        <w:t>管理与评价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yellow"/>
          <w:shd w:val="clear" w:color="auto" w:fill="FFFFFF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  <w:t>十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21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shd w:val="clear" w:color="auto" w:fill="FFFFFF"/>
          <w:lang w:val="en-US" w:eastAsia="zh-CN"/>
        </w:rPr>
        <w:t>建立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shd w:val="clear" w:color="auto" w:fill="FFFFFF"/>
          <w:lang w:eastAsia="zh-CN"/>
        </w:rPr>
        <w:t>综合体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  <w:highlight w:val="none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shd w:val="clear" w:color="auto" w:fill="FFFFFF"/>
          <w:lang w:eastAsia="zh-CN"/>
        </w:rPr>
        <w:t>季度自评、年度考评、</w:t>
      </w:r>
      <w:r>
        <w:rPr>
          <w:rFonts w:hint="eastAsia" w:eastAsia="方正仿宋_GBK" w:cs="Times New Roman"/>
          <w:kern w:val="21"/>
          <w:sz w:val="32"/>
          <w:szCs w:val="32"/>
          <w:highlight w:val="none"/>
          <w:shd w:val="clear" w:color="auto" w:fill="FFFFFF"/>
          <w:lang w:val="en-US" w:eastAsia="zh-CN"/>
        </w:rPr>
        <w:t>建设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shd w:val="clear" w:color="auto" w:fill="FFFFFF"/>
          <w:lang w:val="en-US" w:eastAsia="zh-CN"/>
        </w:rPr>
        <w:t>终评</w:t>
      </w:r>
      <w:r>
        <w:rPr>
          <w:rFonts w:hint="eastAsia" w:ascii="Times New Roman" w:hAnsi="Times New Roman" w:eastAsia="方正仿宋_GBK" w:cs="Times New Roman"/>
          <w:kern w:val="21"/>
          <w:sz w:val="32"/>
          <w:szCs w:val="32"/>
          <w:highlight w:val="none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shd w:val="clear" w:color="auto" w:fill="FFFFFF"/>
          <w:lang w:eastAsia="zh-CN"/>
        </w:rPr>
        <w:t>的</w:t>
      </w:r>
      <w:r>
        <w:rPr>
          <w:rFonts w:hint="eastAsia" w:eastAsia="方正仿宋_GBK" w:cs="Times New Roman"/>
          <w:kern w:val="21"/>
          <w:sz w:val="32"/>
          <w:szCs w:val="32"/>
          <w:highlight w:val="none"/>
          <w:shd w:val="clear" w:color="auto" w:fill="FFFFFF"/>
          <w:lang w:eastAsia="zh-CN"/>
        </w:rPr>
        <w:t>分阶段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shd w:val="clear" w:color="auto" w:fill="FFFFFF"/>
          <w:lang w:eastAsia="zh-CN"/>
        </w:rPr>
        <w:t>评价机制，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lang w:eastAsia="zh-CN"/>
        </w:rPr>
        <w:t>评价结果分为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</w:rPr>
        <w:t>优秀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lang w:eastAsia="zh-CN"/>
        </w:rPr>
        <w:t>、</w:t>
      </w:r>
      <w:r>
        <w:rPr>
          <w:rFonts w:hint="eastAsia" w:eastAsia="方正仿宋_GBK" w:cs="Times New Roman"/>
          <w:kern w:val="21"/>
          <w:sz w:val="32"/>
          <w:szCs w:val="32"/>
          <w:highlight w:val="none"/>
          <w:lang w:eastAsia="zh-CN"/>
        </w:rPr>
        <w:t>良好、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lang w:eastAsia="zh-CN"/>
        </w:rPr>
        <w:t>合格、不合格</w:t>
      </w:r>
      <w:r>
        <w:rPr>
          <w:rFonts w:hint="eastAsia" w:eastAsia="方正仿宋_GBK" w:cs="Times New Roman"/>
          <w:kern w:val="21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lang w:eastAsia="zh-CN"/>
        </w:rPr>
        <w:t>个等次</w:t>
      </w:r>
      <w:r>
        <w:rPr>
          <w:rFonts w:hint="eastAsia" w:eastAsia="方正仿宋_GBK" w:cs="Times New Roman"/>
          <w:kern w:val="21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1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黑体_GBK" w:cs="Times New Roman"/>
          <w:kern w:val="21"/>
          <w:sz w:val="32"/>
          <w:szCs w:val="32"/>
          <w:highlight w:val="none"/>
          <w:lang w:eastAsia="zh-CN"/>
        </w:rPr>
        <w:t>十一</w:t>
      </w:r>
      <w:r>
        <w:rPr>
          <w:rFonts w:hint="default" w:ascii="Times New Roman" w:hAnsi="Times New Roman" w:eastAsia="方正黑体_GBK" w:cs="Times New Roman"/>
          <w:kern w:val="21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楷体_GBK" w:cs="Times New Roman"/>
          <w:kern w:val="21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方正楷体_GBK" w:cs="Times New Roman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按照以下工作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流程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开展管理评价：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对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公布挂牌的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综合体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市经济信息委与牵头单位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签订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总体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任务书，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明确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综合体建设周期内的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总体目标；签订年度任务书，明确各年度目标。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（二）综合体牵头单位依据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建设方案和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总体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任务书、年度任务书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组织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开展关键技术攻关、成果转化等产业创新活动，按要求开展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季度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自评。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市经济信息委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每年末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shd w:val="clear" w:color="auto" w:fill="FFFFFF"/>
        </w:rPr>
        <w:t>对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u w:val="none"/>
          <w:shd w:val="clear" w:color="auto" w:fill="FFFFFF"/>
          <w:lang w:eastAsia="zh-CN"/>
        </w:rPr>
        <w:t>综合体开展年度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u w:val="none"/>
          <w:shd w:val="clear" w:color="auto" w:fill="FFFFFF"/>
          <w:lang w:val="en-US" w:eastAsia="zh-CN"/>
        </w:rPr>
        <w:t>考评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 w:bidi="ar-SA"/>
        </w:rPr>
        <w:t>（四）项目</w:t>
      </w:r>
      <w:r>
        <w:rPr>
          <w:rFonts w:hint="eastAsia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建设周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期满或达成</w:t>
      </w:r>
      <w:r>
        <w:rPr>
          <w:rFonts w:hint="eastAsia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总体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任务书的主要目标后，牵头单位可申请进行项目验收。市经济信息委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组织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对综合体建设情况进行</w:t>
      </w:r>
      <w:r>
        <w:rPr>
          <w:rFonts w:hint="eastAsia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建设终评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，根据评价结果进行验收。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kern w:val="2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kern w:val="21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黑体_GBK" w:cs="Times New Roman"/>
          <w:kern w:val="21"/>
          <w:sz w:val="32"/>
          <w:szCs w:val="32"/>
          <w:highlight w:val="none"/>
          <w:lang w:eastAsia="zh-CN"/>
        </w:rPr>
        <w:t>十二</w:t>
      </w:r>
      <w:r>
        <w:rPr>
          <w:rFonts w:hint="default" w:ascii="Times New Roman" w:hAnsi="Times New Roman" w:eastAsia="方正黑体_GBK" w:cs="Times New Roman"/>
          <w:kern w:val="21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楷体_GBK" w:cs="Times New Roman"/>
          <w:kern w:val="21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方正楷体_GBK" w:cs="Times New Roman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实行工作报告制度，综合体牵头单位应每季度提交季度</w:t>
      </w:r>
      <w:r>
        <w:rPr>
          <w:rFonts w:hint="eastAsia" w:eastAsia="方正仿宋_GBK" w:cs="Times New Roman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工作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报告</w:t>
      </w:r>
      <w:r>
        <w:rPr>
          <w:rFonts w:hint="eastAsia" w:eastAsia="方正仿宋_GBK" w:cs="Times New Roman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和自评报告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，每年提交年度工作报告。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red"/>
        </w:rPr>
      </w:pP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  <w:t>第十三条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21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存在下列情形之一的，应撤销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综合体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资格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并予以摘牌，按有关规定收回相关财政支持资金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综合体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不履行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工作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报告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制度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无正当理由不参加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评价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或中途退出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评价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综合体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年度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lang w:eastAsia="zh-CN"/>
        </w:rPr>
        <w:t>评价结果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不合格，经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整改后仍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不合格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的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（三）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综合体提交的材料存在弄虚作假行为，经查实的；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综合体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牵头单位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出现重大违法违规行为，受到有关部门处罚的；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（五）综合体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牵头单位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出现严重失信行为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kern w:val="21"/>
          <w:sz w:val="32"/>
          <w:szCs w:val="32"/>
          <w:highlight w:val="none"/>
          <w:shd w:val="clear" w:color="auto" w:fill="FFFFFF"/>
          <w:lang w:val="en-US" w:eastAsia="zh-CN" w:bidi="ar-SA"/>
        </w:rPr>
        <w:t>被列入联合惩戒对象名单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（六）综合体牵头单位出现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注销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等情形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或者被列入经营异常名录的；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</w:pP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（七）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其他应当撤销的情况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楷体_GBK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被撤销资格的，自撤销之日起3年内牵头单位不得再次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牵头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组建申报综合体。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21"/>
          <w:sz w:val="32"/>
          <w:szCs w:val="32"/>
          <w:highlight w:val="none"/>
          <w:lang w:val="en-US" w:eastAsia="zh-CN"/>
        </w:rPr>
        <w:t>第十四条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 xml:space="preserve">  综合体发生重点研究方向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调整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、更名等重大事项变化的，应在发生变更后1个月内以书面形式报区县经信部门初审后，报市经济信息委审核备案。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kern w:val="2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</w:rPr>
        <w:t>章  支持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  <w:t>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  <w:t>十</w:t>
      </w:r>
      <w:r>
        <w:rPr>
          <w:rFonts w:hint="eastAsia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21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对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综合体的支持政策主要包括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建设运行补贴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关键核心技术攻关项目</w:t>
      </w:r>
      <w:r>
        <w:rPr>
          <w:rFonts w:hint="eastAsia" w:ascii="方正仿宋_GBK" w:hAnsi="方正仿宋_GBK" w:eastAsia="方正仿宋_GBK" w:cs="方正仿宋_GBK"/>
          <w:color w:val="auto"/>
          <w:kern w:val="21"/>
          <w:sz w:val="32"/>
          <w:szCs w:val="32"/>
          <w:highlight w:val="none"/>
          <w:lang w:val="en-US" w:eastAsia="zh-CN"/>
        </w:rPr>
        <w:t>资金支持两部分。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kern w:val="21"/>
          <w:sz w:val="32"/>
          <w:szCs w:val="32"/>
          <w:highlight w:val="none"/>
          <w:lang w:val="en-US" w:eastAsia="zh-CN"/>
        </w:rPr>
        <w:t>（一）建设运行补贴。新组建的综合体</w:t>
      </w:r>
      <w:r>
        <w:rPr>
          <w:rFonts w:hint="eastAsia" w:ascii="方正仿宋_GBK" w:hAnsi="方正仿宋_GBK" w:eastAsia="方正仿宋_GBK" w:cs="方正仿宋_GBK"/>
          <w:color w:val="auto"/>
          <w:kern w:val="21"/>
          <w:sz w:val="32"/>
          <w:szCs w:val="32"/>
          <w:highlight w:val="none"/>
          <w:lang w:eastAsia="zh-CN"/>
        </w:rPr>
        <w:t>公布挂牌</w:t>
      </w:r>
      <w:r>
        <w:rPr>
          <w:rFonts w:hint="eastAsia" w:ascii="方正仿宋_GBK" w:hAnsi="方正仿宋_GBK" w:eastAsia="方正仿宋_GBK" w:cs="方正仿宋_GBK"/>
          <w:color w:val="auto"/>
          <w:kern w:val="21"/>
          <w:sz w:val="32"/>
          <w:szCs w:val="32"/>
          <w:highlight w:val="none"/>
          <w:lang w:val="en-US" w:eastAsia="zh-CN"/>
        </w:rPr>
        <w:t>后，给予牵头单位建设补贴，原则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上最高不超过100万元。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已建成并实体化运行的综合体，根据</w:t>
      </w:r>
      <w:r>
        <w:rPr>
          <w:rFonts w:hint="default" w:ascii="Times New Roman" w:hAnsi="Times New Roman" w:eastAsia="方正仿宋_GBK" w:cs="Times New Roman"/>
          <w:kern w:val="21"/>
          <w:sz w:val="32"/>
          <w:szCs w:val="32"/>
          <w:highlight w:val="none"/>
          <w:shd w:val="clear" w:color="auto" w:fill="FFFFFF"/>
          <w:lang w:eastAsia="zh-CN"/>
        </w:rPr>
        <w:t>年度考评</w:t>
      </w:r>
      <w:r>
        <w:rPr>
          <w:rFonts w:hint="eastAsia" w:eastAsia="方正仿宋_GBK" w:cs="Times New Roman"/>
          <w:kern w:val="21"/>
          <w:sz w:val="32"/>
          <w:szCs w:val="32"/>
          <w:highlight w:val="none"/>
          <w:shd w:val="clear" w:color="auto" w:fill="FFFFFF"/>
          <w:lang w:eastAsia="zh-CN"/>
        </w:rPr>
        <w:t>结果择优给予牵头单位运行补贴。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关键核心技术攻关项目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资金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支持。对于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新公布挂牌或上年度绩效评估为良好及以上等次的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综合体开展的关键核心技术攻关项目，综合评价技术先进性、产业化可行性和预期经济效益等因素，择优纳入关键核心技术攻关</w:t>
      </w:r>
      <w:r>
        <w:rPr>
          <w:rFonts w:hint="eastAsia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shd w:val="clear" w:color="auto" w:fill="FFFFFF"/>
          <w:lang w:val="en-US" w:eastAsia="zh-CN"/>
        </w:rPr>
        <w:t>揭榜挂帅</w:t>
      </w:r>
      <w:r>
        <w:rPr>
          <w:rFonts w:hint="eastAsia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项目给予资金支持，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单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个综合体年度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原则上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最高不超过1000万元。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鼓励各区县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经信部门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给予配套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资金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  <w:t>第十</w:t>
      </w:r>
      <w:r>
        <w:rPr>
          <w:rFonts w:hint="eastAsia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  <w:t>六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  <w:t>条</w:t>
      </w:r>
      <w:r>
        <w:rPr>
          <w:rFonts w:hint="eastAsia" w:eastAsia="方正黑体_GBK" w:cs="Times New Roman"/>
          <w:color w:val="auto"/>
          <w:kern w:val="21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强化金融、人才、科技服务等要素支持保障，鼓励社会资本联合相关平台设立</w:t>
      </w:r>
      <w:r>
        <w:rPr>
          <w:rFonts w:hint="eastAsia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科创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val="en-US" w:eastAsia="zh-CN"/>
        </w:rPr>
        <w:t>基金，赋能综合体建设。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</w:rPr>
        <w:t>章  附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</w:rPr>
        <w:t>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516" w:firstLineChars="0"/>
        <w:textAlignment w:val="auto"/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  <w:t>十</w:t>
      </w:r>
      <w:r>
        <w:rPr>
          <w:rFonts w:hint="eastAsia" w:eastAsia="方正黑体_GBK" w:cs="Times New Roman"/>
          <w:color w:val="auto"/>
          <w:kern w:val="21"/>
          <w:sz w:val="32"/>
          <w:szCs w:val="32"/>
          <w:highlight w:val="none"/>
          <w:lang w:eastAsia="zh-CN"/>
        </w:rPr>
        <w:t>七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方正黑体_GBK" w:cs="Times New Roman"/>
          <w:color w:val="auto"/>
          <w:kern w:val="21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color w:val="auto"/>
          <w:kern w:val="21"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本办法自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公布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之日起30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日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后施行，执行周期为3年。期满后由制定机关组织对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  <w:lang w:eastAsia="zh-CN"/>
        </w:rPr>
        <w:t>办法的</w:t>
      </w:r>
      <w:r>
        <w:rPr>
          <w:rFonts w:hint="default" w:ascii="Times New Roman" w:hAnsi="Times New Roman" w:eastAsia="方正仿宋_GBK" w:cs="Times New Roman"/>
          <w:color w:val="auto"/>
          <w:kern w:val="21"/>
          <w:sz w:val="32"/>
          <w:szCs w:val="32"/>
          <w:highlight w:val="none"/>
        </w:rPr>
        <w:t>实施效果、可行性和合理性进行评估，根据评估结果予以修订或废止。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right="0" w:rightChars="0"/>
        <w:contextualSpacing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1417" w:footer="1247" w:gutter="0"/>
      <w:pgNumType w:fmt="numberInDash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Mh2d9gbAgAAIw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139065</wp:posOffset>
              </wp:positionV>
              <wp:extent cx="5409565" cy="1905"/>
              <wp:effectExtent l="0" t="0" r="0" b="0"/>
              <wp:wrapNone/>
              <wp:docPr id="2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09565" cy="190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11" o:spid="_x0000_s1026" o:spt="32" type="#_x0000_t32" style="position:absolute;left:0pt;flip:y;margin-left:6pt;margin-top:10.95pt;height:0.15pt;width:425.95pt;z-index:251659264;mso-width-relative:page;mso-height-relative:page;" filled="f" stroked="t" coordsize="21600,21600" o:gfxdata="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vPT&#10;c9YAAAAIAQAADwAAAAAAAAABACAAAAAiAAAAZHJzL2Rvd25yZXYueG1sUEsBAhQAFAAAAAgAh07i&#10;QFEJZD7rAQAAsQMAAA4AAAAAAAAAAQAgAAAAJQEAAGRycy9lMm9Eb2MueG1sUEsFBgAAAAAGAAYA&#10;WQEAAIIFAAAAAA=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</w:p>
  <w:p>
    <w:pPr>
      <w:pStyle w:val="9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348615</wp:posOffset>
              </wp:positionV>
              <wp:extent cx="5584190" cy="6985"/>
              <wp:effectExtent l="0" t="0" r="0" b="0"/>
              <wp:wrapNone/>
              <wp:docPr id="1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4190" cy="6985"/>
                      </a:xfrm>
                      <a:prstGeom prst="straightConnector1">
                        <a:avLst/>
                      </a:prstGeom>
                      <a:ln w="22225" cap="flat" cmpd="sng">
                        <a:solidFill>
                          <a:srgbClr val="005192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2" o:spid="_x0000_s1026" o:spt="32" type="#_x0000_t32" style="position:absolute;left:0pt;margin-left:2pt;margin-top:27.45pt;height:0.55pt;width:439.7pt;z-index:251658240;mso-width-relative:page;mso-height-relative:page;" filled="f" stroked="t" coordsize="21600,21600" o:gfxdata="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FC+OjWAAAABwEA&#10;AA8AAAAAAAAAAQAgAAAAIgAAAGRycy9kb3ducmV2LnhtbFBLAQIUABQAAAAIAIdO4kD/lGxc4wEA&#10;AKYDAAAOAAAAAAAAAAEAIAAAACUBAABkcnMvZTJvRG9jLnhtbFBLBQYAAAAABgAGAFkBAAB6BQAA&#10;AAA=&#10;">
              <v:fill on="f" focussize="0,0"/>
              <v:stroke weight="1.75pt" color="#005192" joinstyle="miter"/>
              <v:imagedata o:title=""/>
              <o:lock v:ext="edit" aspectratio="f"/>
            </v:shap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 w="9525">
                    <a:noFill/>
                  </a:ln>
                  <a:effectLst/>
                </pic:spPr>
              </pic:pic>
            </a:graphicData>
          </a:graphic>
        </wp:inline>
      </w:drawing>
    </w:r>
    <w:r>
      <w:rPr>
        <w:rFonts w:hint="eastAsia" w:ascii="宋体" w:hAnsi="宋体" w:cs="宋体"/>
        <w:b/>
        <w:bCs/>
        <w:color w:val="005192"/>
        <w:sz w:val="32"/>
        <w:lang w:eastAsia="zh-CN"/>
      </w:rPr>
      <w:t>重庆市经济和信息化委员会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attachedTemplate r:id="rId1"/>
  <w:documentProtection w:enforcement="0"/>
  <w:defaultTabStop w:val="420"/>
  <w:hyphenationZone w:val="36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A03A9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011AD7"/>
    <w:rsid w:val="152D2DCA"/>
    <w:rsid w:val="187168EA"/>
    <w:rsid w:val="18FA03A9"/>
    <w:rsid w:val="196673CA"/>
    <w:rsid w:val="197B777A"/>
    <w:rsid w:val="1CF734C9"/>
    <w:rsid w:val="1DEC284C"/>
    <w:rsid w:val="1E6523AC"/>
    <w:rsid w:val="22440422"/>
    <w:rsid w:val="22BB4BBB"/>
    <w:rsid w:val="25EB1AF4"/>
    <w:rsid w:val="27925691"/>
    <w:rsid w:val="294C4119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B660469"/>
    <w:rsid w:val="5BE346F8"/>
    <w:rsid w:val="5DC34279"/>
    <w:rsid w:val="5E500467"/>
    <w:rsid w:val="5FCD688E"/>
    <w:rsid w:val="5FF9BDAA"/>
    <w:rsid w:val="608816D1"/>
    <w:rsid w:val="60EF4E7F"/>
    <w:rsid w:val="62703FFD"/>
    <w:rsid w:val="64094FE2"/>
    <w:rsid w:val="648B0A32"/>
    <w:rsid w:val="658F6764"/>
    <w:rsid w:val="665233C1"/>
    <w:rsid w:val="69AC0D42"/>
    <w:rsid w:val="6A597EEA"/>
    <w:rsid w:val="6AD9688B"/>
    <w:rsid w:val="6B68303F"/>
    <w:rsid w:val="6D0E3F22"/>
    <w:rsid w:val="744E4660"/>
    <w:rsid w:val="753355A2"/>
    <w:rsid w:val="759F1C61"/>
    <w:rsid w:val="769F2DE8"/>
    <w:rsid w:val="76C673E0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kern w:val="36"/>
      <w:sz w:val="24"/>
      <w:szCs w:val="24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19" w:lineRule="auto"/>
      <w:outlineLvl w:val="5"/>
    </w:pPr>
    <w:rPr>
      <w:rFonts w:ascii="Cambria" w:hAnsi="Cambria"/>
      <w:b/>
      <w:bCs/>
      <w:sz w:val="24"/>
    </w:rPr>
  </w:style>
  <w:style w:type="character" w:default="1" w:styleId="11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rPr>
      <w:rFonts w:ascii="Calibri" w:hAnsi="Calibri" w:eastAsia="仿宋_GB2312" w:cs="Times New Roman"/>
      <w:sz w:val="28"/>
    </w:rPr>
  </w:style>
  <w:style w:type="paragraph" w:styleId="7">
    <w:name w:val="index 7"/>
    <w:basedOn w:val="1"/>
    <w:next w:val="1"/>
    <w:qFormat/>
    <w:uiPriority w:val="0"/>
    <w:pPr>
      <w:ind w:left="2520"/>
    </w:pPr>
    <w:rPr>
      <w:rFonts w:ascii="Calibri" w:hAnsi="Calibri" w:eastAsia="宋体"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2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2.wpt</Template>
  <Pages>4</Pages>
  <Words>1105</Words>
  <Characters>1160</Characters>
  <Lines>1</Lines>
  <Paragraphs>1</Paragraphs>
  <ScaleCrop>false</ScaleCrop>
  <LinksUpToDate>false</LinksUpToDate>
  <CharactersWithSpaces>1204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2024-01-05T01:55:00Z</dcterms:created>
  <dc:creator>熊雪芹</dc:creator>
  <cp:lastModifiedBy>徐琳</cp:lastModifiedBy>
  <dcterms:modified xsi:type="dcterms:W3CDTF">2025-05-29T02:11:54Z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48C61CB29D3F4D9384F5922CF0F7FFB4</vt:lpwstr>
  </property>
</Properties>
</file>