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 xml:space="preserve">重庆市经济和信息化委员会         </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 xml:space="preserve">重庆市财政局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ascii="Times New Roman" w:hAnsi="Times New Roman" w:eastAsia="方正小标宋_GBK"/>
          <w:sz w:val="44"/>
          <w:szCs w:val="44"/>
          <w:lang w:bidi="ar"/>
        </w:rPr>
      </w:pPr>
      <w:r>
        <w:rPr>
          <w:rFonts w:hint="eastAsia" w:ascii="Times New Roman" w:hAnsi="Times New Roman" w:eastAsia="方正小标宋_GBK"/>
          <w:sz w:val="44"/>
          <w:szCs w:val="44"/>
          <w:lang w:bidi="ar"/>
        </w:rPr>
        <w:t>关于印发</w:t>
      </w:r>
      <w:r>
        <w:rPr>
          <w:rFonts w:hint="eastAsia" w:ascii="Times New Roman" w:hAnsi="Times New Roman" w:eastAsia="方正小标宋_GBK"/>
          <w:sz w:val="44"/>
          <w:szCs w:val="44"/>
          <w:lang w:eastAsia="zh-CN" w:bidi="ar"/>
        </w:rPr>
        <w:t>《</w:t>
      </w:r>
      <w:r>
        <w:rPr>
          <w:rFonts w:hint="eastAsia" w:ascii="Times New Roman" w:hAnsi="Times New Roman" w:eastAsia="方正小标宋_GBK"/>
          <w:sz w:val="44"/>
          <w:szCs w:val="44"/>
          <w:lang w:bidi="ar"/>
        </w:rPr>
        <w:t>重庆市</w:t>
      </w:r>
      <w:r>
        <w:rPr>
          <w:rFonts w:ascii="Times New Roman" w:hAnsi="Times New Roman" w:eastAsia="方正小标宋_GBK"/>
          <w:sz w:val="44"/>
          <w:szCs w:val="44"/>
          <w:lang w:bidi="ar"/>
        </w:rPr>
        <w:t>2024</w:t>
      </w:r>
      <w:r>
        <w:rPr>
          <w:rFonts w:hint="eastAsia" w:ascii="Times New Roman" w:hAnsi="Times New Roman" w:eastAsia="方正小标宋_GBK"/>
          <w:sz w:val="44"/>
          <w:szCs w:val="44"/>
          <w:lang w:bidi="ar"/>
        </w:rPr>
        <w:t>—</w:t>
      </w:r>
      <w:r>
        <w:rPr>
          <w:rFonts w:ascii="Times New Roman" w:hAnsi="Times New Roman" w:eastAsia="方正小标宋_GBK"/>
          <w:sz w:val="44"/>
          <w:szCs w:val="44"/>
          <w:lang w:bidi="ar"/>
        </w:rPr>
        <w:t>2025</w:t>
      </w:r>
      <w:r>
        <w:rPr>
          <w:rFonts w:hint="eastAsia" w:ascii="Times New Roman" w:hAnsi="Times New Roman" w:eastAsia="方正小标宋_GBK"/>
          <w:sz w:val="44"/>
          <w:szCs w:val="44"/>
          <w:lang w:bidi="ar"/>
        </w:rPr>
        <w:t>年度充电基础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lang w:bidi="ar"/>
        </w:rPr>
        <w:t>设施建设奖励政策</w:t>
      </w:r>
      <w:r>
        <w:rPr>
          <w:rFonts w:hint="eastAsia" w:ascii="Times New Roman" w:hAnsi="Times New Roman" w:eastAsia="方正小标宋_GBK"/>
          <w:sz w:val="44"/>
          <w:szCs w:val="44"/>
          <w:lang w:eastAsia="zh-CN" w:bidi="ar"/>
        </w:rPr>
        <w:t>》</w:t>
      </w:r>
      <w:r>
        <w:rPr>
          <w:rFonts w:hint="eastAsia" w:ascii="Times New Roman" w:hAnsi="Times New Roman" w:eastAsia="方正小标宋_GBK"/>
          <w:sz w:val="44"/>
          <w:szCs w:val="44"/>
          <w:lang w:bidi="ar"/>
        </w:rPr>
        <w:t>的通知</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ascii="Times New Roman" w:hAnsi="Times New Roman" w:eastAsia="仿宋_GB2312" w:cs="Times New Roman"/>
          <w:color w:val="000000"/>
          <w:sz w:val="24"/>
        </w:rPr>
      </w:pPr>
      <w:r>
        <w:rPr>
          <w:rFonts w:ascii="Times New Roman" w:hAnsi="Times New Roman" w:eastAsia="方正仿宋_GBK" w:cs="Times New Roman"/>
          <w:color w:val="000000"/>
          <w:sz w:val="32"/>
          <w:szCs w:val="32"/>
        </w:rPr>
        <w:t>渝经信</w:t>
      </w:r>
      <w:r>
        <w:rPr>
          <w:rFonts w:hint="eastAsia" w:ascii="Times New Roman" w:hAnsi="Times New Roman" w:eastAsia="方正仿宋_GBK" w:cs="Times New Roman"/>
          <w:color w:val="000000"/>
          <w:sz w:val="32"/>
          <w:szCs w:val="32"/>
          <w:lang w:eastAsia="zh-CN"/>
        </w:rPr>
        <w:t>规范</w:t>
      </w:r>
      <w:r>
        <w:rPr>
          <w:rFonts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lang w:val="en-US" w:eastAsia="zh-CN"/>
        </w:rPr>
        <w:t>4</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21</w:t>
      </w:r>
      <w:r>
        <w:rPr>
          <w:rFonts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eastAsia" w:ascii="宋体" w:hAnsi="宋体" w:eastAsia="宋体" w:cs="宋体"/>
          <w:i w:val="0"/>
          <w:caps w:val="0"/>
          <w:color w:val="auto"/>
          <w:spacing w:val="0"/>
          <w:sz w:val="44"/>
          <w:szCs w:val="4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ascii="Times New Roman" w:hAnsi="Times New Roman" w:eastAsia="方正仿宋_GBK"/>
          <w:sz w:val="32"/>
          <w:szCs w:val="20"/>
          <w:lang w:bidi="ar"/>
        </w:rPr>
      </w:pPr>
      <w:r>
        <w:rPr>
          <w:rFonts w:hint="eastAsia" w:ascii="Times New Roman" w:hAnsi="Times New Roman" w:eastAsia="方正仿宋_GBK"/>
          <w:sz w:val="32"/>
          <w:szCs w:val="20"/>
          <w:lang w:bidi="ar"/>
        </w:rPr>
        <w:t>各区县（自治县）人民政府，两江新区、西部科学城重庆高新区、万盛经开区管委会，有关单位：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Times New Roman" w:hAnsi="Times New Roman" w:eastAsia="方正仿宋_GBK"/>
          <w:sz w:val="32"/>
          <w:szCs w:val="20"/>
        </w:rPr>
      </w:pPr>
      <w:r>
        <w:rPr>
          <w:rFonts w:hint="eastAsia" w:ascii="Times New Roman" w:hAnsi="Times New Roman" w:eastAsia="方正仿宋_GBK"/>
          <w:sz w:val="32"/>
          <w:szCs w:val="20"/>
          <w:lang w:bidi="ar"/>
        </w:rPr>
        <w:t>为贯彻落实《国务院办公厅关于进一步构建高质量充电基础设施体系的指导意见》（国办发〔</w:t>
      </w:r>
      <w:r>
        <w:rPr>
          <w:rFonts w:ascii="Times New Roman" w:hAnsi="Times New Roman" w:eastAsia="方正仿宋_GBK"/>
          <w:sz w:val="32"/>
          <w:szCs w:val="20"/>
          <w:lang w:bidi="ar"/>
        </w:rPr>
        <w:t>2023</w:t>
      </w:r>
      <w:r>
        <w:rPr>
          <w:rFonts w:hint="eastAsia" w:ascii="Times New Roman" w:hAnsi="Times New Roman" w:eastAsia="方正仿宋_GBK"/>
          <w:sz w:val="32"/>
          <w:szCs w:val="20"/>
          <w:lang w:bidi="ar"/>
        </w:rPr>
        <w:t>〕</w:t>
      </w:r>
      <w:r>
        <w:rPr>
          <w:rFonts w:ascii="Times New Roman" w:hAnsi="Times New Roman" w:eastAsia="方正仿宋_GBK"/>
          <w:sz w:val="32"/>
          <w:szCs w:val="20"/>
          <w:lang w:bidi="ar"/>
        </w:rPr>
        <w:t>19</w:t>
      </w:r>
      <w:r>
        <w:rPr>
          <w:rFonts w:hint="eastAsia" w:ascii="Times New Roman" w:hAnsi="Times New Roman" w:eastAsia="方正仿宋_GBK"/>
          <w:sz w:val="32"/>
          <w:szCs w:val="20"/>
          <w:lang w:bidi="ar"/>
        </w:rPr>
        <w:t>号）、《国家发展改革委等部门关于加快推进充电基础设施建设更好支持新能源汽车下乡和乡村振兴的实施意见》（发改综合〔</w:t>
      </w:r>
      <w:r>
        <w:rPr>
          <w:rFonts w:ascii="Times New Roman" w:hAnsi="Times New Roman" w:eastAsia="方正仿宋_GBK"/>
          <w:sz w:val="32"/>
          <w:szCs w:val="20"/>
          <w:lang w:bidi="ar"/>
        </w:rPr>
        <w:t>2023</w:t>
      </w:r>
      <w:r>
        <w:rPr>
          <w:rFonts w:hint="eastAsia" w:ascii="Times New Roman" w:hAnsi="Times New Roman" w:eastAsia="方正仿宋_GBK"/>
          <w:sz w:val="32"/>
          <w:szCs w:val="20"/>
          <w:lang w:bidi="ar"/>
        </w:rPr>
        <w:t>〕</w:t>
      </w:r>
      <w:r>
        <w:rPr>
          <w:rFonts w:ascii="Times New Roman" w:hAnsi="Times New Roman" w:eastAsia="方正仿宋_GBK"/>
          <w:sz w:val="32"/>
          <w:szCs w:val="20"/>
          <w:lang w:bidi="ar"/>
        </w:rPr>
        <w:t>545</w:t>
      </w:r>
      <w:r>
        <w:rPr>
          <w:rFonts w:hint="eastAsia" w:ascii="Times New Roman" w:hAnsi="Times New Roman" w:eastAsia="方正仿宋_GBK"/>
          <w:sz w:val="32"/>
          <w:szCs w:val="20"/>
          <w:lang w:bidi="ar"/>
        </w:rPr>
        <w:t>号）、《重庆市推进智能网联新能源汽车基础设施建设及服务行动计划（</w:t>
      </w:r>
      <w:r>
        <w:rPr>
          <w:rFonts w:ascii="Times New Roman" w:hAnsi="Times New Roman" w:eastAsia="方正仿宋_GBK"/>
          <w:sz w:val="32"/>
          <w:szCs w:val="20"/>
          <w:lang w:bidi="ar"/>
        </w:rPr>
        <w:t>2022</w:t>
      </w:r>
      <w:r>
        <w:rPr>
          <w:rFonts w:hint="eastAsia" w:ascii="Times New Roman" w:hAnsi="Times New Roman" w:eastAsia="方正仿宋_GBK"/>
          <w:sz w:val="32"/>
          <w:szCs w:val="20"/>
          <w:lang w:bidi="ar"/>
        </w:rPr>
        <w:t>—</w:t>
      </w:r>
      <w:r>
        <w:rPr>
          <w:rFonts w:ascii="Times New Roman" w:hAnsi="Times New Roman" w:eastAsia="方正仿宋_GBK"/>
          <w:sz w:val="32"/>
          <w:szCs w:val="20"/>
          <w:lang w:bidi="ar"/>
        </w:rPr>
        <w:t>2025</w:t>
      </w:r>
      <w:r>
        <w:rPr>
          <w:rFonts w:hint="eastAsia" w:ascii="Times New Roman" w:hAnsi="Times New Roman" w:eastAsia="方正仿宋_GBK"/>
          <w:sz w:val="32"/>
          <w:szCs w:val="20"/>
          <w:lang w:bidi="ar"/>
        </w:rPr>
        <w:t>年）》（渝府办〔</w:t>
      </w:r>
      <w:r>
        <w:rPr>
          <w:rFonts w:ascii="Times New Roman" w:hAnsi="Times New Roman" w:eastAsia="方正仿宋_GBK"/>
          <w:sz w:val="32"/>
          <w:szCs w:val="20"/>
          <w:lang w:bidi="ar"/>
        </w:rPr>
        <w:t>2022</w:t>
      </w:r>
      <w:r>
        <w:rPr>
          <w:rFonts w:hint="eastAsia" w:ascii="Times New Roman" w:hAnsi="Times New Roman" w:eastAsia="方正仿宋_GBK"/>
          <w:sz w:val="32"/>
          <w:szCs w:val="20"/>
          <w:lang w:bidi="ar"/>
        </w:rPr>
        <w:t>〕</w:t>
      </w:r>
      <w:r>
        <w:rPr>
          <w:rFonts w:ascii="Times New Roman" w:hAnsi="Times New Roman" w:eastAsia="方正仿宋_GBK"/>
          <w:sz w:val="32"/>
          <w:szCs w:val="20"/>
          <w:lang w:bidi="ar"/>
        </w:rPr>
        <w:t>24</w:t>
      </w:r>
      <w:r>
        <w:rPr>
          <w:rFonts w:hint="eastAsia" w:ascii="Times New Roman" w:hAnsi="Times New Roman" w:eastAsia="方正仿宋_GBK"/>
          <w:sz w:val="32"/>
          <w:szCs w:val="20"/>
          <w:lang w:bidi="ar"/>
        </w:rPr>
        <w:t>号）文件精神，现将重庆市</w:t>
      </w:r>
      <w:r>
        <w:rPr>
          <w:rFonts w:ascii="Times New Roman" w:hAnsi="Times New Roman" w:eastAsia="方正仿宋_GBK"/>
          <w:sz w:val="32"/>
          <w:szCs w:val="20"/>
          <w:lang w:bidi="ar"/>
        </w:rPr>
        <w:t>2024</w:t>
      </w:r>
      <w:r>
        <w:rPr>
          <w:rFonts w:hint="eastAsia" w:ascii="Times New Roman" w:hAnsi="Times New Roman" w:eastAsia="方正仿宋_GBK"/>
          <w:sz w:val="32"/>
          <w:szCs w:val="20"/>
          <w:lang w:bidi="ar"/>
        </w:rPr>
        <w:t>—</w:t>
      </w:r>
      <w:r>
        <w:rPr>
          <w:rFonts w:ascii="Times New Roman" w:hAnsi="Times New Roman" w:eastAsia="方正仿宋_GBK"/>
          <w:sz w:val="32"/>
          <w:szCs w:val="20"/>
          <w:lang w:bidi="ar"/>
        </w:rPr>
        <w:t>2025</w:t>
      </w:r>
      <w:r>
        <w:rPr>
          <w:rFonts w:hint="eastAsia" w:ascii="Times New Roman" w:hAnsi="Times New Roman" w:eastAsia="方正仿宋_GBK"/>
          <w:sz w:val="32"/>
          <w:szCs w:val="20"/>
          <w:lang w:bidi="ar"/>
        </w:rPr>
        <w:t>年度充电基础设施建设奖励政策有关事项通知如下：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Times New Roman" w:hAnsi="Times New Roman" w:eastAsia="方正黑体_GBK"/>
          <w:sz w:val="32"/>
          <w:szCs w:val="32"/>
        </w:rPr>
      </w:pPr>
      <w:r>
        <w:rPr>
          <w:rFonts w:hint="eastAsia" w:ascii="Times New Roman" w:hAnsi="Times New Roman" w:eastAsia="方正黑体_GBK"/>
          <w:sz w:val="32"/>
          <w:szCs w:val="32"/>
          <w:lang w:bidi="ar"/>
        </w:rPr>
        <w:t>一、奖励支持方向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Times New Roman" w:hAnsi="Times New Roman" w:eastAsia="方正楷体_GBK"/>
          <w:sz w:val="32"/>
          <w:szCs w:val="20"/>
        </w:rPr>
      </w:pPr>
      <w:r>
        <w:rPr>
          <w:rFonts w:hint="eastAsia" w:ascii="Times New Roman" w:hAnsi="Times New Roman" w:eastAsia="方正楷体_GBK"/>
          <w:sz w:val="32"/>
          <w:szCs w:val="20"/>
          <w:lang w:bidi="ar"/>
        </w:rPr>
        <w:t>（一）支持农村地区（乡、镇）公共快充站建设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ascii="Times New Roman" w:hAnsi="Times New Roman" w:eastAsia="方正仿宋_GBK"/>
          <w:sz w:val="32"/>
          <w:szCs w:val="20"/>
        </w:rPr>
      </w:pPr>
      <w:r>
        <w:rPr>
          <w:rFonts w:hint="eastAsia" w:ascii="Times New Roman" w:hAnsi="Times New Roman" w:eastAsia="方正仿宋_GBK"/>
          <w:sz w:val="32"/>
          <w:szCs w:val="20"/>
          <w:lang w:bidi="ar"/>
        </w:rPr>
        <w:t>奖励项目：支持中心城区以外农村地区（乡、镇）建成并投运面向全社会开放，且平均单枪功率（充电模块功率</w:t>
      </w:r>
      <w:r>
        <w:rPr>
          <w:rFonts w:ascii="Times New Roman" w:hAnsi="Times New Roman" w:eastAsia="方正仿宋_GBK"/>
          <w:sz w:val="32"/>
          <w:szCs w:val="20"/>
          <w:lang w:bidi="ar"/>
        </w:rPr>
        <w:t>/</w:t>
      </w:r>
      <w:r>
        <w:rPr>
          <w:rFonts w:hint="eastAsia" w:ascii="Times New Roman" w:hAnsi="Times New Roman" w:eastAsia="方正仿宋_GBK"/>
          <w:sz w:val="32"/>
          <w:szCs w:val="20"/>
          <w:lang w:bidi="ar"/>
        </w:rPr>
        <w:t>充电枪数量，下同）不低于</w:t>
      </w:r>
      <w:r>
        <w:rPr>
          <w:rFonts w:ascii="Times New Roman" w:hAnsi="Times New Roman" w:eastAsia="方正仿宋_GBK"/>
          <w:sz w:val="32"/>
          <w:szCs w:val="20"/>
          <w:lang w:bidi="ar"/>
        </w:rPr>
        <w:t>60</w:t>
      </w:r>
      <w:r>
        <w:rPr>
          <w:rFonts w:hint="eastAsia" w:ascii="Times New Roman" w:hAnsi="Times New Roman" w:eastAsia="方正仿宋_GBK"/>
          <w:sz w:val="32"/>
          <w:szCs w:val="20"/>
          <w:lang w:bidi="ar"/>
        </w:rPr>
        <w:t>千瓦的公共直流充电桩。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ascii="Times New Roman" w:hAnsi="Times New Roman" w:eastAsia="方正仿宋_GBK"/>
          <w:sz w:val="32"/>
          <w:szCs w:val="20"/>
        </w:rPr>
      </w:pPr>
      <w:r>
        <w:rPr>
          <w:rFonts w:hint="eastAsia" w:ascii="Times New Roman" w:hAnsi="Times New Roman" w:eastAsia="方正仿宋_GBK"/>
          <w:sz w:val="32"/>
          <w:szCs w:val="20"/>
          <w:lang w:bidi="ar"/>
        </w:rPr>
        <w:t>奖励标准：对达到建设目标（建设目标详见附件）及公共充电站实现乡镇全覆盖的区县，给予</w:t>
      </w:r>
      <w:r>
        <w:rPr>
          <w:rFonts w:ascii="Times New Roman" w:hAnsi="Times New Roman" w:eastAsia="方正仿宋_GBK"/>
          <w:sz w:val="32"/>
          <w:szCs w:val="20"/>
          <w:lang w:bidi="ar"/>
        </w:rPr>
        <w:t>6000</w:t>
      </w:r>
      <w:r>
        <w:rPr>
          <w:rFonts w:hint="eastAsia" w:ascii="Times New Roman" w:hAnsi="Times New Roman" w:eastAsia="方正仿宋_GBK"/>
          <w:sz w:val="32"/>
          <w:szCs w:val="20"/>
          <w:lang w:bidi="ar"/>
        </w:rPr>
        <w:t>元</w:t>
      </w:r>
      <w:r>
        <w:rPr>
          <w:rFonts w:ascii="Times New Roman" w:hAnsi="Times New Roman" w:eastAsia="方正仿宋_GBK"/>
          <w:sz w:val="32"/>
          <w:szCs w:val="20"/>
          <w:lang w:bidi="ar"/>
        </w:rPr>
        <w:t>/</w:t>
      </w:r>
      <w:r>
        <w:rPr>
          <w:rFonts w:hint="eastAsia" w:ascii="Times New Roman" w:hAnsi="Times New Roman" w:eastAsia="方正仿宋_GBK"/>
          <w:sz w:val="32"/>
          <w:szCs w:val="20"/>
          <w:lang w:bidi="ar"/>
        </w:rPr>
        <w:t>枪的一次性建设奖励。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ascii="Times New Roman" w:hAnsi="Times New Roman" w:eastAsia="方正楷体_GBK"/>
          <w:sz w:val="32"/>
          <w:szCs w:val="20"/>
        </w:rPr>
      </w:pPr>
      <w:r>
        <w:rPr>
          <w:rFonts w:hint="eastAsia" w:ascii="Times New Roman" w:hAnsi="Times New Roman" w:eastAsia="方正楷体_GBK"/>
          <w:sz w:val="32"/>
          <w:szCs w:val="20"/>
          <w:lang w:bidi="ar"/>
        </w:rPr>
        <w:t>（二）支持市级充换电服务平台建设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Times New Roman" w:hAnsi="Times New Roman" w:eastAsia="方正仿宋_GBK"/>
          <w:sz w:val="32"/>
          <w:szCs w:val="20"/>
        </w:rPr>
      </w:pPr>
      <w:r>
        <w:rPr>
          <w:rFonts w:hint="eastAsia" w:ascii="Times New Roman" w:hAnsi="Times New Roman" w:eastAsia="方正仿宋_GBK"/>
          <w:sz w:val="32"/>
          <w:szCs w:val="20"/>
          <w:lang w:bidi="ar"/>
        </w:rPr>
        <w:t>奖励项目：支持市级车桩监测平台、市级充换电APP运营平台建设运营，不断完善数据收集、数据分析、安全监管、信息公开、一键找桩等功能。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Times New Roman" w:hAnsi="Times New Roman" w:eastAsia="方正仿宋_GBK"/>
          <w:sz w:val="32"/>
          <w:szCs w:val="20"/>
        </w:rPr>
      </w:pPr>
      <w:r>
        <w:rPr>
          <w:rFonts w:hint="eastAsia" w:ascii="Times New Roman" w:hAnsi="Times New Roman" w:eastAsia="方正仿宋_GBK"/>
          <w:sz w:val="32"/>
          <w:szCs w:val="20"/>
          <w:lang w:bidi="ar"/>
        </w:rPr>
        <w:t>奖励标准：对市级车桩监测平台、市级充换电APP运营平台建设运维主体，按照不超过年度投入金额的</w:t>
      </w:r>
      <w:r>
        <w:rPr>
          <w:rFonts w:ascii="Times New Roman" w:hAnsi="Times New Roman" w:eastAsia="方正仿宋_GBK"/>
          <w:sz w:val="32"/>
          <w:szCs w:val="20"/>
          <w:lang w:bidi="ar"/>
        </w:rPr>
        <w:t>50%</w:t>
      </w:r>
      <w:r>
        <w:rPr>
          <w:rFonts w:hint="eastAsia" w:ascii="Times New Roman" w:hAnsi="Times New Roman" w:eastAsia="方正仿宋_GBK"/>
          <w:sz w:val="32"/>
          <w:szCs w:val="20"/>
          <w:lang w:bidi="ar"/>
        </w:rPr>
        <w:t>，分别给予不高于</w:t>
      </w:r>
      <w:r>
        <w:rPr>
          <w:rFonts w:ascii="Times New Roman" w:hAnsi="Times New Roman" w:eastAsia="方正仿宋_GBK"/>
          <w:sz w:val="32"/>
          <w:szCs w:val="20"/>
          <w:lang w:bidi="ar"/>
        </w:rPr>
        <w:t>300</w:t>
      </w:r>
      <w:r>
        <w:rPr>
          <w:rFonts w:hint="eastAsia" w:ascii="Times New Roman" w:hAnsi="Times New Roman" w:eastAsia="方正仿宋_GBK"/>
          <w:sz w:val="32"/>
          <w:szCs w:val="20"/>
          <w:lang w:bidi="ar"/>
        </w:rPr>
        <w:t>万元、</w:t>
      </w:r>
      <w:r>
        <w:rPr>
          <w:rFonts w:ascii="Times New Roman" w:hAnsi="Times New Roman" w:eastAsia="方正仿宋_GBK"/>
          <w:sz w:val="32"/>
          <w:szCs w:val="20"/>
          <w:lang w:bidi="ar"/>
        </w:rPr>
        <w:t>50</w:t>
      </w:r>
      <w:r>
        <w:rPr>
          <w:rFonts w:hint="eastAsia" w:ascii="Times New Roman" w:hAnsi="Times New Roman" w:eastAsia="方正仿宋_GBK"/>
          <w:sz w:val="32"/>
          <w:szCs w:val="20"/>
          <w:lang w:bidi="ar"/>
        </w:rPr>
        <w:t>万元的年度奖励。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Times New Roman" w:hAnsi="Times New Roman" w:eastAsia="方正楷体_GBK"/>
          <w:sz w:val="32"/>
          <w:szCs w:val="20"/>
        </w:rPr>
      </w:pPr>
      <w:r>
        <w:rPr>
          <w:rFonts w:hint="eastAsia" w:ascii="Times New Roman" w:hAnsi="Times New Roman" w:eastAsia="方正楷体_GBK"/>
          <w:sz w:val="32"/>
          <w:szCs w:val="20"/>
          <w:lang w:bidi="ar"/>
        </w:rPr>
        <w:t>（三）支持营造推广氛围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ascii="Times New Roman" w:hAnsi="Times New Roman" w:eastAsia="方正仿宋_GBK"/>
          <w:sz w:val="32"/>
          <w:szCs w:val="20"/>
        </w:rPr>
      </w:pPr>
      <w:r>
        <w:rPr>
          <w:rFonts w:hint="eastAsia" w:ascii="Times New Roman" w:hAnsi="Times New Roman" w:eastAsia="方正仿宋_GBK"/>
          <w:sz w:val="32"/>
          <w:szCs w:val="20"/>
          <w:lang w:bidi="ar"/>
        </w:rPr>
        <w:t>奖励项目：支持举办新能源汽车国际车展、新能源汽车下乡、充换电基础设施、新能源汽车零部件等新能源汽车领域具有一定影响力的峰会、论坛、展会、大赛、培训、沙龙等活动。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ascii="Times New Roman" w:hAnsi="Times New Roman" w:eastAsia="方正仿宋_GBK"/>
          <w:sz w:val="32"/>
          <w:szCs w:val="20"/>
        </w:rPr>
      </w:pPr>
      <w:r>
        <w:rPr>
          <w:rFonts w:hint="eastAsia" w:ascii="Times New Roman" w:hAnsi="Times New Roman" w:eastAsia="方正仿宋_GBK"/>
          <w:sz w:val="32"/>
          <w:szCs w:val="20"/>
          <w:lang w:bidi="ar"/>
        </w:rPr>
        <w:t>奖励标准：对具有相关资质的活动举办方，按照不超过活动经费（场地租赁费、搭建费、推广费、咨询费、现场执行费）的</w:t>
      </w:r>
      <w:r>
        <w:rPr>
          <w:rFonts w:ascii="Times New Roman" w:hAnsi="Times New Roman" w:eastAsia="方正仿宋_GBK"/>
          <w:sz w:val="32"/>
          <w:szCs w:val="20"/>
          <w:lang w:bidi="ar"/>
        </w:rPr>
        <w:t>30%</w:t>
      </w:r>
      <w:r>
        <w:rPr>
          <w:rFonts w:hint="eastAsia" w:ascii="Times New Roman" w:hAnsi="Times New Roman" w:eastAsia="方正仿宋_GBK"/>
          <w:sz w:val="32"/>
          <w:szCs w:val="20"/>
          <w:lang w:bidi="ar"/>
        </w:rPr>
        <w:t>给予奖励，单场活动年度奖励资金不高于</w:t>
      </w:r>
      <w:r>
        <w:rPr>
          <w:rFonts w:ascii="Times New Roman" w:hAnsi="Times New Roman" w:eastAsia="方正仿宋_GBK"/>
          <w:sz w:val="32"/>
          <w:szCs w:val="20"/>
          <w:lang w:bidi="ar"/>
        </w:rPr>
        <w:t>100</w:t>
      </w:r>
      <w:r>
        <w:rPr>
          <w:rFonts w:hint="eastAsia" w:ascii="Times New Roman" w:hAnsi="Times New Roman" w:eastAsia="方正仿宋_GBK"/>
          <w:sz w:val="32"/>
          <w:szCs w:val="20"/>
          <w:lang w:bidi="ar"/>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Times New Roman" w:hAnsi="Times New Roman" w:eastAsia="方正黑体_GBK"/>
          <w:sz w:val="32"/>
          <w:szCs w:val="32"/>
        </w:rPr>
      </w:pPr>
      <w:r>
        <w:rPr>
          <w:rFonts w:hint="eastAsia" w:ascii="Times New Roman" w:hAnsi="Times New Roman" w:eastAsia="方正黑体_GBK"/>
          <w:sz w:val="32"/>
          <w:szCs w:val="32"/>
          <w:lang w:bidi="ar"/>
        </w:rPr>
        <w:t>二、资金审核及拨付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Times New Roman" w:hAnsi="Times New Roman" w:eastAsia="方正黑体_GBK"/>
          <w:sz w:val="32"/>
          <w:szCs w:val="32"/>
        </w:rPr>
      </w:pPr>
      <w:r>
        <w:rPr>
          <w:rFonts w:hint="eastAsia" w:ascii="Times New Roman" w:hAnsi="Times New Roman" w:eastAsia="方正楷体_GBK"/>
          <w:sz w:val="32"/>
          <w:szCs w:val="32"/>
          <w:lang w:bidi="ar"/>
        </w:rPr>
        <w:t>（一）农村地区（乡、镇）公共快充站建设奖励。</w:t>
      </w:r>
      <w:r>
        <w:rPr>
          <w:rFonts w:hint="eastAsia" w:ascii="Times New Roman" w:hAnsi="Times New Roman" w:eastAsia="方正仿宋_GBK"/>
          <w:sz w:val="32"/>
          <w:szCs w:val="20"/>
          <w:lang w:bidi="ar"/>
        </w:rPr>
        <w:t>按照“先预拨、后清算”的方式，支持中心城区以外的区县启动农村地区（乡、镇）公共快充站建设，后续根据各区县在农村地区的建设情况进行清算。各区县充电基础设施主管部门应对申报材料进行初审（可委托第三方机构），再将相关申报材料报送至市经济信息委，由市经济信息委组织第三方机构对报送的资料进行审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Times New Roman" w:hAnsi="Times New Roman" w:eastAsia="方正仿宋_GBK"/>
          <w:sz w:val="32"/>
          <w:szCs w:val="32"/>
        </w:rPr>
      </w:pPr>
      <w:r>
        <w:rPr>
          <w:rFonts w:hint="eastAsia" w:ascii="Times New Roman" w:hAnsi="Times New Roman" w:eastAsia="方正楷体_GBK"/>
          <w:sz w:val="32"/>
          <w:szCs w:val="32"/>
          <w:lang w:bidi="ar"/>
        </w:rPr>
        <w:t>（二）</w:t>
      </w:r>
      <w:r>
        <w:rPr>
          <w:rFonts w:hint="eastAsia" w:ascii="Times New Roman" w:hAnsi="Times New Roman" w:eastAsia="方正楷体_GBK"/>
          <w:sz w:val="32"/>
          <w:szCs w:val="20"/>
          <w:lang w:bidi="ar"/>
        </w:rPr>
        <w:t>市级充换电服务平台建设奖励、营造推广氛围奖励。</w:t>
      </w:r>
      <w:r>
        <w:rPr>
          <w:rFonts w:hint="eastAsia" w:ascii="Times New Roman" w:hAnsi="Times New Roman" w:eastAsia="方正仿宋_GBK"/>
          <w:sz w:val="32"/>
          <w:szCs w:val="32"/>
          <w:lang w:bidi="ar"/>
        </w:rPr>
        <w:t>申报单位自行申报，由市经济信息委组织第三方机构对报送的资料进行审核，并根据审核情况拨付奖励资金。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Times New Roman" w:hAnsi="Times New Roman" w:eastAsia="方正仿宋_GBK"/>
          <w:sz w:val="32"/>
          <w:szCs w:val="20"/>
        </w:rPr>
      </w:pPr>
      <w:r>
        <w:rPr>
          <w:rFonts w:hint="eastAsia" w:ascii="Times New Roman" w:hAnsi="Times New Roman" w:eastAsia="方正黑体_GBK"/>
          <w:sz w:val="32"/>
          <w:szCs w:val="32"/>
          <w:lang w:bidi="ar"/>
        </w:rPr>
        <w:t>三、申报要求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Times New Roman" w:hAnsi="Times New Roman" w:eastAsia="方正仿宋_GBK"/>
          <w:sz w:val="32"/>
          <w:szCs w:val="20"/>
        </w:rPr>
      </w:pPr>
      <w:r>
        <w:rPr>
          <w:rFonts w:hint="eastAsia" w:ascii="Times New Roman" w:hAnsi="Times New Roman" w:eastAsia="方正仿宋_GBK"/>
          <w:sz w:val="32"/>
          <w:szCs w:val="20"/>
          <w:lang w:bidi="ar"/>
        </w:rPr>
        <w:t>（一）申报通知由市经济信息委另行制定发布。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Times New Roman" w:hAnsi="Times New Roman" w:eastAsia="方正仿宋_GBK"/>
          <w:sz w:val="32"/>
          <w:szCs w:val="20"/>
        </w:rPr>
      </w:pPr>
      <w:r>
        <w:rPr>
          <w:rFonts w:hint="eastAsia" w:ascii="Times New Roman" w:hAnsi="Times New Roman" w:eastAsia="方正仿宋_GBK"/>
          <w:sz w:val="32"/>
          <w:szCs w:val="20"/>
          <w:lang w:bidi="ar"/>
        </w:rPr>
        <w:t>（二）本通知所支持的充电基础设施应符合以下要求：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Times New Roman" w:hAnsi="Times New Roman" w:eastAsia="方正仿宋_GBK"/>
          <w:sz w:val="32"/>
          <w:szCs w:val="20"/>
        </w:rPr>
      </w:pPr>
      <w:r>
        <w:rPr>
          <w:rFonts w:ascii="Times New Roman" w:hAnsi="Times New Roman" w:eastAsia="方正仿宋_GBK"/>
          <w:sz w:val="32"/>
          <w:szCs w:val="20"/>
          <w:lang w:bidi="ar"/>
        </w:rPr>
        <w:t>1.</w:t>
      </w:r>
      <w:r>
        <w:rPr>
          <w:rFonts w:hint="eastAsia" w:ascii="Times New Roman" w:hAnsi="Times New Roman" w:eastAsia="方正仿宋_GBK"/>
          <w:sz w:val="32"/>
          <w:szCs w:val="20"/>
          <w:lang w:bidi="ar"/>
        </w:rPr>
        <w:t>实现数据共享和互联互通。申报奖励资金的充电基础设施，应接入市级车桩监测平台并保证数据传输正常、真实有效；应接入“渝易充”</w:t>
      </w:r>
      <w:r>
        <w:rPr>
          <w:rFonts w:ascii="Times New Roman" w:hAnsi="Times New Roman" w:eastAsia="方正仿宋_GBK"/>
          <w:sz w:val="32"/>
          <w:szCs w:val="20"/>
          <w:lang w:bidi="ar"/>
        </w:rPr>
        <w:t>APP</w:t>
      </w:r>
      <w:r>
        <w:rPr>
          <w:rFonts w:hint="eastAsia" w:ascii="Times New Roman" w:hAnsi="Times New Roman" w:eastAsia="方正仿宋_GBK"/>
          <w:sz w:val="32"/>
          <w:szCs w:val="20"/>
          <w:lang w:bidi="ar"/>
        </w:rPr>
        <w:t>，实现站点信息共用共享、互联互通。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Times New Roman" w:hAnsi="Times New Roman" w:eastAsia="方正仿宋_GBK"/>
          <w:sz w:val="32"/>
          <w:szCs w:val="20"/>
        </w:rPr>
      </w:pPr>
      <w:r>
        <w:rPr>
          <w:rFonts w:ascii="Times New Roman" w:hAnsi="Times New Roman" w:eastAsia="方正仿宋_GBK"/>
          <w:sz w:val="32"/>
          <w:szCs w:val="20"/>
          <w:lang w:bidi="ar"/>
        </w:rPr>
        <w:t>2.</w:t>
      </w:r>
      <w:r>
        <w:rPr>
          <w:rFonts w:hint="eastAsia" w:ascii="Times New Roman" w:hAnsi="Times New Roman" w:eastAsia="方正仿宋_GBK"/>
          <w:sz w:val="32"/>
          <w:szCs w:val="20"/>
          <w:lang w:bidi="ar"/>
        </w:rPr>
        <w:t>容量及数量要求。公共快充站的容量不低于</w:t>
      </w:r>
      <w:r>
        <w:rPr>
          <w:rFonts w:ascii="Times New Roman" w:hAnsi="Times New Roman" w:eastAsia="方正仿宋_GBK"/>
          <w:sz w:val="32"/>
          <w:szCs w:val="20"/>
          <w:lang w:bidi="ar"/>
        </w:rPr>
        <w:t>240</w:t>
      </w:r>
      <w:r>
        <w:rPr>
          <w:rFonts w:hint="eastAsia" w:ascii="Times New Roman" w:hAnsi="Times New Roman" w:eastAsia="方正仿宋_GBK"/>
          <w:sz w:val="32"/>
          <w:szCs w:val="20"/>
          <w:lang w:bidi="ar"/>
        </w:rPr>
        <w:t>千瓦</w:t>
      </w:r>
      <w:r>
        <w:rPr>
          <w:rFonts w:ascii="Times New Roman" w:hAnsi="Times New Roman" w:eastAsia="方正仿宋_GBK"/>
          <w:sz w:val="32"/>
          <w:szCs w:val="20"/>
          <w:lang w:bidi="ar"/>
        </w:rPr>
        <w:t>/</w:t>
      </w:r>
      <w:r>
        <w:rPr>
          <w:rFonts w:hint="eastAsia" w:ascii="Times New Roman" w:hAnsi="Times New Roman" w:eastAsia="方正仿宋_GBK"/>
          <w:sz w:val="32"/>
          <w:szCs w:val="20"/>
          <w:lang w:bidi="ar"/>
        </w:rPr>
        <w:t>站，应建设不低于</w:t>
      </w:r>
      <w:r>
        <w:rPr>
          <w:rFonts w:ascii="Times New Roman" w:hAnsi="Times New Roman" w:eastAsia="方正仿宋_GBK"/>
          <w:sz w:val="32"/>
          <w:szCs w:val="20"/>
          <w:lang w:bidi="ar"/>
        </w:rPr>
        <w:t>4</w:t>
      </w:r>
      <w:r>
        <w:rPr>
          <w:rFonts w:hint="eastAsia" w:ascii="Times New Roman" w:hAnsi="Times New Roman" w:eastAsia="方正仿宋_GBK"/>
          <w:sz w:val="32"/>
          <w:szCs w:val="20"/>
          <w:lang w:bidi="ar"/>
        </w:rPr>
        <w:t>把快充枪。</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Times New Roman" w:hAnsi="Times New Roman" w:eastAsia="方正仿宋_GBK"/>
          <w:sz w:val="32"/>
          <w:szCs w:val="20"/>
        </w:rPr>
      </w:pPr>
      <w:r>
        <w:rPr>
          <w:rFonts w:hint="eastAsia" w:ascii="Times New Roman" w:hAnsi="Times New Roman" w:eastAsia="方正仿宋_GBK"/>
          <w:sz w:val="32"/>
          <w:szCs w:val="20"/>
          <w:lang w:bidi="ar"/>
        </w:rPr>
        <w:t>（三）申报充电基础设施建设奖励的企业应符合以下要求：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Times New Roman" w:hAnsi="Times New Roman" w:eastAsia="方正仿宋_GBK"/>
          <w:sz w:val="32"/>
          <w:szCs w:val="20"/>
          <w:lang w:bidi="ar"/>
        </w:rPr>
      </w:pPr>
      <w:r>
        <w:rPr>
          <w:rFonts w:ascii="Times New Roman" w:hAnsi="Times New Roman" w:eastAsia="方正仿宋_GBK"/>
          <w:sz w:val="32"/>
          <w:szCs w:val="20"/>
          <w:lang w:bidi="ar"/>
        </w:rPr>
        <w:t>1.</w:t>
      </w:r>
      <w:r>
        <w:rPr>
          <w:rFonts w:hint="eastAsia" w:ascii="Times New Roman" w:hAnsi="Times New Roman" w:eastAsia="方正仿宋_GBK"/>
          <w:sz w:val="32"/>
          <w:szCs w:val="20"/>
          <w:lang w:bidi="ar"/>
        </w:rPr>
        <w:t>在线总功率要求。在农村地区（乡、镇）建设完成的充电基础设施累计在线总功率（充电模块总功率）需不低于</w:t>
      </w:r>
      <w:r>
        <w:rPr>
          <w:rFonts w:ascii="Times New Roman" w:hAnsi="Times New Roman" w:eastAsia="方正仿宋_GBK"/>
          <w:sz w:val="32"/>
          <w:szCs w:val="20"/>
          <w:lang w:bidi="ar"/>
        </w:rPr>
        <w:t>3000</w:t>
      </w:r>
      <w:r>
        <w:rPr>
          <w:rFonts w:hint="eastAsia" w:ascii="Times New Roman" w:hAnsi="Times New Roman" w:eastAsia="方正仿宋_GBK"/>
          <w:sz w:val="32"/>
          <w:szCs w:val="20"/>
          <w:lang w:bidi="ar"/>
        </w:rPr>
        <w:t>千瓦。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Times New Roman" w:hAnsi="Times New Roman" w:eastAsia="方正仿宋_GBK"/>
          <w:sz w:val="32"/>
          <w:szCs w:val="20"/>
        </w:rPr>
      </w:pPr>
      <w:r>
        <w:rPr>
          <w:rFonts w:ascii="Times New Roman" w:hAnsi="Times New Roman" w:eastAsia="方正仿宋_GBK"/>
          <w:sz w:val="32"/>
          <w:szCs w:val="20"/>
          <w:lang w:bidi="ar"/>
        </w:rPr>
        <w:t>2.</w:t>
      </w:r>
      <w:r>
        <w:rPr>
          <w:rFonts w:hint="eastAsia" w:ascii="Times New Roman" w:hAnsi="Times New Roman" w:eastAsia="方正仿宋_GBK"/>
          <w:sz w:val="32"/>
          <w:szCs w:val="20"/>
          <w:lang w:bidi="ar"/>
        </w:rPr>
        <w:t>切实履行安全及运营责任，符合《重庆市充换电基础设施安全管理办法》（渝经信规范〔</w:t>
      </w:r>
      <w:r>
        <w:rPr>
          <w:rFonts w:ascii="Times New Roman" w:hAnsi="Times New Roman" w:eastAsia="方正仿宋_GBK"/>
          <w:sz w:val="32"/>
          <w:szCs w:val="20"/>
          <w:lang w:bidi="ar"/>
        </w:rPr>
        <w:t>2024</w:t>
      </w:r>
      <w:r>
        <w:rPr>
          <w:rFonts w:hint="eastAsia" w:ascii="Times New Roman" w:hAnsi="Times New Roman" w:eastAsia="方正仿宋_GBK"/>
          <w:sz w:val="32"/>
          <w:szCs w:val="20"/>
          <w:lang w:bidi="ar"/>
        </w:rPr>
        <w:t>〕</w:t>
      </w:r>
      <w:r>
        <w:rPr>
          <w:rFonts w:ascii="Times New Roman" w:hAnsi="Times New Roman" w:eastAsia="方正仿宋_GBK"/>
          <w:sz w:val="32"/>
          <w:szCs w:val="20"/>
          <w:lang w:bidi="ar"/>
        </w:rPr>
        <w:t>14</w:t>
      </w:r>
      <w:r>
        <w:rPr>
          <w:rFonts w:hint="eastAsia" w:ascii="Times New Roman" w:hAnsi="Times New Roman" w:eastAsia="方正仿宋_GBK"/>
          <w:sz w:val="32"/>
          <w:szCs w:val="20"/>
          <w:lang w:bidi="ar"/>
        </w:rPr>
        <w:t>号）相关要求。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Times New Roman" w:hAnsi="Times New Roman" w:eastAsia="方正仿宋_GBK"/>
          <w:sz w:val="32"/>
          <w:szCs w:val="20"/>
        </w:rPr>
      </w:pPr>
      <w:r>
        <w:rPr>
          <w:rFonts w:ascii="Times New Roman" w:hAnsi="Times New Roman" w:eastAsia="方正仿宋_GBK"/>
          <w:sz w:val="32"/>
          <w:szCs w:val="20"/>
          <w:lang w:bidi="ar"/>
        </w:rPr>
        <w:t>3.</w:t>
      </w:r>
      <w:r>
        <w:rPr>
          <w:rFonts w:hint="eastAsia" w:ascii="Times New Roman" w:hAnsi="Times New Roman" w:eastAsia="方正仿宋_GBK"/>
          <w:sz w:val="32"/>
          <w:szCs w:val="20"/>
          <w:lang w:bidi="ar"/>
        </w:rPr>
        <w:t>遵循市场化公平竞争原则。无不合理竞争或扰乱市场秩序的经营活动。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Times New Roman" w:hAnsi="Times New Roman" w:eastAsia="方正仿宋_GBK"/>
          <w:sz w:val="32"/>
          <w:szCs w:val="20"/>
        </w:rPr>
      </w:pPr>
      <w:r>
        <w:rPr>
          <w:rFonts w:hint="eastAsia" w:ascii="Times New Roman" w:hAnsi="Times New Roman" w:eastAsia="方正仿宋_GBK"/>
          <w:sz w:val="32"/>
          <w:szCs w:val="20"/>
          <w:lang w:bidi="ar"/>
        </w:rPr>
        <w:t>（四）国家县域充换电设施补短板试点县建设的充电基础设施（含超充站）不纳入奖励政策范围。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Times New Roman" w:hAnsi="Times New Roman" w:eastAsia="方正仿宋_GBK"/>
          <w:sz w:val="32"/>
          <w:szCs w:val="20"/>
        </w:rPr>
      </w:pPr>
      <w:r>
        <w:rPr>
          <w:rFonts w:hint="eastAsia" w:ascii="Times New Roman" w:hAnsi="Times New Roman" w:eastAsia="方正仿宋_GBK"/>
          <w:sz w:val="32"/>
          <w:szCs w:val="20"/>
          <w:lang w:bidi="ar"/>
        </w:rPr>
        <w:t>（五）新建及改建的超充站按照《关于印发全市超充基础设施建设评价奖励办法（</w:t>
      </w:r>
      <w:r>
        <w:rPr>
          <w:rFonts w:ascii="Times New Roman" w:hAnsi="Times New Roman" w:eastAsia="方正仿宋_GBK"/>
          <w:sz w:val="32"/>
          <w:szCs w:val="20"/>
          <w:lang w:bidi="ar"/>
        </w:rPr>
        <w:t>2024</w:t>
      </w:r>
      <w:r>
        <w:rPr>
          <w:rFonts w:hint="eastAsia" w:ascii="Times New Roman" w:hAnsi="Times New Roman" w:eastAsia="方正仿宋_GBK"/>
          <w:sz w:val="32"/>
          <w:szCs w:val="20"/>
          <w:lang w:bidi="ar"/>
        </w:rPr>
        <w:t>年）的通知》（渝经信发〔</w:t>
      </w:r>
      <w:r>
        <w:rPr>
          <w:rFonts w:ascii="Times New Roman" w:hAnsi="Times New Roman" w:eastAsia="方正仿宋_GBK"/>
          <w:sz w:val="32"/>
          <w:szCs w:val="20"/>
          <w:lang w:bidi="ar"/>
        </w:rPr>
        <w:t>2024</w:t>
      </w:r>
      <w:r>
        <w:rPr>
          <w:rFonts w:hint="eastAsia" w:ascii="Times New Roman" w:hAnsi="Times New Roman" w:eastAsia="方正仿宋_GBK"/>
          <w:sz w:val="32"/>
          <w:szCs w:val="20"/>
          <w:lang w:bidi="ar"/>
        </w:rPr>
        <w:t>〕</w:t>
      </w:r>
      <w:r>
        <w:rPr>
          <w:rFonts w:ascii="Times New Roman" w:hAnsi="Times New Roman" w:eastAsia="方正仿宋_GBK"/>
          <w:sz w:val="32"/>
          <w:szCs w:val="20"/>
          <w:lang w:bidi="ar"/>
        </w:rPr>
        <w:t>53</w:t>
      </w:r>
      <w:r>
        <w:rPr>
          <w:rFonts w:hint="eastAsia" w:ascii="Times New Roman" w:hAnsi="Times New Roman" w:eastAsia="方正仿宋_GBK"/>
          <w:sz w:val="32"/>
          <w:szCs w:val="20"/>
          <w:lang w:bidi="ar"/>
        </w:rPr>
        <w:t>号）相关标准及要求执行。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Times New Roman" w:hAnsi="Times New Roman" w:eastAsia="方正仿宋_GBK"/>
          <w:sz w:val="32"/>
          <w:szCs w:val="20"/>
        </w:rPr>
      </w:pPr>
      <w:r>
        <w:rPr>
          <w:rFonts w:hint="eastAsia" w:ascii="Times New Roman" w:hAnsi="Times New Roman" w:eastAsia="方正仿宋_GBK"/>
          <w:sz w:val="32"/>
          <w:szCs w:val="20"/>
          <w:lang w:bidi="ar"/>
        </w:rPr>
        <w:t>（六）</w:t>
      </w:r>
      <w:r>
        <w:rPr>
          <w:rFonts w:ascii="Times New Roman" w:hAnsi="Times New Roman" w:eastAsia="方正仿宋_GBK"/>
          <w:sz w:val="32"/>
          <w:szCs w:val="20"/>
          <w:lang w:bidi="ar"/>
        </w:rPr>
        <w:t>2023</w:t>
      </w:r>
      <w:r>
        <w:rPr>
          <w:rFonts w:hint="eastAsia" w:ascii="Times New Roman" w:hAnsi="Times New Roman" w:eastAsia="方正仿宋_GBK"/>
          <w:sz w:val="32"/>
          <w:szCs w:val="20"/>
          <w:lang w:bidi="ar"/>
        </w:rPr>
        <w:t>年度及以前年度已建成投运且未获得建设补贴的充换电基础设施，按照《关于印发重庆市</w:t>
      </w:r>
      <w:r>
        <w:rPr>
          <w:rFonts w:ascii="Times New Roman" w:hAnsi="Times New Roman" w:eastAsia="方正仿宋_GBK"/>
          <w:sz w:val="32"/>
          <w:szCs w:val="20"/>
          <w:lang w:bidi="ar"/>
        </w:rPr>
        <w:t>2023</w:t>
      </w:r>
      <w:r>
        <w:rPr>
          <w:rFonts w:hint="eastAsia" w:ascii="Times New Roman" w:hAnsi="Times New Roman" w:eastAsia="方正仿宋_GBK"/>
          <w:sz w:val="32"/>
          <w:szCs w:val="20"/>
          <w:lang w:bidi="ar"/>
        </w:rPr>
        <w:t>年度充换电基础设施财政补贴政策的通知》（渝财规〔</w:t>
      </w:r>
      <w:r>
        <w:rPr>
          <w:rFonts w:ascii="Times New Roman" w:hAnsi="Times New Roman" w:eastAsia="方正仿宋_GBK"/>
          <w:sz w:val="32"/>
          <w:szCs w:val="20"/>
          <w:lang w:bidi="ar"/>
        </w:rPr>
        <w:t>2023</w:t>
      </w:r>
      <w:r>
        <w:rPr>
          <w:rFonts w:hint="eastAsia" w:ascii="Times New Roman" w:hAnsi="Times New Roman" w:eastAsia="方正仿宋_GBK"/>
          <w:sz w:val="32"/>
          <w:szCs w:val="20"/>
          <w:lang w:bidi="ar"/>
        </w:rPr>
        <w:t>〕</w:t>
      </w:r>
      <w:r>
        <w:rPr>
          <w:rFonts w:ascii="Times New Roman" w:hAnsi="Times New Roman" w:eastAsia="方正仿宋_GBK"/>
          <w:sz w:val="32"/>
          <w:szCs w:val="20"/>
          <w:lang w:bidi="ar"/>
        </w:rPr>
        <w:t>3</w:t>
      </w:r>
      <w:r>
        <w:rPr>
          <w:rFonts w:hint="eastAsia" w:ascii="Times New Roman" w:hAnsi="Times New Roman" w:eastAsia="方正仿宋_GBK"/>
          <w:sz w:val="32"/>
          <w:szCs w:val="20"/>
          <w:lang w:bidi="ar"/>
        </w:rPr>
        <w:t>号）的补贴标准和要求执行。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Times New Roman" w:hAnsi="Times New Roman" w:eastAsia="方正仿宋_GBK"/>
          <w:sz w:val="32"/>
          <w:szCs w:val="20"/>
        </w:rPr>
      </w:pPr>
      <w:r>
        <w:rPr>
          <w:rFonts w:hint="eastAsia" w:ascii="Times New Roman" w:hAnsi="Times New Roman" w:eastAsia="方正仿宋_GBK"/>
          <w:sz w:val="32"/>
          <w:szCs w:val="20"/>
          <w:lang w:bidi="ar"/>
        </w:rPr>
        <w:t>（七）严肃申报纪律。相关工作人员要切实做好项目申报工作，加强平台数据校核，不得弄虚作假、玩忽职守、敷衍塞责。对违规谋补和以虚报、冒领等手段骗补的企业，追回违反规定谋取、骗取的有关资金，并按《财政违法行为处罚处分条例》《重庆市工业和信息化专项资金管理办法》等有关规定进行处理，涉嫌犯罪的移交司法机关查处。对不配合奖励信息核查、扰乱阻碍审核结果认定，以及核查抽查认定虚假建设或兼并、桩站信息与实际不符、上传市级监测平台数据与实际不符、获得奖励后桩站闲置等行为，将视情节严重程度，采取扣减奖励资金、暂停或取消奖励资金申请资格等处理处罚措施。</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Times New Roman" w:hAnsi="Times New Roman" w:eastAsia="方正仿宋_GBK"/>
          <w:sz w:val="32"/>
          <w:szCs w:val="20"/>
          <w:lang w:bidi="ar"/>
        </w:rPr>
      </w:pPr>
      <w:r>
        <w:rPr>
          <w:rFonts w:hint="eastAsia" w:ascii="Times New Roman" w:hAnsi="Times New Roman" w:eastAsia="方正仿宋_GBK"/>
          <w:sz w:val="32"/>
          <w:szCs w:val="20"/>
          <w:lang w:bidi="ar"/>
        </w:rPr>
        <w:t>本文件自公布之日起30日后施行，奖励政策从2024年1月起算，有效期截至2025年12月31日。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Times New Roman" w:hAnsi="Times New Roman" w:eastAsia="方正仿宋_GBK"/>
          <w:sz w:val="32"/>
          <w:szCs w:val="20"/>
          <w:lang w:bidi="ar"/>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Times New Roman" w:hAnsi="Times New Roman" w:eastAsia="方正仿宋_GBK"/>
          <w:sz w:val="32"/>
          <w:szCs w:val="20"/>
          <w:lang w:bidi="ar"/>
        </w:rPr>
      </w:pPr>
      <w:r>
        <w:rPr>
          <w:rFonts w:hint="eastAsia" w:ascii="Times New Roman" w:hAnsi="Times New Roman" w:eastAsia="方正仿宋_GBK"/>
          <w:sz w:val="32"/>
          <w:szCs w:val="20"/>
          <w:lang w:bidi="ar"/>
        </w:rPr>
        <w:t>附件：</w:t>
      </w:r>
      <w:r>
        <w:rPr>
          <w:rFonts w:ascii="Times New Roman" w:hAnsi="Times New Roman" w:eastAsia="方正仿宋_GBK"/>
          <w:sz w:val="32"/>
          <w:szCs w:val="20"/>
          <w:lang w:bidi="ar"/>
        </w:rPr>
        <w:t>2024</w:t>
      </w:r>
      <w:r>
        <w:rPr>
          <w:rFonts w:hint="eastAsia" w:ascii="Times New Roman" w:hAnsi="Times New Roman" w:eastAsia="方正仿宋_GBK"/>
          <w:sz w:val="32"/>
          <w:szCs w:val="20"/>
          <w:lang w:bidi="ar"/>
        </w:rPr>
        <w:t>—</w:t>
      </w:r>
      <w:r>
        <w:rPr>
          <w:rFonts w:ascii="Times New Roman" w:hAnsi="Times New Roman" w:eastAsia="方正仿宋_GBK"/>
          <w:sz w:val="32"/>
          <w:szCs w:val="20"/>
          <w:lang w:bidi="ar"/>
        </w:rPr>
        <w:t>2025</w:t>
      </w:r>
      <w:r>
        <w:rPr>
          <w:rFonts w:hint="eastAsia" w:ascii="Times New Roman" w:hAnsi="Times New Roman" w:eastAsia="方正仿宋_GBK"/>
          <w:sz w:val="32"/>
          <w:szCs w:val="20"/>
          <w:lang w:bidi="ar"/>
        </w:rPr>
        <w:t>年农村地区（乡、镇）公共快充站建设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80" w:firstLineChars="525"/>
        <w:jc w:val="both"/>
        <w:textAlignment w:val="auto"/>
        <w:rPr>
          <w:rFonts w:ascii="Times New Roman" w:hAnsi="Times New Roman" w:eastAsia="方正仿宋_GBK"/>
          <w:sz w:val="32"/>
          <w:szCs w:val="20"/>
        </w:rPr>
      </w:pPr>
      <w:r>
        <w:rPr>
          <w:rFonts w:hint="eastAsia" w:ascii="Times New Roman" w:hAnsi="Times New Roman" w:eastAsia="方正仿宋_GBK"/>
          <w:sz w:val="32"/>
          <w:szCs w:val="20"/>
          <w:lang w:bidi="ar"/>
        </w:rPr>
        <w:t>目标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ascii="Times New Roman" w:hAnsi="Times New Roman" w:eastAsia="方正仿宋_GBK"/>
          <w:sz w:val="32"/>
          <w:szCs w:val="2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ascii="Times New Roman" w:hAnsi="Times New Roman" w:eastAsia="方正仿宋_GBK"/>
          <w:sz w:val="32"/>
          <w:szCs w:val="20"/>
        </w:rPr>
      </w:pPr>
    </w:p>
    <w:p>
      <w:pPr>
        <w:keepNext w:val="0"/>
        <w:keepLines w:val="0"/>
        <w:pageBreakBefore w:val="0"/>
        <w:widowControl w:val="0"/>
        <w:tabs>
          <w:tab w:val="left" w:pos="8190"/>
        </w:tabs>
        <w:kinsoku/>
        <w:wordWrap/>
        <w:overflowPunct/>
        <w:topLinePunct w:val="0"/>
        <w:autoSpaceDE/>
        <w:autoSpaceDN/>
        <w:bidi w:val="0"/>
        <w:adjustRightInd/>
        <w:snapToGrid/>
        <w:spacing w:line="600" w:lineRule="exact"/>
        <w:ind w:left="0" w:leftChars="0" w:right="0" w:rightChars="0"/>
        <w:jc w:val="both"/>
        <w:textAlignment w:val="auto"/>
        <w:rPr>
          <w:rFonts w:ascii="Times New Roman" w:hAnsi="Times New Roman" w:eastAsia="方正仿宋_GBK"/>
          <w:sz w:val="32"/>
          <w:szCs w:val="20"/>
        </w:rPr>
      </w:pPr>
      <w:r>
        <w:rPr>
          <w:rFonts w:hint="eastAsia" w:ascii="Times New Roman" w:hAnsi="Times New Roman" w:eastAsia="方正仿宋_GBK"/>
          <w:sz w:val="32"/>
          <w:szCs w:val="20"/>
          <w:lang w:bidi="ar"/>
        </w:rPr>
        <w:t>重庆市经济和信息化委员会              重庆市财政局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Times New Roman" w:hAnsi="Times New Roman" w:eastAsia="方正仿宋_GBK"/>
          <w:sz w:val="32"/>
          <w:szCs w:val="20"/>
          <w:lang w:bidi="ar"/>
        </w:rPr>
      </w:pPr>
      <w:r>
        <w:rPr>
          <w:rFonts w:hint="eastAsia" w:ascii="Times New Roman" w:hAnsi="Times New Roman" w:eastAsia="方正仿宋_GBK"/>
          <w:sz w:val="32"/>
          <w:szCs w:val="20"/>
          <w:lang w:bidi="ar"/>
        </w:rPr>
        <w:t xml:space="preserve">　　　　　　　　　　　　        </w:t>
      </w:r>
      <w:r>
        <w:rPr>
          <w:rFonts w:ascii="Times New Roman" w:hAnsi="Times New Roman" w:eastAsia="方正仿宋_GBK"/>
          <w:sz w:val="32"/>
          <w:szCs w:val="20"/>
          <w:lang w:bidi="ar"/>
        </w:rPr>
        <w:t>2024</w:t>
      </w:r>
      <w:r>
        <w:rPr>
          <w:rFonts w:hint="eastAsia" w:ascii="Times New Roman" w:hAnsi="Times New Roman" w:eastAsia="方正仿宋_GBK"/>
          <w:sz w:val="32"/>
          <w:szCs w:val="20"/>
          <w:lang w:bidi="ar"/>
        </w:rPr>
        <w:t>年12月29日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Times New Roman" w:hAnsi="Times New Roman" w:eastAsia="方正仿宋_GBK"/>
          <w:sz w:val="32"/>
          <w:szCs w:val="20"/>
          <w:lang w:bidi="ar"/>
        </w:rPr>
      </w:pPr>
      <w:r>
        <w:rPr>
          <w:rFonts w:hint="eastAsia" w:ascii="Times New Roman" w:hAnsi="Times New Roman" w:eastAsia="方正仿宋_GBK"/>
          <w:sz w:val="32"/>
          <w:szCs w:val="20"/>
          <w:lang w:bidi="ar"/>
        </w:rPr>
        <w:t>（此件公开发布）</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黑体" w:hAnsi="黑体" w:eastAsia="黑体" w:cs="黑体"/>
          <w:i w:val="0"/>
          <w:caps w:val="0"/>
          <w:color w:val="333333"/>
          <w:spacing w:val="0"/>
          <w:sz w:val="32"/>
          <w:szCs w:val="32"/>
          <w:shd w:val="clear" w:color="auto" w:fill="FFFFFF"/>
          <w:lang w:val="en-US" w:eastAsia="zh-CN"/>
        </w:rPr>
      </w:pPr>
    </w:p>
    <w:p>
      <w:pPr>
        <w:pStyle w:val="10"/>
        <w:keepNext w:val="0"/>
        <w:keepLines w:val="0"/>
        <w:pageBreakBefore w:val="0"/>
        <w:widowControl/>
        <w:suppressLineNumbers w:val="0"/>
        <w:shd w:val="clear" w:color="auto"/>
        <w:kinsoku/>
        <w:overflowPunct/>
        <w:topLinePunct w:val="0"/>
        <w:autoSpaceDE/>
        <w:autoSpaceDN/>
        <w:bidi w:val="0"/>
        <w:spacing w:before="0" w:beforeAutospacing="0" w:after="0" w:afterAutospacing="0" w:line="60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autoSpaceDE/>
        <w:autoSpaceDN/>
        <w:bidi w:val="0"/>
        <w:spacing w:beforeAutospacing="0" w:afterAutospacing="0" w:line="60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pStyle w:val="6"/>
        <w:keepNext w:val="0"/>
        <w:keepLines w:val="0"/>
        <w:pageBreakBefore w:val="0"/>
        <w:kinsoku/>
        <w:overflowPunct/>
        <w:topLinePunct w:val="0"/>
        <w:autoSpaceDE/>
        <w:autoSpaceDN/>
        <w:bidi w:val="0"/>
        <w:spacing w:beforeAutospacing="0" w:afterAutospacing="0" w:line="600" w:lineRule="exact"/>
        <w:ind w:right="0" w:rightChars="0"/>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pStyle w:val="7"/>
        <w:keepNext w:val="0"/>
        <w:keepLines w:val="0"/>
        <w:pageBreakBefore w:val="0"/>
        <w:kinsoku/>
        <w:overflowPunct/>
        <w:topLinePunct w:val="0"/>
        <w:autoSpaceDE/>
        <w:autoSpaceDN/>
        <w:bidi w:val="0"/>
        <w:spacing w:beforeAutospacing="0" w:afterAutospacing="0" w:line="600" w:lineRule="exact"/>
        <w:ind w:right="0" w:rightChars="0"/>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autoSpaceDE/>
        <w:autoSpaceDN/>
        <w:bidi w:val="0"/>
        <w:spacing w:beforeAutospacing="0" w:afterAutospacing="0" w:line="600" w:lineRule="exact"/>
        <w:ind w:right="0" w:rightChars="0"/>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pStyle w:val="6"/>
        <w:keepNext w:val="0"/>
        <w:keepLines w:val="0"/>
        <w:pageBreakBefore w:val="0"/>
        <w:kinsoku/>
        <w:overflowPunct/>
        <w:topLinePunct w:val="0"/>
        <w:autoSpaceDE/>
        <w:autoSpaceDN/>
        <w:bidi w:val="0"/>
        <w:spacing w:beforeAutospacing="0" w:afterAutospacing="0" w:line="600" w:lineRule="exact"/>
        <w:ind w:right="0" w:righ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Times New Roman" w:hAnsi="Times New Roman" w:eastAsia="方正黑体_GBK"/>
          <w:bCs/>
          <w:sz w:val="32"/>
          <w:szCs w:val="20"/>
          <w:lang w:bidi="ar"/>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ascii="Times New Roman" w:hAnsi="Times New Roman" w:eastAsia="方正黑体_GBK"/>
          <w:bCs/>
          <w:sz w:val="32"/>
          <w:szCs w:val="20"/>
          <w:lang w:bidi="ar"/>
        </w:rPr>
      </w:pPr>
      <w:r>
        <w:rPr>
          <w:rFonts w:hint="eastAsia" w:ascii="Times New Roman" w:hAnsi="Times New Roman" w:eastAsia="方正黑体_GBK"/>
          <w:bCs/>
          <w:sz w:val="32"/>
          <w:szCs w:val="20"/>
          <w:lang w:bidi="ar"/>
        </w:rPr>
        <w:t>附件</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方正小标宋_GBK"/>
          <w:sz w:val="44"/>
          <w:szCs w:val="44"/>
        </w:rPr>
      </w:pPr>
      <w:r>
        <w:rPr>
          <w:rFonts w:hint="eastAsia" w:ascii="Times New Roman" w:hAnsi="Times New Roman" w:eastAsia="方正小标宋_GBK"/>
          <w:sz w:val="44"/>
          <w:szCs w:val="44"/>
        </w:rPr>
        <w:t>2024—2025年农村地区（乡、镇）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Times New Roman" w:hAnsi="Times New Roman" w:eastAsia="方正小标宋_GBK"/>
          <w:sz w:val="44"/>
          <w:szCs w:val="44"/>
        </w:rPr>
      </w:pPr>
      <w:r>
        <w:rPr>
          <w:rFonts w:hint="eastAsia" w:ascii="Times New Roman" w:hAnsi="Times New Roman" w:eastAsia="方正小标宋_GBK"/>
          <w:sz w:val="44"/>
          <w:szCs w:val="44"/>
        </w:rPr>
        <w:t>公共快充站建设目标</w:t>
      </w:r>
    </w:p>
    <w:p>
      <w:pPr>
        <w:spacing w:line="594" w:lineRule="exact"/>
        <w:ind w:firstLine="880" w:firstLineChars="200"/>
        <w:rPr>
          <w:rFonts w:ascii="Times New Roman" w:hAnsi="Times New Roman" w:eastAsia="方正小标宋简体"/>
          <w:sz w:val="44"/>
          <w:szCs w:val="44"/>
          <w:lang w:bidi="ar"/>
        </w:rPr>
      </w:pPr>
    </w:p>
    <w:tbl>
      <w:tblPr>
        <w:tblStyle w:val="13"/>
        <w:tblW w:w="90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696"/>
        <w:gridCol w:w="1817"/>
        <w:gridCol w:w="2127"/>
        <w:gridCol w:w="2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黑体_GBK"/>
                <w:sz w:val="28"/>
                <w:szCs w:val="28"/>
                <w:lang w:bidi="ar"/>
              </w:rPr>
            </w:pPr>
            <w:r>
              <w:rPr>
                <w:rFonts w:hint="eastAsia" w:ascii="Times New Roman" w:hAnsi="Times New Roman" w:eastAsia="方正黑体_GBK"/>
                <w:sz w:val="28"/>
                <w:szCs w:val="28"/>
                <w:lang w:bidi="ar"/>
              </w:rPr>
              <w:t>序号</w:t>
            </w:r>
          </w:p>
        </w:tc>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黑体_GBK"/>
                <w:sz w:val="28"/>
                <w:szCs w:val="28"/>
              </w:rPr>
            </w:pPr>
            <w:r>
              <w:rPr>
                <w:rFonts w:hint="eastAsia" w:ascii="Times New Roman" w:hAnsi="Times New Roman" w:eastAsia="方正黑体_GBK"/>
                <w:sz w:val="28"/>
                <w:szCs w:val="28"/>
                <w:lang w:bidi="ar"/>
              </w:rPr>
              <w:t>地区</w:t>
            </w:r>
          </w:p>
        </w:tc>
        <w:tc>
          <w:tcPr>
            <w:tcW w:w="1817" w:type="dxa"/>
            <w:tcBorders>
              <w:top w:val="single" w:color="auto" w:sz="4" w:space="0"/>
              <w:left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黑体_GBK"/>
                <w:sz w:val="28"/>
                <w:szCs w:val="28"/>
                <w:lang w:bidi="ar"/>
              </w:rPr>
            </w:pPr>
            <w:r>
              <w:rPr>
                <w:rFonts w:hint="eastAsia" w:ascii="Times New Roman" w:hAnsi="Times New Roman" w:eastAsia="方正黑体_GBK"/>
                <w:sz w:val="28"/>
                <w:szCs w:val="28"/>
                <w:lang w:bidi="ar"/>
              </w:rPr>
              <w:t>应建设乡镇数量（个）</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黑体_GBK"/>
                <w:sz w:val="28"/>
                <w:szCs w:val="28"/>
              </w:rPr>
            </w:pPr>
            <w:r>
              <w:rPr>
                <w:rFonts w:hint="eastAsia" w:ascii="Times New Roman" w:hAnsi="Times New Roman" w:eastAsia="方正黑体_GBK"/>
                <w:sz w:val="28"/>
                <w:szCs w:val="28"/>
                <w:lang w:bidi="ar"/>
              </w:rPr>
              <w:t>应建设快充站数量（座）</w:t>
            </w:r>
          </w:p>
        </w:tc>
        <w:tc>
          <w:tcPr>
            <w:tcW w:w="24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黑体_GBK"/>
                <w:sz w:val="28"/>
                <w:szCs w:val="28"/>
              </w:rPr>
            </w:pPr>
            <w:r>
              <w:rPr>
                <w:rFonts w:hint="eastAsia" w:ascii="Times New Roman" w:hAnsi="Times New Roman" w:eastAsia="方正黑体_GBK"/>
                <w:sz w:val="28"/>
                <w:szCs w:val="28"/>
                <w:lang w:bidi="ar"/>
              </w:rPr>
              <w:t>应建设充电枪数量（个）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hint="eastAsia" w:ascii="Times New Roman" w:hAnsi="Times New Roman" w:eastAsia="方正仿宋_GBK"/>
                <w:sz w:val="28"/>
                <w:szCs w:val="28"/>
                <w:lang w:bidi="ar"/>
              </w:rPr>
              <w:t>1</w:t>
            </w:r>
          </w:p>
        </w:tc>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hint="eastAsia" w:ascii="Times New Roman" w:hAnsi="Times New Roman" w:eastAsia="方正仿宋_GBK"/>
                <w:sz w:val="28"/>
                <w:szCs w:val="28"/>
                <w:lang w:bidi="ar"/>
              </w:rPr>
              <w:t>酉阳县</w:t>
            </w:r>
          </w:p>
        </w:tc>
        <w:tc>
          <w:tcPr>
            <w:tcW w:w="1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ascii="Times New Roman" w:hAnsi="Times New Roman" w:eastAsia="方正仿宋_GBK"/>
                <w:sz w:val="28"/>
                <w:szCs w:val="28"/>
                <w:lang w:bidi="ar"/>
              </w:rPr>
              <w:t>33</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33</w:t>
            </w:r>
          </w:p>
        </w:tc>
        <w:tc>
          <w:tcPr>
            <w:tcW w:w="24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hint="eastAsia" w:ascii="Times New Roman" w:hAnsi="Times New Roman" w:eastAsia="方正仿宋_GBK"/>
                <w:sz w:val="28"/>
                <w:szCs w:val="28"/>
                <w:lang w:bidi="ar"/>
              </w:rPr>
              <w:t>2</w:t>
            </w:r>
          </w:p>
        </w:tc>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hint="eastAsia" w:ascii="Times New Roman" w:hAnsi="Times New Roman" w:eastAsia="方正仿宋_GBK"/>
                <w:sz w:val="28"/>
                <w:szCs w:val="28"/>
                <w:lang w:bidi="ar"/>
              </w:rPr>
              <w:t>开州区</w:t>
            </w:r>
          </w:p>
        </w:tc>
        <w:tc>
          <w:tcPr>
            <w:tcW w:w="1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ascii="Times New Roman" w:hAnsi="Times New Roman" w:eastAsia="方正仿宋_GBK"/>
                <w:sz w:val="28"/>
                <w:szCs w:val="28"/>
                <w:lang w:bidi="ar"/>
              </w:rPr>
              <w:t>30</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30</w:t>
            </w:r>
          </w:p>
        </w:tc>
        <w:tc>
          <w:tcPr>
            <w:tcW w:w="24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hint="eastAsia" w:ascii="Times New Roman" w:hAnsi="Times New Roman" w:eastAsia="方正仿宋_GBK"/>
                <w:sz w:val="28"/>
                <w:szCs w:val="28"/>
                <w:lang w:bidi="ar"/>
              </w:rPr>
              <w:t>3</w:t>
            </w:r>
          </w:p>
        </w:tc>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hint="eastAsia" w:ascii="Times New Roman" w:hAnsi="Times New Roman" w:eastAsia="方正仿宋_GBK"/>
                <w:sz w:val="28"/>
                <w:szCs w:val="28"/>
                <w:lang w:bidi="ar"/>
              </w:rPr>
              <w:t>万州区</w:t>
            </w:r>
          </w:p>
        </w:tc>
        <w:tc>
          <w:tcPr>
            <w:tcW w:w="1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ascii="Times New Roman" w:hAnsi="Times New Roman" w:eastAsia="方正仿宋_GBK"/>
                <w:sz w:val="28"/>
                <w:szCs w:val="28"/>
                <w:lang w:bidi="ar"/>
              </w:rPr>
              <w:t>28</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28</w:t>
            </w:r>
          </w:p>
        </w:tc>
        <w:tc>
          <w:tcPr>
            <w:tcW w:w="24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hint="eastAsia" w:ascii="Times New Roman" w:hAnsi="Times New Roman" w:eastAsia="方正仿宋_GBK"/>
                <w:sz w:val="28"/>
                <w:szCs w:val="28"/>
                <w:lang w:bidi="ar"/>
              </w:rPr>
              <w:t>4</w:t>
            </w:r>
          </w:p>
        </w:tc>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hint="eastAsia" w:ascii="Times New Roman" w:hAnsi="Times New Roman" w:eastAsia="方正仿宋_GBK"/>
                <w:sz w:val="28"/>
                <w:szCs w:val="28"/>
                <w:lang w:bidi="ar"/>
              </w:rPr>
              <w:t>彭水县</w:t>
            </w:r>
          </w:p>
        </w:tc>
        <w:tc>
          <w:tcPr>
            <w:tcW w:w="1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ascii="Times New Roman" w:hAnsi="Times New Roman" w:eastAsia="方正仿宋_GBK"/>
                <w:sz w:val="28"/>
                <w:szCs w:val="28"/>
                <w:lang w:bidi="ar"/>
              </w:rPr>
              <w:t>27</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27</w:t>
            </w:r>
          </w:p>
        </w:tc>
        <w:tc>
          <w:tcPr>
            <w:tcW w:w="24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hint="eastAsia" w:ascii="Times New Roman" w:hAnsi="Times New Roman" w:eastAsia="方正仿宋_GBK"/>
                <w:sz w:val="28"/>
                <w:szCs w:val="28"/>
                <w:lang w:bidi="ar"/>
              </w:rPr>
              <w:t>5</w:t>
            </w:r>
          </w:p>
        </w:tc>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hint="eastAsia" w:ascii="Times New Roman" w:hAnsi="Times New Roman" w:eastAsia="方正仿宋_GBK"/>
                <w:sz w:val="28"/>
                <w:szCs w:val="28"/>
                <w:lang w:bidi="ar"/>
              </w:rPr>
              <w:t>南川区</w:t>
            </w:r>
          </w:p>
        </w:tc>
        <w:tc>
          <w:tcPr>
            <w:tcW w:w="1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ascii="Times New Roman" w:hAnsi="Times New Roman" w:eastAsia="方正仿宋_GBK"/>
                <w:sz w:val="28"/>
                <w:szCs w:val="28"/>
                <w:lang w:bidi="ar"/>
              </w:rPr>
              <w:t>25</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25</w:t>
            </w:r>
          </w:p>
        </w:tc>
        <w:tc>
          <w:tcPr>
            <w:tcW w:w="24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hint="eastAsia" w:ascii="Times New Roman" w:hAnsi="Times New Roman" w:eastAsia="方正仿宋_GBK"/>
                <w:sz w:val="28"/>
                <w:szCs w:val="28"/>
                <w:lang w:bidi="ar"/>
              </w:rPr>
              <w:t>6</w:t>
            </w:r>
          </w:p>
        </w:tc>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hint="eastAsia" w:ascii="Times New Roman" w:hAnsi="Times New Roman" w:eastAsia="方正仿宋_GBK"/>
                <w:sz w:val="28"/>
                <w:szCs w:val="28"/>
                <w:lang w:bidi="ar"/>
              </w:rPr>
              <w:t>奉节县</w:t>
            </w:r>
          </w:p>
        </w:tc>
        <w:tc>
          <w:tcPr>
            <w:tcW w:w="1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ascii="Times New Roman" w:hAnsi="Times New Roman" w:eastAsia="方正仿宋_GBK"/>
                <w:sz w:val="28"/>
                <w:szCs w:val="28"/>
                <w:lang w:bidi="ar"/>
              </w:rPr>
              <w:t>23</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23</w:t>
            </w:r>
          </w:p>
        </w:tc>
        <w:tc>
          <w:tcPr>
            <w:tcW w:w="24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hint="eastAsia" w:ascii="Times New Roman" w:hAnsi="Times New Roman" w:eastAsia="方正仿宋_GBK"/>
                <w:sz w:val="28"/>
                <w:szCs w:val="28"/>
                <w:lang w:bidi="ar"/>
              </w:rPr>
              <w:t>7</w:t>
            </w:r>
          </w:p>
        </w:tc>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hint="eastAsia" w:ascii="Times New Roman" w:hAnsi="Times New Roman" w:eastAsia="方正仿宋_GBK"/>
                <w:sz w:val="28"/>
                <w:szCs w:val="28"/>
                <w:lang w:bidi="ar"/>
              </w:rPr>
              <w:t>石柱县</w:t>
            </w:r>
          </w:p>
        </w:tc>
        <w:tc>
          <w:tcPr>
            <w:tcW w:w="1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ascii="Times New Roman" w:hAnsi="Times New Roman" w:eastAsia="方正仿宋_GBK"/>
                <w:sz w:val="28"/>
                <w:szCs w:val="28"/>
                <w:lang w:bidi="ar"/>
              </w:rPr>
              <w:t>23</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23</w:t>
            </w:r>
          </w:p>
        </w:tc>
        <w:tc>
          <w:tcPr>
            <w:tcW w:w="24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hint="eastAsia" w:ascii="Times New Roman" w:hAnsi="Times New Roman" w:eastAsia="方正仿宋_GBK"/>
                <w:sz w:val="28"/>
                <w:szCs w:val="28"/>
                <w:lang w:bidi="ar"/>
              </w:rPr>
              <w:t>8</w:t>
            </w:r>
          </w:p>
        </w:tc>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hint="eastAsia" w:ascii="Times New Roman" w:hAnsi="Times New Roman" w:eastAsia="方正仿宋_GBK"/>
                <w:sz w:val="28"/>
                <w:szCs w:val="28"/>
                <w:lang w:bidi="ar"/>
              </w:rPr>
              <w:t>城口县</w:t>
            </w:r>
          </w:p>
        </w:tc>
        <w:tc>
          <w:tcPr>
            <w:tcW w:w="1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ascii="Times New Roman" w:hAnsi="Times New Roman" w:eastAsia="方正仿宋_GBK"/>
                <w:sz w:val="28"/>
                <w:szCs w:val="28"/>
                <w:lang w:bidi="ar"/>
              </w:rPr>
              <w:t>21</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21</w:t>
            </w:r>
          </w:p>
        </w:tc>
        <w:tc>
          <w:tcPr>
            <w:tcW w:w="24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hint="eastAsia" w:ascii="Times New Roman" w:hAnsi="Times New Roman" w:eastAsia="方正仿宋_GBK"/>
                <w:sz w:val="28"/>
                <w:szCs w:val="28"/>
                <w:lang w:bidi="ar"/>
              </w:rPr>
              <w:t>9</w:t>
            </w:r>
          </w:p>
        </w:tc>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hint="eastAsia" w:ascii="Times New Roman" w:hAnsi="Times New Roman" w:eastAsia="方正仿宋_GBK"/>
                <w:sz w:val="28"/>
                <w:szCs w:val="28"/>
                <w:lang w:bidi="ar"/>
              </w:rPr>
              <w:t>巫溪县</w:t>
            </w:r>
          </w:p>
        </w:tc>
        <w:tc>
          <w:tcPr>
            <w:tcW w:w="1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ascii="Times New Roman" w:hAnsi="Times New Roman" w:eastAsia="方正仿宋_GBK"/>
                <w:sz w:val="28"/>
                <w:szCs w:val="28"/>
                <w:lang w:bidi="ar"/>
              </w:rPr>
              <w:t>21</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21</w:t>
            </w:r>
          </w:p>
        </w:tc>
        <w:tc>
          <w:tcPr>
            <w:tcW w:w="24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hint="eastAsia" w:ascii="Times New Roman" w:hAnsi="Times New Roman" w:eastAsia="方正仿宋_GBK"/>
                <w:sz w:val="28"/>
                <w:szCs w:val="28"/>
                <w:lang w:bidi="ar"/>
              </w:rPr>
              <w:t>10</w:t>
            </w:r>
          </w:p>
        </w:tc>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hint="eastAsia" w:ascii="Times New Roman" w:hAnsi="Times New Roman" w:eastAsia="方正仿宋_GBK"/>
                <w:sz w:val="28"/>
                <w:szCs w:val="28"/>
                <w:lang w:bidi="ar"/>
              </w:rPr>
              <w:t>秀山县</w:t>
            </w:r>
          </w:p>
        </w:tc>
        <w:tc>
          <w:tcPr>
            <w:tcW w:w="1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ascii="Times New Roman" w:hAnsi="Times New Roman" w:eastAsia="方正仿宋_GBK"/>
                <w:sz w:val="28"/>
                <w:szCs w:val="28"/>
                <w:lang w:bidi="ar"/>
              </w:rPr>
              <w:t>20</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20</w:t>
            </w:r>
          </w:p>
        </w:tc>
        <w:tc>
          <w:tcPr>
            <w:tcW w:w="24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hint="eastAsia" w:ascii="Times New Roman" w:hAnsi="Times New Roman" w:eastAsia="方正仿宋_GBK"/>
                <w:sz w:val="28"/>
                <w:szCs w:val="28"/>
                <w:lang w:bidi="ar"/>
              </w:rPr>
              <w:t>11</w:t>
            </w:r>
          </w:p>
        </w:tc>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hint="eastAsia" w:ascii="Times New Roman" w:hAnsi="Times New Roman" w:eastAsia="方正仿宋_GBK"/>
                <w:sz w:val="28"/>
                <w:szCs w:val="28"/>
                <w:lang w:bidi="ar"/>
              </w:rPr>
              <w:t>梁平区</w:t>
            </w:r>
          </w:p>
        </w:tc>
        <w:tc>
          <w:tcPr>
            <w:tcW w:w="1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ascii="Times New Roman" w:hAnsi="Times New Roman" w:eastAsia="方正仿宋_GBK"/>
                <w:sz w:val="28"/>
                <w:szCs w:val="28"/>
                <w:lang w:bidi="ar"/>
              </w:rPr>
              <w:t>19</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19</w:t>
            </w:r>
          </w:p>
        </w:tc>
        <w:tc>
          <w:tcPr>
            <w:tcW w:w="24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hint="eastAsia" w:ascii="Times New Roman" w:hAnsi="Times New Roman" w:eastAsia="方正仿宋_GBK"/>
                <w:sz w:val="28"/>
                <w:szCs w:val="28"/>
                <w:lang w:bidi="ar"/>
              </w:rPr>
              <w:t>12</w:t>
            </w:r>
          </w:p>
        </w:tc>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hint="eastAsia" w:ascii="Times New Roman" w:hAnsi="Times New Roman" w:eastAsia="方正仿宋_GBK"/>
                <w:sz w:val="28"/>
                <w:szCs w:val="28"/>
                <w:lang w:bidi="ar"/>
              </w:rPr>
              <w:t>黔江区</w:t>
            </w:r>
          </w:p>
        </w:tc>
        <w:tc>
          <w:tcPr>
            <w:tcW w:w="1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ascii="Times New Roman" w:hAnsi="Times New Roman" w:eastAsia="方正仿宋_GBK"/>
                <w:sz w:val="28"/>
                <w:szCs w:val="28"/>
                <w:lang w:bidi="ar"/>
              </w:rPr>
              <w:t>19</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19</w:t>
            </w:r>
          </w:p>
        </w:tc>
        <w:tc>
          <w:tcPr>
            <w:tcW w:w="24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hint="eastAsia" w:ascii="Times New Roman" w:hAnsi="Times New Roman" w:eastAsia="方正仿宋_GBK"/>
                <w:sz w:val="28"/>
                <w:szCs w:val="28"/>
                <w:lang w:bidi="ar"/>
              </w:rPr>
              <w:t>13</w:t>
            </w:r>
          </w:p>
        </w:tc>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hint="eastAsia" w:ascii="Times New Roman" w:hAnsi="Times New Roman" w:eastAsia="方正仿宋_GBK"/>
                <w:sz w:val="28"/>
                <w:szCs w:val="28"/>
                <w:lang w:bidi="ar"/>
              </w:rPr>
              <w:t>巫山县</w:t>
            </w:r>
          </w:p>
        </w:tc>
        <w:tc>
          <w:tcPr>
            <w:tcW w:w="1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ascii="Times New Roman" w:hAnsi="Times New Roman" w:eastAsia="方正仿宋_GBK"/>
                <w:sz w:val="28"/>
                <w:szCs w:val="28"/>
                <w:lang w:bidi="ar"/>
              </w:rPr>
              <w:t>18</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18</w:t>
            </w:r>
          </w:p>
        </w:tc>
        <w:tc>
          <w:tcPr>
            <w:tcW w:w="24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hint="eastAsia" w:ascii="Times New Roman" w:hAnsi="Times New Roman" w:eastAsia="方正仿宋_GBK"/>
                <w:sz w:val="28"/>
                <w:szCs w:val="28"/>
                <w:lang w:bidi="ar"/>
              </w:rPr>
              <w:t>14</w:t>
            </w:r>
          </w:p>
        </w:tc>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hint="eastAsia" w:ascii="Times New Roman" w:hAnsi="Times New Roman" w:eastAsia="方正仿宋_GBK"/>
                <w:sz w:val="28"/>
                <w:szCs w:val="28"/>
                <w:lang w:bidi="ar"/>
              </w:rPr>
              <w:t>丰都县</w:t>
            </w:r>
          </w:p>
        </w:tc>
        <w:tc>
          <w:tcPr>
            <w:tcW w:w="1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ascii="Times New Roman" w:hAnsi="Times New Roman" w:eastAsia="方正仿宋_GBK"/>
                <w:sz w:val="28"/>
                <w:szCs w:val="28"/>
                <w:lang w:bidi="ar"/>
              </w:rPr>
              <w:t>15</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15</w:t>
            </w:r>
          </w:p>
        </w:tc>
        <w:tc>
          <w:tcPr>
            <w:tcW w:w="24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hint="eastAsia" w:ascii="Times New Roman" w:hAnsi="Times New Roman" w:eastAsia="方正仿宋_GBK"/>
                <w:sz w:val="28"/>
                <w:szCs w:val="28"/>
                <w:lang w:bidi="ar"/>
              </w:rPr>
              <w:t>15</w:t>
            </w:r>
          </w:p>
        </w:tc>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hint="eastAsia" w:ascii="Times New Roman" w:hAnsi="Times New Roman" w:eastAsia="方正仿宋_GBK"/>
                <w:sz w:val="28"/>
                <w:szCs w:val="28"/>
                <w:lang w:bidi="ar"/>
              </w:rPr>
              <w:t>合川区</w:t>
            </w:r>
          </w:p>
        </w:tc>
        <w:tc>
          <w:tcPr>
            <w:tcW w:w="1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ascii="Times New Roman" w:hAnsi="Times New Roman" w:eastAsia="方正仿宋_GBK"/>
                <w:sz w:val="28"/>
                <w:szCs w:val="28"/>
                <w:lang w:bidi="ar"/>
              </w:rPr>
              <w:t>15</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15</w:t>
            </w:r>
          </w:p>
        </w:tc>
        <w:tc>
          <w:tcPr>
            <w:tcW w:w="24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hint="eastAsia" w:ascii="Times New Roman" w:hAnsi="Times New Roman" w:eastAsia="方正仿宋_GBK"/>
                <w:sz w:val="28"/>
                <w:szCs w:val="28"/>
                <w:lang w:bidi="ar"/>
              </w:rPr>
              <w:t>16</w:t>
            </w:r>
          </w:p>
        </w:tc>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hint="eastAsia" w:ascii="Times New Roman" w:hAnsi="Times New Roman" w:eastAsia="方正仿宋_GBK"/>
                <w:sz w:val="28"/>
                <w:szCs w:val="28"/>
                <w:lang w:bidi="ar"/>
              </w:rPr>
              <w:t>潼南区</w:t>
            </w:r>
          </w:p>
        </w:tc>
        <w:tc>
          <w:tcPr>
            <w:tcW w:w="1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ascii="Times New Roman" w:hAnsi="Times New Roman" w:eastAsia="方正仿宋_GBK"/>
                <w:sz w:val="28"/>
                <w:szCs w:val="28"/>
                <w:lang w:bidi="ar"/>
              </w:rPr>
              <w:t>15</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15</w:t>
            </w:r>
          </w:p>
        </w:tc>
        <w:tc>
          <w:tcPr>
            <w:tcW w:w="24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hint="eastAsia" w:ascii="Times New Roman" w:hAnsi="Times New Roman" w:eastAsia="方正仿宋_GBK"/>
                <w:sz w:val="28"/>
                <w:szCs w:val="28"/>
                <w:lang w:bidi="ar"/>
              </w:rPr>
              <w:t>17</w:t>
            </w:r>
          </w:p>
        </w:tc>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hint="eastAsia" w:ascii="Times New Roman" w:hAnsi="Times New Roman" w:eastAsia="方正仿宋_GBK"/>
                <w:sz w:val="28"/>
                <w:szCs w:val="28"/>
                <w:lang w:bidi="ar"/>
              </w:rPr>
              <w:t>武隆区</w:t>
            </w:r>
          </w:p>
        </w:tc>
        <w:tc>
          <w:tcPr>
            <w:tcW w:w="1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ascii="Times New Roman" w:hAnsi="Times New Roman" w:eastAsia="方正仿宋_GBK"/>
                <w:sz w:val="28"/>
                <w:szCs w:val="28"/>
                <w:lang w:bidi="ar"/>
              </w:rPr>
              <w:t>14</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14</w:t>
            </w:r>
          </w:p>
        </w:tc>
        <w:tc>
          <w:tcPr>
            <w:tcW w:w="24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hint="eastAsia" w:ascii="Times New Roman" w:hAnsi="Times New Roman" w:eastAsia="方正仿宋_GBK"/>
                <w:sz w:val="28"/>
                <w:szCs w:val="28"/>
                <w:lang w:bidi="ar"/>
              </w:rPr>
              <w:t>18</w:t>
            </w:r>
          </w:p>
        </w:tc>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hint="eastAsia" w:ascii="Times New Roman" w:hAnsi="Times New Roman" w:eastAsia="方正仿宋_GBK"/>
                <w:sz w:val="28"/>
                <w:szCs w:val="28"/>
                <w:lang w:bidi="ar"/>
              </w:rPr>
              <w:t>垫江县</w:t>
            </w:r>
          </w:p>
        </w:tc>
        <w:tc>
          <w:tcPr>
            <w:tcW w:w="1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ascii="Times New Roman" w:hAnsi="Times New Roman" w:eastAsia="方正仿宋_GBK"/>
                <w:sz w:val="28"/>
                <w:szCs w:val="28"/>
                <w:lang w:bidi="ar"/>
              </w:rPr>
              <w:t>13</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13</w:t>
            </w:r>
          </w:p>
        </w:tc>
        <w:tc>
          <w:tcPr>
            <w:tcW w:w="24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hint="eastAsia" w:ascii="Times New Roman" w:hAnsi="Times New Roman" w:eastAsia="方正仿宋_GBK"/>
                <w:sz w:val="28"/>
                <w:szCs w:val="28"/>
                <w:lang w:bidi="ar"/>
              </w:rPr>
              <w:t>19</w:t>
            </w:r>
          </w:p>
        </w:tc>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hint="eastAsia" w:ascii="Times New Roman" w:hAnsi="Times New Roman" w:eastAsia="方正仿宋_GBK"/>
                <w:sz w:val="28"/>
                <w:szCs w:val="28"/>
                <w:lang w:bidi="ar"/>
              </w:rPr>
              <w:t>铜梁区</w:t>
            </w:r>
          </w:p>
        </w:tc>
        <w:tc>
          <w:tcPr>
            <w:tcW w:w="1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ascii="Times New Roman" w:hAnsi="Times New Roman" w:eastAsia="方正仿宋_GBK"/>
                <w:sz w:val="28"/>
                <w:szCs w:val="28"/>
                <w:lang w:bidi="ar"/>
              </w:rPr>
              <w:t>13</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13</w:t>
            </w:r>
          </w:p>
        </w:tc>
        <w:tc>
          <w:tcPr>
            <w:tcW w:w="24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hint="eastAsia" w:ascii="Times New Roman" w:hAnsi="Times New Roman" w:eastAsia="方正仿宋_GBK"/>
                <w:sz w:val="28"/>
                <w:szCs w:val="28"/>
                <w:lang w:bidi="ar"/>
              </w:rPr>
              <w:t>20</w:t>
            </w:r>
          </w:p>
        </w:tc>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hint="eastAsia" w:ascii="Times New Roman" w:hAnsi="Times New Roman" w:eastAsia="方正仿宋_GBK"/>
                <w:sz w:val="28"/>
                <w:szCs w:val="28"/>
                <w:lang w:bidi="ar"/>
              </w:rPr>
              <w:t>荣昌区</w:t>
            </w:r>
          </w:p>
        </w:tc>
        <w:tc>
          <w:tcPr>
            <w:tcW w:w="1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ascii="Times New Roman" w:hAnsi="Times New Roman" w:eastAsia="方正仿宋_GBK"/>
                <w:sz w:val="28"/>
                <w:szCs w:val="28"/>
                <w:lang w:bidi="ar"/>
              </w:rPr>
              <w:t>12</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12</w:t>
            </w:r>
          </w:p>
        </w:tc>
        <w:tc>
          <w:tcPr>
            <w:tcW w:w="24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hint="eastAsia" w:ascii="Times New Roman" w:hAnsi="Times New Roman" w:eastAsia="方正仿宋_GBK"/>
                <w:sz w:val="28"/>
                <w:szCs w:val="28"/>
                <w:lang w:bidi="ar"/>
              </w:rPr>
              <w:t>21</w:t>
            </w:r>
          </w:p>
        </w:tc>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hint="eastAsia" w:ascii="Times New Roman" w:hAnsi="Times New Roman" w:eastAsia="方正仿宋_GBK"/>
                <w:sz w:val="28"/>
                <w:szCs w:val="28"/>
                <w:lang w:bidi="ar"/>
              </w:rPr>
              <w:t>长寿区</w:t>
            </w:r>
          </w:p>
        </w:tc>
        <w:tc>
          <w:tcPr>
            <w:tcW w:w="1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ascii="Times New Roman" w:hAnsi="Times New Roman" w:eastAsia="方正仿宋_GBK"/>
                <w:sz w:val="28"/>
                <w:szCs w:val="28"/>
                <w:lang w:bidi="ar"/>
              </w:rPr>
              <w:t>10</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10</w:t>
            </w:r>
          </w:p>
        </w:tc>
        <w:tc>
          <w:tcPr>
            <w:tcW w:w="24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hint="eastAsia" w:ascii="Times New Roman" w:hAnsi="Times New Roman" w:eastAsia="方正仿宋_GBK"/>
                <w:sz w:val="28"/>
                <w:szCs w:val="28"/>
                <w:lang w:bidi="ar"/>
              </w:rPr>
              <w:t>22</w:t>
            </w:r>
          </w:p>
        </w:tc>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hint="eastAsia" w:ascii="Times New Roman" w:hAnsi="Times New Roman" w:eastAsia="方正仿宋_GBK"/>
                <w:sz w:val="28"/>
                <w:szCs w:val="28"/>
                <w:lang w:bidi="ar"/>
              </w:rPr>
              <w:t>大足区</w:t>
            </w:r>
          </w:p>
        </w:tc>
        <w:tc>
          <w:tcPr>
            <w:tcW w:w="1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ascii="Times New Roman" w:hAnsi="Times New Roman" w:eastAsia="方正仿宋_GBK"/>
                <w:sz w:val="28"/>
                <w:szCs w:val="28"/>
                <w:lang w:bidi="ar"/>
              </w:rPr>
              <w:t>8</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8</w:t>
            </w:r>
          </w:p>
        </w:tc>
        <w:tc>
          <w:tcPr>
            <w:tcW w:w="24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hint="eastAsia" w:ascii="Times New Roman" w:hAnsi="Times New Roman" w:eastAsia="方正仿宋_GBK"/>
                <w:sz w:val="28"/>
                <w:szCs w:val="28"/>
                <w:lang w:bidi="ar"/>
              </w:rPr>
              <w:t>23</w:t>
            </w:r>
          </w:p>
        </w:tc>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hint="eastAsia" w:ascii="Times New Roman" w:hAnsi="Times New Roman" w:eastAsia="方正仿宋_GBK"/>
                <w:sz w:val="28"/>
                <w:szCs w:val="28"/>
                <w:lang w:bidi="ar"/>
              </w:rPr>
              <w:t>永川区</w:t>
            </w:r>
          </w:p>
        </w:tc>
        <w:tc>
          <w:tcPr>
            <w:tcW w:w="1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ascii="Times New Roman" w:hAnsi="Times New Roman" w:eastAsia="方正仿宋_GBK"/>
                <w:sz w:val="28"/>
                <w:szCs w:val="28"/>
                <w:lang w:bidi="ar"/>
              </w:rPr>
              <w:t>7</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7</w:t>
            </w:r>
          </w:p>
        </w:tc>
        <w:tc>
          <w:tcPr>
            <w:tcW w:w="24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hint="eastAsia" w:ascii="Times New Roman" w:hAnsi="Times New Roman" w:eastAsia="方正仿宋_GBK"/>
                <w:sz w:val="28"/>
                <w:szCs w:val="28"/>
                <w:lang w:bidi="ar"/>
              </w:rPr>
              <w:t>24</w:t>
            </w:r>
          </w:p>
        </w:tc>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hint="eastAsia" w:ascii="Times New Roman" w:hAnsi="Times New Roman" w:eastAsia="方正仿宋_GBK"/>
                <w:sz w:val="28"/>
                <w:szCs w:val="28"/>
                <w:lang w:bidi="ar"/>
              </w:rPr>
              <w:t>璧山区</w:t>
            </w:r>
          </w:p>
        </w:tc>
        <w:tc>
          <w:tcPr>
            <w:tcW w:w="1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ascii="Times New Roman" w:hAnsi="Times New Roman" w:eastAsia="方正仿宋_GBK"/>
                <w:sz w:val="28"/>
                <w:szCs w:val="28"/>
                <w:lang w:bidi="ar"/>
              </w:rPr>
              <w:t>4</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4</w:t>
            </w:r>
          </w:p>
        </w:tc>
        <w:tc>
          <w:tcPr>
            <w:tcW w:w="24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hint="eastAsia" w:ascii="Times New Roman" w:hAnsi="Times New Roman" w:eastAsia="方正仿宋_GBK"/>
                <w:sz w:val="28"/>
                <w:szCs w:val="28"/>
                <w:lang w:bidi="ar"/>
              </w:rPr>
              <w:t>25</w:t>
            </w:r>
          </w:p>
        </w:tc>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hint="eastAsia" w:ascii="Times New Roman" w:hAnsi="Times New Roman" w:eastAsia="方正仿宋_GBK"/>
                <w:sz w:val="28"/>
                <w:szCs w:val="28"/>
                <w:lang w:bidi="ar"/>
              </w:rPr>
              <w:t>涪陵区</w:t>
            </w:r>
          </w:p>
        </w:tc>
        <w:tc>
          <w:tcPr>
            <w:tcW w:w="1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ascii="Times New Roman" w:hAnsi="Times New Roman" w:eastAsia="方正仿宋_GBK"/>
                <w:sz w:val="28"/>
                <w:szCs w:val="28"/>
                <w:lang w:bidi="ar"/>
              </w:rPr>
              <w:t>3</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3</w:t>
            </w:r>
          </w:p>
        </w:tc>
        <w:tc>
          <w:tcPr>
            <w:tcW w:w="24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hint="eastAsia" w:ascii="Times New Roman" w:hAnsi="Times New Roman" w:eastAsia="方正仿宋_GBK"/>
                <w:sz w:val="28"/>
                <w:szCs w:val="28"/>
                <w:lang w:bidi="ar"/>
              </w:rPr>
              <w:t>26</w:t>
            </w:r>
          </w:p>
        </w:tc>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hint="eastAsia" w:ascii="Times New Roman" w:hAnsi="Times New Roman" w:eastAsia="方正仿宋_GBK"/>
                <w:sz w:val="28"/>
                <w:szCs w:val="28"/>
                <w:lang w:bidi="ar"/>
              </w:rPr>
              <w:t>江津区</w:t>
            </w:r>
          </w:p>
        </w:tc>
        <w:tc>
          <w:tcPr>
            <w:tcW w:w="1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ascii="Times New Roman" w:hAnsi="Times New Roman" w:eastAsia="方正仿宋_GBK"/>
                <w:sz w:val="28"/>
                <w:szCs w:val="28"/>
                <w:lang w:bidi="ar"/>
              </w:rPr>
              <w:t>1</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1</w:t>
            </w:r>
          </w:p>
        </w:tc>
        <w:tc>
          <w:tcPr>
            <w:tcW w:w="24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hint="eastAsia" w:ascii="Times New Roman" w:hAnsi="Times New Roman" w:eastAsia="方正仿宋_GBK"/>
                <w:sz w:val="28"/>
                <w:szCs w:val="28"/>
                <w:lang w:bidi="ar"/>
              </w:rPr>
              <w:t>27</w:t>
            </w:r>
          </w:p>
        </w:tc>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hint="eastAsia" w:ascii="Times New Roman" w:hAnsi="Times New Roman" w:eastAsia="方正仿宋_GBK"/>
                <w:sz w:val="28"/>
                <w:szCs w:val="28"/>
                <w:lang w:bidi="ar"/>
              </w:rPr>
              <w:t>綦江区</w:t>
            </w:r>
          </w:p>
        </w:tc>
        <w:tc>
          <w:tcPr>
            <w:tcW w:w="1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ascii="Times New Roman" w:hAnsi="Times New Roman" w:eastAsia="方正仿宋_GBK"/>
                <w:sz w:val="28"/>
                <w:szCs w:val="28"/>
                <w:lang w:bidi="ar"/>
              </w:rPr>
              <w:t>1</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1</w:t>
            </w:r>
          </w:p>
        </w:tc>
        <w:tc>
          <w:tcPr>
            <w:tcW w:w="24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hint="eastAsia" w:ascii="Times New Roman" w:hAnsi="Times New Roman" w:eastAsia="方正仿宋_GBK"/>
                <w:sz w:val="28"/>
                <w:szCs w:val="28"/>
                <w:lang w:bidi="ar"/>
              </w:rPr>
              <w:t>28</w:t>
            </w:r>
          </w:p>
        </w:tc>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hint="eastAsia" w:ascii="Times New Roman" w:hAnsi="Times New Roman" w:eastAsia="方正仿宋_GBK"/>
                <w:sz w:val="28"/>
                <w:szCs w:val="28"/>
                <w:lang w:bidi="ar"/>
              </w:rPr>
              <w:t>万盛经开区</w:t>
            </w:r>
          </w:p>
        </w:tc>
        <w:tc>
          <w:tcPr>
            <w:tcW w:w="1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ascii="Times New Roman" w:hAnsi="Times New Roman" w:eastAsia="方正仿宋_GBK"/>
                <w:sz w:val="28"/>
                <w:szCs w:val="28"/>
                <w:lang w:bidi="ar"/>
              </w:rPr>
              <w:t>1</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1</w:t>
            </w:r>
          </w:p>
        </w:tc>
        <w:tc>
          <w:tcPr>
            <w:tcW w:w="24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hint="eastAsia" w:ascii="Times New Roman" w:hAnsi="Times New Roman" w:eastAsia="方正仿宋_GBK"/>
                <w:sz w:val="28"/>
                <w:szCs w:val="28"/>
                <w:lang w:bidi="ar"/>
              </w:rPr>
              <w:t>29</w:t>
            </w:r>
          </w:p>
        </w:tc>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hint="eastAsia" w:ascii="Times New Roman" w:hAnsi="Times New Roman" w:eastAsia="方正仿宋_GBK"/>
                <w:sz w:val="28"/>
                <w:szCs w:val="28"/>
                <w:lang w:bidi="ar"/>
              </w:rPr>
              <w:t>合计</w:t>
            </w:r>
          </w:p>
        </w:tc>
        <w:tc>
          <w:tcPr>
            <w:tcW w:w="1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lang w:bidi="ar"/>
              </w:rPr>
            </w:pPr>
            <w:r>
              <w:rPr>
                <w:rFonts w:ascii="Times New Roman" w:hAnsi="Times New Roman" w:eastAsia="方正仿宋_GBK"/>
                <w:sz w:val="28"/>
                <w:szCs w:val="28"/>
                <w:lang w:bidi="ar"/>
              </w:rPr>
              <w:t>439</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439</w:t>
            </w:r>
          </w:p>
        </w:tc>
        <w:tc>
          <w:tcPr>
            <w:tcW w:w="24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方正仿宋_GBK"/>
                <w:sz w:val="28"/>
                <w:szCs w:val="28"/>
              </w:rPr>
            </w:pPr>
            <w:r>
              <w:rPr>
                <w:rFonts w:ascii="Times New Roman" w:hAnsi="Times New Roman" w:eastAsia="方正仿宋_GBK"/>
                <w:sz w:val="28"/>
                <w:szCs w:val="28"/>
                <w:lang w:bidi="ar"/>
              </w:rPr>
              <w:t>1756</w:t>
            </w:r>
          </w:p>
        </w:tc>
      </w:tr>
    </w:tbl>
    <w:p>
      <w:pPr>
        <w:rPr>
          <w:rFonts w:ascii="Times New Roman" w:hAnsi="Times New Roman"/>
        </w:rPr>
      </w:pPr>
    </w:p>
    <w:p>
      <w:pPr>
        <w:rPr>
          <w:rFonts w:ascii="Times New Roman" w:hAnsi="Times New Roman"/>
        </w:rPr>
      </w:pPr>
    </w:p>
    <w:p>
      <w:pPr>
        <w:pStyle w:val="2"/>
        <w:ind w:left="420"/>
        <w:rPr>
          <w:rFonts w:ascii="Times New Roman" w:hAnsi="Times New Roman"/>
        </w:rPr>
      </w:pPr>
    </w:p>
    <w:p>
      <w:pPr>
        <w:rPr>
          <w:rFonts w:ascii="Times New Roman" w:hAnsi="Times New Roman"/>
        </w:rPr>
      </w:pPr>
    </w:p>
    <w:p>
      <w:pPr>
        <w:pStyle w:val="2"/>
        <w:ind w:left="420"/>
        <w:rPr>
          <w:rFonts w:ascii="Times New Roman" w:hAnsi="Times New Roman"/>
        </w:rPr>
      </w:pPr>
    </w:p>
    <w:p>
      <w:pPr>
        <w:rPr>
          <w:rFonts w:ascii="Times New Roman" w:hAnsi="Times New Roman"/>
        </w:rPr>
      </w:pPr>
    </w:p>
    <w:p>
      <w:pPr>
        <w:pStyle w:val="2"/>
        <w:ind w:left="420"/>
        <w:rPr>
          <w:rFonts w:ascii="Times New Roman" w:hAnsi="Times New Roma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val="0"/>
        <w:snapToGrid w:val="0"/>
        <w:spacing w:beforeAutospacing="0" w:afterAutospacing="0" w:line="600" w:lineRule="exact"/>
        <w:ind w:left="0" w:leftChars="0" w:right="0" w:rightChars="0" w:firstLine="641" w:firstLineChars="0"/>
        <w:contextualSpacing/>
        <w:textAlignment w:val="auto"/>
        <w:rPr>
          <w:rFonts w:hint="eastAsia" w:ascii="Times New Roman" w:hAnsi="Times New Roman" w:eastAsia="方正仿宋_GBK" w:cs="Times New Roman"/>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1417" w:footer="1247" w:gutter="0"/>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9"/>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139065</wp:posOffset>
              </wp:positionV>
              <wp:extent cx="5409565" cy="1905"/>
              <wp:effectExtent l="0" t="0" r="0" b="0"/>
              <wp:wrapNone/>
              <wp:docPr id="2" name="直接连接符 11"/>
              <wp:cNvGraphicFramePr/>
              <a:graphic xmlns:a="http://schemas.openxmlformats.org/drawingml/2006/main">
                <a:graphicData uri="http://schemas.microsoft.com/office/word/2010/wordprocessingShape">
                  <wps:wsp>
                    <wps:cNvCnPr/>
                    <wps:spPr>
                      <a:xfrm flipV="1">
                        <a:off x="0" y="0"/>
                        <a:ext cx="5409565" cy="190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11" o:spid="_x0000_s1026" o:spt="32" type="#_x0000_t32" style="position:absolute;left:0pt;flip:y;margin-left:6pt;margin-top:10.95pt;height:0.15pt;width:425.95pt;z-index:251659264;mso-width-relative:page;mso-height-relative:page;" filled="f" stroked="t" coordsize="21600,21600" o:gfxdata="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vPT&#10;c9YAAAAIAQAADwAAAAAAAAABACAAAAAiAAAAZHJzL2Rvd25yZXYueG1sUEsBAhQAFAAAAAgAh07i&#10;QFEJZD7rAQAAsQMAAA4AAAAAAAAAAQAgAAAAJQEAAGRycy9lMm9Eb2MueG1sUEsFBgAAAAAGAAYA&#10;WQEAAIIFAAAAAA==&#10;">
              <v:fill on="f" focussize="0,0"/>
              <v:stroke weight="1.75pt" color="#005192" joinstyle="miter"/>
              <v:imagedata o:title=""/>
              <o:lock v:ext="edit" aspectratio="f"/>
            </v:shape>
          </w:pict>
        </mc:Fallback>
      </mc:AlternateContent>
    </w:r>
  </w:p>
  <w:p>
    <w:pPr>
      <w:pStyle w:val="9"/>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重庆市经济和信息化委员会</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348615</wp:posOffset>
              </wp:positionV>
              <wp:extent cx="5584190" cy="6985"/>
              <wp:effectExtent l="0" t="0" r="0" b="0"/>
              <wp:wrapNone/>
              <wp:docPr id="1" name="直接连接符 2"/>
              <wp:cNvGraphicFramePr/>
              <a:graphic xmlns:a="http://schemas.openxmlformats.org/drawingml/2006/main">
                <a:graphicData uri="http://schemas.microsoft.com/office/word/2010/wordprocessingShape">
                  <wps:wsp>
                    <wps:cNvCnPr/>
                    <wps:spPr>
                      <a:xfrm>
                        <a:off x="0" y="0"/>
                        <a:ext cx="5584190" cy="698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2" o:spid="_x0000_s1026" o:spt="32" type="#_x0000_t32" style="position:absolute;left:0pt;margin-left:2pt;margin-top:27.45pt;height:0.55pt;width:439.7pt;z-index:251658240;mso-width-relative:page;mso-height-relative:page;" filled="f" stroked="t" coordsize="21600,21600" o:gfxdata="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FC+OjWAAAABwEA&#10;AA8AAAAAAAAAAQAgAAAAIgAAAGRycy9kb3ducmV2LnhtbFBLAQIUABQAAAAIAIdO4kD/lGxc4wEA&#10;AKYDAAAOAAAAAAAAAAEAIAAAACUBAABkcnMvZTJvRG9jLnhtbFBLBQYAAAAABgAGAFkBAAB6BQAA&#10;AAA=&#10;">
              <v:fill on="f" focussize="0,0"/>
              <v:stroke weight="1.75pt" color="#005192" joinstyle="miter"/>
              <v:imagedata o:title=""/>
              <o:lock v:ext="edit" aspectratio="f"/>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attachedTemplate r:id="rId1"/>
  <w:revisionView w:markup="0"/>
  <w:documentProtection w:enforcement="0"/>
  <w:defaultTabStop w:val="420"/>
  <w:hyphenationZone w:val="36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FA03A9"/>
    <w:rsid w:val="019E71BD"/>
    <w:rsid w:val="01E93D58"/>
    <w:rsid w:val="04B679C3"/>
    <w:rsid w:val="05F07036"/>
    <w:rsid w:val="06E00104"/>
    <w:rsid w:val="080F63D8"/>
    <w:rsid w:val="09341458"/>
    <w:rsid w:val="098254C2"/>
    <w:rsid w:val="0A766EDE"/>
    <w:rsid w:val="0AD64BE8"/>
    <w:rsid w:val="0B0912D7"/>
    <w:rsid w:val="0E025194"/>
    <w:rsid w:val="0EEF0855"/>
    <w:rsid w:val="114C3034"/>
    <w:rsid w:val="11DB7C71"/>
    <w:rsid w:val="152D2DCA"/>
    <w:rsid w:val="155B236B"/>
    <w:rsid w:val="187168EA"/>
    <w:rsid w:val="18FA03A9"/>
    <w:rsid w:val="196673CA"/>
    <w:rsid w:val="1CF734C9"/>
    <w:rsid w:val="1DEC284C"/>
    <w:rsid w:val="1E6523AC"/>
    <w:rsid w:val="22440422"/>
    <w:rsid w:val="22BB4BBB"/>
    <w:rsid w:val="2543597C"/>
    <w:rsid w:val="25EB1AF4"/>
    <w:rsid w:val="27925691"/>
    <w:rsid w:val="2DD05FE1"/>
    <w:rsid w:val="2EAE3447"/>
    <w:rsid w:val="31A15F24"/>
    <w:rsid w:val="36CD6211"/>
    <w:rsid w:val="36FB1DF0"/>
    <w:rsid w:val="395347B5"/>
    <w:rsid w:val="39A232A0"/>
    <w:rsid w:val="39E745AA"/>
    <w:rsid w:val="3B5A6BBB"/>
    <w:rsid w:val="3CA154E3"/>
    <w:rsid w:val="3EDA13A6"/>
    <w:rsid w:val="3FF56C14"/>
    <w:rsid w:val="417B75E9"/>
    <w:rsid w:val="42430A63"/>
    <w:rsid w:val="42F058B7"/>
    <w:rsid w:val="436109F6"/>
    <w:rsid w:val="43745AD6"/>
    <w:rsid w:val="441A38D4"/>
    <w:rsid w:val="4504239D"/>
    <w:rsid w:val="4BC77339"/>
    <w:rsid w:val="4C9236C5"/>
    <w:rsid w:val="4E250A85"/>
    <w:rsid w:val="4FFD4925"/>
    <w:rsid w:val="505C172E"/>
    <w:rsid w:val="506405EA"/>
    <w:rsid w:val="52F46F0B"/>
    <w:rsid w:val="532B6A10"/>
    <w:rsid w:val="539E4E99"/>
    <w:rsid w:val="53D8014D"/>
    <w:rsid w:val="54A77D9E"/>
    <w:rsid w:val="550C209A"/>
    <w:rsid w:val="55E064E0"/>
    <w:rsid w:val="572C6D10"/>
    <w:rsid w:val="5DC34279"/>
    <w:rsid w:val="5E500467"/>
    <w:rsid w:val="5FCD688E"/>
    <w:rsid w:val="5FF9BDAA"/>
    <w:rsid w:val="608816D1"/>
    <w:rsid w:val="60EF4E7F"/>
    <w:rsid w:val="648B0A32"/>
    <w:rsid w:val="658F6764"/>
    <w:rsid w:val="665233C1"/>
    <w:rsid w:val="682F3323"/>
    <w:rsid w:val="69AC0D42"/>
    <w:rsid w:val="6A597EEA"/>
    <w:rsid w:val="6AD9688B"/>
    <w:rsid w:val="6B68303F"/>
    <w:rsid w:val="6D0E3F22"/>
    <w:rsid w:val="73C1307A"/>
    <w:rsid w:val="744E4660"/>
    <w:rsid w:val="753355A2"/>
    <w:rsid w:val="759F1C61"/>
    <w:rsid w:val="769F2DE8"/>
    <w:rsid w:val="76C673E0"/>
    <w:rsid w:val="76FDEB7C"/>
    <w:rsid w:val="79C65162"/>
    <w:rsid w:val="79EE7E31"/>
    <w:rsid w:val="7C9011D9"/>
    <w:rsid w:val="7DC651C5"/>
    <w:rsid w:val="7FCC2834"/>
    <w:rsid w:val="92DD1CEF"/>
    <w:rsid w:val="BD9D1569"/>
    <w:rsid w:val="EBDDA9D0"/>
    <w:rsid w:val="F05B4F69"/>
    <w:rsid w:val="F7F902F6"/>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qFormat/>
    <w:uiPriority w:val="0"/>
    <w:pPr>
      <w:widowControl/>
      <w:spacing w:before="100" w:beforeAutospacing="1" w:after="100" w:afterAutospacing="1"/>
      <w:jc w:val="left"/>
      <w:outlineLvl w:val="0"/>
    </w:pPr>
    <w:rPr>
      <w:rFonts w:ascii="宋体" w:hAnsi="宋体" w:eastAsia="宋体" w:cs="宋体"/>
      <w:kern w:val="36"/>
      <w:sz w:val="24"/>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table of authorities"/>
    <w:basedOn w:val="1"/>
    <w:next w:val="1"/>
    <w:uiPriority w:val="0"/>
    <w:pPr>
      <w:spacing w:before="100" w:beforeAutospacing="1" w:after="100" w:afterAutospacing="1"/>
      <w:ind w:left="200" w:leftChars="200"/>
    </w:pPr>
    <w:rPr>
      <w:szCs w:val="21"/>
    </w:rPr>
  </w:style>
  <w:style w:type="paragraph" w:styleId="5">
    <w:name w:val="annotation text"/>
    <w:basedOn w:val="1"/>
    <w:qFormat/>
    <w:uiPriority w:val="0"/>
    <w:pPr>
      <w:jc w:val="left"/>
    </w:pPr>
  </w:style>
  <w:style w:type="paragraph" w:styleId="6">
    <w:name w:val="Body Text"/>
    <w:basedOn w:val="1"/>
    <w:next w:val="7"/>
    <w:qFormat/>
    <w:uiPriority w:val="0"/>
    <w:rPr>
      <w:rFonts w:ascii="Calibri" w:hAnsi="Calibri" w:eastAsia="仿宋_GB2312" w:cs="Times New Roman"/>
      <w:sz w:val="28"/>
    </w:rPr>
  </w:style>
  <w:style w:type="paragraph" w:styleId="7">
    <w:name w:val="index 7"/>
    <w:basedOn w:val="1"/>
    <w:next w:val="1"/>
    <w:qFormat/>
    <w:uiPriority w:val="0"/>
    <w:pPr>
      <w:ind w:left="2520"/>
    </w:pPr>
    <w:rPr>
      <w:rFonts w:ascii="Calibri" w:hAnsi="Calibri" w:eastAsia="宋体" w:cs="Times New Roma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2.wpt</Template>
  <Pages>4</Pages>
  <Words>1105</Words>
  <Characters>1160</Characters>
  <Lines>1</Lines>
  <Paragraphs>1</Paragraphs>
  <ScaleCrop>false</ScaleCrop>
  <LinksUpToDate>false</LinksUpToDate>
  <CharactersWithSpaces>1204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2024-01-05T01:55:00Z</dcterms:created>
  <dc:creator>熊雪芹</dc:creator>
  <cp:lastModifiedBy>徐琳</cp:lastModifiedBy>
  <dcterms:modified xsi:type="dcterms:W3CDTF">2025-04-14T07:06:29Z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48C61CB29D3F4D9384F5922CF0F7FFB4</vt:lpwstr>
  </property>
</Properties>
</file>