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关于废止部分行政规范性文件的通知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20</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各区县（自治县）经济信息委，两江新区、西部科学城重庆高新区、万盛经开区经信部门，有关单位：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根据《重庆市行政规范性文件管理办法》（重庆市人民政府令第329号），我委对制定的行政规范性文件进行清理，经研究，决定将《重庆市经济和信息化委员会关于印发重庆市特色产业基地创建管理办法的通知》（渝经信园区〔2019〕19号）等9件行政规范性文件予以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本通知自公布之日起施行。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附件：废止的市经济信息委行政规范性文件目录（9件）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重庆市经济和信息化委员会</w:t>
      </w:r>
    </w:p>
    <w:p>
      <w:pPr>
        <w:keepNext w:val="0"/>
        <w:keepLines w:val="0"/>
        <w:pageBreakBefore w:val="0"/>
        <w:widowControl w:val="0"/>
        <w:tabs>
          <w:tab w:val="left" w:pos="819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2024年12月25日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left"/>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600" w:lineRule="exact"/>
        <w:ind w:left="0" w:leftChars="0" w:right="0" w:rightChars="0" w:firstLine="0" w:firstLineChars="0"/>
        <w:jc w:val="both"/>
        <w:textAlignment w:val="auto"/>
        <w:outlineLvl w:val="1"/>
        <w:rPr>
          <w:rFonts w:hint="default"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beforeAutospacing="0" w:after="159" w:afterLines="50" w:afterAutospacing="0" w:line="540" w:lineRule="exact"/>
        <w:ind w:left="0" w:leftChars="0" w:right="0" w:rightChars="0" w:firstLine="0" w:firstLineChars="0"/>
        <w:jc w:val="center"/>
        <w:textAlignment w:val="auto"/>
        <w:outlineLvl w:val="9"/>
        <w:rPr>
          <w:rFonts w:hint="default" w:ascii="Times New Roman" w:hAnsi="Times New Roman" w:eastAsia="方正小标宋_GBK"/>
          <w:spacing w:val="-20"/>
          <w:sz w:val="44"/>
          <w:szCs w:val="44"/>
          <w:lang w:val="en-US" w:eastAsia="zh-CN"/>
        </w:rPr>
      </w:pPr>
      <w:r>
        <w:rPr>
          <w:rFonts w:hint="default" w:ascii="Times New Roman" w:hAnsi="Times New Roman" w:eastAsia="方正小标宋_GBK" w:cs="Times New Roman"/>
          <w:color w:val="000000"/>
          <w:spacing w:val="-20"/>
          <w:sz w:val="44"/>
          <w:szCs w:val="44"/>
        </w:rPr>
        <w:t>废止的</w:t>
      </w:r>
      <w:r>
        <w:rPr>
          <w:rFonts w:hint="eastAsia" w:ascii="Times New Roman" w:hAnsi="Times New Roman" w:eastAsia="方正小标宋_GBK" w:cs="Times New Roman"/>
          <w:color w:val="000000"/>
          <w:spacing w:val="-20"/>
          <w:sz w:val="44"/>
          <w:szCs w:val="44"/>
          <w:lang w:eastAsia="zh-CN"/>
        </w:rPr>
        <w:t>市经济信息委行政</w:t>
      </w:r>
      <w:r>
        <w:rPr>
          <w:rFonts w:hint="default" w:ascii="Times New Roman" w:hAnsi="Times New Roman" w:eastAsia="方正小标宋_GBK" w:cs="Times New Roman"/>
          <w:color w:val="000000"/>
          <w:spacing w:val="-20"/>
          <w:sz w:val="44"/>
          <w:szCs w:val="44"/>
        </w:rPr>
        <w:t>规范性文件目录</w:t>
      </w:r>
      <w:r>
        <w:rPr>
          <w:rFonts w:hint="eastAsia" w:ascii="Times New Roman" w:hAnsi="Times New Roman" w:eastAsia="方正小标宋_GBK" w:cs="Times New Roman"/>
          <w:color w:val="000000"/>
          <w:spacing w:val="-20"/>
          <w:sz w:val="44"/>
          <w:szCs w:val="44"/>
          <w:lang w:eastAsia="zh-CN"/>
        </w:rPr>
        <w:t>（</w:t>
      </w:r>
      <w:r>
        <w:rPr>
          <w:rFonts w:hint="default" w:ascii="Times New Roman" w:hAnsi="Times New Roman" w:eastAsia="方正小标宋_GBK" w:cs="Times New Roman"/>
          <w:color w:val="000000"/>
          <w:spacing w:val="-20"/>
          <w:sz w:val="44"/>
          <w:szCs w:val="44"/>
          <w:lang w:val="en-US" w:eastAsia="zh-CN"/>
        </w:rPr>
        <w:t>9</w:t>
      </w:r>
      <w:r>
        <w:rPr>
          <w:rFonts w:hint="eastAsia" w:ascii="Times New Roman" w:hAnsi="Times New Roman" w:eastAsia="方正小标宋_GBK" w:cs="方正小标宋_GBK"/>
          <w:color w:val="000000"/>
          <w:spacing w:val="-20"/>
          <w:sz w:val="44"/>
          <w:szCs w:val="44"/>
          <w:lang w:val="en-US" w:eastAsia="zh-CN"/>
        </w:rPr>
        <w:t>件）</w:t>
      </w:r>
    </w:p>
    <w:tbl>
      <w:tblPr>
        <w:tblStyle w:val="13"/>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12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000000"/>
                <w:spacing w:val="-20"/>
                <w:sz w:val="28"/>
                <w:szCs w:val="28"/>
              </w:rPr>
            </w:pPr>
            <w:r>
              <w:rPr>
                <w:rFonts w:hint="default" w:ascii="Times New Roman" w:hAnsi="Times New Roman" w:eastAsia="方正黑体_GBK" w:cs="Times New Roman"/>
                <w:color w:val="000000"/>
                <w:spacing w:val="-20"/>
                <w:sz w:val="28"/>
                <w:szCs w:val="28"/>
              </w:rPr>
              <w:t>序号</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名称</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1</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重庆市经济和信息化委员会关于印发重庆市特色产业基地创建管理办法的通知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kern w:val="0"/>
                <w:sz w:val="28"/>
                <w:szCs w:val="28"/>
                <w:u w:val="none"/>
                <w:lang w:val="en-US" w:eastAsia="zh-CN" w:bidi="ar"/>
              </w:rPr>
              <w:t>渝经信园区〔2019〕19号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2</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重庆市经济和信息化委员会关于印发重庆市软件产业园认定管理办法暂行的通知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渝经信发〔2019〕123号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3</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重庆市经济和信息化委员会等十二部门关于印发重庆市5G应用</w:t>
            </w:r>
            <w:r>
              <w:rPr>
                <w:rFonts w:hint="eastAsia" w:ascii="方正仿宋_GBK" w:hAnsi="方正仿宋_GBK" w:eastAsia="方正仿宋_GBK" w:cs="方正仿宋_GBK"/>
                <w:i w:val="0"/>
                <w:color w:val="000000"/>
                <w:spacing w:val="0"/>
                <w:w w:val="100"/>
                <w:kern w:val="0"/>
                <w:position w:val="0"/>
                <w:sz w:val="28"/>
                <w:szCs w:val="28"/>
                <w:u w:val="none"/>
                <w:vertAlign w:val="baseline"/>
                <w:lang w:val="en-US" w:eastAsia="zh-CN" w:bidi="ar"/>
              </w:rPr>
              <w:t>“扬帆”</w:t>
            </w: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行动计划（2021</w:t>
            </w: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w:t>
            </w: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2023年）的通知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4</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重庆市经济和信息化委员会等</w:t>
            </w:r>
            <w:r>
              <w:rPr>
                <w:rFonts w:hint="eastAsia" w:ascii="Times New Roman" w:hAnsi="Times New Roman" w:eastAsia="方正仿宋_GBK" w:cs="Times New Roman"/>
                <w:i w:val="0"/>
                <w:color w:val="000000"/>
                <w:kern w:val="0"/>
                <w:sz w:val="28"/>
                <w:szCs w:val="28"/>
                <w:u w:val="none"/>
                <w:lang w:val="en-US" w:eastAsia="zh-CN" w:bidi="ar"/>
              </w:rPr>
              <w:t>7</w:t>
            </w:r>
            <w:r>
              <w:rPr>
                <w:rFonts w:hint="default" w:ascii="Times New Roman" w:hAnsi="Times New Roman" w:eastAsia="方正仿宋_GBK" w:cs="Times New Roman"/>
                <w:i w:val="0"/>
                <w:color w:val="000000"/>
                <w:kern w:val="0"/>
                <w:sz w:val="28"/>
                <w:szCs w:val="28"/>
                <w:u w:val="none"/>
                <w:lang w:val="en-US" w:eastAsia="zh-CN" w:bidi="ar"/>
              </w:rPr>
              <w:t>部门关于</w:t>
            </w:r>
            <w:bookmarkStart w:id="0" w:name="_GoBack"/>
            <w:bookmarkEnd w:id="0"/>
            <w:r>
              <w:rPr>
                <w:rFonts w:hint="default" w:ascii="Times New Roman" w:hAnsi="Times New Roman" w:eastAsia="方正仿宋_GBK" w:cs="Times New Roman"/>
                <w:i w:val="0"/>
                <w:color w:val="000000"/>
                <w:kern w:val="0"/>
                <w:sz w:val="28"/>
                <w:szCs w:val="28"/>
                <w:u w:val="none"/>
                <w:lang w:val="en-US" w:eastAsia="zh-CN" w:bidi="ar"/>
              </w:rPr>
              <w:t>印发重庆市工业信息安全事件应急预案（试行）的通知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渝经信规范〔2021〕8号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5</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重庆市经济和信息化委员会关于印发重庆市提振工业经济运行若干政策措施的通知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6</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重庆市经济和信息化委员会关于印发推动领军</w:t>
            </w:r>
            <w:r>
              <w:rPr>
                <w:rFonts w:hint="default" w:ascii="Times New Roman" w:hAnsi="Times New Roman" w:eastAsia="方正仿宋_GBK" w:cs="Times New Roman"/>
                <w:i w:val="0"/>
                <w:color w:val="000000"/>
                <w:spacing w:val="-3"/>
                <w:w w:val="100"/>
                <w:kern w:val="0"/>
                <w:position w:val="0"/>
                <w:sz w:val="28"/>
                <w:szCs w:val="28"/>
                <w:u w:val="none"/>
                <w:vertAlign w:val="baseline"/>
                <w:lang w:val="en-US" w:eastAsia="zh-CN" w:bidi="ar"/>
              </w:rPr>
              <w:t>（链主）企业加快产业链融通发展十条措施的通知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7</w:t>
            </w:r>
          </w:p>
        </w:tc>
        <w:tc>
          <w:tcPr>
            <w:tcW w:w="6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cente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重庆市经济和信息化委员会关于印发重庆市钢铁电解铝水泥玻璃行业产能置换操作办法的通知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渝经信规范〔2022〕10号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8</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重庆市经济和信息化委员会关于印发重庆市加力振作工业经济若干政策措施的通知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黑体_GBK" w:cs="Times New Roman"/>
                <w:color w:val="000000"/>
                <w:sz w:val="28"/>
                <w:szCs w:val="28"/>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center"/>
              <w:textAlignment w:val="auto"/>
              <w:rPr>
                <w:rFonts w:hint="eastAsia" w:ascii="Times New Roman" w:hAnsi="Times New Roman" w:eastAsia="方正黑体_GBK" w:cs="Times New Roman"/>
                <w:color w:val="000000"/>
                <w:spacing w:val="-20"/>
                <w:sz w:val="28"/>
                <w:szCs w:val="28"/>
                <w:lang w:val="en-US" w:eastAsia="zh-CN"/>
              </w:rPr>
            </w:pPr>
            <w:r>
              <w:rPr>
                <w:rFonts w:hint="eastAsia" w:ascii="Times New Roman" w:hAnsi="Times New Roman" w:eastAsia="方正仿宋_GBK" w:cs="Times New Roman"/>
                <w:i w:val="0"/>
                <w:color w:val="000000"/>
                <w:spacing w:val="0"/>
                <w:w w:val="100"/>
                <w:kern w:val="0"/>
                <w:position w:val="0"/>
                <w:sz w:val="28"/>
                <w:szCs w:val="28"/>
                <w:u w:val="none"/>
                <w:vertAlign w:val="baseline"/>
                <w:lang w:val="en-US" w:eastAsia="zh-CN" w:bidi="ar"/>
              </w:rPr>
              <w:t>9</w:t>
            </w:r>
          </w:p>
        </w:tc>
        <w:tc>
          <w:tcPr>
            <w:tcW w:w="612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Lines="0" w:after="0" w:afterLines="0" w:line="0" w:lineRule="atLeast"/>
              <w:ind w:left="0" w:leftChars="0" w:right="0" w:rightChars="0" w:firstLine="0" w:firstLineChars="0"/>
              <w:jc w:val="both"/>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重庆市经济和信息化委员会关于印发《重庆市工业产业大脑建设指南（1.0）》和《重庆市未来工厂建设指南（1.0）》的通知</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left"/>
              <w:textAlignment w:val="center"/>
              <w:outlineLvl w:val="9"/>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i w:val="0"/>
                <w:color w:val="000000"/>
                <w:spacing w:val="0"/>
                <w:w w:val="100"/>
                <w:kern w:val="0"/>
                <w:position w:val="0"/>
                <w:sz w:val="28"/>
                <w:szCs w:val="28"/>
                <w:u w:val="none"/>
                <w:vertAlign w:val="baseline"/>
                <w:lang w:val="en-US" w:eastAsia="zh-CN" w:bidi="ar"/>
              </w:rPr>
              <w:t>渝经信规范〔2024〕2号</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240" w:lineRule="atLeast"/>
        <w:ind w:left="0" w:leftChars="0" w:right="0" w:rightChars="0" w:firstLine="0" w:firstLineChars="0"/>
        <w:contextualSpacing/>
        <w:jc w:val="both"/>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E122D"/>
    <w:multiLevelType w:val="multilevel"/>
    <w:tmpl w:val="F4AE122D"/>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C449DD"/>
    <w:rsid w:val="06E00104"/>
    <w:rsid w:val="080F63D8"/>
    <w:rsid w:val="09341458"/>
    <w:rsid w:val="09386265"/>
    <w:rsid w:val="098254C2"/>
    <w:rsid w:val="0A766EDE"/>
    <w:rsid w:val="0AD64BE8"/>
    <w:rsid w:val="0B0912D7"/>
    <w:rsid w:val="0D9374D6"/>
    <w:rsid w:val="0E025194"/>
    <w:rsid w:val="0EEF0855"/>
    <w:rsid w:val="11DB7C71"/>
    <w:rsid w:val="148F598C"/>
    <w:rsid w:val="152D2DCA"/>
    <w:rsid w:val="165E4F98"/>
    <w:rsid w:val="187168EA"/>
    <w:rsid w:val="187E3C97"/>
    <w:rsid w:val="18FA03A9"/>
    <w:rsid w:val="196673CA"/>
    <w:rsid w:val="1A72484F"/>
    <w:rsid w:val="1CF734C9"/>
    <w:rsid w:val="1DEC284C"/>
    <w:rsid w:val="1E6523AC"/>
    <w:rsid w:val="22440422"/>
    <w:rsid w:val="22BB4BBB"/>
    <w:rsid w:val="25EB1AF4"/>
    <w:rsid w:val="278E5A11"/>
    <w:rsid w:val="27925691"/>
    <w:rsid w:val="2DD05FE1"/>
    <w:rsid w:val="2EAE3447"/>
    <w:rsid w:val="31A15F24"/>
    <w:rsid w:val="36871F76"/>
    <w:rsid w:val="36FB1DF0"/>
    <w:rsid w:val="386D7FF9"/>
    <w:rsid w:val="387A7D88"/>
    <w:rsid w:val="395347B5"/>
    <w:rsid w:val="39A232A0"/>
    <w:rsid w:val="39E745AA"/>
    <w:rsid w:val="3B5A6BBB"/>
    <w:rsid w:val="3CA154E3"/>
    <w:rsid w:val="3EDA13A6"/>
    <w:rsid w:val="3FA001BE"/>
    <w:rsid w:val="3FF56C14"/>
    <w:rsid w:val="417B75E9"/>
    <w:rsid w:val="42430A63"/>
    <w:rsid w:val="42F058B7"/>
    <w:rsid w:val="436109F6"/>
    <w:rsid w:val="441A38D4"/>
    <w:rsid w:val="4504239D"/>
    <w:rsid w:val="47476C26"/>
    <w:rsid w:val="4BC77339"/>
    <w:rsid w:val="4C9236C5"/>
    <w:rsid w:val="4E250A85"/>
    <w:rsid w:val="4FFD4925"/>
    <w:rsid w:val="505C172E"/>
    <w:rsid w:val="506405EA"/>
    <w:rsid w:val="52F46F0B"/>
    <w:rsid w:val="532B6A10"/>
    <w:rsid w:val="539E4E99"/>
    <w:rsid w:val="53D8014D"/>
    <w:rsid w:val="550C209A"/>
    <w:rsid w:val="55E064E0"/>
    <w:rsid w:val="57111F29"/>
    <w:rsid w:val="572C6D10"/>
    <w:rsid w:val="59BE0938"/>
    <w:rsid w:val="5DC34279"/>
    <w:rsid w:val="5E500467"/>
    <w:rsid w:val="5FCD688E"/>
    <w:rsid w:val="5FF9BDAA"/>
    <w:rsid w:val="608816D1"/>
    <w:rsid w:val="60EF4E7F"/>
    <w:rsid w:val="648B0A32"/>
    <w:rsid w:val="658F6764"/>
    <w:rsid w:val="665233C1"/>
    <w:rsid w:val="69AC0D42"/>
    <w:rsid w:val="6A597EEA"/>
    <w:rsid w:val="6AD9688B"/>
    <w:rsid w:val="6AE23F57"/>
    <w:rsid w:val="6B68303F"/>
    <w:rsid w:val="6D0E3F22"/>
    <w:rsid w:val="6ECD1532"/>
    <w:rsid w:val="6F372B03"/>
    <w:rsid w:val="732331E2"/>
    <w:rsid w:val="744E4660"/>
    <w:rsid w:val="753355A2"/>
    <w:rsid w:val="759F1C61"/>
    <w:rsid w:val="769F2DE8"/>
    <w:rsid w:val="76C673E0"/>
    <w:rsid w:val="76FDEB7C"/>
    <w:rsid w:val="79C65162"/>
    <w:rsid w:val="79EE7E31"/>
    <w:rsid w:val="7C9011D9"/>
    <w:rsid w:val="7DC651C5"/>
    <w:rsid w:val="7FCC2834"/>
    <w:rsid w:val="7FFB217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2">
    <w:name w:val="heading 2"/>
    <w:basedOn w:val="1"/>
    <w:next w:val="1"/>
    <w:unhideWhenUsed/>
    <w:qFormat/>
    <w:uiPriority w:val="0"/>
    <w:pPr>
      <w:keepNext/>
      <w:keepLines/>
      <w:numPr>
        <w:ilvl w:val="1"/>
        <w:numId w:val="1"/>
      </w:numPr>
      <w:spacing w:before="0" w:after="0" w:line="240" w:lineRule="auto"/>
      <w:ind w:left="0" w:hanging="575"/>
      <w:outlineLvl w:val="1"/>
    </w:pPr>
    <w:rPr>
      <w:rFonts w:ascii="Calibri Light" w:hAnsi="Calibri Light" w:eastAsia="方正楷体_GBK" w:cs="Times New Roman"/>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rFonts w:ascii="Calibri" w:hAnsi="Calibri" w:eastAsia="仿宋_GB2312" w:cs="Times New Roman"/>
      <w:sz w:val="28"/>
    </w:rPr>
  </w:style>
  <w:style w:type="paragraph" w:styleId="7">
    <w:name w:val="index 7"/>
    <w:basedOn w:val="1"/>
    <w:next w:val="1"/>
    <w:qFormat/>
    <w:uiPriority w:val="0"/>
    <w:pPr>
      <w:ind w:left="252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默认"/>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000000"/>
      <w:vertAlign w:val="baseline"/>
      <w:lang w:val="zh-CN" w:eastAsia="zh-CN"/>
    </w:rPr>
  </w:style>
  <w:style w:type="paragraph" w:customStyle="1" w:styleId="16">
    <w:name w:val="正文缩进2"/>
    <w:basedOn w:val="1"/>
    <w:qFormat/>
    <w:uiPriority w:val="0"/>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TotalTime>0</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Administrator</cp:lastModifiedBy>
  <dcterms:modified xsi:type="dcterms:W3CDTF">2025-02-14T03:39:04Z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