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 xml:space="preserve">重庆市经济和信息化委员会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中共重庆市委金融委员会办公室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 xml:space="preserve">重庆市财政局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中国人民银行重庆市分行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 xml:space="preserve">国家金融监督管理总局重庆监管局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关于印发重庆市迭代优化“技改专项贷”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二十条政策措施（2024—2027年）的通知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渝经信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规范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>各区县（自治县），两江新区、西部科学城重庆高新区、万盛经开区经信、财政、金融工作管理部门，人民银行各二级分行，国家金融监督管理总局重庆各监管分局，各金融机构，有关单位：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>为贯彻落实市委、市政府工作要求，迭代升级“技改专项贷”政策，进一步发挥金融助力企业技术改造的重要作用，经市政府同意，市经济信息委、市委金融办、市财政局、人行重庆市分行、金融监管总局重庆监管局联合制定了《重庆市迭代优化“技改专项贷”二十条政策措施（2024—2027年）》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                    重庆市经济和信息化委员会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                  中共重庆市委金融委员会办公室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                          重庆市财政局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                     中国人民银行重庆市分行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国家金融监督管理总局重庆监管局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                         2024年5月10日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重庆市迭代优化“技改专项贷”二十条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政策措施（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2027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年）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为贯彻落实市委、市政府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工作要求，迭代升级“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技改专项贷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”政策，进一步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发挥金融助力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企业技术改造（含“改扩建”，下同）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的重要作用，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特制定本政策措施。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  <w:t>一、财政政策扩面升级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（一）扩大贴息支持范围。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将“技改专项贷”贷款贴息范围由原方案包含的设备购置及安装、软件购置、网络建设等软硬件投入扩大到整个技改项目贷款（不含土地），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按照企业实际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贷款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利率的50%，最高不超过贷款金额的2%给予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贴息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单个企业项目每年贴息上限为1000万元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（二）调整项目贴息下限。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将“技改项目投资额（包括设备购置及安装费、软件购置费、网络建设费）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1000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万元（含）以上”项目贴息的门槛限制调整为“技改项目投资额（不含土地）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万元（含）以上”。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（三）新设融资租赁贴息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支持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制造业企业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通过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直接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融资租赁方式购置设备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推动实施技术改造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，将符合条件的融资租赁直租业务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（含“直转回”，下同）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纳入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技改专项贷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支持范围，给予2%的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贴息，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单个企业项目每年贴息上限为500万元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方正黑体_GBK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二、金融政策联动集成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（四）加强货币政策联动。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用好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5000亿元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国家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科技创新和技术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改造再贷款政策，提前做好项目储备，推动本地分行加强与总行对接，争取更多国家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科技创新和技术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改造再贷款额度支持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。初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设100亿元支农支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小再贷款资金，专项支持地方法人金融机构向涉农企业、小微企业和单户授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信3000万元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以下的民营企业发放技改贷款。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（五）加强担保政策联动。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对为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技改专项贷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项目提供担保且年化担保费率不超过1%的融资担保机构，按不超过实际担保费率的50%给予奖补，单个企业项目担保奖补上限为100万元。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（六）加强保险政策联动。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对首台（套）重大技术装备，按照不超过实际投保年度保费的80%且实际保险费率不超过3%的上限，给予单个产品最高500万元保费补贴。对已投保软件首版次质量安全责任保险的企业，按照实际投保年度保费的80%进行补贴，最高不超过100万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元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。对技改企业投保技改项目费用损失保险，按照实际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投保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年度保费的80%进行补贴，最高不超过100万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元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（七）加强债券政策联动。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支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持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制造业企业通过银行间市场和交易所市场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发行科创票据、绿色债券、碳中和债、可持续发展挂钩债券、转型债券等创新产品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融资实施技改项目。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（八）加强转贷政策联动。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优化现有转贷应急周转资金政策体系，将“技改专项贷”纳入政策支持范围，引导银行业金融机构利用政府转贷资金建立跨行“接续贷”产品机制，解决项目后期企业一次性偿还项目贷款资金压力。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方正黑体_GBK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三、银行产品协同创新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（九）推动贷款组合模式创新。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根据企业技改需求，按照项目资金投入周期与企业自身流动性需求，引导银行业金融机构推出“项目前期贷+项目技改贷”，后期匹配综合授信的全方位金融服务模式。有效整合金融机构金融产品，推广“银行+金租”的组合模式，多维度提供金融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（十）强化投贷联动产品和服务创新。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全面梳理清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科排名前100强私募股权投资基金、国家级和市级产业引导基金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投资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企业和重点技改项目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，建立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“投贷联动机会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清单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，引导银行业金融机构将企业最近一轮获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得股权融资的金额作为重要定贷依据，完善投贷联动产品和服务机制，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推动市级产业投资引导基金等股权投资机构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强化与入库企业对接，匹配股权融资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（十一）探索上下游协同技改融资创新。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引导银行业金融机构围绕产业链供应链上下游企业开展的协同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技改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项目创新金融产品，充分考量核心企业供应商合作年限、结算金额等融资要素，强化供应链核心企业融资增信作用，弱化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技改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项目融资抵押、担保要求。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（十二）推动第三方评价结果创新应用。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引导银行业金融机构结合产业部门智能化改造、绿色改造、专精特新企业数字化转型等诊断体系和评价结果，优化完善技改项目贷款指标评价体系，从更多维度、更广视野对企业技改项目开展评价，创新金融产品，扩大技改项目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 w:bidi="ar-SA"/>
        </w:rPr>
        <w:t>四、申报兑现高效便捷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（十三）财政政策低门槛享受。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实行贴息政策“免申即享、先付后贴”，企业仅需完成技改备案和项目入库，无需再提供贴息资料；项目贷款合同、利息支付凭证、贴息账户信息等由金融机构汇总提交，经第三方机构资料审核后，贴息资金直接拨付至企业账户。获得市工业和信息化专项资金投资补助奖励的项目，可同时申报“技改专项贷”贴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（十四）融资成本低利率执行。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鼓励金融机构围绕“技改专项贷”提质增效目标，建立差异化优惠支持政策，缓解技改项目资金压力，对于独角兽企业、潜在独角兽企业、瞪羚企业、专精特新企业等重点制造业企业，在执行利率基础上进一步下探利率空间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（十五）项目融资高效率对接。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强化“重庆产业金融综合服务平台”“长江渝融通”“信易贷·渝惠融”等平台对接，优化“技改专项贷”线上融资需求对接功能，完善“3个1”限时办结跟踪监测机制（1个工作日对接、1周完成方案设计和报批、1周完成贷款发放），推动金融机构优化审批流程，对绿色贷款、重点白名单企业、纯设备购置等重点项目和企业，以出具简要评价意见替代项目评估报告，提高审批时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五、监管评价再优化再提升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（十六）完善监管评价办法。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加强对银行业金融机构的引导，将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技改专项贷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落实情况纳入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人行信贷政策导向效果评估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体系，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采取加分、扣分、约谈等措施。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技改专项贷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推进情况作为单独加分项纳入《重庆市银行业服务制造业监管评价办法》评价指标体系，对工作业绩突出的金融机构给予最高不超过4分的评价加分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（十七）落实尽职免责机制。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鼓励银行业金融机构完善内部考核，适度提高对技改项目贷款不良容忍度。对金融机构合规支持制造业企业技改项目贷款的，不作为违规行为追责问责。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六、保障措施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 w:bidi="ar-SA"/>
        </w:rPr>
        <w:t>（十八）建立揭榜挂帅机制。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采用揭榜挂帅方式，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分别优选3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5家再贷款政策工具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运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用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较好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、贷款利率优惠、申贷手续简便、审贷效率高效、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优势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产品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特色鲜明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的银行业金融机构和融资租赁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，作为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技改专项贷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首批合作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机构，科学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技改专项贷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金融机构综合评价办法，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每年根据综合评价结果对合作银行进行动态更新调整。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 w:bidi="ar-SA"/>
        </w:rPr>
        <w:t>（十九）建立赛马激励机制。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通报表彰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综合评价较好的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银行业金融机构和融资租赁机构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优先兑现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合作银行业金融机构和融资租赁机构发放的“技改专项贷”贷款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贴息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，重点支持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出台技改贷款创新产品的金融机构，编制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和推广“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创新产品库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典型案例库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”。适时建立贴息资金市区共担机制，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建立区县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重点技改项目储备库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入库项目及融资对接基础台账，推动区县完善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技改专项贷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政策和服务体系，将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技改专项贷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政策落实情况纳入区县赛马机制给予通报、调度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 w:bidi="ar-SA"/>
        </w:rPr>
        <w:t>（二十）建立宣传推广机制。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借助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重庆产业金融综合服务平台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长江渝融通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等线上平台，依托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+N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金融服务港湾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区县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融资服务机构”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等线下机构，结合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一链一策一批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”“四访四进”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等活动，围绕各区县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制造业企业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扫街式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技改专项贷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政策宣传，针对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技改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备案项目开展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靶向式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政策解读，推动政策直达直享。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本政策措施自印发之日起三十日后施行。《重庆市先进制造业高质量发展“技改专项贷”实施方案（2023—2027年）》（渝经信规范〔2023〕10号）、《制造业稳增长稳预期若干政策措施》（渝经信规范〔2024〕5号）、《重庆市制造业高质量发展投融资服务行动计划（2024—2027年）》（渝经信规范〔2024〕7号）与本政策措施不一致的，以本政策措施为准，具体由市经济信息委会同相关部门负责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1" w:firstLineChars="0"/>
        <w:contextualSpacing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1417" w:footer="124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139065</wp:posOffset>
              </wp:positionV>
              <wp:extent cx="5409565" cy="1905"/>
              <wp:effectExtent l="0" t="0" r="0" b="0"/>
              <wp:wrapNone/>
              <wp:docPr id="2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9565" cy="190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11" o:spid="_x0000_s1026" o:spt="32" type="#_x0000_t32" style="position:absolute;left:0pt;flip:y;margin-left:6pt;margin-top:10.95pt;height:0.15pt;width:425.95pt;z-index:251659264;mso-width-relative:page;mso-height-relative:page;" filled="f" stroked="t" coordsize="21600,21600" o:gfxdata="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vPT&#10;c9YAAAAIAQAADwAAAAAAAAABACAAAAAiAAAAZHJzL2Rvd25yZXYueG1sUEsBAhQAFAAAAAgAh07i&#10;QFEJZD7rAQAAsQMAAA4AAAAAAAAAAQAgAAAAJQEAAGRycy9lMm9Eb2MueG1sUEsFBgAAAAAGAAYA&#10;WQEAAIIFAAAAAA=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</w:p>
  <w:p>
    <w:pPr>
      <w:pStyle w:val="10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348615</wp:posOffset>
              </wp:positionV>
              <wp:extent cx="5584190" cy="6985"/>
              <wp:effectExtent l="0" t="0" r="0" b="0"/>
              <wp:wrapNone/>
              <wp:docPr id="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4190" cy="698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2" o:spid="_x0000_s1026" o:spt="32" type="#_x0000_t32" style="position:absolute;left:0pt;margin-left:2pt;margin-top:27.45pt;height:0.55pt;width:439.7pt;z-index:251658240;mso-width-relative:page;mso-height-relative:page;" filled="f" stroked="t" coordsize="21600,21600" o:gfxdata="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FC+OjWAAAABwEA&#10;AA8AAAAAAAAAAQAgAAAAIgAAAGRycy9kb3ducmV2LnhtbFBLAQIUABQAAAAIAIdO4kD/lGxc4wEA&#10;AKYDAAAOAAAAAAAAAAEAIAAAACUBAABkcnMvZTJvRG9jLnhtbFBLBQYAAAAABgAGAFkBAAB6BQAA&#10;AAA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A03A9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8FA03A9"/>
    <w:rsid w:val="196673CA"/>
    <w:rsid w:val="1CF734C9"/>
    <w:rsid w:val="1DEC284C"/>
    <w:rsid w:val="1E6523AC"/>
    <w:rsid w:val="22440422"/>
    <w:rsid w:val="22BB4BBB"/>
    <w:rsid w:val="25EB1AF4"/>
    <w:rsid w:val="27925691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3FF8794F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500467"/>
    <w:rsid w:val="5FCD688E"/>
    <w:rsid w:val="5FF9BDAA"/>
    <w:rsid w:val="608816D1"/>
    <w:rsid w:val="60EF4E7F"/>
    <w:rsid w:val="648B0A32"/>
    <w:rsid w:val="658F6764"/>
    <w:rsid w:val="665233C1"/>
    <w:rsid w:val="69664657"/>
    <w:rsid w:val="69AC0D42"/>
    <w:rsid w:val="6A597EEA"/>
    <w:rsid w:val="6AD9688B"/>
    <w:rsid w:val="6B68303F"/>
    <w:rsid w:val="6D0E3F22"/>
    <w:rsid w:val="6E0335E2"/>
    <w:rsid w:val="744E4660"/>
    <w:rsid w:val="753355A2"/>
    <w:rsid w:val="759F1C61"/>
    <w:rsid w:val="769F2DE8"/>
    <w:rsid w:val="76C673E0"/>
    <w:rsid w:val="76FDEB7C"/>
    <w:rsid w:val="798B7B9A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rPr>
      <w:rFonts w:ascii="Calibri" w:hAnsi="Calibri" w:eastAsia="仿宋_GB2312" w:cs="Times New Roman"/>
      <w:sz w:val="28"/>
    </w:rPr>
  </w:style>
  <w:style w:type="paragraph" w:styleId="7">
    <w:name w:val="index 7"/>
    <w:basedOn w:val="1"/>
    <w:next w:val="1"/>
    <w:qFormat/>
    <w:uiPriority w:val="0"/>
    <w:pPr>
      <w:ind w:left="2520"/>
    </w:pPr>
    <w:rPr>
      <w:rFonts w:ascii="Calibri" w:hAnsi="Calibri" w:eastAsia="宋体" w:cs="Times New Roman"/>
    </w:r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2.wpt</Template>
  <Pages>4</Pages>
  <Words>1105</Words>
  <Characters>1160</Characters>
  <Lines>1</Lines>
  <Paragraphs>1</Paragraphs>
  <ScaleCrop>false</ScaleCrop>
  <LinksUpToDate>false</LinksUpToDate>
  <CharactersWithSpaces>1204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2024-01-05T01:55:00Z</dcterms:created>
  <dc:creator>熊雪芹</dc:creator>
  <cp:lastModifiedBy>徐琳</cp:lastModifiedBy>
  <dcterms:modified xsi:type="dcterms:W3CDTF">2024-05-14T08:06:40Z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48C61CB29D3F4D9384F5922CF0F7FFB4</vt:lpwstr>
  </property>
</Properties>
</file>