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重庆市财政局</w:t>
      </w:r>
    </w:p>
    <w:p>
      <w:pPr>
        <w:keepNext w:val="0"/>
        <w:keepLines w:val="0"/>
        <w:pageBreakBefore w:val="0"/>
        <w:widowControl w:val="0"/>
        <w:tabs>
          <w:tab w:val="left" w:pos="8400"/>
        </w:tab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bCs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国家税务总局重庆市税务局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关于印发《制造业稳增长稳预期若干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政策措施》的通知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号</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40" w:lineRule="exact"/>
        <w:ind w:left="0" w:leftChars="0" w:right="0" w:rightChars="0"/>
        <w:jc w:val="center"/>
        <w:textAlignment w:val="auto"/>
        <w:outlineLvl w:val="9"/>
        <w:rPr>
          <w:rFonts w:hint="default" w:ascii="Times New Roman" w:hAnsi="Times New Roman" w:eastAsia="方正小标宋_GBK" w:cs="Times New Roman"/>
          <w:color w:val="00000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bookmarkStart w:id="0" w:name="_GoBack"/>
      <w:r>
        <w:rPr>
          <w:rFonts w:hint="default" w:ascii="Times New Roman" w:hAnsi="Times New Roman" w:eastAsia="方正仿宋_GBK" w:cs="Times New Roman"/>
          <w:kern w:val="0"/>
          <w:sz w:val="32"/>
          <w:szCs w:val="32"/>
          <w:shd w:val="clear" w:color="auto" w:fill="FFFFFF"/>
          <w:lang w:val="en-US" w:eastAsia="zh-CN" w:bidi="ar-SA"/>
        </w:rPr>
        <w:t>各区县（自治县）经济信息委</w:t>
      </w:r>
      <w:r>
        <w:rPr>
          <w:rFonts w:hint="eastAsia" w:ascii="Times New Roman" w:hAnsi="Times New Roman" w:eastAsia="方正仿宋_GBK" w:cs="Times New Roman"/>
          <w:kern w:val="0"/>
          <w:sz w:val="32"/>
          <w:szCs w:val="32"/>
          <w:shd w:val="clear" w:color="auto" w:fill="FFFFFF"/>
          <w:lang w:val="en-US" w:eastAsia="zh-CN" w:bidi="ar-SA"/>
        </w:rPr>
        <w:t>、财政局、税务局</w:t>
      </w:r>
      <w:r>
        <w:rPr>
          <w:rFonts w:hint="default" w:ascii="Times New Roman" w:hAnsi="Times New Roman" w:eastAsia="方正仿宋_GBK" w:cs="Times New Roman"/>
          <w:kern w:val="0"/>
          <w:sz w:val="32"/>
          <w:szCs w:val="32"/>
          <w:shd w:val="clear" w:color="auto" w:fill="FFFFFF"/>
          <w:lang w:val="en-US" w:eastAsia="zh-CN" w:bidi="ar-SA"/>
        </w:rPr>
        <w:t>，两江新区、西部科学城重庆高新区、万盛经开区经信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财政</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税务部门，相关单位：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现将</w:t>
      </w:r>
      <w:r>
        <w:rPr>
          <w:rFonts w:hint="default" w:ascii="Times New Roman" w:hAnsi="Times New Roman" w:eastAsia="方正仿宋_GBK" w:cs="Times New Roman"/>
          <w:kern w:val="0"/>
          <w:sz w:val="32"/>
          <w:szCs w:val="32"/>
          <w:shd w:val="clear" w:color="auto" w:fill="FFFFFF"/>
          <w:lang w:val="en-US" w:eastAsia="zh-CN" w:bidi="ar-SA"/>
        </w:rPr>
        <w:t>《制造业稳增长稳预期若干政策措施》</w:t>
      </w:r>
      <w:r>
        <w:rPr>
          <w:rFonts w:ascii="Times New Roman" w:hAnsi="Times New Roman" w:eastAsia="方正仿宋_GBK" w:cs="Times New Roman"/>
          <w:b w:val="0"/>
          <w:bCs w:val="0"/>
          <w:sz w:val="32"/>
          <w:szCs w:val="32"/>
        </w:rPr>
        <w:t>印发给你们</w:t>
      </w:r>
      <w:r>
        <w:rPr>
          <w:rFonts w:hint="default" w:ascii="Times New Roman" w:hAnsi="Times New Roman" w:eastAsia="方正仿宋_GBK" w:cs="Times New Roman"/>
          <w:kern w:val="0"/>
          <w:sz w:val="32"/>
          <w:szCs w:val="32"/>
          <w:shd w:val="clear" w:color="auto" w:fill="FFFFFF"/>
          <w:lang w:val="en-US" w:eastAsia="zh-CN" w:bidi="ar-SA"/>
        </w:rPr>
        <w:t>，请抓好贯彻落实。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480" w:firstLineChars="14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重庆市经济和信息化委员会</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重庆市财政局</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国家税务总局重庆市税务局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kern w:val="2"/>
          <w:sz w:val="32"/>
          <w:szCs w:val="32"/>
          <w:highlight w:val="none"/>
          <w:shd w:val="clear" w:color="auto" w:fill="auto"/>
          <w:lang w:val="en-US" w:eastAsia="zh-CN"/>
        </w:rPr>
        <w:t xml:space="preserve"> </w:t>
      </w:r>
      <w:r>
        <w:rPr>
          <w:rFonts w:hint="eastAsia" w:ascii="Times New Roman" w:hAnsi="Times New Roman" w:eastAsia="方正仿宋_GBK" w:cs="Times New Roman"/>
          <w:color w:val="000000"/>
          <w:kern w:val="2"/>
          <w:sz w:val="32"/>
          <w:szCs w:val="32"/>
          <w:highlight w:val="none"/>
          <w:shd w:val="clear" w:color="auto" w:fill="auto"/>
          <w:lang w:val="en-US" w:eastAsia="zh-CN"/>
        </w:rPr>
        <w:t xml:space="preserve">   </w:t>
      </w:r>
      <w:r>
        <w:rPr>
          <w:rFonts w:hint="default" w:ascii="Times New Roman" w:hAnsi="Times New Roman" w:eastAsia="方正仿宋_GBK" w:cs="Times New Roman"/>
          <w:color w:val="000000"/>
          <w:kern w:val="2"/>
          <w:sz w:val="32"/>
          <w:szCs w:val="32"/>
          <w:highlight w:val="none"/>
          <w:shd w:val="clear" w:color="auto" w:fill="auto"/>
          <w:lang w:val="en-US" w:eastAsia="zh-CN"/>
        </w:rPr>
        <w:t xml:space="preserve"> 202</w:t>
      </w:r>
      <w:r>
        <w:rPr>
          <w:rFonts w:hint="eastAsia" w:ascii="Times New Roman" w:hAnsi="Times New Roman" w:eastAsia="方正仿宋_GBK" w:cs="Times New Roman"/>
          <w:color w:val="000000"/>
          <w:kern w:val="2"/>
          <w:sz w:val="32"/>
          <w:szCs w:val="32"/>
          <w:highlight w:val="none"/>
          <w:shd w:val="clear" w:color="auto" w:fill="auto"/>
          <w:lang w:val="en-US" w:eastAsia="zh-CN"/>
        </w:rPr>
        <w:t>4</w:t>
      </w:r>
      <w:r>
        <w:rPr>
          <w:rFonts w:hint="default" w:ascii="Times New Roman" w:hAnsi="Times New Roman" w:eastAsia="方正仿宋_GBK" w:cs="Times New Roman"/>
          <w:color w:val="000000"/>
          <w:kern w:val="2"/>
          <w:sz w:val="32"/>
          <w:szCs w:val="32"/>
          <w:highlight w:val="none"/>
          <w:shd w:val="clear" w:color="auto" w:fill="auto"/>
          <w:lang w:val="en-US" w:eastAsia="zh-CN"/>
        </w:rPr>
        <w:t>年</w:t>
      </w:r>
      <w:r>
        <w:rPr>
          <w:rFonts w:hint="eastAsia" w:ascii="Times New Roman" w:hAnsi="Times New Roman" w:eastAsia="方正仿宋_GBK" w:cs="Times New Roman"/>
          <w:color w:val="000000"/>
          <w:kern w:val="2"/>
          <w:sz w:val="32"/>
          <w:szCs w:val="32"/>
          <w:highlight w:val="none"/>
          <w:shd w:val="clear" w:color="auto" w:fill="auto"/>
          <w:lang w:val="en-US" w:eastAsia="zh-CN"/>
        </w:rPr>
        <w:t>2</w:t>
      </w:r>
      <w:r>
        <w:rPr>
          <w:rFonts w:hint="default" w:ascii="Times New Roman" w:hAnsi="Times New Roman" w:eastAsia="方正仿宋_GBK" w:cs="Times New Roman"/>
          <w:color w:val="000000"/>
          <w:kern w:val="2"/>
          <w:sz w:val="32"/>
          <w:szCs w:val="32"/>
          <w:highlight w:val="none"/>
          <w:shd w:val="clear" w:color="auto" w:fill="auto"/>
          <w:lang w:val="en-US" w:eastAsia="zh-CN"/>
        </w:rPr>
        <w:t>月</w:t>
      </w:r>
      <w:r>
        <w:rPr>
          <w:rFonts w:hint="eastAsia" w:ascii="Times New Roman" w:hAnsi="Times New Roman" w:eastAsia="方正仿宋_GBK" w:cs="Times New Roman"/>
          <w:color w:val="000000"/>
          <w:kern w:val="2"/>
          <w:sz w:val="32"/>
          <w:szCs w:val="32"/>
          <w:highlight w:val="none"/>
          <w:shd w:val="clear" w:color="auto" w:fill="auto"/>
          <w:lang w:val="en-US" w:eastAsia="zh-CN"/>
        </w:rPr>
        <w:t>8</w:t>
      </w:r>
      <w:r>
        <w:rPr>
          <w:rFonts w:hint="default" w:ascii="Times New Roman" w:hAnsi="Times New Roman" w:eastAsia="方正仿宋_GBK" w:cs="Times New Roman"/>
          <w:color w:val="000000"/>
          <w:kern w:val="2"/>
          <w:sz w:val="32"/>
          <w:szCs w:val="32"/>
          <w:highlight w:val="none"/>
          <w:shd w:val="clear" w:color="auto" w:fill="auto"/>
          <w:lang w:val="en-US" w:eastAsia="zh-CN"/>
        </w:rPr>
        <w:t>日</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小标宋_GBK" w:cs="Times New Roman"/>
          <w:color w:val="000000"/>
          <w:kern w:val="2"/>
          <w:sz w:val="44"/>
          <w:szCs w:val="44"/>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bookmarkEnd w:id="0"/>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40" w:lineRule="exact"/>
        <w:ind w:left="0" w:leftChars="0" w:right="0" w:rightChars="0"/>
        <w:jc w:val="center"/>
        <w:textAlignment w:val="auto"/>
        <w:outlineLvl w:val="9"/>
        <w:rPr>
          <w:rFonts w:hint="default" w:ascii="Times New Roman" w:hAnsi="Times New Roman" w:eastAsia="方正小标宋_GBK" w:cs="Times New Roman"/>
          <w:color w:val="000000"/>
          <w:kern w:val="2"/>
          <w:sz w:val="44"/>
          <w:szCs w:val="44"/>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jc w:val="center"/>
        <w:textAlignment w:val="auto"/>
        <w:outlineLvl w:val="9"/>
        <w:rPr>
          <w:rFonts w:hint="default" w:ascii="Times New Roman" w:hAnsi="Times New Roman" w:eastAsia="方正小标宋_GBK" w:cs="Times New Roman"/>
          <w:color w:val="000000"/>
          <w:kern w:val="2"/>
          <w:sz w:val="44"/>
          <w:szCs w:val="44"/>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40" w:lineRule="exact"/>
        <w:ind w:left="0" w:leftChars="0" w:right="0" w:rightChars="0"/>
        <w:jc w:val="center"/>
        <w:textAlignment w:val="auto"/>
        <w:outlineLvl w:val="9"/>
        <w:rPr>
          <w:rFonts w:hint="default" w:ascii="Times New Roman" w:hAnsi="Times New Roman" w:eastAsia="方正小标宋_GBK" w:cs="Times New Roman"/>
          <w:color w:val="000000"/>
          <w:kern w:val="2"/>
          <w:sz w:val="44"/>
          <w:szCs w:val="44"/>
          <w:shd w:val="clear" w:color="auto" w:fill="FFFFFF"/>
          <w:lang w:val="en-US" w:eastAsia="zh-CN" w:bidi="ar-SA"/>
        </w:rPr>
      </w:pPr>
      <w:r>
        <w:rPr>
          <w:rFonts w:hint="default" w:ascii="Times New Roman" w:hAnsi="Times New Roman" w:eastAsia="方正小标宋_GBK" w:cs="Times New Roman"/>
          <w:color w:val="000000"/>
          <w:kern w:val="2"/>
          <w:sz w:val="44"/>
          <w:szCs w:val="44"/>
          <w:shd w:val="clear" w:color="auto" w:fill="FFFFFF"/>
          <w:lang w:val="en-US" w:eastAsia="zh-CN" w:bidi="ar-SA"/>
        </w:rPr>
        <w:t>制造业稳增长稳预期若干政策措施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为全面贯彻落实中央经济工作会议精神和市委市政府工作部署，坚持稳中求进、以进促稳、先立后破原则，着力</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稳</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定工业增长、稳住发展预期</w:t>
      </w:r>
      <w:r>
        <w:rPr>
          <w:rFonts w:hint="default" w:ascii="Times New Roman" w:hAnsi="Times New Roman" w:eastAsia="方正仿宋_GBK" w:cs="Times New Roman"/>
          <w:spacing w:val="0"/>
          <w:w w:val="100"/>
          <w:kern w:val="0"/>
          <w:sz w:val="32"/>
          <w:szCs w:val="32"/>
          <w:u w:val="none" w:color="auto"/>
          <w:lang w:val="en-US" w:eastAsia="zh-CN" w:bidi="ar-SA"/>
        </w:rPr>
        <w:t>，制定以下政策措施。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spacing w:val="0"/>
          <w:w w:val="100"/>
          <w:kern w:val="0"/>
          <w:sz w:val="32"/>
          <w:szCs w:val="32"/>
          <w:u w:val="none" w:color="auto"/>
          <w:lang w:val="en-US" w:eastAsia="zh-CN" w:bidi="ar-SA"/>
        </w:rPr>
      </w:pPr>
      <w:r>
        <w:rPr>
          <w:rFonts w:hint="default" w:ascii="Times New Roman" w:hAnsi="Times New Roman" w:eastAsia="方正黑体_GBK" w:cs="Times New Roman"/>
          <w:spacing w:val="0"/>
          <w:w w:val="100"/>
          <w:kern w:val="0"/>
          <w:sz w:val="32"/>
          <w:szCs w:val="32"/>
          <w:u w:val="none" w:color="auto"/>
          <w:lang w:val="en-US" w:eastAsia="zh-CN" w:bidi="ar-SA"/>
        </w:rPr>
        <w:t>一、落实结构性减税阶段性降费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pacing w:val="0"/>
          <w:w w:val="100"/>
          <w:kern w:val="0"/>
          <w:sz w:val="32"/>
          <w:szCs w:val="32"/>
          <w:u w:val="none" w:color="auto"/>
          <w:lang w:val="en-US" w:eastAsia="zh-CN" w:bidi="ar-SA"/>
        </w:rPr>
      </w:pPr>
      <w:r>
        <w:rPr>
          <w:rFonts w:hint="default" w:ascii="Times New Roman" w:hAnsi="Times New Roman" w:eastAsia="方正仿宋_GBK" w:cs="Times New Roman"/>
          <w:spacing w:val="0"/>
          <w:w w:val="100"/>
          <w:kern w:val="0"/>
          <w:sz w:val="32"/>
          <w:szCs w:val="32"/>
          <w:u w:val="none" w:color="auto"/>
          <w:lang w:val="en-US" w:eastAsia="zh-CN" w:bidi="ar-SA"/>
        </w:rPr>
        <w:t>1.先进制造企业按照当期可抵扣进项税额加计5%抵减应纳增值税税额</w:t>
      </w:r>
      <w:r>
        <w:rPr>
          <w:rFonts w:hint="default" w:ascii="Times New Roman" w:hAnsi="Times New Roman" w:eastAsia="方正仿宋_GBK" w:cs="Times New Roman"/>
          <w:sz w:val="32"/>
          <w:szCs w:val="32"/>
          <w:lang w:val="en-US" w:eastAsia="zh-CN"/>
        </w:rPr>
        <w:t>，执行期限至2027年12月31日</w:t>
      </w:r>
      <w:r>
        <w:rPr>
          <w:rFonts w:hint="default" w:ascii="Times New Roman" w:hAnsi="Times New Roman" w:eastAsia="方正仿宋_GBK" w:cs="Times New Roman"/>
          <w:spacing w:val="0"/>
          <w:w w:val="100"/>
          <w:kern w:val="0"/>
          <w:sz w:val="32"/>
          <w:szCs w:val="32"/>
          <w:u w:val="none" w:color="auto"/>
          <w:lang w:val="en-US" w:eastAsia="zh-CN" w:bidi="ar-SA"/>
        </w:rPr>
        <w:t>。小型微利企业减按25%计算应纳税所得额，按20%税率缴纳企业所得税政策，执行期限至2027年12月31日。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auto"/>
          <w:spacing w:val="0"/>
          <w:w w:val="100"/>
          <w:kern w:val="0"/>
          <w:sz w:val="32"/>
          <w:szCs w:val="32"/>
          <w:u w:val="none" w:color="auto"/>
          <w:lang w:val="en-US" w:eastAsia="zh-CN" w:bidi="ar-SA"/>
        </w:rPr>
      </w:pPr>
      <w:r>
        <w:rPr>
          <w:rFonts w:hint="default" w:ascii="Times New Roman" w:hAnsi="Times New Roman" w:eastAsia="方正仿宋_GBK" w:cs="Times New Roman"/>
          <w:spacing w:val="0"/>
          <w:w w:val="100"/>
          <w:kern w:val="0"/>
          <w:sz w:val="32"/>
          <w:szCs w:val="32"/>
          <w:u w:val="none" w:color="auto"/>
          <w:lang w:val="en-US" w:eastAsia="zh-CN" w:bidi="ar-SA"/>
        </w:rPr>
        <w:t>2.继续实施阶段性降低失业保险</w:t>
      </w:r>
      <w:r>
        <w:rPr>
          <w:rFonts w:hint="default" w:ascii="Times New Roman" w:hAnsi="Times New Roman" w:eastAsia="方正仿宋_GBK" w:cs="Times New Roman"/>
          <w:color w:val="auto"/>
          <w:spacing w:val="0"/>
          <w:w w:val="100"/>
          <w:kern w:val="0"/>
          <w:sz w:val="32"/>
          <w:szCs w:val="32"/>
          <w:u w:val="none" w:color="auto"/>
          <w:lang w:val="en-US" w:eastAsia="zh-CN" w:bidi="ar-SA"/>
        </w:rPr>
        <w:t>费率至1%政策，单位及个人的缴费比例均为0.5%。将符合条件行业研发费用加计扣除比例由75%提高至100%，作为制度性安排长期实施。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color w:val="auto"/>
          <w:spacing w:val="0"/>
          <w:w w:val="100"/>
          <w:kern w:val="0"/>
          <w:sz w:val="32"/>
          <w:szCs w:val="32"/>
          <w:u w:val="none" w:color="auto"/>
          <w:lang w:val="en-US" w:eastAsia="zh-CN" w:bidi="ar-SA"/>
        </w:rPr>
      </w:pPr>
      <w:r>
        <w:rPr>
          <w:rFonts w:hint="default" w:ascii="Times New Roman" w:hAnsi="Times New Roman" w:eastAsia="方正黑体_GBK" w:cs="Times New Roman"/>
          <w:color w:val="auto"/>
          <w:spacing w:val="0"/>
          <w:w w:val="100"/>
          <w:kern w:val="0"/>
          <w:sz w:val="32"/>
          <w:szCs w:val="32"/>
          <w:u w:val="none" w:color="auto"/>
          <w:lang w:val="en-US" w:eastAsia="zh-CN" w:bidi="ar-SA"/>
        </w:rPr>
        <w:t>二、</w:t>
      </w:r>
      <w:r>
        <w:rPr>
          <w:rFonts w:hint="default" w:ascii="Times New Roman" w:hAnsi="Times New Roman" w:eastAsia="方正黑体_GBK" w:cs="Times New Roman"/>
          <w:snapToGrid w:val="0"/>
          <w:color w:val="auto"/>
          <w:spacing w:val="0"/>
          <w:w w:val="100"/>
          <w:kern w:val="0"/>
          <w:sz w:val="32"/>
          <w:szCs w:val="32"/>
          <w:u w:val="none" w:color="auto"/>
          <w:lang w:val="en-US" w:eastAsia="zh-CN" w:bidi="ar-SA"/>
        </w:rPr>
        <w:t>支持企业加快科技创新和技术攻关</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3.鼓励企业加大新产品研发和产业化，对具有发明专利且技术水平达到国内同类先进及以上的新产品，按照认定当年销售收入规模分档给予奖励；对纳入产业关键核心技术</w:t>
      </w:r>
      <w:r>
        <w:rPr>
          <w:rFonts w:hint="eastAsia" w:ascii="Times New Roman" w:hAnsi="Times New Roman" w:eastAsia="方正仿宋_GBK" w:cs="Times New Roman"/>
          <w:snapToGrid w:val="0"/>
          <w:color w:val="auto"/>
          <w:spacing w:val="0"/>
          <w:w w:val="100"/>
          <w:kern w:val="0"/>
          <w:sz w:val="32"/>
          <w:szCs w:val="32"/>
          <w:u w:val="none" w:color="auto"/>
          <w:lang w:val="en-US" w:eastAsia="zh-CN" w:bidi="ar-SA"/>
        </w:rPr>
        <w:t>“</w:t>
      </w: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揭榜挂帅</w:t>
      </w:r>
      <w:r>
        <w:rPr>
          <w:rFonts w:hint="eastAsia" w:ascii="Times New Roman" w:hAnsi="Times New Roman" w:eastAsia="方正仿宋_GBK" w:cs="Times New Roman"/>
          <w:snapToGrid w:val="0"/>
          <w:color w:val="auto"/>
          <w:spacing w:val="0"/>
          <w:w w:val="100"/>
          <w:kern w:val="0"/>
          <w:sz w:val="32"/>
          <w:szCs w:val="32"/>
          <w:u w:val="none" w:color="auto"/>
          <w:lang w:val="en-US" w:eastAsia="zh-CN" w:bidi="ar-SA"/>
        </w:rPr>
        <w:t>”</w:t>
      </w: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的项目，每个</w:t>
      </w:r>
      <w:r>
        <w:rPr>
          <w:rFonts w:hint="eastAsia" w:ascii="Times New Roman" w:hAnsi="Times New Roman" w:eastAsia="方正仿宋_GBK" w:cs="Times New Roman"/>
          <w:snapToGrid w:val="0"/>
          <w:color w:val="auto"/>
          <w:spacing w:val="0"/>
          <w:w w:val="100"/>
          <w:kern w:val="0"/>
          <w:sz w:val="32"/>
          <w:szCs w:val="32"/>
          <w:u w:val="none" w:color="auto"/>
          <w:lang w:val="en-US" w:eastAsia="zh-CN" w:bidi="ar-SA"/>
        </w:rPr>
        <w:t>项目</w:t>
      </w: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最高补助1000万元；对行业、国家、国际标准</w:t>
      </w:r>
      <w:r>
        <w:rPr>
          <w:rFonts w:hint="eastAsia" w:ascii="Times New Roman" w:hAnsi="Times New Roman" w:eastAsia="方正仿宋_GBK" w:cs="Times New Roman"/>
          <w:snapToGrid w:val="0"/>
          <w:color w:val="auto"/>
          <w:spacing w:val="0"/>
          <w:w w:val="100"/>
          <w:kern w:val="0"/>
          <w:sz w:val="32"/>
          <w:szCs w:val="32"/>
          <w:u w:val="none" w:color="auto"/>
          <w:lang w:val="en-US" w:eastAsia="zh-CN" w:bidi="ar-SA"/>
        </w:rPr>
        <w:t>制修订</w:t>
      </w: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的牵头企业分别给予最高20万元、30万元、50万元奖励，单个企业年累计奖励最高200万元。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4.对获得市级、国家级制造业创新中心的单位分别给予最高500万元/年、2000万元/年</w:t>
      </w:r>
      <w:r>
        <w:rPr>
          <w:rFonts w:hint="eastAsia" w:ascii="Times New Roman" w:hAnsi="Times New Roman" w:eastAsia="方正仿宋_GBK" w:cs="Times New Roman"/>
          <w:snapToGrid w:val="0"/>
          <w:color w:val="auto"/>
          <w:spacing w:val="0"/>
          <w:w w:val="100"/>
          <w:kern w:val="0"/>
          <w:sz w:val="32"/>
          <w:szCs w:val="32"/>
          <w:u w:val="none" w:color="auto"/>
          <w:lang w:val="en-US" w:eastAsia="zh-CN" w:bidi="ar-SA"/>
        </w:rPr>
        <w:t>的</w:t>
      </w: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研发补助；对有较大国际影响力的公司在我市设立的高水平研发机构，按最高已投资额的30%给予最高1000万元研发补助。</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auto"/>
          <w:spacing w:val="0"/>
          <w:w w:val="100"/>
          <w:kern w:val="0"/>
          <w:sz w:val="32"/>
          <w:szCs w:val="32"/>
          <w:u w:val="none" w:color="auto"/>
          <w:lang w:val="en-US" w:eastAsia="zh-CN" w:bidi="ar-SA"/>
        </w:rPr>
        <w:t>5.对获得国家级技术创新示范企业、国家质量标杆、国家级产业技术基础公共服务平台等国家级创新资质的企业给予最高100万元奖励；对评估为优秀的市级技术创新示范企业、企业技术中心、市级工业和信息化重点实验室等市级创新资质的企业给予最高50万元奖励。</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spacing w:val="0"/>
          <w:w w:val="100"/>
          <w:kern w:val="0"/>
          <w:sz w:val="32"/>
          <w:szCs w:val="32"/>
          <w:u w:val="none" w:color="auto"/>
          <w:lang w:val="en-US" w:eastAsia="zh-CN" w:bidi="ar-SA"/>
        </w:rPr>
      </w:pPr>
      <w:r>
        <w:rPr>
          <w:rFonts w:hint="default" w:ascii="Times New Roman" w:hAnsi="Times New Roman" w:eastAsia="方正黑体_GBK" w:cs="Times New Roman"/>
          <w:spacing w:val="0"/>
          <w:w w:val="100"/>
          <w:kern w:val="0"/>
          <w:sz w:val="32"/>
          <w:szCs w:val="32"/>
          <w:u w:val="none" w:color="auto"/>
          <w:lang w:val="en-US" w:eastAsia="zh-CN" w:bidi="ar-SA"/>
        </w:rPr>
        <w:t>三、</w:t>
      </w:r>
      <w:r>
        <w:rPr>
          <w:rFonts w:hint="eastAsia" w:ascii="Times New Roman" w:hAnsi="Times New Roman" w:eastAsia="方正黑体_GBK" w:cs="Times New Roman"/>
          <w:spacing w:val="0"/>
          <w:w w:val="100"/>
          <w:kern w:val="0"/>
          <w:sz w:val="32"/>
          <w:szCs w:val="32"/>
          <w:u w:val="none" w:color="auto"/>
          <w:lang w:val="en-US" w:eastAsia="zh-CN" w:bidi="ar-SA"/>
        </w:rPr>
        <w:t>支持企业技术改造</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pacing w:val="0"/>
          <w:w w:val="100"/>
          <w:kern w:val="0"/>
          <w:sz w:val="32"/>
          <w:szCs w:val="32"/>
          <w:u w:val="none" w:color="auto"/>
          <w:lang w:val="en-US" w:eastAsia="zh-CN" w:bidi="ar-SA"/>
        </w:rPr>
      </w:pPr>
      <w:r>
        <w:rPr>
          <w:rFonts w:hint="default" w:ascii="Times New Roman" w:hAnsi="Times New Roman" w:eastAsia="方正仿宋_GBK" w:cs="Times New Roman"/>
          <w:spacing w:val="0"/>
          <w:w w:val="100"/>
          <w:kern w:val="0"/>
          <w:sz w:val="32"/>
          <w:szCs w:val="32"/>
          <w:u w:val="none" w:color="auto"/>
          <w:lang w:val="en-US" w:eastAsia="zh-CN" w:bidi="ar-SA"/>
        </w:rPr>
        <w:t>6.</w:t>
      </w:r>
      <w:r>
        <w:rPr>
          <w:rFonts w:hint="eastAsia" w:ascii="Times New Roman" w:hAnsi="Times New Roman" w:eastAsia="方正仿宋_GBK" w:cs="Times New Roman"/>
          <w:spacing w:val="0"/>
          <w:w w:val="100"/>
          <w:kern w:val="0"/>
          <w:sz w:val="32"/>
          <w:szCs w:val="32"/>
          <w:u w:val="none" w:color="auto"/>
          <w:lang w:val="en-US" w:eastAsia="zh-CN" w:bidi="ar-SA"/>
        </w:rPr>
        <w:t>支持企业技术改造，对满足条件的项目</w:t>
      </w:r>
      <w:r>
        <w:rPr>
          <w:rFonts w:hint="default" w:ascii="Times New Roman" w:hAnsi="Times New Roman" w:eastAsia="方正仿宋_GBK" w:cs="Times New Roman"/>
          <w:spacing w:val="0"/>
          <w:w w:val="100"/>
          <w:kern w:val="0"/>
          <w:sz w:val="32"/>
          <w:szCs w:val="32"/>
          <w:u w:val="none" w:color="auto"/>
          <w:lang w:val="en-US" w:eastAsia="zh-CN" w:bidi="ar-SA"/>
        </w:rPr>
        <w:t>按照不超过实际贷款利率的50%给予贴息，单个企业项目每年贴息上限为1000万元，贴息期限不超过2年，同一独立法人每年享受</w:t>
      </w:r>
      <w:r>
        <w:rPr>
          <w:rFonts w:hint="eastAsia"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pacing w:val="0"/>
          <w:w w:val="100"/>
          <w:kern w:val="0"/>
          <w:sz w:val="32"/>
          <w:szCs w:val="32"/>
          <w:u w:val="none" w:color="auto"/>
          <w:lang w:val="en-US" w:eastAsia="zh-CN" w:bidi="ar-SA"/>
        </w:rPr>
        <w:t>技改专项贷</w:t>
      </w:r>
      <w:r>
        <w:rPr>
          <w:rFonts w:hint="eastAsia"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pacing w:val="0"/>
          <w:w w:val="100"/>
          <w:kern w:val="0"/>
          <w:sz w:val="32"/>
          <w:szCs w:val="32"/>
          <w:u w:val="none" w:color="auto"/>
          <w:lang w:val="en-US" w:eastAsia="zh-CN" w:bidi="ar-SA"/>
        </w:rPr>
        <w:t>政策项目限定为1个。对为</w:t>
      </w:r>
      <w:r>
        <w:rPr>
          <w:rFonts w:hint="eastAsia"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pacing w:val="0"/>
          <w:w w:val="100"/>
          <w:kern w:val="0"/>
          <w:sz w:val="32"/>
          <w:szCs w:val="32"/>
          <w:u w:val="none" w:color="auto"/>
          <w:lang w:val="en-US" w:eastAsia="zh-CN" w:bidi="ar-SA"/>
        </w:rPr>
        <w:t>技改专项贷</w:t>
      </w:r>
      <w:r>
        <w:rPr>
          <w:rFonts w:hint="eastAsia"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pacing w:val="0"/>
          <w:w w:val="100"/>
          <w:kern w:val="0"/>
          <w:sz w:val="32"/>
          <w:szCs w:val="32"/>
          <w:u w:val="none" w:color="auto"/>
          <w:lang w:val="en-US" w:eastAsia="zh-CN" w:bidi="ar-SA"/>
        </w:rPr>
        <w:t>项目提供担保且年化担保费率不超过1%的融资担保机构，按不超过实际担保费率的50%给予奖补，单个企业项目担保奖补上限为100万元，期限不超过2年。</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spacing w:val="0"/>
          <w:w w:val="100"/>
          <w:kern w:val="0"/>
          <w:sz w:val="32"/>
          <w:szCs w:val="32"/>
          <w:u w:val="none" w:color="auto"/>
          <w:lang w:val="en-US" w:eastAsia="zh-CN" w:bidi="ar-SA"/>
        </w:rPr>
      </w:pPr>
      <w:r>
        <w:rPr>
          <w:rFonts w:hint="default" w:ascii="Times New Roman" w:hAnsi="Times New Roman" w:eastAsia="方正仿宋_GBK" w:cs="Times New Roman"/>
          <w:spacing w:val="0"/>
          <w:w w:val="100"/>
          <w:kern w:val="0"/>
          <w:sz w:val="32"/>
          <w:szCs w:val="32"/>
          <w:u w:val="none" w:color="auto"/>
          <w:lang w:val="en-US" w:eastAsia="zh-CN" w:bidi="ar-SA"/>
        </w:rPr>
        <w:t>7.实施领军（链主）企业</w:t>
      </w:r>
      <w:r>
        <w:rPr>
          <w:rFonts w:hint="eastAsia"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pacing w:val="0"/>
          <w:w w:val="100"/>
          <w:kern w:val="0"/>
          <w:sz w:val="32"/>
          <w:szCs w:val="32"/>
          <w:u w:val="none" w:color="auto"/>
          <w:lang w:val="en-US" w:eastAsia="zh-CN" w:bidi="ar-SA"/>
        </w:rPr>
        <w:t>鲲鹏</w:t>
      </w:r>
      <w:r>
        <w:rPr>
          <w:rFonts w:hint="eastAsia"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pacing w:val="0"/>
          <w:w w:val="100"/>
          <w:kern w:val="0"/>
          <w:sz w:val="32"/>
          <w:szCs w:val="32"/>
          <w:u w:val="none" w:color="auto"/>
          <w:lang w:val="en-US" w:eastAsia="zh-CN" w:bidi="ar-SA"/>
        </w:rPr>
        <w:t>跨越发展</w:t>
      </w:r>
      <w:r>
        <w:rPr>
          <w:rFonts w:hint="eastAsia" w:ascii="Times New Roman" w:hAnsi="Times New Roman" w:eastAsia="方正仿宋_GBK" w:cs="Times New Roman"/>
          <w:spacing w:val="0"/>
          <w:w w:val="100"/>
          <w:kern w:val="0"/>
          <w:sz w:val="32"/>
          <w:szCs w:val="32"/>
          <w:u w:val="none" w:color="auto"/>
          <w:lang w:val="en-US" w:eastAsia="zh-CN" w:bidi="ar-SA"/>
        </w:rPr>
        <w:t>和“独角兽”培育</w:t>
      </w:r>
      <w:r>
        <w:rPr>
          <w:rFonts w:hint="default" w:ascii="Times New Roman" w:hAnsi="Times New Roman" w:eastAsia="方正仿宋_GBK" w:cs="Times New Roman"/>
          <w:spacing w:val="0"/>
          <w:w w:val="100"/>
          <w:kern w:val="0"/>
          <w:sz w:val="32"/>
          <w:szCs w:val="32"/>
          <w:u w:val="none" w:color="auto"/>
          <w:lang w:val="en-US" w:eastAsia="zh-CN" w:bidi="ar-SA"/>
        </w:rPr>
        <w:t>计划，支持企业做大做强，在专项资金政策、要素保障等方面给予支持。</w:t>
      </w:r>
      <w:r>
        <w:rPr>
          <w:rFonts w:hint="default" w:ascii="Times New Roman" w:hAnsi="Times New Roman" w:eastAsia="方正仿宋_GBK" w:cs="Times New Roman"/>
          <w:sz w:val="32"/>
          <w:szCs w:val="32"/>
          <w:lang w:val="en-US" w:eastAsia="zh-CN"/>
        </w:rPr>
        <w:t>对工业企业实际发生技术改造投资后，</w:t>
      </w:r>
      <w:r>
        <w:rPr>
          <w:rFonts w:hint="default" w:ascii="Times New Roman" w:hAnsi="Times New Roman" w:eastAsia="方正仿宋_GBK" w:cs="Times New Roman"/>
          <w:color w:val="000000"/>
          <w:spacing w:val="0"/>
          <w:w w:val="100"/>
          <w:kern w:val="0"/>
          <w:sz w:val="32"/>
          <w:szCs w:val="32"/>
          <w:u w:val="none" w:color="auto"/>
          <w:lang w:val="en-US" w:eastAsia="zh-CN" w:bidi="ar-SA"/>
        </w:rPr>
        <w:t>年工业增加值首次突破10亿元、50亿元、100亿元、200亿元、300亿元、500亿元的，分别给予100万元至2000万元奖励</w:t>
      </w:r>
      <w:r>
        <w:rPr>
          <w:rFonts w:hint="eastAsia" w:ascii="Times New Roman" w:hAnsi="Times New Roman" w:eastAsia="方正仿宋_GBK" w:cs="Times New Roman"/>
          <w:color w:val="000000"/>
          <w:spacing w:val="0"/>
          <w:w w:val="100"/>
          <w:kern w:val="0"/>
          <w:sz w:val="32"/>
          <w:szCs w:val="32"/>
          <w:u w:val="none" w:color="auto"/>
          <w:lang w:val="en-US" w:eastAsia="zh-CN" w:bidi="ar-SA"/>
        </w:rPr>
        <w:t>；</w:t>
      </w:r>
      <w:r>
        <w:rPr>
          <w:rFonts w:hint="default" w:ascii="Times New Roman" w:hAnsi="Times New Roman" w:eastAsia="方正仿宋_GBK" w:cs="Times New Roman"/>
          <w:sz w:val="32"/>
          <w:szCs w:val="32"/>
          <w:lang w:val="en-US" w:eastAsia="zh-CN"/>
        </w:rPr>
        <w:t>对认定有效期内符合条件的独角兽企业首次融资，按到位融资金额的0.5%给予独角兽企业最高500万元的一次性奖励。</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pacing w:val="0"/>
          <w:w w:val="100"/>
          <w:kern w:val="0"/>
          <w:sz w:val="32"/>
          <w:szCs w:val="32"/>
          <w:u w:val="none" w:color="auto"/>
          <w:lang w:val="en-US" w:eastAsia="zh-CN" w:bidi="ar-SA"/>
        </w:rPr>
        <w:t>8.支持企业、园区实施节能降碳、节水、清洁生产等领域技改，开展动力电池和工业固废资源化利用，对单个项目固定资产投资不低于1000万元的，按不超过设备投入的10%，择优给予最高200万元奖补</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color w:val="000000"/>
          <w:spacing w:val="0"/>
          <w:w w:val="100"/>
          <w:kern w:val="0"/>
          <w:sz w:val="32"/>
          <w:szCs w:val="32"/>
          <w:u w:val="none" w:color="auto"/>
          <w:lang w:val="en-US" w:eastAsia="zh-CN" w:bidi="ar-SA"/>
        </w:rPr>
      </w:pPr>
      <w:r>
        <w:rPr>
          <w:rFonts w:hint="eastAsia" w:ascii="Times New Roman" w:hAnsi="Times New Roman" w:eastAsia="方正仿宋_GBK" w:cs="Times New Roman"/>
          <w:snapToGrid/>
          <w:spacing w:val="0"/>
          <w:w w:val="100"/>
          <w:kern w:val="0"/>
          <w:sz w:val="32"/>
          <w:szCs w:val="32"/>
          <w:u w:val="none" w:color="auto"/>
          <w:lang w:val="en-US" w:eastAsia="zh-CN" w:bidi="ar-SA"/>
        </w:rPr>
        <w:t>9.</w:t>
      </w:r>
      <w:r>
        <w:rPr>
          <w:rFonts w:hint="default" w:ascii="Times New Roman" w:hAnsi="Times New Roman" w:eastAsia="方正仿宋_GBK" w:cs="Times New Roman"/>
          <w:snapToGrid/>
          <w:color w:val="000000"/>
          <w:spacing w:val="0"/>
          <w:w w:val="100"/>
          <w:kern w:val="0"/>
          <w:sz w:val="32"/>
          <w:szCs w:val="32"/>
          <w:u w:val="none" w:color="auto"/>
          <w:lang w:val="en-US" w:eastAsia="zh-CN" w:bidi="ar-SA"/>
        </w:rPr>
        <w:t>对智能工厂建设项目按不超过投资额的10%，择优给予最高300万元奖补。对未来工厂建设项目按不超过投资额的10%，择优给予最高500万元奖补。对制造业数字化转型赋能中心等创新载体建设项目按不超过投资额的10%，择优给予最高1000万元奖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t>四、聚力打造主导产业集群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10</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仿宋_GBK" w:cs="Times New Roman"/>
          <w:color w:val="000000"/>
          <w:spacing w:val="0"/>
          <w:w w:val="100"/>
          <w:sz w:val="32"/>
          <w:szCs w:val="32"/>
          <w:u w:val="none" w:color="auto"/>
          <w:lang w:val="en-US" w:eastAsia="zh-CN"/>
        </w:rPr>
        <w:t>支持整车企业布局海外市场，通过</w:t>
      </w:r>
      <w:r>
        <w:rPr>
          <w:rFonts w:hint="eastAsia" w:ascii="Times New Roman" w:hAnsi="Times New Roman" w:eastAsia="方正仿宋_GBK" w:cs="Times New Roman"/>
          <w:i w:val="0"/>
          <w:caps w:val="0"/>
          <w:snapToGrid w:val="0"/>
          <w:color w:val="000000"/>
          <w:spacing w:val="0"/>
          <w:kern w:val="0"/>
          <w:sz w:val="32"/>
          <w:szCs w:val="32"/>
          <w:shd w:val="clear" w:color="auto" w:fill="auto"/>
          <w:lang w:val="en-US" w:eastAsia="zh-CN" w:bidi="ar-SA"/>
        </w:rPr>
        <w:t>“</w:t>
      </w:r>
      <w:r>
        <w:rPr>
          <w:rFonts w:hint="default" w:ascii="Times New Roman" w:hAnsi="Times New Roman" w:eastAsia="方正仿宋_GBK" w:cs="Times New Roman"/>
          <w:i w:val="0"/>
          <w:caps w:val="0"/>
          <w:snapToGrid w:val="0"/>
          <w:color w:val="000000"/>
          <w:spacing w:val="0"/>
          <w:kern w:val="0"/>
          <w:sz w:val="32"/>
          <w:szCs w:val="32"/>
          <w:shd w:val="clear" w:color="auto" w:fill="auto"/>
          <w:lang w:val="en-US" w:eastAsia="zh-CN" w:bidi="ar-SA"/>
        </w:rPr>
        <w:t>整车+散件组装+本地化运营</w:t>
      </w:r>
      <w:r>
        <w:rPr>
          <w:rFonts w:hint="eastAsia" w:ascii="Times New Roman" w:hAnsi="Times New Roman" w:eastAsia="方正仿宋_GBK" w:cs="Times New Roman"/>
          <w:i w:val="0"/>
          <w:caps w:val="0"/>
          <w:snapToGrid w:val="0"/>
          <w:color w:val="000000"/>
          <w:spacing w:val="0"/>
          <w:kern w:val="0"/>
          <w:sz w:val="32"/>
          <w:szCs w:val="32"/>
          <w:shd w:val="clear" w:color="auto" w:fill="auto"/>
          <w:lang w:val="en-US" w:eastAsia="zh-CN" w:bidi="ar-SA"/>
        </w:rPr>
        <w:t>”</w:t>
      </w:r>
      <w:r>
        <w:rPr>
          <w:rFonts w:hint="default" w:ascii="Times New Roman" w:hAnsi="Times New Roman" w:eastAsia="方正仿宋_GBK" w:cs="Times New Roman"/>
          <w:i w:val="0"/>
          <w:caps w:val="0"/>
          <w:snapToGrid w:val="0"/>
          <w:color w:val="000000"/>
          <w:spacing w:val="0"/>
          <w:kern w:val="0"/>
          <w:sz w:val="32"/>
          <w:szCs w:val="32"/>
          <w:shd w:val="clear" w:color="auto" w:fill="auto"/>
          <w:lang w:val="en-US" w:eastAsia="zh-CN" w:bidi="ar-SA"/>
        </w:rPr>
        <w:t>等模式推动产业链上下游出口，为布局海外市场企业提供政策咨询、检验检测、通关业务办理等方面服务。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rPr>
          <w:rFonts w:hint="default" w:ascii="Times New Roman" w:hAnsi="Times New Roman" w:eastAsia="方正仿宋_GBK" w:cs="Times New Roman"/>
          <w:i w:val="0"/>
          <w:color w:val="000000"/>
          <w:spacing w:val="0"/>
          <w:kern w:val="0"/>
          <w:sz w:val="32"/>
          <w:szCs w:val="32"/>
          <w:shd w:val="clear" w:color="auto" w:fill="auto"/>
          <w:lang w:val="en-US" w:eastAsia="zh-CN" w:bidi="ar"/>
        </w:rPr>
      </w:pPr>
      <w:r>
        <w:rPr>
          <w:rFonts w:hint="default" w:ascii="Times New Roman" w:hAnsi="Times New Roman" w:eastAsia="方正仿宋_GBK" w:cs="Times New Roman"/>
          <w:spacing w:val="0"/>
          <w:w w:val="100"/>
          <w:sz w:val="32"/>
          <w:szCs w:val="32"/>
          <w:u w:val="none" w:color="auto"/>
          <w:lang w:val="en-US" w:eastAsia="zh-CN"/>
        </w:rPr>
        <w:t>1</w:t>
      </w:r>
      <w:r>
        <w:rPr>
          <w:rFonts w:hint="eastAsia" w:ascii="Times New Roman" w:hAnsi="Times New Roman" w:eastAsia="方正仿宋_GBK" w:cs="Times New Roman"/>
          <w:spacing w:val="0"/>
          <w:w w:val="100"/>
          <w:sz w:val="32"/>
          <w:szCs w:val="32"/>
          <w:u w:val="none" w:color="auto"/>
          <w:lang w:val="en-US" w:eastAsia="zh-CN"/>
        </w:rPr>
        <w:t>1</w:t>
      </w:r>
      <w:r>
        <w:rPr>
          <w:rFonts w:hint="default" w:ascii="Times New Roman" w:hAnsi="Times New Roman" w:eastAsia="方正仿宋_GBK" w:cs="Times New Roman"/>
          <w:spacing w:val="0"/>
          <w:w w:val="100"/>
          <w:sz w:val="32"/>
          <w:szCs w:val="32"/>
          <w:u w:val="none" w:color="auto"/>
          <w:lang w:val="en-US" w:eastAsia="zh-CN"/>
        </w:rPr>
        <w:t>.对电子终端产品分类别实施稳增长政策，助力企业稳订单、育新品，并鼓励在渝布局NPI（New Product Introduction，新产品导入）项目，促进产业链创新。支持产业链企业实施智能制造项目、打造算力应用标杆。择优对集成电路投资项目、集成电路企业培育项目、重点公共服务平台项目给予资金支持</w:t>
      </w:r>
      <w:r>
        <w:rPr>
          <w:rFonts w:hint="default" w:ascii="Times New Roman" w:hAnsi="Times New Roman" w:eastAsia="方正仿宋_GBK" w:cs="Times New Roman"/>
          <w:i w:val="0"/>
          <w:color w:val="000000"/>
          <w:spacing w:val="0"/>
          <w:kern w:val="0"/>
          <w:sz w:val="32"/>
          <w:szCs w:val="32"/>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eastAsia" w:ascii="Times New Roman" w:hAnsi="Times New Roman" w:eastAsia="方正仿宋_GBK" w:cs="Times New Roman"/>
          <w:spacing w:val="0"/>
          <w:w w:val="100"/>
          <w:kern w:val="0"/>
          <w:sz w:val="32"/>
          <w:szCs w:val="32"/>
          <w:u w:val="none" w:color="auto"/>
          <w:lang w:val="en-US" w:eastAsia="zh-CN" w:bidi="ar-SA"/>
        </w:rPr>
      </w:pPr>
      <w:r>
        <w:rPr>
          <w:rFonts w:hint="default" w:ascii="Times New Roman" w:hAnsi="Times New Roman" w:eastAsia="方正仿宋_GBK" w:cs="Times New Roman"/>
          <w:i w:val="0"/>
          <w:color w:val="070707"/>
          <w:spacing w:val="0"/>
          <w:kern w:val="2"/>
          <w:sz w:val="32"/>
          <w:szCs w:val="32"/>
          <w:shd w:val="clear" w:color="auto" w:fill="auto"/>
          <w:lang w:val="en-US" w:eastAsia="zh-CN" w:bidi="ar"/>
        </w:rPr>
        <w:t>1</w:t>
      </w:r>
      <w:r>
        <w:rPr>
          <w:rFonts w:hint="eastAsia" w:ascii="Times New Roman" w:hAnsi="Times New Roman" w:eastAsia="方正仿宋_GBK" w:cs="Times New Roman"/>
          <w:i w:val="0"/>
          <w:color w:val="070707"/>
          <w:spacing w:val="0"/>
          <w:kern w:val="2"/>
          <w:sz w:val="32"/>
          <w:szCs w:val="32"/>
          <w:shd w:val="clear" w:color="auto" w:fill="auto"/>
          <w:lang w:val="en-US" w:eastAsia="zh-CN" w:bidi="ar"/>
        </w:rPr>
        <w:t>2</w:t>
      </w:r>
      <w:r>
        <w:rPr>
          <w:rFonts w:hint="default" w:ascii="Times New Roman" w:hAnsi="Times New Roman" w:eastAsia="方正仿宋_GBK" w:cs="Times New Roman"/>
          <w:i w:val="0"/>
          <w:color w:val="070707"/>
          <w:spacing w:val="0"/>
          <w:kern w:val="2"/>
          <w:sz w:val="32"/>
          <w:szCs w:val="32"/>
          <w:shd w:val="clear" w:color="auto" w:fill="auto"/>
          <w:lang w:val="en-US" w:eastAsia="zh-CN" w:bidi="ar"/>
        </w:rPr>
        <w:t>.按照实际设备投资额不超过3%的比例，择优支持先进材料项目建设；根据投入情况给予建设新材料服务平台的企业最高200万元补助；对提供新材料应用场景并首次采用新材料进行试点示范的应用</w:t>
      </w:r>
      <w:r>
        <w:rPr>
          <w:rFonts w:hint="eastAsia" w:ascii="Times New Roman" w:hAnsi="Times New Roman" w:eastAsia="方正仿宋_GBK" w:cs="Times New Roman"/>
          <w:i w:val="0"/>
          <w:color w:val="070707"/>
          <w:spacing w:val="0"/>
          <w:kern w:val="2"/>
          <w:sz w:val="32"/>
          <w:szCs w:val="32"/>
          <w:shd w:val="clear" w:color="auto" w:fill="auto"/>
          <w:lang w:val="en-US" w:eastAsia="zh-CN" w:bidi="ar"/>
        </w:rPr>
        <w:t>单位</w:t>
      </w:r>
      <w:r>
        <w:rPr>
          <w:rFonts w:hint="default" w:ascii="Times New Roman" w:hAnsi="Times New Roman" w:eastAsia="方正仿宋_GBK" w:cs="Times New Roman"/>
          <w:i w:val="0"/>
          <w:color w:val="070707"/>
          <w:spacing w:val="0"/>
          <w:kern w:val="2"/>
          <w:sz w:val="32"/>
          <w:szCs w:val="32"/>
          <w:shd w:val="clear" w:color="auto" w:fill="auto"/>
          <w:lang w:val="en-US" w:eastAsia="zh-CN" w:bidi="ar"/>
        </w:rPr>
        <w:t>，按照材料采购额的50%，给予最高100万元奖励。</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t>五、升级打造支柱产业集群</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1</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3</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仿宋_GBK" w:cs="Times New Roman"/>
          <w:color w:val="070707"/>
          <w:spacing w:val="0"/>
          <w:kern w:val="2"/>
          <w:sz w:val="32"/>
          <w:szCs w:val="32"/>
          <w:shd w:val="clear" w:color="auto" w:fill="auto"/>
          <w:lang w:val="en-US" w:eastAsia="zh-CN" w:bidi="ar"/>
        </w:rPr>
        <w:t>对首台（套）重大技术装备，按照不超过实际投保年度保费的80%且实际保险费率不超过3%的上限，给予单个产品最高500万元保费补贴</w:t>
      </w:r>
      <w:r>
        <w:rPr>
          <w:rFonts w:hint="eastAsia" w:ascii="Times New Roman" w:hAnsi="Times New Roman" w:eastAsia="方正仿宋_GBK" w:cs="Times New Roman"/>
          <w:color w:val="070707"/>
          <w:spacing w:val="0"/>
          <w:kern w:val="2"/>
          <w:sz w:val="32"/>
          <w:szCs w:val="32"/>
          <w:shd w:val="clear" w:color="auto" w:fill="auto"/>
          <w:lang w:val="en-US" w:eastAsia="zh-CN" w:bidi="ar"/>
        </w:rPr>
        <w:t>。</w:t>
      </w:r>
      <w:r>
        <w:rPr>
          <w:rFonts w:hint="default" w:ascii="Times New Roman" w:hAnsi="Times New Roman" w:eastAsia="方正仿宋_GBK" w:cs="Times New Roman"/>
          <w:color w:val="070707"/>
          <w:spacing w:val="0"/>
          <w:kern w:val="2"/>
          <w:sz w:val="32"/>
          <w:szCs w:val="32"/>
          <w:shd w:val="clear" w:color="auto" w:fill="auto"/>
          <w:lang w:val="en-US" w:eastAsia="zh-CN" w:bidi="ar"/>
        </w:rPr>
        <w:t>经认定的首台（套）产品，按照最高不超过实际支付额的30%给予奖励，奖励资金</w:t>
      </w:r>
      <w:r>
        <w:rPr>
          <w:rFonts w:hint="eastAsia" w:ascii="Times New Roman" w:hAnsi="Times New Roman" w:eastAsia="方正仿宋_GBK" w:cs="Times New Roman"/>
          <w:color w:val="070707"/>
          <w:spacing w:val="0"/>
          <w:kern w:val="2"/>
          <w:sz w:val="32"/>
          <w:szCs w:val="32"/>
          <w:shd w:val="clear" w:color="auto" w:fill="auto"/>
          <w:lang w:val="en-US" w:eastAsia="zh-CN" w:bidi="ar"/>
        </w:rPr>
        <w:t>最高</w:t>
      </w:r>
      <w:r>
        <w:rPr>
          <w:rFonts w:hint="default" w:ascii="Times New Roman" w:hAnsi="Times New Roman" w:eastAsia="方正仿宋_GBK" w:cs="Times New Roman"/>
          <w:color w:val="070707"/>
          <w:spacing w:val="0"/>
          <w:kern w:val="2"/>
          <w:sz w:val="32"/>
          <w:szCs w:val="32"/>
          <w:shd w:val="clear" w:color="auto" w:fill="auto"/>
          <w:lang w:val="en-US" w:eastAsia="zh-CN" w:bidi="ar"/>
        </w:rPr>
        <w:t>500万元</w:t>
      </w:r>
      <w:r>
        <w:rPr>
          <w:rFonts w:hint="default" w:ascii="Times New Roman" w:hAnsi="Times New Roman" w:eastAsia="方正仿宋_GBK" w:cs="Times New Roman"/>
          <w:snapToGrid/>
          <w:color w:val="070707"/>
          <w:spacing w:val="0"/>
          <w:w w:val="100"/>
          <w:kern w:val="2"/>
          <w:sz w:val="32"/>
          <w:szCs w:val="32"/>
          <w:u w:val="none"/>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1</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4</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.加力推进食品及农产品行业创新生态体系建设，</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支持</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举办美食工业博览会，开展</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爆品</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打造</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和</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推广活动，对参与相关展会和活动的企业给予一定支持。</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1</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5</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.对重点软件企业、重点软件产品及软件公共服务平台</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择优</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给予最高200万元绩效奖励，对首版次软件产品</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择优给予</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最高100万元奖励。推进软件人才能力培养、软件和信息服务业企业生态能力建设，</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对</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软件和信息服务企业</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揭榜挂帅</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项目，每个项目最高支持500万元。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t>六、培育壮大特色优势及</w:t>
      </w:r>
      <w:r>
        <w:rPr>
          <w:rFonts w:hint="eastAsia" w:ascii="Times New Roman" w:hAnsi="Times New Roman" w:eastAsia="方正黑体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t>新星</w:t>
      </w:r>
      <w:r>
        <w:rPr>
          <w:rFonts w:hint="eastAsia" w:ascii="Times New Roman" w:hAnsi="Times New Roman" w:eastAsia="方正黑体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t>产业集群</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1</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6</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w:t>
      </w:r>
      <w:r>
        <w:rPr>
          <w:rFonts w:hint="default" w:ascii="Times New Roman" w:hAnsi="Times New Roman" w:eastAsia="方正仿宋_GBK" w:cs="Times New Roman"/>
          <w:sz w:val="32"/>
          <w:szCs w:val="32"/>
          <w:lang w:val="en-US" w:eastAsia="zh-CN"/>
        </w:rPr>
        <w:t>对新建</w:t>
      </w:r>
      <w:r>
        <w:rPr>
          <w:rFonts w:hint="eastAsia" w:ascii="Times New Roman" w:hAnsi="Times New Roman" w:eastAsia="方正仿宋_GBK" w:cs="Times New Roman"/>
          <w:sz w:val="32"/>
          <w:szCs w:val="32"/>
          <w:lang w:val="en-US" w:eastAsia="zh-CN"/>
        </w:rPr>
        <w:t>及改扩建</w:t>
      </w:r>
      <w:r>
        <w:rPr>
          <w:rFonts w:hint="default" w:ascii="Times New Roman" w:hAnsi="Times New Roman" w:eastAsia="方正仿宋_GBK" w:cs="Times New Roman"/>
          <w:sz w:val="32"/>
          <w:szCs w:val="32"/>
          <w:lang w:val="en-US" w:eastAsia="zh-CN"/>
        </w:rPr>
        <w:t>生物医药服务平台及重大产业化项目</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，给予不超过固定资产投资20%、最高1000万元支持。对符合条件的第三方研发及生产服务平台按服务收入的3%给予</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最高</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500万元奖励。</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1</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7</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.对高端摩托车新车研发给予单个车型最高100万元奖励；对出口整车企业单个企业</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最高</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200万元奖励。</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1</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8</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.制定出台政策措施，对充电桩、换电站、加氢站等公共充电基础设施建设运营予以奖补，加快推进充电基础设施建设。</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1</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9</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.对智能山地农机研发制造应用一体化典型场景示范项目给予最高500万</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元</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资金支持。</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pPr>
      <w:r>
        <w:rPr>
          <w:rFonts w:hint="default" w:ascii="Times New Roman" w:hAnsi="Times New Roman" w:eastAsia="方正黑体_GBK" w:cs="Times New Roman"/>
          <w:snapToGrid w:val="0"/>
          <w:color w:val="000000"/>
          <w:spacing w:val="0"/>
          <w:w w:val="100"/>
          <w:kern w:val="0"/>
          <w:sz w:val="32"/>
          <w:szCs w:val="32"/>
          <w:u w:val="none" w:color="auto"/>
          <w:lang w:val="en-US" w:eastAsia="zh-CN" w:bidi="ar-SA"/>
        </w:rPr>
        <w:t>七、持续优化营商环境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spacing w:val="0"/>
          <w:w w:val="100"/>
          <w:kern w:val="0"/>
          <w:sz w:val="32"/>
          <w:szCs w:val="32"/>
          <w:u w:val="none" w:color="auto"/>
          <w:lang w:val="en-US" w:eastAsia="zh-CN" w:bidi="ar-SA"/>
        </w:rPr>
      </w:pPr>
      <w:r>
        <w:rPr>
          <w:rFonts w:hint="eastAsia" w:ascii="Times New Roman" w:hAnsi="Times New Roman" w:eastAsia="方正仿宋_GBK" w:cs="Times New Roman"/>
          <w:spacing w:val="0"/>
          <w:w w:val="100"/>
          <w:kern w:val="0"/>
          <w:sz w:val="32"/>
          <w:szCs w:val="32"/>
          <w:u w:val="none" w:color="auto"/>
          <w:lang w:val="en-US" w:eastAsia="zh-CN" w:bidi="ar-SA"/>
        </w:rPr>
        <w:t>20</w:t>
      </w:r>
      <w:r>
        <w:rPr>
          <w:rFonts w:hint="default"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将营业收入</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和</w:t>
      </w:r>
      <w:r>
        <w:rPr>
          <w:rFonts w:hint="default" w:ascii="Times New Roman" w:hAnsi="Times New Roman" w:eastAsia="方正仿宋_GBK" w:cs="Times New Roman"/>
          <w:snapToGrid w:val="0"/>
          <w:color w:val="000000"/>
          <w:spacing w:val="0"/>
          <w:w w:val="100"/>
          <w:kern w:val="0"/>
          <w:sz w:val="32"/>
          <w:szCs w:val="32"/>
          <w:u w:val="none" w:color="auto"/>
          <w:lang w:val="en-US" w:eastAsia="zh-CN" w:bidi="ar-SA"/>
        </w:rPr>
        <w:t>税收实现双位数增长的工业企业</w:t>
      </w:r>
      <w:r>
        <w:rPr>
          <w:rFonts w:hint="eastAsia" w:ascii="Times New Roman" w:hAnsi="Times New Roman" w:eastAsia="方正仿宋_GBK" w:cs="Times New Roman"/>
          <w:snapToGrid w:val="0"/>
          <w:color w:val="000000"/>
          <w:spacing w:val="0"/>
          <w:w w:val="100"/>
          <w:kern w:val="0"/>
          <w:sz w:val="32"/>
          <w:szCs w:val="32"/>
          <w:u w:val="none" w:color="auto"/>
          <w:lang w:val="en-US" w:eastAsia="zh-CN" w:bidi="ar-SA"/>
        </w:rPr>
        <w:t>、亩均效益综合评价结果为A/B类的制造业企业按规定</w:t>
      </w:r>
      <w:r>
        <w:rPr>
          <w:rFonts w:hint="default" w:ascii="Times New Roman" w:hAnsi="Times New Roman" w:eastAsia="方正仿宋_GBK" w:cs="Times New Roman"/>
          <w:spacing w:val="0"/>
          <w:w w:val="100"/>
          <w:kern w:val="0"/>
          <w:sz w:val="32"/>
          <w:szCs w:val="32"/>
          <w:u w:val="none" w:color="auto"/>
          <w:lang w:val="en-US" w:eastAsia="zh-CN" w:bidi="ar-SA"/>
        </w:rPr>
        <w:t>纳入用电</w:t>
      </w:r>
      <w:r>
        <w:rPr>
          <w:rFonts w:hint="eastAsia" w:ascii="Times New Roman" w:hAnsi="Times New Roman" w:eastAsia="方正仿宋_GBK" w:cs="Times New Roman"/>
          <w:spacing w:val="0"/>
          <w:w w:val="100"/>
          <w:kern w:val="0"/>
          <w:sz w:val="32"/>
          <w:szCs w:val="32"/>
          <w:u w:val="none" w:color="auto"/>
          <w:lang w:val="en-US" w:eastAsia="zh-CN" w:bidi="ar-SA"/>
        </w:rPr>
        <w:t>、融资“</w:t>
      </w:r>
      <w:r>
        <w:rPr>
          <w:rFonts w:hint="default" w:ascii="Times New Roman" w:hAnsi="Times New Roman" w:eastAsia="方正仿宋_GBK" w:cs="Times New Roman"/>
          <w:spacing w:val="0"/>
          <w:w w:val="100"/>
          <w:kern w:val="0"/>
          <w:sz w:val="32"/>
          <w:szCs w:val="32"/>
          <w:u w:val="none" w:color="auto"/>
          <w:lang w:val="en-US" w:eastAsia="zh-CN" w:bidi="ar-SA"/>
        </w:rPr>
        <w:t>白名单</w:t>
      </w:r>
      <w:r>
        <w:rPr>
          <w:rFonts w:hint="eastAsia" w:ascii="Times New Roman" w:hAnsi="Times New Roman" w:eastAsia="方正仿宋_GBK" w:cs="Times New Roman"/>
          <w:spacing w:val="0"/>
          <w:w w:val="100"/>
          <w:kern w:val="0"/>
          <w:sz w:val="32"/>
          <w:szCs w:val="32"/>
          <w:u w:val="none" w:color="auto"/>
          <w:lang w:val="en-US" w:eastAsia="zh-CN" w:bidi="ar-SA"/>
        </w:rPr>
        <w:t>”</w:t>
      </w:r>
      <w:r>
        <w:rPr>
          <w:rFonts w:hint="default" w:ascii="Times New Roman" w:hAnsi="Times New Roman" w:eastAsia="方正仿宋_GBK" w:cs="Times New Roman"/>
          <w:spacing w:val="0"/>
          <w:w w:val="100"/>
          <w:kern w:val="0"/>
          <w:sz w:val="32"/>
          <w:szCs w:val="32"/>
          <w:u w:val="none" w:color="auto"/>
          <w:lang w:val="en-US" w:eastAsia="zh-CN" w:bidi="ar-SA"/>
        </w:rPr>
        <w:t>管理，</w:t>
      </w:r>
      <w:r>
        <w:rPr>
          <w:rFonts w:hint="eastAsia" w:ascii="Times New Roman" w:hAnsi="Times New Roman" w:eastAsia="方正仿宋_GBK" w:cs="Times New Roman"/>
          <w:spacing w:val="0"/>
          <w:w w:val="100"/>
          <w:kern w:val="0"/>
          <w:sz w:val="32"/>
          <w:szCs w:val="32"/>
          <w:u w:val="none" w:color="auto"/>
          <w:lang w:val="en-US" w:eastAsia="zh-CN" w:bidi="ar-SA"/>
        </w:rPr>
        <w:t>支持重点工业企业建设分布式光伏和分布式储能项目。</w:t>
      </w:r>
      <w:r>
        <w:rPr>
          <w:rFonts w:hint="default" w:ascii="Times New Roman" w:hAnsi="Times New Roman" w:eastAsia="方正仿宋_GBK" w:cs="Times New Roman"/>
          <w:spacing w:val="0"/>
          <w:w w:val="100"/>
          <w:kern w:val="0"/>
          <w:sz w:val="32"/>
          <w:szCs w:val="32"/>
          <w:u w:val="none" w:color="auto"/>
          <w:lang w:val="en-US" w:eastAsia="zh-CN" w:bidi="ar-SA"/>
        </w:rPr>
        <w:t>鼓励各区县（开发区）对具有调峰能力的工业企业给予相应的配气价格政策优惠，降低企业用气成本。</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i w:val="0"/>
          <w:color w:val="070707"/>
          <w:spacing w:val="0"/>
          <w:kern w:val="0"/>
          <w:sz w:val="32"/>
          <w:szCs w:val="32"/>
          <w:lang w:val="en-US" w:eastAsia="zh-CN" w:bidi="ar-SA"/>
        </w:rPr>
      </w:pPr>
      <w:r>
        <w:rPr>
          <w:rFonts w:hint="default" w:ascii="Times New Roman" w:hAnsi="Times New Roman" w:eastAsia="方正仿宋_GBK" w:cs="Times New Roman"/>
          <w:spacing w:val="0"/>
          <w:w w:val="100"/>
          <w:kern w:val="0"/>
          <w:sz w:val="32"/>
          <w:szCs w:val="32"/>
          <w:u w:val="none" w:color="auto"/>
          <w:lang w:val="en-US" w:eastAsia="zh-CN" w:bidi="ar-SA"/>
        </w:rPr>
        <w:t>2</w:t>
      </w:r>
      <w:r>
        <w:rPr>
          <w:rFonts w:hint="eastAsia" w:ascii="Times New Roman" w:hAnsi="Times New Roman" w:eastAsia="方正仿宋_GBK" w:cs="Times New Roman"/>
          <w:spacing w:val="0"/>
          <w:w w:val="100"/>
          <w:kern w:val="0"/>
          <w:sz w:val="32"/>
          <w:szCs w:val="32"/>
          <w:u w:val="none" w:color="auto"/>
          <w:lang w:val="en-US" w:eastAsia="zh-CN" w:bidi="ar-SA"/>
        </w:rPr>
        <w:t>1</w:t>
      </w:r>
      <w:r>
        <w:rPr>
          <w:rFonts w:hint="default" w:ascii="Times New Roman" w:hAnsi="Times New Roman" w:eastAsia="方正仿宋_GBK" w:cs="Times New Roman"/>
          <w:spacing w:val="0"/>
          <w:w w:val="100"/>
          <w:kern w:val="0"/>
          <w:sz w:val="32"/>
          <w:szCs w:val="32"/>
          <w:u w:val="none" w:color="auto"/>
          <w:lang w:val="en-US" w:eastAsia="zh-CN" w:bidi="ar-SA"/>
        </w:rPr>
        <w:t>.</w:t>
      </w:r>
      <w:r>
        <w:rPr>
          <w:rFonts w:hint="eastAsia" w:ascii="Times New Roman" w:hAnsi="Times New Roman" w:eastAsia="方正仿宋_GBK" w:cs="Times New Roman"/>
          <w:spacing w:val="0"/>
          <w:w w:val="100"/>
          <w:kern w:val="0"/>
          <w:sz w:val="32"/>
          <w:szCs w:val="32"/>
          <w:u w:val="none" w:color="auto"/>
          <w:lang w:val="en-US" w:eastAsia="zh-CN" w:bidi="ar-SA"/>
        </w:rPr>
        <w:t>加大制造业中长期贷款投放，推广中期流贷服务方式，力争制造业贷款增速高于各项贷款增速2个百分点。</w:t>
      </w:r>
      <w:r>
        <w:rPr>
          <w:rFonts w:hint="default" w:ascii="Times New Roman" w:hAnsi="Times New Roman" w:eastAsia="方正仿宋_GBK" w:cs="Times New Roman"/>
          <w:spacing w:val="0"/>
          <w:w w:val="100"/>
          <w:kern w:val="0"/>
          <w:sz w:val="32"/>
          <w:szCs w:val="32"/>
          <w:u w:val="none" w:color="auto"/>
          <w:lang w:val="en-US" w:eastAsia="zh-CN" w:bidi="ar-SA"/>
        </w:rPr>
        <w:t>制造业中长期贷款、信用贷款等指标纳入银行机构服务制造业监管评价。</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i w:val="0"/>
          <w:color w:val="070707"/>
          <w:spacing w:val="0"/>
          <w:kern w:val="0"/>
          <w:sz w:val="32"/>
          <w:szCs w:val="32"/>
          <w:lang w:val="en-US" w:eastAsia="zh-CN" w:bidi="ar-SA"/>
        </w:rPr>
      </w:pPr>
      <w:r>
        <w:rPr>
          <w:rFonts w:hint="default" w:ascii="Times New Roman" w:hAnsi="Times New Roman" w:eastAsia="方正仿宋_GBK" w:cs="Times New Roman"/>
          <w:i w:val="0"/>
          <w:color w:val="070707"/>
          <w:spacing w:val="0"/>
          <w:kern w:val="0"/>
          <w:sz w:val="32"/>
          <w:szCs w:val="32"/>
          <w:lang w:val="en-US" w:eastAsia="zh-CN" w:bidi="ar-SA"/>
        </w:rPr>
        <w:t>2</w:t>
      </w:r>
      <w:r>
        <w:rPr>
          <w:rFonts w:hint="eastAsia" w:ascii="Times New Roman" w:hAnsi="Times New Roman" w:eastAsia="方正仿宋_GBK" w:cs="Times New Roman"/>
          <w:i w:val="0"/>
          <w:color w:val="070707"/>
          <w:spacing w:val="0"/>
          <w:kern w:val="0"/>
          <w:sz w:val="32"/>
          <w:szCs w:val="32"/>
          <w:lang w:val="en-US" w:eastAsia="zh-CN" w:bidi="ar-SA"/>
        </w:rPr>
        <w:t>2</w:t>
      </w:r>
      <w:r>
        <w:rPr>
          <w:rFonts w:hint="default" w:ascii="Times New Roman" w:hAnsi="Times New Roman" w:eastAsia="方正仿宋_GBK" w:cs="Times New Roman"/>
          <w:i w:val="0"/>
          <w:color w:val="070707"/>
          <w:spacing w:val="0"/>
          <w:kern w:val="0"/>
          <w:sz w:val="32"/>
          <w:szCs w:val="32"/>
          <w:lang w:val="en-US" w:eastAsia="zh-CN" w:bidi="ar-SA"/>
        </w:rPr>
        <w:t>.</w:t>
      </w:r>
      <w:r>
        <w:rPr>
          <w:rFonts w:hint="eastAsia" w:ascii="Times New Roman" w:hAnsi="Times New Roman" w:eastAsia="方正仿宋_GBK" w:cs="Times New Roman"/>
          <w:sz w:val="32"/>
          <w:szCs w:val="32"/>
          <w:lang w:val="en-US" w:eastAsia="zh-CN"/>
        </w:rPr>
        <w:t>优化“</w:t>
      </w:r>
      <w:r>
        <w:rPr>
          <w:rFonts w:hint="default" w:ascii="Times New Roman" w:hAnsi="Times New Roman" w:eastAsia="方正仿宋_GBK" w:cs="Times New Roman"/>
          <w:sz w:val="32"/>
          <w:szCs w:val="32"/>
          <w:lang w:val="en-US" w:eastAsia="zh-CN"/>
        </w:rPr>
        <w:t>企业吹哨</w:t>
      </w:r>
      <w:r>
        <w:rPr>
          <w:rFonts w:hint="eastAsia" w:ascii="汉仪大黑简" w:hAnsi="汉仪大黑简" w:eastAsia="汉仪大黑简" w:cs="汉仪大黑简"/>
          <w:i w:val="0"/>
          <w:color w:val="070707"/>
          <w:spacing w:val="0"/>
          <w:kern w:val="0"/>
          <w:sz w:val="32"/>
          <w:szCs w:val="32"/>
          <w:lang w:val="en-US" w:eastAsia="zh-CN" w:bidi="ar-SA"/>
        </w:rPr>
        <w:t>·</w:t>
      </w:r>
      <w:r>
        <w:rPr>
          <w:rFonts w:hint="default" w:ascii="Times New Roman" w:hAnsi="Times New Roman" w:eastAsia="方正仿宋_GBK" w:cs="Times New Roman"/>
          <w:sz w:val="32"/>
          <w:szCs w:val="32"/>
          <w:lang w:val="en-US" w:eastAsia="zh-CN"/>
        </w:rPr>
        <w:t>部门报到</w:t>
      </w:r>
      <w:r>
        <w:rPr>
          <w:rFonts w:hint="eastAsia" w:ascii="Times New Roman" w:hAnsi="Times New Roman" w:eastAsia="方正仿宋_GBK" w:cs="Times New Roman"/>
          <w:sz w:val="32"/>
          <w:szCs w:val="32"/>
          <w:lang w:val="en-US" w:eastAsia="zh-CN"/>
        </w:rPr>
        <w:t>”数字化应用</w:t>
      </w:r>
      <w:r>
        <w:rPr>
          <w:rFonts w:hint="default" w:ascii="Times New Roman" w:hAnsi="Times New Roman" w:eastAsia="方正仿宋_GBK" w:cs="Times New Roman"/>
          <w:sz w:val="32"/>
          <w:szCs w:val="32"/>
          <w:lang w:val="en-US" w:eastAsia="zh-CN"/>
        </w:rPr>
        <w:t>平台，做实</w:t>
      </w:r>
      <w:r>
        <w:rPr>
          <w:rFonts w:hint="eastAsia" w:ascii="Times New Roman" w:hAnsi="Times New Roman" w:eastAsia="方正仿宋_GBK" w:cs="Times New Roman"/>
          <w:sz w:val="32"/>
          <w:szCs w:val="32"/>
          <w:lang w:val="en-US" w:eastAsia="zh-CN"/>
        </w:rPr>
        <w:t>服务企业</w:t>
      </w:r>
      <w:r>
        <w:rPr>
          <w:rFonts w:hint="default" w:ascii="Times New Roman" w:hAnsi="Times New Roman" w:eastAsia="方正仿宋_GBK" w:cs="Times New Roman"/>
          <w:sz w:val="32"/>
          <w:szCs w:val="32"/>
          <w:lang w:val="en-US" w:eastAsia="zh-CN"/>
        </w:rPr>
        <w:t>专员</w:t>
      </w:r>
      <w:r>
        <w:rPr>
          <w:rFonts w:hint="eastAsia" w:ascii="Times New Roman" w:hAnsi="Times New Roman" w:eastAsia="方正仿宋_GBK" w:cs="Times New Roman"/>
          <w:sz w:val="32"/>
          <w:szCs w:val="32"/>
          <w:lang w:val="en-US" w:eastAsia="zh-CN"/>
        </w:rPr>
        <w:t>制度</w:t>
      </w:r>
      <w:r>
        <w:rPr>
          <w:rFonts w:hint="default" w:ascii="Times New Roman" w:hAnsi="Times New Roman" w:eastAsia="方正仿宋_GBK" w:cs="Times New Roman"/>
          <w:sz w:val="32"/>
          <w:szCs w:val="32"/>
          <w:lang w:val="en-US" w:eastAsia="zh-CN"/>
        </w:rPr>
        <w:t>，通过线上综合集成和线下专员服务，协同提供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一站式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服务，集成化、链条化、流程化推动企业问题解决</w:t>
      </w:r>
      <w:r>
        <w:rPr>
          <w:rFonts w:hint="default" w:ascii="Times New Roman" w:hAnsi="Times New Roman" w:eastAsia="方正仿宋_GBK" w:cs="Times New Roman"/>
          <w:i w:val="0"/>
          <w:color w:val="070707"/>
          <w:spacing w:val="0"/>
          <w:kern w:val="0"/>
          <w:sz w:val="32"/>
          <w:szCs w:val="32"/>
          <w:lang w:val="en-US" w:eastAsia="zh-CN" w:bidi="ar-SA"/>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pStyle w:val="4"/>
        <w:keepNext w:val="0"/>
        <w:keepLines w:val="0"/>
        <w:pageBreakBefore w:val="0"/>
        <w:kinsoku/>
        <w:wordWrap/>
        <w:overflowPunct/>
        <w:topLinePunct w:val="0"/>
        <w:autoSpaceDE/>
        <w:autoSpaceDN/>
        <w:bidi w:val="0"/>
        <w:adjustRightInd w:val="0"/>
        <w:snapToGrid w:val="0"/>
        <w:spacing w:before="0" w:beforeAutospacing="0" w:afterAutospacing="0" w:line="600" w:lineRule="exact"/>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rPr>
          <w:rFonts w:hint="default" w:ascii="Times New Roman" w:hAnsi="Times New Roman" w:eastAsia="方正仿宋_GBK" w:cs="Times New Roman"/>
          <w:kern w:val="0"/>
          <w:sz w:val="32"/>
          <w:szCs w:val="32"/>
          <w:shd w:val="clear" w:color="auto" w:fill="FFFFFF"/>
          <w:lang w:eastAsia="zh-CN" w:bidi="ar-SA"/>
        </w:rPr>
      </w:pPr>
    </w:p>
    <w:p>
      <w:pPr>
        <w:pStyle w:val="4"/>
        <w:keepNext w:val="0"/>
        <w:keepLines w:val="0"/>
        <w:pageBreakBefore w:val="0"/>
        <w:kinsoku/>
        <w:wordWrap/>
        <w:overflowPunct/>
        <w:topLinePunct w:val="0"/>
        <w:autoSpaceDE/>
        <w:autoSpaceDN/>
        <w:bidi w:val="0"/>
        <w:adjustRightInd w:val="0"/>
        <w:snapToGrid w:val="0"/>
        <w:spacing w:before="0" w:beforeAutospacing="0" w:afterAutospacing="0" w:line="600" w:lineRule="exact"/>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D64BE8"/>
    <w:rsid w:val="0B0912D7"/>
    <w:rsid w:val="0B752A98"/>
    <w:rsid w:val="0D067C7A"/>
    <w:rsid w:val="0E025194"/>
    <w:rsid w:val="0EEF0855"/>
    <w:rsid w:val="114A191F"/>
    <w:rsid w:val="11DB7C71"/>
    <w:rsid w:val="152D2DCA"/>
    <w:rsid w:val="187168EA"/>
    <w:rsid w:val="18FA03A9"/>
    <w:rsid w:val="196673CA"/>
    <w:rsid w:val="1CF734C9"/>
    <w:rsid w:val="1DEC284C"/>
    <w:rsid w:val="1E6523AC"/>
    <w:rsid w:val="22440422"/>
    <w:rsid w:val="22BB4BBB"/>
    <w:rsid w:val="25EB1AF4"/>
    <w:rsid w:val="27925691"/>
    <w:rsid w:val="2DD05FE1"/>
    <w:rsid w:val="2EAE3447"/>
    <w:rsid w:val="31A15F24"/>
    <w:rsid w:val="36FB1DF0"/>
    <w:rsid w:val="395347B5"/>
    <w:rsid w:val="39A232A0"/>
    <w:rsid w:val="39E745AA"/>
    <w:rsid w:val="3B5A6BBB"/>
    <w:rsid w:val="3C57568E"/>
    <w:rsid w:val="3C693D7F"/>
    <w:rsid w:val="3CA154E3"/>
    <w:rsid w:val="3EDA13A6"/>
    <w:rsid w:val="3FF56C14"/>
    <w:rsid w:val="404162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4120C2A"/>
    <w:rsid w:val="550C209A"/>
    <w:rsid w:val="55E064E0"/>
    <w:rsid w:val="572C6D10"/>
    <w:rsid w:val="5DC34279"/>
    <w:rsid w:val="5E500467"/>
    <w:rsid w:val="5FCD688E"/>
    <w:rsid w:val="5FF9BDAA"/>
    <w:rsid w:val="608816D1"/>
    <w:rsid w:val="60EF4E7F"/>
    <w:rsid w:val="648B0A32"/>
    <w:rsid w:val="658F6764"/>
    <w:rsid w:val="665233C1"/>
    <w:rsid w:val="69AC0D42"/>
    <w:rsid w:val="6A597EEA"/>
    <w:rsid w:val="6AD9688B"/>
    <w:rsid w:val="6B68303F"/>
    <w:rsid w:val="6D0E3F22"/>
    <w:rsid w:val="72E40B8D"/>
    <w:rsid w:val="744E4660"/>
    <w:rsid w:val="753355A2"/>
    <w:rsid w:val="759F1C61"/>
    <w:rsid w:val="769F2DE8"/>
    <w:rsid w:val="76C673E0"/>
    <w:rsid w:val="76FDEB7C"/>
    <w:rsid w:val="79C65162"/>
    <w:rsid w:val="79EE7E31"/>
    <w:rsid w:val="7C9011D9"/>
    <w:rsid w:val="7DC651C5"/>
    <w:rsid w:val="7F812CB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cs="Times New Roman"/>
      <w:sz w:val="28"/>
    </w:rPr>
  </w:style>
  <w:style w:type="paragraph" w:styleId="3">
    <w:name w:val="index 6"/>
    <w:basedOn w:val="1"/>
    <w:next w:val="1"/>
    <w:qFormat/>
    <w:uiPriority w:val="0"/>
    <w:pPr>
      <w:ind w:left="2100"/>
    </w:pPr>
    <w:rPr>
      <w:rFonts w:ascii="Calibri" w:hAnsi="Calibri" w:eastAsia="宋体" w:cs="Times New Roman"/>
      <w:szCs w:val="22"/>
    </w:rPr>
  </w:style>
  <w:style w:type="paragraph" w:styleId="6">
    <w:name w:val="annotation text"/>
    <w:basedOn w:val="1"/>
    <w:qFormat/>
    <w:uiPriority w:val="0"/>
    <w:pPr>
      <w:jc w:val="left"/>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uiPriority w:val="0"/>
    <w:pPr>
      <w:ind w:left="1680"/>
    </w:pPr>
    <w:rPr>
      <w:rFonts w:ascii="Times New Roman" w:hAnsi="Times New Roman" w:eastAsia="宋体" w:cs="Times New Roma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7"/>
    <w:basedOn w:val="1"/>
    <w:next w:val="1"/>
    <w:qFormat/>
    <w:uiPriority w:val="0"/>
    <w:pPr>
      <w:ind w:left="2520"/>
    </w:pPr>
    <w:rPr>
      <w:rFonts w:ascii="Calibri" w:hAnsi="Calibri" w:eastAsia="宋体" w:cs="Times New Roma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TotalTime>0</TotalTime>
  <ScaleCrop>false</ScaleCrop>
  <LinksUpToDate>false</LinksUpToDate>
  <CharactersWithSpaces>1204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2024-02-22T02:51:33Z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