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eastAsia="方正黑体_GBK" w:cs="方正黑体_GBK"/>
          <w:szCs w:val="32"/>
          <w:lang w:eastAsia="zh-CN"/>
        </w:rPr>
      </w:pPr>
    </w:p>
    <w:p>
      <w:pPr>
        <w:keepNext w:val="0"/>
        <w:keepLines w:val="0"/>
        <w:pageBreakBefore w:val="0"/>
        <w:widowControl w:val="0"/>
        <w:kinsoku/>
        <w:wordWrap/>
        <w:topLinePunct w:val="0"/>
        <w:autoSpaceDE/>
        <w:autoSpaceDN/>
        <w:bidi w:val="0"/>
        <w:adjustRightInd w:val="0"/>
        <w:snapToGrid w:val="0"/>
        <w:spacing w:line="560" w:lineRule="exact"/>
        <w:jc w:val="center"/>
        <w:textAlignment w:val="auto"/>
        <w:rPr>
          <w:rFonts w:hint="default" w:ascii="Times New Roman" w:hAnsi="Times New Roman" w:eastAsia="方正仿宋_GBK" w:cs="Times New Roman"/>
          <w:szCs w:val="32"/>
          <w:lang w:eastAsia="zh-CN"/>
        </w:rPr>
      </w:pPr>
      <w:r>
        <w:rPr>
          <w:rFonts w:hint="default" w:ascii="Times New Roman" w:hAnsi="Times New Roman" w:eastAsia="方正仿宋_GBK" w:cs="Times New Roman"/>
          <w:szCs w:val="32"/>
          <w:lang w:eastAsia="zh-CN"/>
        </w:rPr>
        <w:t>渝经信发〔2026〕56号</w:t>
      </w:r>
    </w:p>
    <w:p>
      <w:pPr>
        <w:keepNext w:val="0"/>
        <w:keepLines w:val="0"/>
        <w:pageBreakBefore w:val="0"/>
        <w:widowControl w:val="0"/>
        <w:kinsoku/>
        <w:wordWrap/>
        <w:topLinePunct w:val="0"/>
        <w:autoSpaceDE/>
        <w:autoSpaceDN/>
        <w:bidi w:val="0"/>
        <w:adjustRightInd w:val="0"/>
        <w:snapToGrid w:val="0"/>
        <w:spacing w:line="560" w:lineRule="exact"/>
        <w:textAlignment w:val="auto"/>
        <w:rPr>
          <w:rFonts w:hint="eastAsia" w:eastAsia="方正黑体_GBK" w:cs="方正黑体_GBK"/>
          <w:szCs w:val="32"/>
          <w:lang w:eastAsia="zh-CN"/>
        </w:rPr>
      </w:pPr>
    </w:p>
    <w:p>
      <w:pPr>
        <w:keepNext w:val="0"/>
        <w:keepLines w:val="0"/>
        <w:pageBreakBefore w:val="0"/>
        <w:widowControl w:val="0"/>
        <w:kinsoku/>
        <w:wordWrap/>
        <w:topLinePunct w:val="0"/>
        <w:autoSpaceDE/>
        <w:autoSpaceDN/>
        <w:bidi w:val="0"/>
        <w:adjustRightInd w:val="0"/>
        <w:snapToGrid w:val="0"/>
        <w:spacing w:line="560" w:lineRule="exact"/>
        <w:textAlignment w:val="auto"/>
        <w:rPr>
          <w:rFonts w:hint="eastAsia" w:eastAsia="方正黑体_GBK" w:cs="方正黑体_GBK"/>
          <w:szCs w:val="32"/>
          <w:lang w:eastAsia="zh-CN"/>
        </w:rPr>
      </w:pPr>
    </w:p>
    <w:tbl>
      <w:tblPr>
        <w:tblStyle w:val="15"/>
        <w:tblW w:w="5535" w:type="dxa"/>
        <w:jc w:val="center"/>
        <w:tblInd w:w="16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55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jc w:val="center"/>
        </w:trPr>
        <w:tc>
          <w:tcPr>
            <w:tcW w:w="5535" w:type="dxa"/>
          </w:tcPr>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重庆市经济和信息化委员会</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重庆市发展和改革委员会</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重庆市规划和自然资源局</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重庆市生态环境局</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重庆市交通运输委员会</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重庆市水利局</w:t>
            </w:r>
          </w:p>
          <w:p>
            <w:pPr>
              <w:keepNext w:val="0"/>
              <w:keepLines w:val="0"/>
              <w:pageBreakBefore w:val="0"/>
              <w:widowControl w:val="0"/>
              <w:kinsoku/>
              <w:wordWrap/>
              <w:overflowPunct/>
              <w:topLinePunct w:val="0"/>
              <w:autoSpaceDE/>
              <w:autoSpaceDN/>
              <w:bidi w:val="0"/>
              <w:adjustRightInd w:val="0"/>
              <w:snapToGrid w:val="0"/>
              <w:spacing w:line="560" w:lineRule="exact"/>
              <w:jc w:val="distribute"/>
              <w:textAlignment w:val="auto"/>
              <w:outlineLvl w:val="9"/>
              <w:rPr>
                <w:rFonts w:hint="eastAsia" w:eastAsia="方正小标宋_GBK"/>
                <w:sz w:val="44"/>
                <w:szCs w:val="44"/>
                <w:vertAlign w:val="baseline"/>
                <w:lang w:val="en-US" w:eastAsia="zh-CN"/>
              </w:rPr>
            </w:pPr>
            <w:r>
              <w:rPr>
                <w:rFonts w:hint="eastAsia" w:eastAsia="方正小标宋_GBK"/>
                <w:sz w:val="44"/>
                <w:szCs w:val="44"/>
                <w:lang w:val="en-US" w:eastAsia="zh-CN"/>
              </w:rPr>
              <w:t>重庆市应急管理局</w:t>
            </w:r>
          </w:p>
        </w:tc>
      </w:tr>
    </w:tbl>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关于南川工业园区水江化工产业园</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eastAsia="方正小标宋_GBK"/>
          <w:sz w:val="44"/>
          <w:szCs w:val="44"/>
          <w:lang w:val="en-US" w:eastAsia="zh-CN"/>
        </w:rPr>
      </w:pPr>
      <w:r>
        <w:rPr>
          <w:rFonts w:hint="eastAsia" w:eastAsia="方正小标宋_GBK"/>
          <w:sz w:val="44"/>
          <w:szCs w:val="44"/>
          <w:lang w:val="en-US" w:eastAsia="zh-CN"/>
        </w:rPr>
        <w:t>扩区复核结果的通知</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方正楷体_GBK" w:hAnsi="方正楷体_GBK" w:eastAsia="方正楷体_GBK" w:cs="方正楷体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南川</w:t>
      </w:r>
      <w:r>
        <w:rPr>
          <w:rFonts w:hint="default" w:ascii="Times New Roman" w:hAnsi="Times New Roman" w:eastAsia="方正仿宋_GBK" w:cs="Times New Roman"/>
          <w:sz w:val="32"/>
          <w:szCs w:val="32"/>
        </w:rPr>
        <w:t>区人民政府：</w:t>
      </w:r>
    </w:p>
    <w:p>
      <w:pPr>
        <w:keepNext w:val="0"/>
        <w:keepLines w:val="0"/>
        <w:pageBreakBefore w:val="0"/>
        <w:widowControl w:val="0"/>
        <w:kinsoku/>
        <w:wordWrap/>
        <w:overflowPunct/>
        <w:topLinePunct w:val="0"/>
        <w:autoSpaceDE/>
        <w:autoSpaceDN/>
        <w:bidi w:val="0"/>
        <w:adjustRightInd w:val="0"/>
        <w:snapToGrid w:val="0"/>
        <w:spacing w:line="578" w:lineRule="atLeast"/>
        <w:ind w:firstLine="63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你区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kern w:val="0"/>
          <w:sz w:val="32"/>
          <w:szCs w:val="32"/>
          <w:highlight w:val="none"/>
          <w:lang w:val="en-US" w:eastAsia="zh-CN"/>
        </w:rPr>
        <w:t>关于</w:t>
      </w:r>
      <w:r>
        <w:rPr>
          <w:rFonts w:hint="eastAsia" w:ascii="Times New Roman" w:hAnsi="Times New Roman" w:eastAsia="方正仿宋_GBK" w:cs="Times New Roman"/>
          <w:color w:val="auto"/>
          <w:kern w:val="0"/>
          <w:sz w:val="32"/>
          <w:szCs w:val="32"/>
          <w:highlight w:val="none"/>
          <w:lang w:val="en-US" w:eastAsia="zh-CN"/>
        </w:rPr>
        <w:t>申请开展</w:t>
      </w:r>
      <w:r>
        <w:rPr>
          <w:rFonts w:hint="default" w:ascii="Times New Roman" w:hAnsi="Times New Roman" w:eastAsia="方正仿宋_GBK" w:cs="Times New Roman"/>
          <w:color w:val="auto"/>
          <w:kern w:val="0"/>
          <w:sz w:val="32"/>
          <w:szCs w:val="32"/>
          <w:highlight w:val="none"/>
          <w:lang w:val="en-US" w:eastAsia="zh-CN"/>
        </w:rPr>
        <w:t>南川工业园区水江化工产业园扩区</w:t>
      </w:r>
      <w:r>
        <w:rPr>
          <w:rFonts w:hint="eastAsia" w:ascii="Times New Roman" w:hAnsi="Times New Roman" w:eastAsia="方正仿宋_GBK" w:cs="Times New Roman"/>
          <w:color w:val="auto"/>
          <w:kern w:val="0"/>
          <w:sz w:val="32"/>
          <w:szCs w:val="32"/>
          <w:highlight w:val="none"/>
          <w:lang w:val="en-US" w:eastAsia="zh-CN"/>
        </w:rPr>
        <w:t>复核</w:t>
      </w:r>
      <w:r>
        <w:rPr>
          <w:rFonts w:hint="default" w:ascii="Times New Roman" w:hAnsi="Times New Roman" w:eastAsia="方正仿宋_GBK" w:cs="Times New Roman"/>
          <w:color w:val="auto"/>
          <w:kern w:val="0"/>
          <w:sz w:val="32"/>
          <w:szCs w:val="32"/>
          <w:highlight w:val="none"/>
          <w:lang w:val="en-US" w:eastAsia="zh-CN"/>
        </w:rPr>
        <w:t>的函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南川府函</w:t>
      </w:r>
      <w:r>
        <w:rPr>
          <w:rFonts w:hint="default" w:ascii="Times New Roman" w:hAnsi="Times New Roman" w:eastAsia="方正仿宋_GBK" w:cs="Times New Roman"/>
        </w:rPr>
        <w:t>〔202</w:t>
      </w:r>
      <w:r>
        <w:rPr>
          <w:rFonts w:hint="eastAsia" w:ascii="Times New Roman" w:hAnsi="Times New Roman" w:eastAsia="方正仿宋_GBK" w:cs="Times New Roman"/>
          <w:lang w:val="en-US" w:eastAsia="zh-CN"/>
        </w:rPr>
        <w:t>6</w:t>
      </w:r>
      <w:r>
        <w:rPr>
          <w:rFonts w:hint="default" w:ascii="Times New Roman" w:hAnsi="Times New Roman" w:eastAsia="方正仿宋_GBK" w:cs="Times New Roman"/>
        </w:rPr>
        <w:t>〕</w:t>
      </w:r>
      <w:r>
        <w:rPr>
          <w:rFonts w:hint="eastAsia" w:ascii="Times New Roman" w:hAnsi="Times New Roman" w:eastAsia="方正仿宋_GBK" w:cs="Times New Roman"/>
          <w:color w:val="auto"/>
          <w:kern w:val="0"/>
          <w:sz w:val="32"/>
          <w:szCs w:val="32"/>
          <w:highlight w:val="none"/>
          <w:lang w:val="en-US" w:eastAsia="zh-CN"/>
        </w:rPr>
        <w:t>52</w:t>
      </w:r>
      <w:bookmarkStart w:id="0" w:name="_GoBack"/>
      <w:bookmarkEnd w:id="0"/>
      <w:r>
        <w:rPr>
          <w:rFonts w:hint="default" w:ascii="Times New Roman" w:hAnsi="Times New Roman" w:eastAsia="方正仿宋_GBK" w:cs="Times New Roman"/>
          <w:color w:val="auto"/>
          <w:kern w:val="0"/>
          <w:sz w:val="32"/>
          <w:szCs w:val="32"/>
          <w:highlight w:val="none"/>
          <w:lang w:val="en-US" w:eastAsia="zh-CN"/>
        </w:rPr>
        <w:t>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color w:val="auto"/>
          <w:kern w:val="0"/>
          <w:sz w:val="32"/>
          <w:szCs w:val="32"/>
          <w:highlight w:val="none"/>
          <w:lang w:val="en-US" w:eastAsia="zh-CN"/>
        </w:rPr>
        <w:t>收悉。根据《化工园区建设标准和认定管理办法（试行）》（工信部联原</w:t>
      </w:r>
      <w:r>
        <w:rPr>
          <w:rFonts w:hint="default" w:ascii="Times New Roman" w:hAnsi="Times New Roman" w:eastAsia="方正仿宋_GBK" w:cs="Times New Roman"/>
        </w:rPr>
        <w:t>〔202</w:t>
      </w:r>
      <w:r>
        <w:rPr>
          <w:rFonts w:hint="default" w:ascii="Times New Roman" w:hAnsi="Times New Roman" w:eastAsia="方正仿宋_GBK" w:cs="Times New Roman"/>
          <w:lang w:val="en-US" w:eastAsia="zh-CN"/>
        </w:rPr>
        <w:t>1</w:t>
      </w:r>
      <w:r>
        <w:rPr>
          <w:rFonts w:hint="default" w:ascii="Times New Roman" w:hAnsi="Times New Roman" w:eastAsia="方正仿宋_GBK" w:cs="Times New Roman"/>
        </w:rPr>
        <w:t>〕</w:t>
      </w:r>
      <w:r>
        <w:rPr>
          <w:rFonts w:hint="default" w:ascii="Times New Roman" w:hAnsi="Times New Roman" w:eastAsia="方正仿宋_GBK" w:cs="Times New Roman"/>
          <w:color w:val="auto"/>
          <w:kern w:val="0"/>
          <w:sz w:val="32"/>
          <w:szCs w:val="32"/>
          <w:highlight w:val="none"/>
          <w:lang w:val="en-US" w:eastAsia="zh-CN"/>
        </w:rPr>
        <w:t>220号）、《重庆市化工园区建设标准和认定管理办法（2025年）》（渝经信发</w:t>
      </w:r>
      <w:r>
        <w:rPr>
          <w:rFonts w:hint="default" w:ascii="Times New Roman" w:hAnsi="Times New Roman" w:eastAsia="方正仿宋_GBK" w:cs="Times New Roman"/>
        </w:rPr>
        <w:t>〔202</w:t>
      </w:r>
      <w:r>
        <w:rPr>
          <w:rFonts w:hint="default" w:ascii="Times New Roman" w:hAnsi="Times New Roman" w:eastAsia="方正仿宋_GBK" w:cs="Times New Roman"/>
          <w:lang w:val="en-US" w:eastAsia="zh-CN"/>
        </w:rPr>
        <w:t>5</w:t>
      </w:r>
      <w:r>
        <w:rPr>
          <w:rFonts w:hint="default" w:ascii="Times New Roman" w:hAnsi="Times New Roman" w:eastAsia="方正仿宋_GBK" w:cs="Times New Roman"/>
        </w:rPr>
        <w:t>〕</w:t>
      </w:r>
      <w:r>
        <w:rPr>
          <w:rFonts w:hint="default" w:ascii="Times New Roman" w:hAnsi="Times New Roman" w:eastAsia="方正仿宋_GBK" w:cs="Times New Roman"/>
          <w:color w:val="auto"/>
          <w:kern w:val="0"/>
          <w:sz w:val="32"/>
          <w:szCs w:val="32"/>
          <w:highlight w:val="none"/>
          <w:lang w:val="en-US" w:eastAsia="zh-CN"/>
        </w:rPr>
        <w:t>86号）等要求，我委会同市发展改革委、市规划自然资源局、市生态环境局、市交通运输委、市水利局、市应急管理局等部门，对南川工业园区水江化工产业园扩区区域进行了现场复核和综合审查</w:t>
      </w:r>
      <w:r>
        <w:rPr>
          <w:rFonts w:hint="eastAsia" w:eastAsia="方正仿宋_GBK" w:cs="Times New Roman"/>
          <w:color w:val="auto"/>
          <w:kern w:val="0"/>
          <w:sz w:val="32"/>
          <w:szCs w:val="32"/>
          <w:highlight w:val="none"/>
          <w:lang w:val="en-US" w:eastAsia="zh-CN"/>
        </w:rPr>
        <w:t>。</w:t>
      </w:r>
      <w:r>
        <w:rPr>
          <w:rFonts w:hint="eastAsia" w:eastAsia="方正仿宋_GBK" w:cs="Times New Roman"/>
          <w:sz w:val="32"/>
          <w:szCs w:val="32"/>
          <w:lang w:val="en-US" w:eastAsia="zh-CN"/>
        </w:rPr>
        <w:t>经</w:t>
      </w:r>
      <w:r>
        <w:rPr>
          <w:rFonts w:hint="default" w:ascii="Times New Roman" w:hAnsi="Times New Roman" w:eastAsia="方正仿宋_GBK" w:cs="Times New Roman"/>
          <w:sz w:val="32"/>
          <w:szCs w:val="32"/>
          <w:lang w:eastAsia="zh-CN"/>
        </w:rPr>
        <w:t>市政府同意，现就有关事宜</w:t>
      </w:r>
      <w:r>
        <w:rPr>
          <w:rFonts w:hint="eastAsia" w:eastAsia="方正仿宋_GBK" w:cs="Times New Roman"/>
          <w:sz w:val="32"/>
          <w:szCs w:val="32"/>
          <w:lang w:eastAsia="zh"/>
        </w:rPr>
        <w:t>通知</w:t>
      </w:r>
      <w:r>
        <w:rPr>
          <w:rFonts w:hint="default" w:ascii="Times New Roman" w:hAnsi="Times New Roman" w:eastAsia="方正仿宋_GBK" w:cs="Times New Roman"/>
          <w:sz w:val="32"/>
          <w:szCs w:val="32"/>
          <w:lang w:eastAsia="zh-CN"/>
        </w:rPr>
        <w:t>如下</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78" w:lineRule="atLeast"/>
        <w:ind w:firstLine="632" w:firstLineChars="200"/>
        <w:jc w:val="both"/>
        <w:textAlignment w:val="auto"/>
        <w:rPr>
          <w:rFonts w:hint="default" w:ascii="Times New Roman" w:hAnsi="Times New Roman" w:eastAsia="方正仿宋_GBK" w:cs="Times New Roman"/>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一、</w:t>
      </w:r>
      <w:r>
        <w:rPr>
          <w:rFonts w:hint="eastAsia" w:ascii="Times New Roman" w:hAnsi="Times New Roman" w:eastAsia="方正仿宋_GBK" w:cs="Times New Roman"/>
          <w:sz w:val="32"/>
          <w:szCs w:val="32"/>
          <w:highlight w:val="none"/>
          <w:lang w:val="en-US" w:eastAsia="zh-CN"/>
        </w:rPr>
        <w:t>确认南川工业园区水江化工产业园扩区区域达到正式认定要求，复核合格。扩区区域面积98.71公顷，其中区块一面积41.45公顷，东至水江镇大燕居委3组马二湾，南至水江镇大燕居委5组爱于微公司，西至水江镇大燕居委5组吉鑫公司，北至水江镇大燕居委2组盛家湾；区块二面积48.91公顷，东至水江镇大燕居委3组大青㭎林，南至水江镇大燕居委3组水江大道，西至水江镇大燕居委3组梅家垭口，北至水江镇大燕居委3组小长湾；区块三面积7.93公顷，东至水江镇兴盛居委4组水江大桥，南至水江镇兴盛居委4组三根树，西至水江镇兴盛居委4组石灰窑，北至水江镇兴盛居委4组操坝；其他零星地块0.42公顷，系已认定化工园区包围而未纳入的“天窗”。扩区后，南川工业园区水江化工产业园规划面积318.27公顷，东至水江镇大燕居委三组水江大桥西桥头，南至水江镇兴盛居委四组熊家湾，西至大燕五组车坝，北至水江镇大燕居委盛家湾。</w:t>
      </w:r>
    </w:p>
    <w:p>
      <w:pPr>
        <w:pStyle w:val="3"/>
        <w:keepNext w:val="0"/>
        <w:keepLines w:val="0"/>
        <w:pageBreakBefore w:val="0"/>
        <w:widowControl w:val="0"/>
        <w:kinsoku/>
        <w:wordWrap/>
        <w:overflowPunct/>
        <w:topLinePunct w:val="0"/>
        <w:autoSpaceDE/>
        <w:autoSpaceDN/>
        <w:bidi w:val="0"/>
        <w:adjustRightInd w:val="0"/>
        <w:snapToGrid w:val="0"/>
        <w:spacing w:after="0" w:line="578" w:lineRule="atLeast"/>
        <w:ind w:firstLine="632" w:firstLineChars="200"/>
        <w:textAlignment w:val="auto"/>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highlight w:val="none"/>
          <w:lang w:val="en-US" w:eastAsia="zh-CN"/>
        </w:rPr>
        <w:t>二、</w:t>
      </w:r>
      <w:r>
        <w:rPr>
          <w:rFonts w:hint="default" w:ascii="Times New Roman" w:hAnsi="Times New Roman" w:eastAsia="方正仿宋_GBK" w:cs="Times New Roman"/>
          <w:sz w:val="32"/>
          <w:szCs w:val="32"/>
          <w:lang w:val="en-US" w:eastAsia="zh-CN"/>
        </w:rPr>
        <w:t>请</w:t>
      </w:r>
      <w:r>
        <w:rPr>
          <w:rFonts w:hint="default" w:ascii="Times New Roman" w:hAnsi="Times New Roman" w:eastAsia="方正仿宋_GBK" w:cs="Times New Roman"/>
          <w:sz w:val="32"/>
          <w:szCs w:val="32"/>
          <w:lang w:eastAsia="zh-CN"/>
        </w:rPr>
        <w:t>你区</w:t>
      </w:r>
      <w:r>
        <w:rPr>
          <w:rFonts w:hint="eastAsia" w:ascii="Times New Roman" w:hAnsi="Times New Roman" w:eastAsia="方正仿宋_GBK" w:cs="Times New Roman"/>
          <w:sz w:val="32"/>
          <w:szCs w:val="32"/>
          <w:lang w:val="en-US" w:eastAsia="zh-CN"/>
        </w:rPr>
        <w:t>切实履行属地管理责任，指导南川工业园区管委会深入推进全市“33618”现代制造业集群体系建设，突出园区特色定位，推动化工产业上下游协同发展，提升产业集聚度和综合竞争力。严格执行《中华人民共和国长江保护法》《中华人民共和国危险化学品安全法》</w:t>
      </w:r>
      <w:r>
        <w:rPr>
          <w:rFonts w:hint="eastAsia" w:eastAsia="方正仿宋_GBK" w:cs="Times New Roman"/>
          <w:sz w:val="32"/>
          <w:szCs w:val="32"/>
          <w:lang w:val="en-US" w:eastAsia="zh-CN"/>
        </w:rPr>
        <w:t>《中华人民共和国公路法》</w:t>
      </w:r>
      <w:r>
        <w:rPr>
          <w:rFonts w:hint="eastAsia" w:ascii="Times New Roman" w:hAnsi="Times New Roman" w:eastAsia="方正仿宋_GBK" w:cs="Times New Roman"/>
          <w:sz w:val="32"/>
          <w:szCs w:val="32"/>
          <w:lang w:val="en-US" w:eastAsia="zh-CN"/>
        </w:rPr>
        <w:t>等法律法规，严守安全环保底线，定期开展化工园区整体性安全风险评估，确保化工园区安全风险等级持续保持D级。涉及公路等基础设施的，应严格按相关法律法规控制相邻设施间距离。加强对化工园区规划建设和产业培育的监督管理与协调服务，督促企业落实安全生产、环境保护主体责任，提升本质安全水平和绿色发展能力。</w:t>
      </w: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default" w:ascii="Times New Roman" w:hAnsi="Times New Roman" w:eastAsia="方正仿宋_GBK" w:cs="Times New Roman"/>
          <w:color w:val="000000"/>
          <w:kern w:val="2"/>
          <w:sz w:val="32"/>
          <w:szCs w:val="32"/>
          <w:lang w:val="en-US" w:bidi="ar"/>
        </w:rPr>
      </w:pPr>
    </w:p>
    <w:p>
      <w:pPr>
        <w:pStyle w:val="4"/>
        <w:keepNext w:val="0"/>
        <w:keepLines w:val="0"/>
        <w:pageBreakBefore w:val="0"/>
        <w:widowControl w:val="0"/>
        <w:kinsoku/>
        <w:wordWrap/>
        <w:overflowPunct/>
        <w:topLinePunct w:val="0"/>
        <w:autoSpaceDE/>
        <w:autoSpaceDN/>
        <w:bidi w:val="0"/>
        <w:adjustRightInd w:val="0"/>
        <w:snapToGrid w:val="0"/>
        <w:spacing w:line="520" w:lineRule="exact"/>
        <w:ind w:left="0" w:leftChars="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default"/>
          <w:lang w:val="en-US" w:eastAsia="zh-CN"/>
        </w:rPr>
      </w:pPr>
    </w:p>
    <w:p>
      <w:pPr>
        <w:pStyle w:val="10"/>
        <w:adjustRightInd w:val="0"/>
        <w:snapToGrid w:val="0"/>
        <w:spacing w:before="0" w:beforeAutospacing="0" w:after="0" w:afterAutospacing="0" w:line="578" w:lineRule="atLeast"/>
        <w:ind w:firstLine="0" w:firstLineChars="0"/>
        <w:jc w:val="both"/>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重庆市经济和信息化委员会     重庆市发展和改革委员会 </w:t>
      </w: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pStyle w:val="10"/>
        <w:wordWrap/>
        <w:adjustRightInd w:val="0"/>
        <w:snapToGrid w:val="0"/>
        <w:spacing w:before="0" w:beforeAutospacing="0" w:after="0" w:afterAutospacing="0" w:line="578" w:lineRule="atLeast"/>
        <w:ind w:firstLine="0" w:firstLineChars="0"/>
        <w:jc w:val="both"/>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重庆市规划和自然资源局       </w:t>
      </w:r>
      <w:r>
        <w:rPr>
          <w:rFonts w:hint="eastAsia"/>
          <w:sz w:val="32"/>
          <w:szCs w:val="32"/>
          <w:lang w:val="en-US" w:eastAsia="zh-CN"/>
        </w:rPr>
        <w:t xml:space="preserve"> </w:t>
      </w:r>
      <w:r>
        <w:rPr>
          <w:rFonts w:hint="eastAsia" w:ascii="Times New Roman" w:hAnsi="Times New Roman" w:eastAsia="方正仿宋_GBK"/>
          <w:sz w:val="32"/>
          <w:szCs w:val="32"/>
        </w:rPr>
        <w:t xml:space="preserve"> 重庆市生态环境局    </w:t>
      </w: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keepNext w:val="0"/>
        <w:keepLines w:val="0"/>
        <w:pageBreakBefore w:val="0"/>
        <w:widowControl w:val="0"/>
        <w:suppressAutoHyphens/>
        <w:kinsoku/>
        <w:wordWrap/>
        <w:overflowPunct/>
        <w:topLinePunct w:val="0"/>
        <w:autoSpaceDE/>
        <w:autoSpaceDN/>
        <w:bidi w:val="0"/>
        <w:adjustRightInd w:val="0"/>
        <w:snapToGrid w:val="0"/>
        <w:spacing w:line="520" w:lineRule="exact"/>
        <w:ind w:left="0" w:leftChars="0" w:firstLine="1580" w:firstLineChars="500"/>
        <w:textAlignment w:val="auto"/>
        <w:outlineLvl w:val="1"/>
        <w:rPr>
          <w:rFonts w:hint="eastAsia" w:ascii="Times New Roman" w:hAnsi="Times New Roman" w:eastAsia="方正仿宋_GBK" w:cs="Times New Roman"/>
          <w:color w:val="000000"/>
          <w:kern w:val="2"/>
          <w:sz w:val="32"/>
          <w:szCs w:val="32"/>
          <w:lang w:val="en-US" w:bidi="ar"/>
        </w:rPr>
      </w:pPr>
    </w:p>
    <w:p>
      <w:pPr>
        <w:pStyle w:val="10"/>
        <w:wordWrap/>
        <w:adjustRightInd w:val="0"/>
        <w:snapToGrid w:val="0"/>
        <w:spacing w:before="0" w:beforeAutospacing="0" w:after="0" w:afterAutospacing="0" w:line="578" w:lineRule="atLeast"/>
        <w:ind w:firstLine="0" w:firstLineChars="0"/>
        <w:jc w:val="both"/>
        <w:rPr>
          <w:rFonts w:hint="eastAsia" w:ascii="Times New Roman" w:hAnsi="Times New Roman" w:eastAsia="方正仿宋_GBK"/>
          <w:sz w:val="32"/>
          <w:szCs w:val="32"/>
        </w:rPr>
      </w:pPr>
      <w:r>
        <w:rPr>
          <w:rFonts w:hint="eastAsia" w:ascii="Times New Roman" w:hAnsi="Times New Roman" w:eastAsia="方正仿宋_GBK"/>
          <w:sz w:val="32"/>
          <w:szCs w:val="32"/>
        </w:rPr>
        <w:t xml:space="preserve">    重庆市交通运输委员会         </w:t>
      </w:r>
      <w:r>
        <w:rPr>
          <w:rFonts w:hint="eastAsia"/>
          <w:sz w:val="32"/>
          <w:szCs w:val="32"/>
          <w:lang w:val="en-US" w:eastAsia="zh-CN"/>
        </w:rPr>
        <w:t xml:space="preserve">  </w:t>
      </w:r>
      <w:r>
        <w:rPr>
          <w:rFonts w:hint="eastAsia" w:ascii="Times New Roman" w:hAnsi="Times New Roman" w:eastAsia="方正仿宋_GBK"/>
          <w:sz w:val="32"/>
          <w:szCs w:val="32"/>
        </w:rPr>
        <w:t xml:space="preserve"> 重庆市水利局    </w:t>
      </w:r>
    </w:p>
    <w:p>
      <w:pPr>
        <w:pStyle w:val="10"/>
        <w:wordWrap/>
        <w:adjustRightInd w:val="0"/>
        <w:snapToGrid w:val="0"/>
        <w:spacing w:before="0" w:beforeAutospacing="0" w:after="0" w:afterAutospacing="0" w:line="578" w:lineRule="atLeast"/>
        <w:ind w:firstLine="632" w:firstLineChars="200"/>
        <w:jc w:val="both"/>
        <w:rPr>
          <w:rFonts w:hint="eastAsia" w:ascii="Times New Roman" w:hAnsi="Times New Roman" w:eastAsia="方正仿宋_GBK"/>
          <w:sz w:val="32"/>
          <w:szCs w:val="32"/>
        </w:rPr>
      </w:pPr>
    </w:p>
    <w:p>
      <w:pPr>
        <w:pStyle w:val="10"/>
        <w:wordWrap/>
        <w:adjustRightInd w:val="0"/>
        <w:snapToGrid w:val="0"/>
        <w:spacing w:before="0" w:beforeAutospacing="0" w:after="0" w:afterAutospacing="0" w:line="578" w:lineRule="atLeast"/>
        <w:ind w:firstLine="632" w:firstLineChars="200"/>
        <w:jc w:val="both"/>
        <w:rPr>
          <w:rFonts w:hint="eastAsia" w:ascii="Times New Roman" w:hAnsi="Times New Roman" w:eastAsia="方正仿宋_GBK"/>
          <w:sz w:val="32"/>
          <w:szCs w:val="32"/>
        </w:rPr>
      </w:pPr>
    </w:p>
    <w:p>
      <w:pPr>
        <w:pStyle w:val="10"/>
        <w:wordWrap/>
        <w:adjustRightInd w:val="0"/>
        <w:snapToGrid w:val="0"/>
        <w:spacing w:before="0" w:beforeAutospacing="0" w:after="0" w:afterAutospacing="0" w:line="578" w:lineRule="atLeast"/>
        <w:ind w:firstLine="632" w:firstLineChars="200"/>
        <w:jc w:val="both"/>
        <w:rPr>
          <w:rFonts w:hint="eastAsia" w:ascii="Times New Roman" w:hAnsi="Times New Roman" w:eastAsia="方正仿宋_GBK"/>
          <w:sz w:val="32"/>
          <w:szCs w:val="32"/>
        </w:rPr>
      </w:pPr>
    </w:p>
    <w:p>
      <w:pPr>
        <w:pStyle w:val="10"/>
        <w:wordWrap/>
        <w:adjustRightInd w:val="0"/>
        <w:snapToGrid w:val="0"/>
        <w:spacing w:before="0" w:beforeAutospacing="0" w:after="0" w:afterAutospacing="0" w:line="578" w:lineRule="atLeast"/>
        <w:ind w:firstLine="632"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 xml:space="preserve">    </w:t>
      </w:r>
      <w:r>
        <w:rPr>
          <w:rFonts w:hint="eastAsia" w:ascii="Times New Roman" w:hAnsi="Times New Roman" w:eastAsia="方正仿宋_GBK"/>
          <w:sz w:val="32"/>
          <w:szCs w:val="32"/>
          <w:lang w:val="en-US" w:eastAsia="zh-CN"/>
        </w:rPr>
        <w:t xml:space="preserve"> </w:t>
      </w:r>
      <w:r>
        <w:rPr>
          <w:rFonts w:hint="eastAsia" w:ascii="Times New Roman" w:hAnsi="Times New Roman" w:eastAsia="方正仿宋_GBK"/>
          <w:sz w:val="32"/>
          <w:szCs w:val="32"/>
        </w:rPr>
        <w:t xml:space="preserve">重庆市应急管理局    </w:t>
      </w:r>
    </w:p>
    <w:p>
      <w:pPr>
        <w:adjustRightInd w:val="0"/>
        <w:snapToGrid w:val="0"/>
        <w:spacing w:beforeLines="0" w:afterLines="0" w:line="578" w:lineRule="atLeast"/>
        <w:ind w:firstLine="4424" w:firstLineChars="1400"/>
        <w:rPr>
          <w:rFonts w:eastAsia="方正仿宋_GBK" w:cs="Calibri"/>
          <w:szCs w:val="21"/>
          <w:highlight w:val="none"/>
        </w:rPr>
      </w:pPr>
      <w:r>
        <w:rPr>
          <w:rFonts w:hint="eastAsia" w:eastAsia="方正仿宋_GBK"/>
          <w:color w:val="000000"/>
          <w:szCs w:val="32"/>
          <w:highlight w:val="none"/>
        </w:rPr>
        <w:t xml:space="preserve"> </w:t>
      </w:r>
      <w:r>
        <w:rPr>
          <w:rFonts w:eastAsia="方正仿宋_GBK"/>
          <w:color w:val="000000"/>
          <w:szCs w:val="32"/>
          <w:highlight w:val="none"/>
        </w:rPr>
        <w:t xml:space="preserve"> </w:t>
      </w:r>
      <w:r>
        <w:rPr>
          <w:rFonts w:hint="eastAsia" w:eastAsia="方正仿宋_GBK"/>
          <w:color w:val="000000"/>
          <w:szCs w:val="32"/>
          <w:highlight w:val="none"/>
        </w:rPr>
        <w:t xml:space="preserve"> </w:t>
      </w:r>
      <w:r>
        <w:rPr>
          <w:rFonts w:hint="eastAsia" w:eastAsia="方正仿宋_GBK"/>
          <w:color w:val="000000"/>
          <w:szCs w:val="32"/>
          <w:highlight w:val="none"/>
          <w:lang w:val="en-US" w:eastAsia="zh-CN"/>
        </w:rPr>
        <w:t xml:space="preserve">   </w:t>
      </w:r>
      <w:r>
        <w:rPr>
          <w:rFonts w:hint="eastAsia"/>
          <w:color w:val="000000"/>
          <w:szCs w:val="32"/>
          <w:highlight w:val="none"/>
        </w:rPr>
        <w:t xml:space="preserve"> </w:t>
      </w:r>
      <w:r>
        <w:rPr>
          <w:rFonts w:eastAsia="方正仿宋_GBK"/>
          <w:color w:val="000000"/>
          <w:szCs w:val="32"/>
          <w:highlight w:val="none"/>
        </w:rPr>
        <w:t>202</w:t>
      </w:r>
      <w:r>
        <w:rPr>
          <w:rFonts w:hint="eastAsia"/>
          <w:color w:val="000000"/>
          <w:szCs w:val="32"/>
          <w:highlight w:val="none"/>
        </w:rPr>
        <w:t>6</w:t>
      </w:r>
      <w:r>
        <w:rPr>
          <w:rFonts w:eastAsia="方正仿宋_GBK"/>
          <w:color w:val="000000"/>
          <w:szCs w:val="32"/>
          <w:highlight w:val="none"/>
        </w:rPr>
        <w:t>年</w:t>
      </w:r>
      <w:r>
        <w:rPr>
          <w:rFonts w:hint="eastAsia" w:eastAsia="方正仿宋_GBK"/>
          <w:color w:val="000000"/>
          <w:szCs w:val="32"/>
          <w:highlight w:val="none"/>
          <w:lang w:val="en-US" w:eastAsia="zh-CN"/>
        </w:rPr>
        <w:t>8</w:t>
      </w:r>
      <w:r>
        <w:rPr>
          <w:rFonts w:eastAsia="方正仿宋_GBK"/>
          <w:color w:val="000000"/>
          <w:szCs w:val="32"/>
          <w:highlight w:val="none"/>
        </w:rPr>
        <w:t>月</w:t>
      </w:r>
      <w:r>
        <w:rPr>
          <w:rFonts w:hint="eastAsia" w:eastAsia="方正仿宋_GBK"/>
          <w:color w:val="000000"/>
          <w:szCs w:val="32"/>
          <w:highlight w:val="none"/>
          <w:lang w:val="en-US" w:eastAsia="zh-CN"/>
        </w:rPr>
        <w:t>19</w:t>
      </w:r>
      <w:r>
        <w:rPr>
          <w:rFonts w:eastAsia="方正仿宋_GBK"/>
          <w:color w:val="000000"/>
          <w:szCs w:val="32"/>
          <w:highlight w:val="none"/>
        </w:rPr>
        <w:t>日</w:t>
      </w:r>
      <w:r>
        <w:rPr>
          <w:rFonts w:hint="eastAsia" w:eastAsia="方正仿宋_GBK"/>
          <w:color w:val="000000"/>
          <w:szCs w:val="32"/>
          <w:highlight w:val="none"/>
        </w:rPr>
        <w:t xml:space="preserve"> </w:t>
      </w:r>
      <w:r>
        <w:rPr>
          <w:rFonts w:eastAsia="方正仿宋_GBK"/>
          <w:color w:val="000000"/>
          <w:szCs w:val="32"/>
          <w:highlight w:val="none"/>
        </w:rPr>
        <w:t xml:space="preserve">  </w:t>
      </w:r>
      <w:r>
        <w:rPr>
          <w:rFonts w:hint="eastAsia" w:eastAsia="方正仿宋_GBK"/>
          <w:color w:val="000000"/>
          <w:szCs w:val="32"/>
          <w:highlight w:val="none"/>
        </w:rPr>
        <w:t xml:space="preserve">   </w:t>
      </w:r>
    </w:p>
    <w:p>
      <w:pPr>
        <w:ind w:firstLine="632" w:firstLineChars="200"/>
        <w:rPr>
          <w:rFonts w:hint="default"/>
          <w:lang w:val="en-US" w:eastAsia="zh-CN"/>
        </w:rPr>
      </w:pPr>
      <w:r>
        <w:rPr>
          <w:rFonts w:hint="default" w:ascii="方正仿宋_GBK" w:hAnsi="方正仿宋_GBK" w:eastAsia="方正仿宋_GBK" w:cs="方正仿宋_GBK"/>
          <w:sz w:val="32"/>
          <w:szCs w:val="32"/>
          <w:highlight w:val="none"/>
          <w:lang w:val="en-US" w:eastAsia="zh-CN"/>
        </w:rPr>
        <w:t>（此件删减后公开）</w:t>
      </w:r>
      <w:r>
        <w:rPr>
          <w:rFonts w:hint="default"/>
          <w:lang w:val="en-US" w:eastAsia="zh-CN"/>
        </w:rPr>
        <w:t xml:space="preserve">  </w:t>
      </w:r>
    </w:p>
    <w:p>
      <w:pPr>
        <w:jc w:val="center"/>
        <w:rPr>
          <w:rFonts w:hint="eastAsia" w:eastAsia="宋体"/>
          <w:lang w:eastAsia="zh-CN"/>
        </w:rPr>
      </w:pPr>
    </w:p>
    <w:p>
      <w:pPr>
        <w:pStyle w:val="2"/>
        <w:rPr>
          <w:rFonts w:hint="eastAsia" w:eastAsia="宋体"/>
          <w:lang w:eastAsia="zh-CN"/>
        </w:rPr>
      </w:pPr>
    </w:p>
    <w:p>
      <w:pPr>
        <w:rPr>
          <w:rFonts w:hint="eastAsia" w:eastAsia="宋体"/>
          <w:lang w:eastAsia="zh-CN"/>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Style w:val="25"/>
        <w:adjustRightInd w:val="0"/>
        <w:snapToGrid w:val="0"/>
        <w:spacing w:beforeLines="0" w:after="0" w:afterLines="0" w:line="600" w:lineRule="atLeast"/>
        <w:rPr>
          <w:rFonts w:ascii="Times New Roman" w:hAnsi="Times New Roman" w:eastAsia="方正仿宋_GBK" w:cs="Times New Roman"/>
          <w:b w:val="0"/>
          <w:bCs w:val="0"/>
          <w:color w:val="000000"/>
          <w:sz w:val="32"/>
          <w:szCs w:val="32"/>
        </w:rPr>
      </w:pPr>
    </w:p>
    <w:p>
      <w:pPr>
        <w:pBdr>
          <w:top w:val="single" w:color="auto" w:sz="4" w:space="0"/>
          <w:bottom w:val="single" w:color="auto" w:sz="4" w:space="0"/>
        </w:pBdr>
        <w:adjustRightInd/>
        <w:snapToGrid/>
        <w:spacing w:beforeLines="0" w:afterLines="0" w:line="240" w:lineRule="auto"/>
        <w:outlineLvl w:val="9"/>
        <w:rPr>
          <w:rFonts w:hint="eastAsia"/>
          <w:lang w:eastAsia="zh-CN"/>
        </w:rPr>
      </w:pPr>
      <w:r>
        <w:rPr>
          <w:rFonts w:hint="default" w:ascii="Times New Roman" w:hAnsi="Times New Roman" w:eastAsia="方正仿宋_GBK" w:cs="Times New Roman"/>
          <w:b w:val="0"/>
          <w:bCs w:val="0"/>
          <w:color w:val="000000"/>
          <w:sz w:val="28"/>
          <w:szCs w:val="28"/>
          <w:lang w:val="en-US" w:eastAsia="zh-CN"/>
        </w:rPr>
        <w:t xml:space="preserve">  重庆市经济和信息化委员会办公室   </w:t>
      </w:r>
      <w:r>
        <w:rPr>
          <w:rFonts w:hint="eastAsia" w:ascii="Times New Roman" w:hAnsi="Times New Roman" w:eastAsia="方正仿宋_GBK" w:cs="Times New Roman"/>
          <w:b w:val="0"/>
          <w:bCs w:val="0"/>
          <w:color w:val="000000"/>
          <w:sz w:val="28"/>
          <w:szCs w:val="28"/>
          <w:lang w:val="en-US" w:eastAsia="zh-CN"/>
        </w:rPr>
        <w:t xml:space="preserve">     </w:t>
      </w:r>
      <w:r>
        <w:rPr>
          <w:rFonts w:hint="default" w:ascii="Times New Roman" w:hAnsi="Times New Roman" w:eastAsia="方正仿宋_GBK" w:cs="Times New Roman"/>
          <w:b w:val="0"/>
          <w:bCs w:val="0"/>
          <w:color w:val="000000"/>
          <w:spacing w:val="11"/>
          <w:sz w:val="28"/>
          <w:szCs w:val="28"/>
          <w:lang w:val="en-US" w:eastAsia="zh-CN"/>
        </w:rPr>
        <w:t xml:space="preserve">  </w:t>
      </w:r>
      <w:r>
        <w:rPr>
          <w:rFonts w:hint="default" w:ascii="Times New Roman" w:hAnsi="Times New Roman" w:eastAsia="方正仿宋_GBK" w:cs="Times New Roman"/>
          <w:b w:val="0"/>
          <w:bCs w:val="0"/>
          <w:color w:val="000000"/>
          <w:sz w:val="28"/>
          <w:szCs w:val="28"/>
          <w:lang w:val="en-US" w:eastAsia="zh-CN"/>
        </w:rPr>
        <w:t>202</w:t>
      </w:r>
      <w:r>
        <w:rPr>
          <w:rFonts w:hint="eastAsia" w:ascii="Times New Roman" w:hAnsi="Times New Roman" w:cs="Times New Roman"/>
          <w:b w:val="0"/>
          <w:bCs w:val="0"/>
          <w:color w:val="000000"/>
          <w:sz w:val="28"/>
          <w:szCs w:val="28"/>
          <w:lang w:val="en-US" w:eastAsia="zh-CN"/>
        </w:rPr>
        <w:t>6</w:t>
      </w:r>
      <w:r>
        <w:rPr>
          <w:rFonts w:hint="default" w:ascii="Times New Roman" w:hAnsi="Times New Roman" w:eastAsia="方正仿宋_GBK" w:cs="Times New Roman"/>
          <w:b w:val="0"/>
          <w:bCs w:val="0"/>
          <w:color w:val="000000"/>
          <w:sz w:val="28"/>
          <w:szCs w:val="28"/>
          <w:lang w:val="en-US" w:eastAsia="zh-CN"/>
        </w:rPr>
        <w:t>年</w:t>
      </w:r>
      <w:r>
        <w:rPr>
          <w:rFonts w:hint="eastAsia" w:ascii="Times New Roman" w:hAnsi="Times New Roman" w:eastAsia="方正仿宋_GBK" w:cs="Times New Roman"/>
          <w:b w:val="0"/>
          <w:bCs w:val="0"/>
          <w:color w:val="000000"/>
          <w:sz w:val="28"/>
          <w:szCs w:val="28"/>
          <w:lang w:val="en-US" w:eastAsia="zh-CN"/>
        </w:rPr>
        <w:t>8</w:t>
      </w:r>
      <w:r>
        <w:rPr>
          <w:rFonts w:hint="default" w:ascii="Times New Roman" w:hAnsi="Times New Roman" w:eastAsia="方正仿宋_GBK" w:cs="Times New Roman"/>
          <w:b w:val="0"/>
          <w:bCs w:val="0"/>
          <w:color w:val="000000"/>
          <w:sz w:val="28"/>
          <w:szCs w:val="28"/>
          <w:lang w:val="en-US" w:eastAsia="zh-CN"/>
        </w:rPr>
        <w:t>月</w:t>
      </w:r>
      <w:r>
        <w:rPr>
          <w:rFonts w:hint="eastAsia" w:ascii="Times New Roman" w:hAnsi="Times New Roman" w:cs="Times New Roman"/>
          <w:b w:val="0"/>
          <w:bCs w:val="0"/>
          <w:color w:val="000000"/>
          <w:sz w:val="28"/>
          <w:szCs w:val="28"/>
          <w:lang w:val="en-US" w:eastAsia="zh-CN"/>
        </w:rPr>
        <w:t>20</w:t>
      </w:r>
      <w:r>
        <w:rPr>
          <w:rFonts w:hint="default" w:ascii="Times New Roman" w:hAnsi="Times New Roman" w:eastAsia="方正仿宋_GBK" w:cs="Times New Roman"/>
          <w:b w:val="0"/>
          <w:bCs w:val="0"/>
          <w:color w:val="000000"/>
          <w:sz w:val="28"/>
          <w:szCs w:val="28"/>
          <w:lang w:val="en-US" w:eastAsia="zh-CN"/>
        </w:rPr>
        <w:t xml:space="preserve">日印发  </w:t>
      </w:r>
    </w:p>
    <w:sectPr>
      <w:headerReference r:id="rId3" w:type="default"/>
      <w:footerReference r:id="rId4" w:type="default"/>
      <w:pgSz w:w="11906" w:h="16838"/>
      <w:pgMar w:top="2098" w:right="1474" w:bottom="1984" w:left="1587" w:header="851" w:footer="1587" w:gutter="0"/>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Helvetica">
    <w:altName w:val="Arial"/>
    <w:panose1 w:val="020B0504020202030204"/>
    <w:charset w:val="00"/>
    <w:family w:val="swiss"/>
    <w:pitch w:val="default"/>
    <w:sig w:usb0="00000000"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-8255</wp:posOffset>
              </wp:positionV>
              <wp:extent cx="1007745" cy="1828800"/>
              <wp:effectExtent l="0" t="0" r="0" b="0"/>
              <wp:wrapNone/>
              <wp:docPr id="292" name="文本框 292"/>
              <wp:cNvGraphicFramePr/>
              <a:graphic xmlns:a="http://schemas.openxmlformats.org/drawingml/2006/main">
                <a:graphicData uri="http://schemas.microsoft.com/office/word/2010/wordprocessingShape">
                  <wps:wsp>
                    <wps:cNvSpPr txBox="1"/>
                    <wps:spPr>
                      <a:xfrm>
                        <a:off x="0" y="0"/>
                        <a:ext cx="1007745" cy="1828800"/>
                      </a:xfrm>
                      <a:prstGeom prst="rect">
                        <a:avLst/>
                      </a:prstGeom>
                      <a:noFill/>
                      <a:ln>
                        <a:noFill/>
                      </a:ln>
                      <a:effectLst/>
                    </wps:spPr>
                    <wps:txbx>
                      <w:txbxContent>
                        <w:p>
                          <w:pPr>
                            <w:pStyle w:val="7"/>
                            <w:tabs>
                              <w:tab w:val="left" w:pos="420"/>
                            </w:tabs>
                            <w:rPr>
                              <w:rFonts w:hint="eastAsia" w:ascii="宋体" w:hAnsi="宋体" w:cs="宋体"/>
                              <w:sz w:val="28"/>
                              <w:szCs w:val="28"/>
                            </w:rPr>
                          </w:pPr>
                          <w:r>
                            <w:rPr>
                              <w:rFonts w:hint="eastAsia" w:ascii="宋体" w:hAnsi="宋体" w:cs="宋体"/>
                              <w:spacing w:val="11"/>
                              <w:sz w:val="28"/>
                              <w:szCs w:val="28"/>
                            </w:rPr>
                            <w:t xml:space="preserve">  </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   </w:t>
                          </w:r>
                        </w:p>
                      </w:txbxContent>
                    </wps:txbx>
                    <wps:bodyPr wrap="square" lIns="0" tIns="0" rIns="0" bIns="0" upright="1">
                      <a:spAutoFit/>
                    </wps:bodyPr>
                  </wps:wsp>
                </a:graphicData>
              </a:graphic>
            </wp:anchor>
          </w:drawing>
        </mc:Choice>
        <mc:Fallback>
          <w:pict>
            <v:shape id="_x0000_s1026" o:spid="_x0000_s1026" o:spt="202" type="#_x0000_t202" style="position:absolute;left:0pt;margin-top:-0.65pt;height:144pt;width:79.35pt;mso-position-horizontal:outside;mso-position-horizontal-relative:margin;z-index:251660288;mso-width-relative:page;mso-height-relative:page;" filled="f" stroked="f" coordsize="21600,21600" o:gfxdata="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WDsw41QAAAAcBAAAPAAAAAAAAAAEAIAAAACIAAABkcnMvZG93bnJldi54bWxQSwEC&#10;FAAUAAAACACHTuJAtj3YDL4BAABfAwAADgAAAAAAAAABACAAAAAkAQAAZHJzL2Uyb0RvYy54bWxQ&#10;SwUGAAAAAAYABgBZAQAAVAUAAAAA&#10;">
              <v:fill on="f" focussize="0,0"/>
              <v:stroke on="f"/>
              <v:imagedata o:title=""/>
              <o:lock v:ext="edit" aspectratio="f"/>
              <v:textbox inset="0mm,0mm,0mm,0mm" style="mso-fit-shape-to-text:t;">
                <w:txbxContent>
                  <w:p>
                    <w:pPr>
                      <w:pStyle w:val="7"/>
                      <w:tabs>
                        <w:tab w:val="left" w:pos="420"/>
                      </w:tabs>
                      <w:rPr>
                        <w:rFonts w:hint="eastAsia" w:ascii="宋体" w:hAnsi="宋体" w:cs="宋体"/>
                        <w:sz w:val="28"/>
                        <w:szCs w:val="28"/>
                      </w:rPr>
                    </w:pPr>
                    <w:r>
                      <w:rPr>
                        <w:rFonts w:hint="eastAsia" w:ascii="宋体" w:hAnsi="宋体" w:cs="宋体"/>
                        <w:spacing w:val="11"/>
                        <w:sz w:val="28"/>
                        <w:szCs w:val="28"/>
                      </w:rPr>
                      <w:t xml:space="preserve">  </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clear" w:pos="8306"/>
      </w:tabs>
      <w:jc w:val="left"/>
      <w:rPr>
        <w:rFonts w:ascii="微软雅黑" w:hAnsi="微软雅黑" w:eastAsia="微软雅黑"/>
        <w:sz w:val="15"/>
        <w:szCs w:val="15"/>
      </w:rPr>
    </w:pPr>
    <w:r>
      <w:rPr>
        <w:rFonts w:hint="eastAsia"/>
      </w:rPr>
      <w:tab/>
    </w:r>
    <w:r>
      <w:rPr>
        <w:rFonts w:ascii="微软雅黑" w:hAnsi="微软雅黑" w:eastAsia="微软雅黑"/>
        <w:sz w:val="15"/>
        <w:szCs w:val="15"/>
      </w:rPr>
      <mc:AlternateContent>
        <mc:Choice Requires="wps">
          <w:drawing>
            <wp:anchor distT="0" distB="0" distL="114300" distR="114300" simplePos="0" relativeHeight="251659264" behindDoc="0" locked="0" layoutInCell="1" allowOverlap="1">
              <wp:simplePos x="0" y="0"/>
              <wp:positionH relativeFrom="column">
                <wp:posOffset>2265680</wp:posOffset>
              </wp:positionH>
              <wp:positionV relativeFrom="paragraph">
                <wp:posOffset>36830</wp:posOffset>
              </wp:positionV>
              <wp:extent cx="3410585" cy="793750"/>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3410585" cy="793750"/>
                      </a:xfrm>
                      <a:prstGeom prst="rect">
                        <a:avLst/>
                      </a:prstGeom>
                      <a:noFill/>
                      <a:ln>
                        <a:noFill/>
                      </a:ln>
                      <a:effectLst/>
                    </wps:spPr>
                    <wps:txbx>
                      <w:txbxContent>
                        <w:p>
                          <w:pPr>
                            <w:pStyle w:val="8"/>
                            <w:pBdr>
                              <w:bottom w:val="none" w:color="auto" w:sz="0" w:space="0"/>
                            </w:pBdr>
                            <w:tabs>
                              <w:tab w:val="right" w:pos="5670"/>
                              <w:tab w:val="clear" w:pos="8306"/>
                            </w:tabs>
                            <w:jc w:val="left"/>
                            <w:rPr>
                              <w:rFonts w:hint="eastAsia" w:ascii="微软雅黑" w:hAnsi="微软雅黑" w:eastAsia="微软雅黑" w:cs="微软雅黑"/>
                              <w:color w:val="333399"/>
                              <w:lang w:val="de-DE"/>
                            </w:rPr>
                          </w:pPr>
                        </w:p>
                      </w:txbxContent>
                    </wps:txbx>
                    <wps:bodyPr upright="1"/>
                  </wps:wsp>
                </a:graphicData>
              </a:graphic>
            </wp:anchor>
          </w:drawing>
        </mc:Choice>
        <mc:Fallback>
          <w:pict>
            <v:shape id="_x0000_s1026" o:spid="_x0000_s1026" o:spt="202" type="#_x0000_t202" style="position:absolute;left:0pt;margin-left:178.4pt;margin-top:2.9pt;height:62.5pt;width:268.55pt;z-index:251659264;mso-width-relative:page;mso-height-relative:page;" filled="f" stroked="f" coordsize="21600,21600" o:gfxdata="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B2v+3R1wAAAAkBAAAPAAAAAAAAAAEAIAAAACIA&#10;AABkcnMvZG93bnJldi54bWxQSwECFAAUAAAACACHTuJA7C4ndpgBAAASAwAADgAAAAAAAAABACAA&#10;AAAmAQAAZHJzL2Uyb0RvYy54bWxQSwUGAAAAAAYABgBZAQAAMAUAAAAA&#10;">
              <v:fill on="f" focussize="0,0"/>
              <v:stroke on="f"/>
              <v:imagedata o:title=""/>
              <o:lock v:ext="edit" aspectratio="f"/>
              <v:textbox>
                <w:txbxContent>
                  <w:p>
                    <w:pPr>
                      <w:pStyle w:val="8"/>
                      <w:pBdr>
                        <w:bottom w:val="none" w:color="auto" w:sz="0" w:space="0"/>
                      </w:pBdr>
                      <w:tabs>
                        <w:tab w:val="right" w:pos="5670"/>
                        <w:tab w:val="clear" w:pos="8306"/>
                      </w:tabs>
                      <w:jc w:val="left"/>
                      <w:rPr>
                        <w:rFonts w:hint="eastAsia" w:ascii="微软雅黑" w:hAnsi="微软雅黑" w:eastAsia="微软雅黑" w:cs="微软雅黑"/>
                        <w:color w:val="333399"/>
                        <w:lang w:val="de-DE"/>
                      </w:rPr>
                    </w:pPr>
                  </w:p>
                </w:txbxContent>
              </v:textbox>
            </v:shape>
          </w:pict>
        </mc:Fallback>
      </mc:AlternateContent>
    </w:r>
  </w:p>
  <w:p>
    <w:pPr>
      <w:pStyle w:val="8"/>
      <w:pBdr>
        <w:bottom w:val="none" w:color="auto" w:sz="0" w:space="0"/>
      </w:pBdr>
      <w:tabs>
        <w:tab w:val="clear" w:pos="8306"/>
      </w:tabs>
      <w:jc w:val="left"/>
      <w:rPr>
        <w:rFonts w:hint="eastAsia" w:ascii="微软雅黑" w:hAnsi="微软雅黑" w:eastAsia="微软雅黑"/>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hyphenationZone w:val="360"/>
  <w:drawingGridHorizontalSpacing w:val="158"/>
  <w:drawingGridVerticalSpacing w:val="295"/>
  <w:displayHorizontalDrawingGridEvery w:val="2"/>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71E8F"/>
    <w:rsid w:val="00054357"/>
    <w:rsid w:val="000A0CAE"/>
    <w:rsid w:val="002666E8"/>
    <w:rsid w:val="002813B2"/>
    <w:rsid w:val="002E0978"/>
    <w:rsid w:val="003063E1"/>
    <w:rsid w:val="00335187"/>
    <w:rsid w:val="00382F2E"/>
    <w:rsid w:val="003947A7"/>
    <w:rsid w:val="003A6670"/>
    <w:rsid w:val="0050544B"/>
    <w:rsid w:val="00545FCC"/>
    <w:rsid w:val="0056019E"/>
    <w:rsid w:val="005E46A7"/>
    <w:rsid w:val="006602E6"/>
    <w:rsid w:val="006B29C4"/>
    <w:rsid w:val="00875A75"/>
    <w:rsid w:val="008D20E0"/>
    <w:rsid w:val="00A0142B"/>
    <w:rsid w:val="00A27608"/>
    <w:rsid w:val="00AC553E"/>
    <w:rsid w:val="00BF7F54"/>
    <w:rsid w:val="00C4247E"/>
    <w:rsid w:val="00FA49FE"/>
    <w:rsid w:val="02D3248F"/>
    <w:rsid w:val="09FA3660"/>
    <w:rsid w:val="0B7F2452"/>
    <w:rsid w:val="0DE51750"/>
    <w:rsid w:val="10C24B19"/>
    <w:rsid w:val="12504002"/>
    <w:rsid w:val="12FFD477"/>
    <w:rsid w:val="181C33DD"/>
    <w:rsid w:val="1860319A"/>
    <w:rsid w:val="1A675F0A"/>
    <w:rsid w:val="1B5A31DD"/>
    <w:rsid w:val="1C561C43"/>
    <w:rsid w:val="1FEB2D31"/>
    <w:rsid w:val="21B86B87"/>
    <w:rsid w:val="24625C16"/>
    <w:rsid w:val="261060A3"/>
    <w:rsid w:val="26DC27C0"/>
    <w:rsid w:val="283B69C3"/>
    <w:rsid w:val="28C511C7"/>
    <w:rsid w:val="2C551BFE"/>
    <w:rsid w:val="2D9B7F34"/>
    <w:rsid w:val="323A4AFB"/>
    <w:rsid w:val="33310FE7"/>
    <w:rsid w:val="369021BB"/>
    <w:rsid w:val="37D46847"/>
    <w:rsid w:val="3AD56F37"/>
    <w:rsid w:val="412C2398"/>
    <w:rsid w:val="42AF53D5"/>
    <w:rsid w:val="491A6672"/>
    <w:rsid w:val="4BA97838"/>
    <w:rsid w:val="4F822FC8"/>
    <w:rsid w:val="5357C502"/>
    <w:rsid w:val="5742583A"/>
    <w:rsid w:val="59344613"/>
    <w:rsid w:val="59B31C12"/>
    <w:rsid w:val="5B1F2E74"/>
    <w:rsid w:val="5E5313C3"/>
    <w:rsid w:val="5FE858B2"/>
    <w:rsid w:val="649569A4"/>
    <w:rsid w:val="67A56388"/>
    <w:rsid w:val="6A860A16"/>
    <w:rsid w:val="6AC97282"/>
    <w:rsid w:val="6BDA4415"/>
    <w:rsid w:val="6C112290"/>
    <w:rsid w:val="6C750D11"/>
    <w:rsid w:val="6CE8269B"/>
    <w:rsid w:val="6F5F8957"/>
    <w:rsid w:val="6FF5D2D0"/>
    <w:rsid w:val="7044761F"/>
    <w:rsid w:val="78B00E1C"/>
    <w:rsid w:val="79751A2D"/>
    <w:rsid w:val="7A9F0508"/>
    <w:rsid w:val="7BA452F6"/>
    <w:rsid w:val="7C1E2697"/>
    <w:rsid w:val="7D7A466B"/>
    <w:rsid w:val="7DFFDE8F"/>
    <w:rsid w:val="7EBE1BB4"/>
    <w:rsid w:val="7EFF20CB"/>
    <w:rsid w:val="7F9FE0E0"/>
    <w:rsid w:val="D57F3D30"/>
    <w:rsid w:val="ED5C01F7"/>
    <w:rsid w:val="F7FE2B9F"/>
    <w:rsid w:val="FDAE0D2C"/>
    <w:rsid w:val="FF771E8F"/>
    <w:rsid w:val="FFBF216F"/>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character" w:default="1" w:styleId="12">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next w:val="4"/>
    <w:qFormat/>
    <w:uiPriority w:val="0"/>
    <w:rPr>
      <w:sz w:val="30"/>
    </w:rPr>
  </w:style>
  <w:style w:type="paragraph" w:styleId="4">
    <w:name w:val="index 7"/>
    <w:basedOn w:val="1"/>
    <w:next w:val="1"/>
    <w:qFormat/>
    <w:uiPriority w:val="99"/>
    <w:pPr>
      <w:widowControl w:val="0"/>
      <w:ind w:left="2520"/>
      <w:jc w:val="both"/>
    </w:pPr>
    <w:rPr>
      <w:rFonts w:ascii="Times New Roman" w:hAnsi="Times New Roman" w:eastAsia="等线" w:cs="Times New Roman"/>
      <w:kern w:val="2"/>
      <w:sz w:val="21"/>
      <w:szCs w:val="24"/>
      <w:lang w:val="en-US" w:eastAsia="zh-CN" w:bidi="ar-SA"/>
    </w:rPr>
  </w:style>
  <w:style w:type="paragraph" w:styleId="5">
    <w:name w:val="Body Text Indent"/>
    <w:basedOn w:val="1"/>
    <w:next w:val="6"/>
    <w:qFormat/>
    <w:uiPriority w:val="0"/>
    <w:pPr>
      <w:ind w:firstLine="594" w:firstLineChars="200"/>
    </w:pPr>
    <w:rPr>
      <w:rFonts w:ascii="仿宋_GB2312" w:hAnsi="宋体" w:eastAsia="仿宋_GB2312"/>
      <w:b/>
      <w:bCs/>
      <w:sz w:val="30"/>
    </w:rPr>
  </w:style>
  <w:style w:type="paragraph" w:styleId="6">
    <w:name w:val="Body Text First Indent 2"/>
    <w:basedOn w:val="5"/>
    <w:next w:val="1"/>
    <w:qFormat/>
    <w:uiPriority w:val="0"/>
    <w:pPr>
      <w:spacing w:after="120"/>
      <w:ind w:left="420" w:leftChars="200" w:firstLine="420" w:firstLineChars="200"/>
    </w:pPr>
  </w:style>
  <w:style w:type="paragraph" w:styleId="7">
    <w:name w:val="footer"/>
    <w:basedOn w:val="1"/>
    <w:next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Times New Roman"/>
      <w:sz w:val="24"/>
      <w:szCs w:val="22"/>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0"/>
    <w:pPr>
      <w:spacing w:before="240" w:after="60"/>
      <w:jc w:val="center"/>
      <w:outlineLvl w:val="0"/>
    </w:pPr>
    <w:rPr>
      <w:rFonts w:ascii="Cambria" w:hAnsi="Cambria" w:eastAsia="宋体" w:cs="Times New Roman"/>
      <w:b/>
      <w:bCs/>
      <w:szCs w:val="32"/>
    </w:rPr>
  </w:style>
  <w:style w:type="character" w:styleId="13">
    <w:name w:val="page number"/>
    <w:basedOn w:val="12"/>
    <w:qFormat/>
    <w:uiPriority w:val="0"/>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font21"/>
    <w:basedOn w:val="12"/>
    <w:qFormat/>
    <w:uiPriority w:val="0"/>
    <w:rPr>
      <w:rFonts w:hint="eastAsia" w:ascii="方正仿宋_GBK" w:hAnsi="方正仿宋_GBK" w:eastAsia="方正仿宋_GBK" w:cs="方正仿宋_GBK"/>
      <w:color w:val="000000"/>
      <w:sz w:val="21"/>
      <w:szCs w:val="21"/>
      <w:u w:val="none"/>
    </w:rPr>
  </w:style>
  <w:style w:type="character" w:customStyle="1" w:styleId="17">
    <w:name w:val="font61"/>
    <w:qFormat/>
    <w:uiPriority w:val="0"/>
    <w:rPr>
      <w:rFonts w:ascii="方正仿宋_GBK" w:hAnsi="方正仿宋_GBK" w:eastAsia="方正仿宋_GBK" w:cs="方正仿宋_GBK"/>
      <w:color w:val="000000"/>
      <w:sz w:val="21"/>
      <w:szCs w:val="21"/>
      <w:u w:val="none"/>
    </w:rPr>
  </w:style>
  <w:style w:type="character" w:customStyle="1" w:styleId="18">
    <w:name w:val="font51"/>
    <w:qFormat/>
    <w:uiPriority w:val="0"/>
    <w:rPr>
      <w:rFonts w:hint="default" w:ascii="Times New Roman" w:hAnsi="Times New Roman" w:cs="Times New Roman"/>
      <w:color w:val="000000"/>
      <w:sz w:val="20"/>
      <w:szCs w:val="20"/>
      <w:u w:val="none"/>
    </w:rPr>
  </w:style>
  <w:style w:type="character" w:customStyle="1" w:styleId="19">
    <w:name w:val="font41"/>
    <w:qFormat/>
    <w:uiPriority w:val="0"/>
    <w:rPr>
      <w:rFonts w:hint="eastAsia" w:ascii="方正仿宋_GBK" w:hAnsi="方正仿宋_GBK" w:eastAsia="方正仿宋_GBK" w:cs="方正仿宋_GBK"/>
      <w:color w:val="000000"/>
      <w:sz w:val="20"/>
      <w:szCs w:val="20"/>
      <w:u w:val="none"/>
    </w:rPr>
  </w:style>
  <w:style w:type="character" w:customStyle="1" w:styleId="20">
    <w:name w:val="font81"/>
    <w:qFormat/>
    <w:uiPriority w:val="0"/>
    <w:rPr>
      <w:rFonts w:hint="default" w:ascii="Times New Roman" w:hAnsi="Times New Roman" w:cs="Times New Roman"/>
      <w:color w:val="000000"/>
      <w:sz w:val="21"/>
      <w:szCs w:val="21"/>
      <w:u w:val="none"/>
    </w:rPr>
  </w:style>
  <w:style w:type="paragraph" w:customStyle="1" w:styleId="21">
    <w:name w:val="Normal New"/>
    <w:qFormat/>
    <w:uiPriority w:val="0"/>
    <w:pPr>
      <w:widowControl w:val="0"/>
      <w:jc w:val="both"/>
    </w:pPr>
    <w:rPr>
      <w:rFonts w:hint="eastAsia" w:ascii="Times New Roman" w:hAnsi="Times New Roman" w:eastAsia="宋体" w:cs="Times New Roman"/>
      <w:kern w:val="2"/>
      <w:sz w:val="21"/>
      <w:szCs w:val="22"/>
      <w:lang w:val="en-US" w:eastAsia="zh-CN" w:bidi="ar-SA"/>
    </w:rPr>
  </w:style>
  <w:style w:type="paragraph" w:customStyle="1" w:styleId="22">
    <w:name w:val="图表目录1"/>
    <w:basedOn w:val="21"/>
    <w:next w:val="1"/>
    <w:qFormat/>
    <w:uiPriority w:val="0"/>
    <w:pPr>
      <w:ind w:left="200" w:leftChars="200" w:hanging="200" w:hangingChars="200"/>
    </w:p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22"/>
    <w:unhideWhenUsed/>
    <w:qFormat/>
    <w:uiPriority w:val="99"/>
    <w:rPr>
      <w:rFonts w:ascii="Times New Roman" w:hAnsi="Times New Roman" w:eastAsia="宋体" w:cs="Times New Roman"/>
      <w:kern w:val="2"/>
      <w:sz w:val="32"/>
      <w:szCs w:val="24"/>
      <w:lang w:val="en-US" w:eastAsia="zh-CN" w:bidi="ar-SA"/>
    </w:rPr>
  </w:style>
  <w:style w:type="paragraph" w:customStyle="1" w:styleId="25">
    <w:name w:val="BodyText"/>
    <w:basedOn w:val="1"/>
    <w:qFormat/>
    <w:uiPriority w:val="0"/>
    <w:pPr>
      <w:spacing w:after="12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1076</Words>
  <Characters>1125</Characters>
  <Lines>91</Lines>
  <Paragraphs>59</Paragraphs>
  <TotalTime>0</TotalTime>
  <ScaleCrop>false</ScaleCrop>
  <LinksUpToDate>false</LinksUpToDate>
  <CharactersWithSpaces>1224</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2024-12-05T02:32:00Z</dcterms:created>
  <dc:creator>jxw</dc:creator>
  <cp:lastModifiedBy>文萍</cp:lastModifiedBy>
  <cp:lastPrinted>2026-08-20T06:47:00Z</cp:lastPrinted>
  <dcterms:modified xsi:type="dcterms:W3CDTF">2026-08-20T06:53:35Z</dcterms:modified>
  <dc:title>（2024年第38次党组会议）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4008CC239D27F256D363866AED8350B1_43</vt:lpwstr>
  </property>
  <property fmtid="{D5CDD505-2E9C-101B-9397-08002B2CF9AE}" pid="4" name="KSOTemplateDocerSaveRecord">
    <vt:lpwstr>eyJoZGlkIjoiYjhhOTk1MmViN2ZiNDRjMzQ2OTcyMThjOTc1NThkYzIifQ==</vt:lpwstr>
  </property>
</Properties>
</file>