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600" w:lineRule="atLeast"/>
        <w:jc w:val="center"/>
        <w:rPr>
          <w:rFonts w:hint="eastAsia" w:ascii="Times New Roman" w:hAnsi="Times New Roman" w:eastAsia="方正仿宋_GBK"/>
          <w:kern w:val="0"/>
          <w:sz w:val="32"/>
          <w:szCs w:val="32"/>
        </w:rPr>
      </w:pPr>
      <w:bookmarkStart w:id="0" w:name="_GoBack"/>
      <w:bookmarkEnd w:id="0"/>
    </w:p>
    <w:p>
      <w:pPr>
        <w:widowControl/>
        <w:adjustRightInd w:val="0"/>
        <w:snapToGrid w:val="0"/>
        <w:spacing w:line="600" w:lineRule="atLeast"/>
        <w:jc w:val="center"/>
        <w:rPr>
          <w:rFonts w:hint="eastAsia" w:ascii="Times New Roman" w:hAnsi="Times New Roman" w:eastAsia="方正仿宋_GBK"/>
          <w:kern w:val="0"/>
          <w:sz w:val="32"/>
          <w:szCs w:val="32"/>
        </w:rPr>
      </w:pPr>
    </w:p>
    <w:p>
      <w:pPr>
        <w:widowControl/>
        <w:adjustRightInd w:val="0"/>
        <w:snapToGrid w:val="0"/>
        <w:spacing w:line="600" w:lineRule="atLeast"/>
        <w:jc w:val="center"/>
        <w:rPr>
          <w:rFonts w:hint="eastAsia" w:ascii="Times New Roman" w:hAnsi="Times New Roman" w:eastAsia="方正仿宋_GBK"/>
          <w:kern w:val="0"/>
          <w:sz w:val="32"/>
          <w:szCs w:val="32"/>
        </w:rPr>
      </w:pPr>
    </w:p>
    <w:p>
      <w:pPr>
        <w:widowControl/>
        <w:adjustRightInd w:val="0"/>
        <w:snapToGrid w:val="0"/>
        <w:spacing w:line="600" w:lineRule="atLeast"/>
        <w:jc w:val="center"/>
        <w:rPr>
          <w:rFonts w:hint="eastAsia" w:ascii="Times New Roman" w:hAnsi="Times New Roman" w:eastAsia="方正仿宋_GBK"/>
          <w:kern w:val="0"/>
          <w:sz w:val="32"/>
          <w:szCs w:val="32"/>
        </w:rPr>
      </w:pPr>
    </w:p>
    <w:p>
      <w:pPr>
        <w:widowControl/>
        <w:adjustRightInd w:val="0"/>
        <w:snapToGrid w:val="0"/>
        <w:spacing w:line="600" w:lineRule="atLeast"/>
        <w:jc w:val="center"/>
        <w:rPr>
          <w:rFonts w:hint="eastAsia" w:ascii="Times New Roman" w:hAnsi="Times New Roman" w:eastAsia="方正仿宋_GBK"/>
          <w:kern w:val="0"/>
          <w:sz w:val="32"/>
          <w:szCs w:val="32"/>
        </w:rPr>
      </w:pPr>
    </w:p>
    <w:p>
      <w:pPr>
        <w:widowControl/>
        <w:adjustRightInd w:val="0"/>
        <w:snapToGrid w:val="0"/>
        <w:spacing w:line="600" w:lineRule="atLeast"/>
        <w:jc w:val="center"/>
        <w:rPr>
          <w:rFonts w:hint="eastAsia" w:ascii="Times New Roman" w:hAnsi="Times New Roman" w:eastAsia="方正仿宋_GBK"/>
          <w:kern w:val="0"/>
          <w:sz w:val="32"/>
          <w:szCs w:val="32"/>
        </w:rPr>
      </w:pPr>
    </w:p>
    <w:p>
      <w:pPr>
        <w:widowControl/>
        <w:adjustRightInd w:val="0"/>
        <w:snapToGrid w:val="0"/>
        <w:spacing w:line="600" w:lineRule="atLeast"/>
        <w:jc w:val="center"/>
        <w:rPr>
          <w:rFonts w:hint="eastAsia" w:ascii="Times New Roman" w:hAnsi="Times New Roman" w:eastAsia="方正仿宋_GBK"/>
          <w:kern w:val="0"/>
          <w:sz w:val="32"/>
          <w:szCs w:val="32"/>
        </w:rPr>
      </w:pPr>
    </w:p>
    <w:p>
      <w:pPr>
        <w:widowControl/>
        <w:adjustRightInd w:val="0"/>
        <w:snapToGrid w:val="0"/>
        <w:spacing w:line="600" w:lineRule="atLeast"/>
        <w:jc w:val="center"/>
        <w:rPr>
          <w:rFonts w:hint="eastAsia" w:ascii="Times New Roman" w:hAnsi="Times New Roman" w:eastAsia="方正仿宋_GBK"/>
          <w:kern w:val="0"/>
          <w:sz w:val="32"/>
          <w:szCs w:val="32"/>
        </w:rPr>
      </w:pPr>
      <w:r>
        <w:rPr>
          <w:rFonts w:hint="eastAsia" w:ascii="Times New Roman" w:hAnsi="Times New Roman" w:eastAsia="方正仿宋_GBK"/>
          <w:kern w:val="0"/>
          <w:sz w:val="32"/>
          <w:szCs w:val="32"/>
        </w:rPr>
        <w:t>渝经信</w:t>
      </w:r>
      <w:r>
        <w:rPr>
          <w:rFonts w:hint="eastAsia" w:ascii="Times New Roman" w:hAnsi="Times New Roman" w:eastAsia="方正仿宋_GBK"/>
          <w:kern w:val="0"/>
          <w:sz w:val="32"/>
          <w:szCs w:val="32"/>
          <w:lang w:val="en-US" w:eastAsia="zh-CN"/>
        </w:rPr>
        <w:t>办</w:t>
      </w:r>
      <w:r>
        <w:rPr>
          <w:rFonts w:hint="eastAsia" w:ascii="Times New Roman" w:hAnsi="Times New Roman" w:eastAsia="方正仿宋_GBK"/>
          <w:kern w:val="0"/>
          <w:sz w:val="32"/>
          <w:szCs w:val="32"/>
        </w:rPr>
        <w:t>〔202</w:t>
      </w:r>
      <w:r>
        <w:rPr>
          <w:rFonts w:hint="eastAsia" w:ascii="Times New Roman" w:hAnsi="Times New Roman" w:eastAsia="方正仿宋_GBK"/>
          <w:kern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/>
          <w:kern w:val="0"/>
          <w:sz w:val="32"/>
          <w:szCs w:val="32"/>
        </w:rPr>
        <w:t>〕</w:t>
      </w:r>
      <w:r>
        <w:rPr>
          <w:rFonts w:hint="eastAsia" w:ascii="Times New Roman" w:hAnsi="Times New Roman" w:eastAsia="方正仿宋_GBK"/>
          <w:kern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方正仿宋_GBK"/>
          <w:kern w:val="0"/>
          <w:sz w:val="32"/>
          <w:szCs w:val="32"/>
        </w:rPr>
        <w:t>号</w:t>
      </w:r>
    </w:p>
    <w:p>
      <w:pPr>
        <w:widowControl/>
        <w:adjustRightInd w:val="0"/>
        <w:snapToGrid w:val="0"/>
        <w:spacing w:line="600" w:lineRule="atLeast"/>
        <w:jc w:val="center"/>
        <w:rPr>
          <w:rFonts w:hint="eastAsia" w:ascii="Times New Roman" w:hAnsi="Times New Roman" w:eastAsia="方正仿宋_GBK"/>
          <w:kern w:val="0"/>
          <w:sz w:val="32"/>
          <w:szCs w:val="32"/>
        </w:rPr>
      </w:pPr>
    </w:p>
    <w:p>
      <w:pPr>
        <w:widowControl/>
        <w:adjustRightInd w:val="0"/>
        <w:snapToGrid w:val="0"/>
        <w:spacing w:line="600" w:lineRule="atLeast"/>
        <w:jc w:val="center"/>
        <w:rPr>
          <w:rFonts w:hint="eastAsia" w:ascii="Times New Roman" w:hAnsi="Times New Roman" w:eastAsia="方正仿宋_GBK"/>
          <w:kern w:val="0"/>
          <w:sz w:val="32"/>
          <w:szCs w:val="32"/>
        </w:rPr>
      </w:pP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618" w:lineRule="exact"/>
        <w:ind w:left="0" w:right="0"/>
        <w:jc w:val="center"/>
        <w:rPr>
          <w:rFonts w:hint="eastAsia" w:ascii="Times New Roman" w:hAnsi="Times New Roman" w:eastAsia="方正小标宋_GBK" w:cs="方正小标宋_GBK"/>
          <w:kern w:val="2"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kern w:val="2"/>
          <w:sz w:val="44"/>
          <w:szCs w:val="44"/>
          <w:lang w:val="en-US" w:eastAsia="zh-CN" w:bidi="ar"/>
        </w:rPr>
        <w:t>重庆市经济和信息化委员会办公室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618" w:lineRule="exact"/>
        <w:ind w:left="0" w:right="0"/>
        <w:jc w:val="center"/>
        <w:rPr>
          <w:rFonts w:hint="eastAsia" w:ascii="Times New Roman" w:hAnsi="Times New Roman" w:eastAsia="方正小标宋_GBK" w:cs="方正小标宋_GBK"/>
          <w:kern w:val="2"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kern w:val="2"/>
          <w:sz w:val="44"/>
          <w:szCs w:val="44"/>
          <w:lang w:val="en-US" w:eastAsia="zh-CN" w:bidi="ar"/>
        </w:rPr>
        <w:t>关于印发</w:t>
      </w:r>
      <w:r>
        <w:rPr>
          <w:rFonts w:hint="default" w:ascii="Times New Roman" w:hAnsi="Times New Roman" w:eastAsia="方正小标宋_GBK" w:cs="Times New Roman"/>
          <w:kern w:val="2"/>
          <w:sz w:val="44"/>
          <w:szCs w:val="44"/>
          <w:lang w:val="en-US" w:eastAsia="zh-CN" w:bidi="ar"/>
        </w:rPr>
        <w:t>2026</w:t>
      </w:r>
      <w:r>
        <w:rPr>
          <w:rFonts w:hint="eastAsia" w:ascii="Times New Roman" w:hAnsi="Times New Roman" w:eastAsia="方正小标宋_GBK" w:cs="方正小标宋_GBK"/>
          <w:kern w:val="2"/>
          <w:sz w:val="44"/>
          <w:szCs w:val="44"/>
          <w:lang w:val="en-US" w:eastAsia="zh-CN" w:bidi="ar"/>
        </w:rPr>
        <w:t>年度重大行政决策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618" w:lineRule="exact"/>
        <w:ind w:left="0" w:right="0"/>
        <w:jc w:val="center"/>
        <w:rPr>
          <w:rFonts w:hint="eastAsia" w:ascii="Times New Roman" w:hAnsi="Times New Roman" w:eastAsia="方正小标宋_GBK" w:cs="方正小标宋_GBK"/>
          <w:kern w:val="2"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kern w:val="2"/>
          <w:sz w:val="44"/>
          <w:szCs w:val="44"/>
          <w:lang w:val="en-US" w:eastAsia="zh-CN" w:bidi="ar"/>
        </w:rPr>
        <w:t>事项目录的通知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机关各处室：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atLeast"/>
        <w:ind w:left="0" w:right="0" w:firstLine="640" w:firstLineChars="20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根据《重庆市重大行政决策程序规定》（重庆市人民政府令第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337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号）及我委《关于贯彻落实〈重庆市重大行政决策程序规定〉有关事宜的通知》（渝经信办〔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2021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〕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19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号）精神，经市经济信息委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2026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年第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12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次党组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" w:bidi="ar"/>
        </w:rPr>
        <w:t>会议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审议同意，现印发《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2026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年度重庆市经济和信息化委员会重大行政决策事项目录》（以下简称《目录》），并就有关工作通知如下。</w:t>
      </w:r>
    </w:p>
    <w:p>
      <w:pPr>
        <w:keepNext w:val="0"/>
        <w:keepLines w:val="0"/>
        <w:widowControl w:val="0"/>
        <w:numPr>
          <w:ilvl w:val="-1"/>
          <w:numId w:val="0"/>
        </w:numPr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atLeast"/>
        <w:ind w:left="0" w:leftChars="0" w:right="0" w:firstLine="420" w:firstLineChars="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一、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重大行政决策承办处室要严格履行法定程序，认真抓好组织实施，按时提请委党组会议审议，并报告履行重大行政决策程序情况。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atLeast"/>
        <w:ind w:left="0" w:right="0" w:firstLine="640" w:firstLineChars="200"/>
        <w:jc w:val="both"/>
        <w:rPr>
          <w:rFonts w:hint="eastAsia" w:ascii="Times New Roman" w:hAnsi="Times New Roman" w:eastAsia="方正仿宋_GBK" w:cs="方正仿宋_GBK"/>
          <w:kern w:val="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二、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承办处室要认真落实重大行政决策预公开制度，进一步拓宽征求意见的广度，采取便于社会公众参与的方式充分听取意见。要优化重大行政决策事前、事中、事后解读方式，可通过微信公众号等平台、短视频等方式广泛发布行政决策及其解读说明。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atLeast"/>
        <w:ind w:left="0" w:right="0" w:firstLine="640" w:firstLineChars="200"/>
        <w:jc w:val="both"/>
        <w:rPr>
          <w:rFonts w:hint="eastAsia" w:ascii="Times New Roman" w:hAnsi="Times New Roman" w:eastAsia="方正仿宋_GBK" w:cs="方正仿宋_GBK"/>
          <w:kern w:val="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" w:bidi="ar"/>
        </w:rPr>
        <w:t>三、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《目录》实行动态管理，根据实际情况确需调整或新增的，重大行政决策承办处室要会同办公室、法规处等相关处室认真研究论证，提出调整建议，按程序报批后执行。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atLeast"/>
        <w:ind w:left="0" w:right="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atLeast"/>
        <w:ind w:left="0" w:right="0" w:firstLine="3840" w:firstLineChars="120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atLeast"/>
        <w:ind w:left="0" w:right="0" w:firstLine="3840" w:firstLineChars="120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重庆市经济和信息化委员会办公室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atLeast"/>
        <w:ind w:left="0" w:right="0" w:firstLine="4800" w:firstLineChars="150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2026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年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5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月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29</w:t>
      </w: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"/>
        </w:rPr>
        <w:t>日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       </w:t>
      </w:r>
    </w:p>
    <w:p>
      <w:pPr>
        <w:pStyle w:val="3"/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line="578" w:lineRule="atLeast"/>
        <w:ind w:left="0" w:firstLine="640" w:firstLineChars="200"/>
        <w:rPr>
          <w:rFonts w:hint="default" w:ascii="Times New Roman" w:hAnsi="Times New Roman" w:eastAsia="宋体" w:cs="Times New Roman"/>
          <w:kern w:val="2"/>
          <w:sz w:val="30"/>
          <w:szCs w:val="30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</w:rPr>
        <w:t>（此件公开发布）</w:t>
      </w:r>
    </w:p>
    <w:p>
      <w:pPr>
        <w:adjustRightInd w:val="0"/>
        <w:snapToGrid w:val="0"/>
        <w:spacing w:line="578" w:lineRule="atLeast"/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sectPr>
          <w:footerReference r:id="rId3" w:type="default"/>
          <w:pgSz w:w="11906" w:h="16838"/>
          <w:pgMar w:top="2098" w:right="1474" w:bottom="1984" w:left="1587" w:header="851" w:footer="1587" w:gutter="0"/>
          <w:pgNumType w:fmt="decimal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exact"/>
        <w:ind w:left="0" w:right="0"/>
        <w:jc w:val="center"/>
        <w:rPr>
          <w:rFonts w:hint="eastAsia" w:ascii="Times New Roman" w:hAnsi="Times New Roman" w:eastAsia="方正小标宋_GBK" w:cs="方正小标宋_GBK"/>
          <w:kern w:val="2"/>
          <w:sz w:val="44"/>
          <w:szCs w:val="44"/>
        </w:rPr>
      </w:pPr>
      <w:r>
        <w:rPr>
          <w:rFonts w:hint="default" w:ascii="Times New Roman" w:hAnsi="Times New Roman" w:eastAsia="方正仿宋_GBK" w:cs="Times New Roman"/>
          <w:kern w:val="2"/>
          <w:sz w:val="44"/>
          <w:szCs w:val="44"/>
          <w:lang w:val="en-US" w:eastAsia="zh-CN" w:bidi="ar"/>
        </w:rPr>
        <w:t>2026</w:t>
      </w:r>
      <w:r>
        <w:rPr>
          <w:rFonts w:hint="eastAsia" w:ascii="Times New Roman" w:hAnsi="Times New Roman" w:eastAsia="方正小标宋_GBK" w:cs="方正小标宋_GBK"/>
          <w:kern w:val="2"/>
          <w:sz w:val="44"/>
          <w:szCs w:val="44"/>
          <w:lang w:val="en-US" w:eastAsia="zh-CN" w:bidi="ar"/>
        </w:rPr>
        <w:t>年度重庆市经济和信息化委员会</w:t>
      </w:r>
    </w:p>
    <w:p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578" w:lineRule="exact"/>
        <w:ind w:left="0" w:right="0"/>
        <w:jc w:val="center"/>
        <w:rPr>
          <w:rFonts w:hint="eastAsia" w:ascii="Times New Roman" w:hAnsi="Times New Roman" w:eastAsia="方正小标宋_GBK" w:cs="方正小标宋_GBK"/>
          <w:kern w:val="2"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kern w:val="2"/>
          <w:sz w:val="44"/>
          <w:szCs w:val="44"/>
          <w:lang w:val="en-US" w:eastAsia="zh-CN" w:bidi="ar"/>
        </w:rPr>
        <w:t>重大行政决策事项目录</w:t>
      </w:r>
    </w:p>
    <w:p>
      <w:pPr>
        <w:pStyle w:val="3"/>
        <w:widowControl/>
        <w:rPr>
          <w:rFonts w:hint="eastAsia" w:ascii="Times New Roman" w:hAnsi="Times New Roman" w:eastAsia="宋体" w:cs="Times New Roman"/>
          <w:kern w:val="2"/>
          <w:sz w:val="30"/>
          <w:szCs w:val="30"/>
        </w:rPr>
      </w:pPr>
      <w:r>
        <w:rPr>
          <w:rFonts w:hint="eastAsia" w:ascii="Times New Roman" w:hAnsi="Times New Roman" w:eastAsia="宋体" w:cs="Times New Roman"/>
          <w:kern w:val="2"/>
          <w:sz w:val="30"/>
          <w:szCs w:val="30"/>
        </w:rPr>
        <w:t xml:space="preserve"> </w:t>
      </w:r>
    </w:p>
    <w:tbl>
      <w:tblPr>
        <w:tblStyle w:val="7"/>
        <w:tblW w:w="8925" w:type="dxa"/>
        <w:jc w:val="center"/>
        <w:tblInd w:w="-2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4162"/>
        <w:gridCol w:w="1779"/>
        <w:gridCol w:w="21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 w:cs="方正黑体_GBK"/>
                <w:kern w:val="2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41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 w:cs="方正黑体_GBK"/>
                <w:kern w:val="2"/>
                <w:sz w:val="28"/>
                <w:szCs w:val="28"/>
                <w:lang w:val="en-US" w:eastAsia="zh-CN" w:bidi="ar"/>
              </w:rPr>
              <w:t>决策事项名称</w:t>
            </w:r>
          </w:p>
        </w:tc>
        <w:tc>
          <w:tcPr>
            <w:tcW w:w="17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 w:cs="方正黑体_GBK"/>
                <w:kern w:val="2"/>
                <w:sz w:val="28"/>
                <w:szCs w:val="28"/>
                <w:lang w:val="en-US" w:eastAsia="zh-CN" w:bidi="ar"/>
              </w:rPr>
              <w:t>承办处室</w:t>
            </w:r>
          </w:p>
        </w:tc>
        <w:tc>
          <w:tcPr>
            <w:tcW w:w="21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 w:cs="方正黑体_GBK"/>
                <w:kern w:val="2"/>
                <w:sz w:val="28"/>
                <w:szCs w:val="28"/>
                <w:lang w:val="en-US" w:eastAsia="zh-CN" w:bidi="ar"/>
              </w:rPr>
              <w:t>决策时间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adjustRightInd w:val="0"/>
              <w:snapToGrid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Times New Roman" w:hAnsi="Times New Roman" w:eastAsia="方正仿宋_GBK" w:cs="方正仿宋_GBK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lang w:val="en-US" w:eastAsia="zh-CN" w:bidi="ar"/>
              </w:rPr>
              <w:t>1</w:t>
            </w:r>
          </w:p>
        </w:tc>
        <w:tc>
          <w:tcPr>
            <w:tcW w:w="41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_GBK" w:cs="方正仿宋_GBK"/>
                <w:kern w:val="2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kern w:val="2"/>
                <w:sz w:val="28"/>
                <w:szCs w:val="28"/>
                <w:lang w:val="en-US" w:eastAsia="zh-CN" w:bidi="ar"/>
              </w:rPr>
              <w:t>《重庆市无线电管理“十五五”规划》</w:t>
            </w:r>
          </w:p>
        </w:tc>
        <w:tc>
          <w:tcPr>
            <w:tcW w:w="17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_GBK" w:cs="方正仿宋_GBK"/>
                <w:kern w:val="2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方正仿宋_GBK"/>
                <w:kern w:val="2"/>
                <w:sz w:val="28"/>
                <w:szCs w:val="28"/>
                <w:lang w:val="en-US" w:eastAsia="zh-CN" w:bidi="ar"/>
              </w:rPr>
              <w:t>无管局</w:t>
            </w:r>
          </w:p>
        </w:tc>
        <w:tc>
          <w:tcPr>
            <w:tcW w:w="21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rPr>
                <w:rFonts w:hint="eastAsia" w:ascii="Times New Roman" w:hAnsi="Times New Roman" w:eastAsia="方正仿宋_GBK" w:cs="方正仿宋_GBK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"/>
              </w:rPr>
              <w:t>2026</w:t>
            </w:r>
            <w:r>
              <w:rPr>
                <w:rFonts w:hint="eastAsia" w:ascii="Times New Roman" w:hAnsi="Times New Roman" w:eastAsia="方正仿宋_GBK" w:cs="方正仿宋_GBK"/>
                <w:kern w:val="2"/>
                <w:sz w:val="28"/>
                <w:szCs w:val="28"/>
                <w:lang w:val="en-US" w:eastAsia="zh-CN" w:bidi="ar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方正仿宋_GBK" w:cs="方正仿宋_GBK"/>
                <w:kern w:val="2"/>
                <w:sz w:val="28"/>
                <w:szCs w:val="28"/>
                <w:lang w:val="en-US" w:eastAsia="zh-CN" w:bidi="ar"/>
              </w:rPr>
              <w:t>月</w:t>
            </w: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default" w:ascii="Times New Roman" w:hAnsi="Times New Roman" w:eastAsia="方正仿宋_GBK" w:cs="Times New Roman"/>
          <w:kern w:val="2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pStyle w:val="8"/>
        <w:widowControl/>
        <w:snapToGrid w:val="0"/>
        <w:spacing w:line="600" w:lineRule="atLeast"/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 xml:space="preserve"> </w:t>
      </w:r>
    </w:p>
    <w:p>
      <w:pPr>
        <w:pStyle w:val="8"/>
        <w:widowControl/>
        <w:snapToGrid w:val="0"/>
        <w:spacing w:line="600" w:lineRule="atLeast"/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 xml:space="preserve"> </w:t>
      </w:r>
    </w:p>
    <w:p>
      <w:pPr>
        <w:pStyle w:val="8"/>
        <w:widowControl/>
        <w:snapToGrid w:val="0"/>
        <w:spacing w:line="600" w:lineRule="atLeast"/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 xml:space="preserve"> </w:t>
      </w:r>
    </w:p>
    <w:p>
      <w:pPr>
        <w:pStyle w:val="8"/>
        <w:widowControl/>
        <w:snapToGrid w:val="0"/>
        <w:spacing w:line="600" w:lineRule="atLeast"/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600" w:lineRule="atLeas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pStyle w:val="2"/>
        <w:widowControl/>
        <w:rPr>
          <w:rFonts w:hint="eastAsia" w:ascii="Times New Roman" w:hAnsi="Times New Roman" w:eastAsia="方正仿宋_GBK" w:cs="方正仿宋_GBK"/>
          <w:b/>
          <w:bCs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b/>
          <w:bCs/>
          <w:kern w:val="2"/>
          <w:sz w:val="28"/>
          <w:szCs w:val="28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pStyle w:val="2"/>
        <w:widowControl/>
        <w:rPr>
          <w:rFonts w:hint="eastAsia" w:ascii="Times New Roman" w:hAnsi="Times New Roman" w:eastAsia="方正仿宋_GBK" w:cs="方正仿宋_GBK"/>
          <w:b/>
          <w:bCs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b/>
          <w:bCs/>
          <w:kern w:val="2"/>
          <w:sz w:val="28"/>
          <w:szCs w:val="28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700" w:lineRule="exact"/>
        <w:ind w:left="0" w:right="0"/>
        <w:jc w:val="both"/>
        <w:rPr>
          <w:rFonts w:hint="eastAsia" w:ascii="Times New Roman" w:hAnsi="Times New Roman" w:eastAsia="方正仿宋_GBK" w:cs="方正仿宋_GBK"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 xml:space="preserve"> </w:t>
      </w:r>
    </w:p>
    <w:p>
      <w:pPr>
        <w:pStyle w:val="2"/>
        <w:widowControl/>
        <w:rPr>
          <w:rFonts w:hint="eastAsia" w:ascii="Times New Roman" w:hAnsi="Times New Roman" w:eastAsia="方正仿宋_GBK" w:cs="方正仿宋_GBK"/>
          <w:b/>
          <w:bCs/>
          <w:kern w:val="2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b/>
          <w:bCs/>
          <w:kern w:val="2"/>
          <w:sz w:val="28"/>
          <w:szCs w:val="28"/>
        </w:rPr>
        <w:t xml:space="preserve"> </w:t>
      </w:r>
    </w:p>
    <w:p>
      <w:pPr>
        <w:pStyle w:val="2"/>
        <w:widowControl/>
        <w:ind w:left="0" w:firstLine="0"/>
        <w:rPr>
          <w:rFonts w:hint="eastAsia" w:ascii="Times New Roman" w:hAnsi="Times New Roman" w:eastAsia="宋体" w:cs="宋体"/>
          <w:b/>
          <w:bCs/>
          <w:kern w:val="2"/>
          <w:sz w:val="24"/>
          <w:szCs w:val="24"/>
        </w:rPr>
      </w:pPr>
      <w:r>
        <w:rPr>
          <w:rFonts w:hint="eastAsia" w:ascii="Times New Roman" w:hAnsi="Times New Roman" w:eastAsia="宋体" w:cs="宋体"/>
          <w:b/>
          <w:bCs/>
          <w:kern w:val="2"/>
          <w:sz w:val="24"/>
          <w:szCs w:val="24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Times New Roman" w:hAnsi="Times New Roman" w:eastAsia="宋体" w:cs="Times New Roman"/>
          <w:kern w:val="2"/>
          <w:sz w:val="21"/>
          <w:szCs w:val="21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>
      <w:pPr>
        <w:pBdr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</w:pBdr>
        <w:spacing w:beforeLines="0" w:afterLines="0"/>
        <w:rPr>
          <w:rFonts w:ascii="Times New Roman" w:hAnsi="Times New Roman"/>
        </w:rPr>
      </w:pPr>
      <w:r>
        <w:rPr>
          <w:rFonts w:hint="default" w:ascii="Times New Roman" w:hAnsi="Times New Roman" w:eastAsia="方正仿宋_GBK" w:cs="Times New Roman"/>
          <w:kern w:val="2"/>
          <w:sz w:val="28"/>
          <w:szCs w:val="28"/>
          <w:lang w:val="en-US" w:eastAsia="zh-CN" w:bidi="ar"/>
        </w:rPr>
        <w:t xml:space="preserve">  </w:t>
      </w: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>重庆市经济和信息化委员会办公室</w:t>
      </w:r>
      <w:r>
        <w:rPr>
          <w:rFonts w:hint="default" w:ascii="Times New Roman" w:hAnsi="Times New Roman" w:eastAsia="方正仿宋_GBK" w:cs="Times New Roman"/>
          <w:kern w:val="2"/>
          <w:sz w:val="28"/>
          <w:szCs w:val="28"/>
          <w:lang w:val="en-US" w:eastAsia="zh-CN" w:bidi="ar"/>
        </w:rPr>
        <w:t xml:space="preserve"> </w:t>
      </w:r>
      <w:r>
        <w:rPr>
          <w:rFonts w:hint="eastAsia" w:ascii="Times New Roman" w:hAnsi="Times New Roman" w:eastAsia="方正仿宋_GBK" w:cs="Times New Roman"/>
          <w:kern w:val="2"/>
          <w:sz w:val="28"/>
          <w:szCs w:val="28"/>
          <w:lang w:val="en-US" w:eastAsia="zh-CN" w:bidi="ar"/>
        </w:rPr>
        <w:t xml:space="preserve">     </w:t>
      </w:r>
      <w:r>
        <w:rPr>
          <w:rFonts w:hint="eastAsia" w:ascii="Times New Roman" w:hAnsi="Times New Roman" w:eastAsia="方正仿宋_GBK" w:cs="Times New Roman"/>
          <w:kern w:val="2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方正仿宋_GBK" w:cs="Times New Roman"/>
          <w:kern w:val="2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方正仿宋_GBK" w:cs="Times New Roman"/>
          <w:kern w:val="2"/>
          <w:sz w:val="28"/>
          <w:szCs w:val="28"/>
          <w:lang w:val="en-US" w:eastAsia="zh-CN" w:bidi="ar"/>
        </w:rPr>
        <w:t xml:space="preserve">  2026</w:t>
      </w: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>年</w:t>
      </w:r>
      <w:r>
        <w:rPr>
          <w:rFonts w:hint="default" w:ascii="Times New Roman" w:hAnsi="Times New Roman" w:eastAsia="方正仿宋_GBK" w:cs="Times New Roman"/>
          <w:kern w:val="2"/>
          <w:sz w:val="28"/>
          <w:szCs w:val="28"/>
          <w:lang w:val="en-US" w:eastAsia="zh-CN" w:bidi="ar"/>
        </w:rPr>
        <w:t>5</w:t>
      </w: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>月</w:t>
      </w:r>
      <w:r>
        <w:rPr>
          <w:rFonts w:hint="eastAsia" w:ascii="Times New Roman" w:hAnsi="Times New Roman" w:eastAsia="方正仿宋_GBK" w:cs="Times New Roman"/>
          <w:kern w:val="2"/>
          <w:sz w:val="28"/>
          <w:szCs w:val="28"/>
          <w:lang w:val="en-US" w:eastAsia="zh-CN" w:bidi="ar"/>
        </w:rPr>
        <w:t>29</w:t>
      </w:r>
      <w:r>
        <w:rPr>
          <w:rFonts w:hint="eastAsia" w:ascii="Times New Roman" w:hAnsi="Times New Roman" w:eastAsia="方正仿宋_GBK" w:cs="方正仿宋_GBK"/>
          <w:kern w:val="2"/>
          <w:sz w:val="28"/>
          <w:szCs w:val="28"/>
          <w:lang w:val="en-US" w:eastAsia="zh-CN" w:bidi="ar"/>
        </w:rPr>
        <w:t>日印发</w:t>
      </w:r>
      <w:r>
        <w:rPr>
          <w:rFonts w:hint="eastAsia" w:ascii="Times New Roman" w:hAnsi="Times New Roman" w:eastAsia="方正仿宋_GBK" w:cs="Times New Roman"/>
          <w:kern w:val="2"/>
          <w:sz w:val="28"/>
          <w:szCs w:val="28"/>
          <w:lang w:val="en-US" w:eastAsia="zh-CN" w:bidi="ar"/>
        </w:rPr>
        <w:t xml:space="preserve">  </w:t>
      </w:r>
    </w:p>
    <w:sectPr>
      <w:pgSz w:w="11906" w:h="16838"/>
      <w:pgMar w:top="2098" w:right="1474" w:bottom="1984" w:left="1587" w:header="851" w:footer="1587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95885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885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  <w:lang w:val="en-US" w:eastAsia="zh-CN"/>
                            </w:rPr>
                            <w:t xml:space="preserve"> 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  <w:lang w:val="en-US" w:eastAsia="zh-CN"/>
                            </w:rPr>
                            <w:t xml:space="preserve">  </w:t>
                          </w:r>
                        </w:p>
                      </w:txbxContent>
                    </wps:txbx>
                    <wps:bodyPr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75.5pt;mso-position-horizontal:outside;mso-position-horizontal-relative:margin;z-index:251660288;mso-width-relative:page;mso-height-relative:page;" filled="f" stroked="f" coordsize="21600,21600" o:gfxdata="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  <w:lang w:val="en-US" w:eastAsia="zh-CN"/>
                      </w:rPr>
                      <w:t xml:space="preserve"> 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  <w:lang w:val="en-US" w:eastAsia="zh-CN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GWebUrl" w:val="http://10.110.64.38:11000/weaver/weaver.file.FileDownloadForNews?uuid=6f8d7d80-d816-4a91-886f-258adbc18e87&amp;fileid=19&amp;type=editMould&amp;isofficeview=0"/>
  </w:docVars>
  <w:rsids>
    <w:rsidRoot w:val="15ED66B4"/>
    <w:rsid w:val="15ED66B4"/>
    <w:rsid w:val="16A305BC"/>
    <w:rsid w:val="1BE90C16"/>
    <w:rsid w:val="26E83CC2"/>
    <w:rsid w:val="3731013E"/>
    <w:rsid w:val="3AF13A46"/>
    <w:rsid w:val="72F10987"/>
    <w:rsid w:val="76B27111"/>
    <w:rsid w:val="7BDF7449"/>
    <w:rsid w:val="F7DFB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widowControl w:val="0"/>
      <w:suppressLineNumbers w:val="0"/>
      <w:spacing w:before="280" w:beforeAutospacing="0" w:after="290" w:afterAutospacing="0" w:line="374" w:lineRule="auto"/>
      <w:ind w:firstLine="241"/>
      <w:jc w:val="both"/>
      <w:outlineLvl w:val="3"/>
    </w:pPr>
    <w:rPr>
      <w:rFonts w:hint="eastAsia" w:ascii="宋体" w:hAnsi="宋体" w:eastAsia="宋体" w:cs="宋体"/>
      <w:b/>
      <w:bCs/>
      <w:kern w:val="2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30"/>
      <w:szCs w:val="30"/>
      <w:lang w:val="en-US" w:eastAsia="zh-CN" w:bidi="ar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Default"/>
    <w:basedOn w:val="1"/>
    <w:qFormat/>
    <w:uiPriority w:val="0"/>
    <w:pPr>
      <w:keepNext w:val="0"/>
      <w:keepLines w:val="0"/>
      <w:widowControl w:val="0"/>
      <w:suppressLineNumbers w:val="0"/>
      <w:autoSpaceDE w:val="0"/>
      <w:autoSpaceDN w:val="0"/>
      <w:adjustRightInd w:val="0"/>
      <w:spacing w:before="0" w:beforeAutospacing="0" w:after="0" w:afterAutospacing="0"/>
      <w:ind w:left="0" w:right="0"/>
      <w:jc w:val="left"/>
    </w:pPr>
    <w:rPr>
      <w:rFonts w:hint="eastAsia" w:ascii="仿宋_GB2312" w:hAnsi="宋体" w:eastAsia="宋体" w:cs="仿宋_GB2312"/>
      <w:color w:val="000000"/>
      <w:kern w:val="0"/>
      <w:sz w:val="24"/>
      <w:szCs w:val="24"/>
      <w:lang w:val="en-US" w:eastAsia="zh-CN" w:bidi="ar"/>
    </w:rPr>
  </w:style>
  <w:style w:type="paragraph" w:customStyle="1" w:styleId="9">
    <w:name w:val="UserStyle_0"/>
    <w:next w:val="1"/>
    <w:qFormat/>
    <w:uiPriority w:val="0"/>
    <w:pPr>
      <w:textAlignment w:val="baseline"/>
    </w:pPr>
    <w:rPr>
      <w:rFonts w:ascii="Arial" w:hAnsi="Arial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0">
    <w:name w:val="索引 51"/>
    <w:next w:val="1"/>
    <w:qFormat/>
    <w:uiPriority w:val="0"/>
    <w:pPr>
      <w:widowControl w:val="0"/>
      <w:ind w:left="168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0</Words>
  <Characters>0</Characters>
  <Lines>1</Lines>
  <Paragraphs>1</Paragraphs>
  <TotalTime>1</TotalTime>
  <ScaleCrop>false</ScaleCrop>
  <LinksUpToDate>false</LinksUpToDate>
  <CharactersWithSpaces>0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2026-03-27T01:30:00Z</dcterms:created>
  <dc:creator>wh</dc:creator>
  <cp:lastModifiedBy>Administrator</cp:lastModifiedBy>
  <dcterms:modified xsi:type="dcterms:W3CDTF">2026-05-29T08:02:56Z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  <property fmtid="{D5CDD505-2E9C-101B-9397-08002B2CF9AE}" pid="3" name="ICV">
    <vt:lpwstr>835CE55A2B98CCEBE1E8176A8BC52651_43</vt:lpwstr>
  </property>
</Properties>
</file>