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atLeast"/>
        <w:jc w:val="center"/>
        <w:rPr>
          <w:rFonts w:hint="eastAsia" w:ascii="Times New Roman" w:hAnsi="Times New Roman" w:eastAsia="方正仿宋_GBK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atLeast"/>
        <w:jc w:val="center"/>
        <w:rPr>
          <w:rFonts w:hint="eastAsia" w:ascii="Times New Roman" w:hAnsi="Times New Roman" w:eastAsia="方正仿宋_GBK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atLeast"/>
        <w:jc w:val="center"/>
        <w:rPr>
          <w:rFonts w:hint="eastAsia" w:ascii="Times New Roman" w:hAnsi="Times New Roman" w:eastAsia="方正仿宋_GBK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atLeast"/>
        <w:jc w:val="center"/>
        <w:rPr>
          <w:rFonts w:hint="eastAsia" w:ascii="Times New Roman" w:hAnsi="Times New Roman" w:eastAsia="方正仿宋_GBK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atLeast"/>
        <w:jc w:val="center"/>
        <w:rPr>
          <w:rFonts w:hint="eastAsia" w:ascii="Times New Roman" w:hAnsi="Times New Roman" w:eastAsia="方正仿宋_GBK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atLeast"/>
        <w:jc w:val="center"/>
        <w:rPr>
          <w:rFonts w:hint="eastAsia" w:ascii="Times New Roman" w:hAnsi="Times New Roman" w:eastAsia="方正仿宋_GBK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atLeast"/>
        <w:jc w:val="center"/>
        <w:rPr>
          <w:rFonts w:hint="eastAsia" w:ascii="Times New Roman" w:hAnsi="Times New Roman" w:eastAsia="方正仿宋_GBK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atLeast"/>
        <w:jc w:val="center"/>
        <w:rPr>
          <w:rFonts w:hint="eastAsia"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渝经信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/>
        </w:rPr>
        <w:t>装备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〔2025〕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号</w:t>
      </w:r>
    </w:p>
    <w:p>
      <w:pPr>
        <w:widowControl/>
        <w:adjustRightInd w:val="0"/>
        <w:snapToGrid w:val="0"/>
        <w:spacing w:line="600" w:lineRule="atLeast"/>
        <w:jc w:val="center"/>
        <w:rPr>
          <w:rFonts w:hint="eastAsia" w:ascii="Times New Roman" w:hAnsi="Times New Roman" w:eastAsia="方正仿宋_GBK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atLeast"/>
        <w:jc w:val="center"/>
        <w:rPr>
          <w:rFonts w:hint="eastAsia" w:ascii="Times New Roman" w:hAnsi="Times New Roman" w:eastAsia="方正仿宋_GBK"/>
          <w:kern w:val="0"/>
          <w:sz w:val="32"/>
          <w:szCs w:val="32"/>
        </w:rPr>
      </w:pPr>
    </w:p>
    <w:p>
      <w:pPr>
        <w:adjustRightInd w:val="0"/>
        <w:snapToGrid w:val="0"/>
        <w:spacing w:line="578" w:lineRule="atLeast"/>
        <w:jc w:val="center"/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eastAsia="zh-CN"/>
        </w:rPr>
        <w:t>重庆市经济和信息化委员会</w:t>
      </w:r>
    </w:p>
    <w:p>
      <w:pPr>
        <w:adjustRightInd w:val="0"/>
        <w:snapToGrid w:val="0"/>
        <w:spacing w:line="578" w:lineRule="atLeast"/>
        <w:jc w:val="center"/>
        <w:outlineLvl w:val="0"/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eastAsia="zh-CN"/>
        </w:rPr>
      </w:pPr>
      <w:r>
        <w:rPr>
          <w:rFonts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  <w:t>关于征集</w:t>
      </w:r>
      <w:r>
        <w:rPr>
          <w:rFonts w:hint="default" w:eastAsia="方正小标宋_GBK" w:cs="Times New Roman"/>
          <w:b w:val="0"/>
          <w:bCs w:val="0"/>
          <w:color w:val="auto"/>
          <w:sz w:val="44"/>
          <w:szCs w:val="44"/>
          <w:lang w:val="en"/>
        </w:rPr>
        <w:t>2025</w:t>
      </w:r>
      <w:r>
        <w:rPr>
          <w:rFonts w:hint="eastAsia" w:eastAsia="方正小标宋_GBK" w:cs="Times New Roman"/>
          <w:b w:val="0"/>
          <w:bCs w:val="0"/>
          <w:color w:val="auto"/>
          <w:sz w:val="44"/>
          <w:szCs w:val="44"/>
          <w:lang w:val="en" w:eastAsia="zh-CN"/>
        </w:rPr>
        <w:t>年度</w:t>
      </w:r>
      <w:r>
        <w:rPr>
          <w:rFonts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  <w:t>重庆市</w:t>
      </w:r>
      <w:r>
        <w:rPr>
          <w:rFonts w:hint="eastAsia" w:eastAsia="方正小标宋_GBK" w:cs="Times New Roman"/>
          <w:b w:val="0"/>
          <w:bCs w:val="0"/>
          <w:color w:val="auto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  <w:t>低空装备+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eastAsia="zh-CN"/>
        </w:rPr>
        <w:t>”</w:t>
      </w:r>
    </w:p>
    <w:p>
      <w:pPr>
        <w:adjustRightInd w:val="0"/>
        <w:snapToGrid w:val="0"/>
        <w:spacing w:line="578" w:lineRule="atLeast"/>
        <w:jc w:val="center"/>
        <w:outlineLvl w:val="0"/>
        <w:rPr>
          <w:rFonts w:ascii="Times New Roman" w:hAnsi="Times New Roman" w:eastAsia="方正小标宋_GBK" w:cs="Times New Roman"/>
          <w:b w:val="0"/>
          <w:bCs w:val="0"/>
          <w:color w:val="auto"/>
          <w:sz w:val="36"/>
          <w:szCs w:val="40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  <w:t>典型应用场景</w:t>
      </w:r>
      <w:r>
        <w:rPr>
          <w:rFonts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  <w:t>的通知</w:t>
      </w:r>
    </w:p>
    <w:p>
      <w:pPr>
        <w:adjustRightInd w:val="0"/>
        <w:snapToGrid w:val="0"/>
        <w:spacing w:line="578" w:lineRule="atLeast"/>
        <w:jc w:val="both"/>
        <w:rPr>
          <w:rFonts w:ascii="Times New Roman" w:hAnsi="Times New Roman" w:eastAsia="方正小标宋_GBK" w:cs="Times New Roman"/>
          <w:b w:val="0"/>
          <w:bCs w:val="0"/>
          <w:color w:val="auto"/>
          <w:sz w:val="36"/>
          <w:szCs w:val="4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textAlignment w:val="auto"/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</w:pPr>
      <w:r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t>各区县（自治县）经济信息委，两江新区、西部科学城重庆高新区、万盛经开区经信部门，各有关单位：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为贯彻落实党中央关于低空经济发展的决策部署及市委、市政府有关工作要求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，提升我市低空装备产业发展能级，推广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一批具有较高水平、创新应用模式和显著应用成效的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低空装备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典型应用场景，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现就征集2025年度重庆市“低空装备+”典型应用场景有关事项通知如下。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640" w:firstLine="0" w:firstLineChars="0"/>
        <w:textAlignment w:val="auto"/>
        <w:outlineLvl w:val="0"/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方正黑体_GBK" w:cs="Times New Roman"/>
          <w:b w:val="0"/>
          <w:bCs w:val="0"/>
          <w:color w:val="auto"/>
          <w:sz w:val="32"/>
          <w:szCs w:val="32"/>
          <w:lang w:eastAsia="zh-CN"/>
        </w:rPr>
        <w:t>一、</w:t>
      </w:r>
      <w:r>
        <w:rPr>
          <w:rFonts w:hint="eastAsia" w:eastAsia="方正黑体_GBK" w:cs="Times New Roman"/>
          <w:b w:val="0"/>
          <w:bCs w:val="0"/>
          <w:color w:val="auto"/>
          <w:sz w:val="32"/>
          <w:szCs w:val="32"/>
          <w:lang w:val="en-US" w:eastAsia="zh-CN"/>
        </w:rPr>
        <w:t>征集产品方向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  <w:t>（一）低空飞行整机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各类低空飞行器整机，包括但不限于中大型无人机、eVTOL、轻型运动飞机、新能源通用航空器等。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  <w:t>（二）低空飞行部件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各类低空飞行器关键部件，包括但不限于航空发动机、电驱电机电池、飞控传感器、数据采集、各类航材等。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  <w:t>（三）航行保障装备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各类低空飞行器航行保障装备，包括但不限于无线电通信系统、卫星和地面辅助等导航系统以及雷达和ADS-B、各类软件平台等。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  <w:t>（四）能源补给装备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各类低空飞行器能源补给装备，包括但不限于加油、加氢和充换电装备。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  <w:t>（五）检验检测装备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各类低空飞行器检验检测装备，包括但不限于性能测试、安全测试和电磁兼容性测试等。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  <w:t>（六）安防反制装备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各类低空飞行器安防反制装备，包括但不限于电子干扰设备、捕捉网和反制枪等。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640" w:firstLine="0" w:firstLineChars="0"/>
        <w:textAlignment w:val="auto"/>
        <w:outlineLvl w:val="0"/>
        <w:rPr>
          <w:rFonts w:ascii="Times New Roman" w:hAnsi="Times New Roman" w:eastAsia="方正黑体_GBK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 w:val="0"/>
          <w:bCs w:val="0"/>
          <w:color w:val="auto"/>
          <w:sz w:val="32"/>
          <w:szCs w:val="32"/>
          <w:lang w:eastAsia="zh-CN"/>
        </w:rPr>
        <w:t>二、</w:t>
      </w:r>
      <w:r>
        <w:rPr>
          <w:rFonts w:ascii="Times New Roman" w:hAnsi="Times New Roman" w:eastAsia="方正黑体_GBK" w:cs="Times New Roman"/>
          <w:b w:val="0"/>
          <w:bCs w:val="0"/>
          <w:color w:val="auto"/>
          <w:sz w:val="32"/>
          <w:szCs w:val="32"/>
        </w:rPr>
        <w:t>申报要求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</w:rPr>
        <w:t>重庆市内有实际生产经营活动的企业、单位，未被列入信用中国（重庆）失信名单。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</w:rPr>
        <w:t>申报单位应为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低空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</w:rPr>
        <w:t>生产制造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类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</w:rPr>
        <w:t>企业，鼓励与用户单位联合申报。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cs="Times New Roman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三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eastAsia="zh-CN"/>
        </w:rPr>
        <w:t>）典型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应用场景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eastAsia="zh-CN"/>
        </w:rPr>
        <w:t>应具有一定的创新性，无知识产权纠纷，不涉及国家秘密、商业秘密等内容。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（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</w:rPr>
        <w:t>所报送的典型应用场景应在国内已形成落地场景，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产品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</w:rPr>
        <w:t>的关键技术应处于国内领先或国际先进水平，同一单位所申报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方向不超过2个、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</w:rPr>
        <w:t>典型应用场景不超过3个，所申报的场景允许实地查看。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（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</w:rPr>
        <w:t>申报单位自愿主动配合参与供需对接、公开宣传、展览展示等配套活动，积极推广案例经验。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640" w:firstLine="0" w:firstLineChars="0"/>
        <w:textAlignment w:val="auto"/>
        <w:outlineLvl w:val="0"/>
        <w:rPr>
          <w:rFonts w:ascii="Times New Roman" w:hAnsi="Times New Roman" w:eastAsia="方正黑体_GBK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 w:val="0"/>
          <w:bCs w:val="0"/>
          <w:color w:val="auto"/>
          <w:sz w:val="32"/>
          <w:szCs w:val="32"/>
          <w:lang w:eastAsia="zh-CN"/>
        </w:rPr>
        <w:t>三、</w:t>
      </w:r>
      <w:r>
        <w:rPr>
          <w:rFonts w:ascii="Times New Roman" w:hAnsi="Times New Roman" w:eastAsia="方正黑体_GBK" w:cs="Times New Roman"/>
          <w:b w:val="0"/>
          <w:bCs w:val="0"/>
          <w:color w:val="auto"/>
          <w:sz w:val="32"/>
          <w:szCs w:val="32"/>
        </w:rPr>
        <w:t>申报流程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</w:rPr>
        <w:t>（一）申报单位编写《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2025年度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</w:rPr>
        <w:t>重庆市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eastAsia="zh-CN"/>
        </w:rPr>
        <w:t>“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低空装备+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eastAsia="zh-CN"/>
        </w:rPr>
        <w:t>”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</w:rPr>
        <w:t>典型应用场景推荐目录申报提纲》（详见附件1），电子件（包含word版和盖章扫描件）刻录光盘，于2025年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</w:rPr>
        <w:t>月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</w:rPr>
        <w:t>日前将以上材料（纸质版及光盘）一式两份报送至所在区县经信部门。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</w:rPr>
        <w:t>（二）各区县经信部门负责组织本地区征集工作，对申报单位所提交材料的完整性、真实性、先进性进行初审，并按推荐顺序填写《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2025年度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</w:rPr>
        <w:t>重庆市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eastAsia="zh-CN"/>
        </w:rPr>
        <w:t>“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低空装备+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eastAsia="zh-CN"/>
        </w:rPr>
        <w:t>”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</w:rPr>
        <w:t>典型应用场景推荐目录汇总表》（详见附件2），于2025年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</w:rPr>
        <w:t>月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</w:rPr>
        <w:t>日前将申报材料和汇总表各一式两份报送至市经济信息委装备处，电子版发送至电子邮箱cqjxwzbc@163.com，逾期不再受理。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</w:rPr>
        <w:t>联系人：樊老师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</w:rPr>
        <w:t>联系电话：023—63899484。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/>
        <w:textAlignment w:val="auto"/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</w:rPr>
        <w:t>（三）市经济信息委</w:t>
      </w:r>
      <w:bookmarkStart w:id="0" w:name="_GoBack"/>
      <w:bookmarkEnd w:id="0"/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</w:rPr>
        <w:t>组织专家对企业申报材料进行评审，评审标准包括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产品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</w:rPr>
        <w:t>技术先进性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</w:rPr>
        <w:t>场景适配度、应用成熟度、社会经济效益等，依据评审结果形成重庆市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eastAsia="zh-CN"/>
        </w:rPr>
        <w:t>“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低空装备+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eastAsia="zh-CN"/>
        </w:rPr>
        <w:t>”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</w:rPr>
        <w:t>典型应用场景推荐目录，并公开发布。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640" w:firstLine="0" w:firstLineChars="0"/>
        <w:textAlignment w:val="auto"/>
        <w:outlineLvl w:val="0"/>
        <w:rPr>
          <w:rFonts w:ascii="Times New Roman" w:hAnsi="Times New Roman" w:eastAsia="方正黑体_GBK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 w:val="0"/>
          <w:bCs w:val="0"/>
          <w:color w:val="auto"/>
          <w:sz w:val="32"/>
          <w:szCs w:val="32"/>
          <w:lang w:eastAsia="zh-CN"/>
        </w:rPr>
        <w:t>四、</w:t>
      </w:r>
      <w:r>
        <w:rPr>
          <w:rFonts w:hint="eastAsia" w:ascii="Times New Roman" w:hAnsi="Times New Roman" w:eastAsia="方正黑体_GBK" w:cs="Times New Roman"/>
          <w:b w:val="0"/>
          <w:bCs w:val="0"/>
          <w:color w:val="auto"/>
          <w:sz w:val="32"/>
          <w:szCs w:val="32"/>
        </w:rPr>
        <w:t>结果运用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firstLine="64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（一）加强供需对接。市经济信息委将常态化开展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低空装备产业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供需对接活动，促进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低空装备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研制生产企业与用户单位交流对接，挖掘应用场景，形成良好的上下游合作。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firstLine="640"/>
        <w:textAlignment w:val="auto"/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（二）提供政策支持。对入选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</w:rPr>
        <w:t>重庆市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eastAsia="zh-CN"/>
        </w:rPr>
        <w:t>“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低空装备+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eastAsia="zh-CN"/>
        </w:rPr>
        <w:t>”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典型应用场景推荐目录的装备产品，市经济信息委将在同等条件下优先支持其纳入《重庆市首台（套）重大技术装备推广应用目录》，调动企业创新积极性，提高产品市场认可度。其中，对获评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重点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应用场景的申报单位将予以典型应用场景推广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支持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。鼓励各区县、园区对进入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典型应用场景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的属地企业给予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支持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eastAsia="zh-CN"/>
        </w:rPr>
        <w:t>特此通知。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textAlignment w:val="auto"/>
        <w:outlineLvl w:val="0"/>
        <w:rPr>
          <w:rFonts w:hint="eastAsia" w:ascii="Times New Roman" w:hAnsi="Times New Roman" w:cs="Times New Roman"/>
          <w:b w:val="0"/>
          <w:bCs w:val="0"/>
          <w:color w:val="auto"/>
          <w:spacing w:val="-17"/>
          <w:sz w:val="32"/>
          <w:szCs w:val="32"/>
        </w:rPr>
      </w:pPr>
      <w:r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1.</w:t>
      </w:r>
      <w:r>
        <w:rPr>
          <w:rFonts w:hint="eastAsia" w:cs="Times New Roman"/>
          <w:b w:val="0"/>
          <w:bCs w:val="0"/>
          <w:color w:val="auto"/>
          <w:spacing w:val="-17"/>
          <w:w w:val="100"/>
          <w:sz w:val="32"/>
          <w:szCs w:val="32"/>
          <w:lang w:val="en-US" w:eastAsia="zh-CN"/>
        </w:rPr>
        <w:t>2025年度</w:t>
      </w:r>
      <w:r>
        <w:rPr>
          <w:rFonts w:hint="eastAsia" w:ascii="Times New Roman" w:hAnsi="Times New Roman" w:cs="Times New Roman"/>
          <w:b w:val="0"/>
          <w:bCs w:val="0"/>
          <w:color w:val="auto"/>
          <w:spacing w:val="-17"/>
          <w:w w:val="100"/>
          <w:sz w:val="32"/>
          <w:szCs w:val="32"/>
        </w:rPr>
        <w:t>重庆市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eastAsia="zh-CN"/>
        </w:rPr>
        <w:t>“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低空装备+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eastAsia="zh-CN"/>
        </w:rPr>
        <w:t>”</w:t>
      </w:r>
      <w:r>
        <w:rPr>
          <w:rFonts w:hint="eastAsia" w:ascii="Times New Roman" w:hAnsi="Times New Roman" w:cs="Times New Roman"/>
          <w:b w:val="0"/>
          <w:bCs w:val="0"/>
          <w:color w:val="auto"/>
          <w:spacing w:val="-17"/>
          <w:w w:val="100"/>
          <w:sz w:val="32"/>
          <w:szCs w:val="32"/>
        </w:rPr>
        <w:t>典型应用场景申报提纲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1600" w:firstLineChars="500"/>
        <w:textAlignment w:val="auto"/>
        <w:outlineLvl w:val="9"/>
        <w:rPr>
          <w:rFonts w:ascii="Times New Roman" w:hAnsi="Times New Roman" w:cs="Times New Roman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2.</w:t>
      </w:r>
      <w:r>
        <w:rPr>
          <w:rFonts w:hint="eastAsia" w:cs="Times New Roman"/>
          <w:b w:val="0"/>
          <w:bCs w:val="0"/>
          <w:color w:val="auto"/>
          <w:spacing w:val="-17"/>
          <w:w w:val="100"/>
          <w:sz w:val="32"/>
          <w:szCs w:val="32"/>
          <w:lang w:val="en-US" w:eastAsia="zh-CN"/>
        </w:rPr>
        <w:t>2025</w:t>
      </w:r>
      <w:r>
        <w:rPr>
          <w:rFonts w:hint="eastAsia" w:cs="Times New Roman"/>
          <w:b w:val="0"/>
          <w:bCs w:val="0"/>
          <w:color w:val="auto"/>
          <w:spacing w:val="0"/>
          <w:w w:val="99"/>
          <w:sz w:val="32"/>
          <w:szCs w:val="32"/>
          <w:lang w:val="en-US" w:eastAsia="zh-CN"/>
        </w:rPr>
        <w:t>年度</w:t>
      </w:r>
      <w:r>
        <w:rPr>
          <w:rFonts w:hint="eastAsia" w:ascii="Times New Roman" w:hAnsi="Times New Roman" w:cs="Times New Roman"/>
          <w:b w:val="0"/>
          <w:bCs w:val="0"/>
          <w:color w:val="auto"/>
          <w:spacing w:val="0"/>
          <w:w w:val="99"/>
          <w:sz w:val="32"/>
          <w:szCs w:val="32"/>
        </w:rPr>
        <w:t>重庆市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eastAsia="zh-CN"/>
        </w:rPr>
        <w:t>“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低空装备+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eastAsia="zh-CN"/>
        </w:rPr>
        <w:t>”</w:t>
      </w:r>
      <w:r>
        <w:rPr>
          <w:rFonts w:hint="eastAsia" w:ascii="Times New Roman" w:hAnsi="Times New Roman" w:cs="Times New Roman"/>
          <w:b w:val="0"/>
          <w:bCs w:val="0"/>
          <w:color w:val="auto"/>
          <w:spacing w:val="0"/>
          <w:w w:val="99"/>
          <w:sz w:val="32"/>
          <w:szCs w:val="32"/>
        </w:rPr>
        <w:t>典型应用场景汇总</w:t>
      </w:r>
      <w:r>
        <w:rPr>
          <w:rFonts w:hint="eastAsia" w:ascii="Times New Roman" w:hAnsi="Times New Roman" w:cs="Times New Roman"/>
          <w:b w:val="0"/>
          <w:bCs w:val="0"/>
          <w:color w:val="auto"/>
          <w:spacing w:val="0"/>
          <w:sz w:val="32"/>
          <w:szCs w:val="32"/>
        </w:rPr>
        <w:t>表</w:t>
      </w:r>
    </w:p>
    <w:p>
      <w:pPr>
        <w:pStyle w:val="7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1280" w:firstLineChars="400"/>
        <w:jc w:val="both"/>
        <w:textAlignment w:val="auto"/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1280" w:firstLineChars="400"/>
        <w:jc w:val="both"/>
        <w:textAlignment w:val="auto"/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1280" w:firstLineChars="400"/>
        <w:jc w:val="both"/>
        <w:textAlignment w:val="auto"/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</w:pP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          </w:t>
      </w:r>
      <w:r>
        <w:rPr>
          <w:rFonts w:hint="eastAsia" w:cs="Times New Roman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t xml:space="preserve">重庆市经济和信息化委员会   </w:t>
      </w:r>
    </w:p>
    <w:p>
      <w:pPr>
        <w:pStyle w:val="7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1280" w:firstLineChars="4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        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     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t>202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t>年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7</w:t>
      </w:r>
      <w:r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t>月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17</w:t>
      </w:r>
      <w:r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t>日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    </w:t>
      </w:r>
    </w:p>
    <w:p>
      <w:pPr>
        <w:ind w:firstLine="640" w:firstLineChars="200"/>
      </w:pP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eastAsia="zh-CN"/>
        </w:rPr>
        <w:t>（此件公开发布）</w:t>
      </w:r>
      <w:r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t xml:space="preserve">        </w:t>
      </w:r>
    </w:p>
    <w:sectPr>
      <w:footerReference r:id="rId3" w:type="default"/>
      <w:pgSz w:w="11906" w:h="16838"/>
      <w:pgMar w:top="2098" w:right="1474" w:bottom="1984" w:left="1587" w:header="851" w:footer="1587" w:gutter="0"/>
      <w:paperSrc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5885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85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Style w:val=""/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Style w:val=""/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Style w:val=""/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"/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Style w:val="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"/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"/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Style w:val=""/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75.5pt;mso-position-horizontal:outside;mso-position-horizontal-relative:margin;z-index:251660288;mso-width-relative:page;mso-height-relative:page;" filled="f" stroked="f" coordsize="21600,21600" o:gfxdata="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VYPs2tIAAAAFAQAADwAA&#10;AAAAAAABACAAAAAiAAAAZHJzL2Rvd25yZXYueG1sUEsBAhQAFAAAAAgAh07iQGItDKSqAQAAPgMA&#10;AA4AAAAAAAAAAQAgAAAAIQEAAGRycy9lMm9Eb2MueG1sUEsFBgAAAAAGAAYAWQEAAD0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Style w:val=""/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Style w:val=""/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Style w:val=""/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"/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Style w:val="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"/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"/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Style w:val=""/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E84C53"/>
    <w:rsid w:val="37E8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uppressAutoHyphens/>
      <w:spacing w:after="140" w:line="276" w:lineRule="auto"/>
    </w:pPr>
    <w:rPr>
      <w:rFonts w:ascii="Calibri" w:hAnsi="Calibri" w:eastAsia="宋体" w:cs="Times New Roman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索引 51"/>
    <w:next w:val="1"/>
    <w:qFormat/>
    <w:uiPriority w:val="0"/>
    <w:pPr>
      <w:widowControl w:val="0"/>
      <w:ind w:left="168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2025-07-18T06:54:00Z</dcterms:created>
  <dc:creator>姜私雨</dc:creator>
  <cp:lastModifiedBy>姜私雨</cp:lastModifiedBy>
  <dcterms:modified xsi:type="dcterms:W3CDTF">2025-07-18T06:55:18Z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