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附件3</w:t>
      </w:r>
    </w:p>
    <w:p>
      <w:pPr>
        <w:rPr>
          <w:rFonts w:hint="eastAsia" w:ascii="Times New Roman" w:hAnsi="Times New Roman"/>
        </w:rPr>
      </w:pPr>
    </w:p>
    <w:p>
      <w:pPr>
        <w:widowControl/>
        <w:spacing w:line="600" w:lineRule="exact"/>
        <w:ind w:firstLine="250"/>
        <w:jc w:val="center"/>
        <w:rPr>
          <w:rFonts w:ascii="Times New Roman" w:hAnsi="Times New Roman" w:eastAsia="黑体" w:cs="宋体"/>
          <w:kern w:val="0"/>
          <w:sz w:val="32"/>
          <w:szCs w:val="32"/>
        </w:rPr>
      </w:pPr>
      <w:r>
        <w:rPr>
          <w:rFonts w:hint="eastAsia" w:ascii="Times New Roman" w:hAnsi="Times New Roman" w:eastAsia="方正小标宋_GBK" w:cs="宋体"/>
          <w:kern w:val="0"/>
          <w:sz w:val="44"/>
          <w:szCs w:val="44"/>
        </w:rPr>
        <w:t>企业技术中心评价指标体系</w:t>
      </w:r>
    </w:p>
    <w:p>
      <w:pPr>
        <w:widowControl/>
        <w:spacing w:line="600" w:lineRule="exact"/>
        <w:ind w:firstLine="250"/>
        <w:jc w:val="left"/>
        <w:rPr>
          <w:rFonts w:hint="eastAsia" w:ascii="Times New Roman" w:hAnsi="Times New Roman" w:eastAsia="方正黑体_GBK" w:cs="方正黑体_GBK"/>
          <w:kern w:val="0"/>
          <w:szCs w:val="21"/>
        </w:rPr>
      </w:pPr>
      <w:r>
        <w:rPr>
          <w:rFonts w:hint="eastAsia" w:ascii="Times New Roman" w:hAnsi="Times New Roman" w:eastAsia="方正黑体_GBK" w:cs="方正黑体_GBK"/>
          <w:kern w:val="0"/>
          <w:sz w:val="32"/>
          <w:szCs w:val="32"/>
        </w:rPr>
        <w:t>一、评价指标及评价基本要求</w:t>
      </w:r>
    </w:p>
    <w:tbl>
      <w:tblPr>
        <w:tblStyle w:val="6"/>
        <w:tblW w:w="9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15"/>
        <w:gridCol w:w="707"/>
        <w:gridCol w:w="3855"/>
        <w:gridCol w:w="891"/>
        <w:gridCol w:w="936"/>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72"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一级</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指标</w:t>
            </w:r>
          </w:p>
        </w:tc>
        <w:tc>
          <w:tcPr>
            <w:tcW w:w="815"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二级</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指标</w:t>
            </w:r>
          </w:p>
        </w:tc>
        <w:tc>
          <w:tcPr>
            <w:tcW w:w="707"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权重</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(分)</w:t>
            </w:r>
          </w:p>
        </w:tc>
        <w:tc>
          <w:tcPr>
            <w:tcW w:w="3855"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三级指标</w:t>
            </w:r>
          </w:p>
        </w:tc>
        <w:tc>
          <w:tcPr>
            <w:tcW w:w="891"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权重</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(分)</w:t>
            </w:r>
          </w:p>
        </w:tc>
        <w:tc>
          <w:tcPr>
            <w:tcW w:w="936"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单位</w:t>
            </w:r>
          </w:p>
        </w:tc>
        <w:tc>
          <w:tcPr>
            <w:tcW w:w="1181"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72"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创新机制</w:t>
            </w: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创新投入机制</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20</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color w:val="auto"/>
                <w:kern w:val="0"/>
                <w:sz w:val="24"/>
                <w:lang w:eastAsia="zh-CN"/>
              </w:rPr>
            </w:pPr>
            <w:r>
              <w:rPr>
                <w:rFonts w:hint="eastAsia" w:ascii="Times New Roman" w:hAnsi="Times New Roman" w:eastAsia="方正仿宋_GBK" w:cs="方正仿宋_GBK"/>
                <w:color w:val="auto"/>
                <w:kern w:val="0"/>
                <w:sz w:val="24"/>
                <w:lang w:eastAsia="zh-CN"/>
              </w:rPr>
              <w:t>上年度企业研发经费支出额</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color w:val="auto"/>
                <w:kern w:val="0"/>
                <w:sz w:val="24"/>
                <w:lang w:val="en-US" w:eastAsia="zh-CN"/>
              </w:rPr>
            </w:pPr>
            <w:r>
              <w:rPr>
                <w:rFonts w:hint="eastAsia" w:ascii="Times New Roman" w:hAnsi="Times New Roman" w:eastAsia="方正仿宋_GBK" w:cs="方正仿宋_GBK"/>
                <w:color w:val="auto"/>
                <w:kern w:val="0"/>
                <w:sz w:val="24"/>
                <w:lang w:val="en-US" w:eastAsia="zh-CN"/>
              </w:rPr>
              <w:t>10</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color w:val="auto"/>
                <w:kern w:val="0"/>
                <w:sz w:val="24"/>
                <w:lang w:eastAsia="zh-CN"/>
              </w:rPr>
            </w:pPr>
            <w:r>
              <w:rPr>
                <w:rFonts w:hint="eastAsia" w:ascii="Times New Roman" w:hAnsi="Times New Roman" w:eastAsia="方正仿宋_GBK" w:cs="方正仿宋_GBK"/>
                <w:color w:val="auto"/>
                <w:kern w:val="0"/>
                <w:sz w:val="24"/>
                <w:lang w:eastAsia="zh-CN"/>
              </w:rPr>
              <w:t>万元</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color w:val="auto"/>
                <w:kern w:val="0"/>
                <w:sz w:val="24"/>
                <w:lang w:val="en-US" w:eastAsia="zh-CN"/>
              </w:rPr>
            </w:pPr>
            <w:r>
              <w:rPr>
                <w:rFonts w:hint="eastAsia" w:ascii="Times New Roman" w:hAnsi="Times New Roman" w:eastAsia="方正仿宋_GBK" w:cs="方正仿宋_GBK"/>
                <w:color w:val="auto"/>
                <w:kern w:val="0"/>
                <w:sz w:val="24"/>
              </w:rPr>
              <w:t>≥</w:t>
            </w:r>
            <w:r>
              <w:rPr>
                <w:rFonts w:hint="eastAsia" w:ascii="Times New Roman" w:hAnsi="Times New Roman" w:eastAsia="方正仿宋_GBK" w:cs="方正仿宋_GBK"/>
                <w:color w:val="auto"/>
                <w:kern w:val="0"/>
                <w:sz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72"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研究与试验发展（R&amp;D）经费支出额占主营业务收入的比重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7</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研究与试验发展（R&amp;D）经费支出比上年度增长</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万元</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5</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中心年人均收入与企业年人均收入之比</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中心人员培训费占中心人员总收入的比重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创新合作机制</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5</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来中心从事技术开发工作的外部专家数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人月</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对外合作项目占全部开发项目数的比重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技术人才</w:t>
            </w: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创新队伍建设</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13</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研究与试验发展（R&amp;D）人员</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6</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rPr>
              <w:t>≥</w:t>
            </w:r>
            <w:r>
              <w:rPr>
                <w:rFonts w:hint="eastAsia" w:ascii="Times New Roman" w:hAnsi="Times New Roman" w:eastAsia="方正仿宋_GBK" w:cs="方正仿宋_GBK"/>
                <w:kern w:val="0"/>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研究与试验发展（R&amp;D）人员占职工人数的比重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5</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技术中心拥有的高级专家及博士人数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人</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创新条件建设</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11</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企业技术开发仪器设备原值</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6</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万元</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国家级研发平台数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个</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省级研发平台数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个</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通过国家或国际组织认证的实验室等研发检测机构数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个</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技术积累储备</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10</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基础研究和应用研究项目数占全部项目数的比重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企业拥有的全部有效发明专利数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4</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企业获得国家级质量品牌奖项数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个</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企业获得市级质量品牌奖项数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个</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72"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产出与效益</w:t>
            </w: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技术创新产出</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16</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当年完成的</w:t>
            </w:r>
            <w:r>
              <w:rPr>
                <w:rFonts w:hint="eastAsia" w:ascii="Times New Roman" w:hAnsi="Times New Roman" w:eastAsia="方正仿宋_GBK" w:cs="方正仿宋_GBK"/>
                <w:kern w:val="0"/>
                <w:sz w:val="24"/>
                <w:lang w:eastAsia="zh-CN"/>
              </w:rPr>
              <w:t>研发</w:t>
            </w:r>
            <w:r>
              <w:rPr>
                <w:rFonts w:hint="eastAsia" w:ascii="Times New Roman" w:hAnsi="Times New Roman" w:eastAsia="方正仿宋_GBK" w:cs="方正仿宋_GBK"/>
                <w:kern w:val="0"/>
                <w:sz w:val="24"/>
              </w:rPr>
              <w:t>项目数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10</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72" w:type="dxa"/>
            <w:vMerge w:val="continue"/>
            <w:vAlign w:val="center"/>
          </w:tcPr>
          <w:p>
            <w:pPr>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当年受理的专利申请数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adjustRightInd w:val="0"/>
              <w:snapToGrid w:val="0"/>
              <w:spacing w:line="0" w:lineRule="atLeast"/>
              <w:jc w:val="left"/>
              <w:rPr>
                <w:rFonts w:hint="eastAsia" w:ascii="Times New Roman" w:hAnsi="Times New Roman" w:eastAsia="方正仿宋_GBK" w:cs="方正仿宋_GBK"/>
                <w:kern w:val="0"/>
                <w:sz w:val="22"/>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——其中当年受理的发明专利申请数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adjustRightInd w:val="0"/>
              <w:snapToGrid w:val="0"/>
              <w:spacing w:line="0" w:lineRule="atLeast"/>
              <w:jc w:val="left"/>
              <w:rPr>
                <w:rFonts w:hint="eastAsia" w:ascii="Times New Roman" w:hAnsi="Times New Roman" w:eastAsia="方正仿宋_GBK" w:cs="方正仿宋_GBK"/>
                <w:kern w:val="0"/>
                <w:sz w:val="22"/>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主持和参与制定的国际、国家、行业标准（工法）数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adjustRightInd w:val="0"/>
              <w:snapToGrid w:val="0"/>
              <w:spacing w:line="0" w:lineRule="atLeast"/>
              <w:jc w:val="left"/>
              <w:rPr>
                <w:rFonts w:hint="eastAsia" w:ascii="Times New Roman" w:hAnsi="Times New Roman" w:eastAsia="方正仿宋_GBK" w:cs="方正仿宋_GBK"/>
                <w:kern w:val="0"/>
                <w:sz w:val="22"/>
              </w:rPr>
            </w:pP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技术创新效益</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20</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新产品销售收入占主营业务收入的比重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10</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adjustRightInd w:val="0"/>
              <w:snapToGrid w:val="0"/>
              <w:spacing w:line="0" w:lineRule="atLeast"/>
              <w:jc w:val="left"/>
              <w:rPr>
                <w:rFonts w:hint="eastAsia" w:ascii="Times New Roman" w:hAnsi="Times New Roman" w:eastAsia="方正仿宋_GBK" w:cs="方正仿宋_GBK"/>
                <w:kern w:val="0"/>
                <w:sz w:val="22"/>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新产品销售利润占</w:t>
            </w:r>
            <w:r>
              <w:rPr>
                <w:rFonts w:hint="eastAsia" w:ascii="Times New Roman" w:hAnsi="Times New Roman" w:eastAsia="方正仿宋_GBK" w:cs="方正仿宋_GBK"/>
                <w:kern w:val="0"/>
                <w:sz w:val="24"/>
                <w:lang w:eastAsia="zh-CN"/>
              </w:rPr>
              <w:t>销售利润总额</w:t>
            </w:r>
            <w:r>
              <w:rPr>
                <w:rFonts w:hint="eastAsia" w:ascii="Times New Roman" w:hAnsi="Times New Roman" w:eastAsia="方正仿宋_GBK" w:cs="方正仿宋_GBK"/>
                <w:kern w:val="0"/>
                <w:sz w:val="24"/>
              </w:rPr>
              <w:t>的比重</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lang w:val="en-US" w:eastAsia="zh-CN"/>
              </w:rPr>
              <w:t>8</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2"/>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自有品牌产品与技术出口创汇（或境外项目营业收入）额</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万美元</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加分</w:t>
            </w:r>
          </w:p>
        </w:tc>
        <w:tc>
          <w:tcPr>
            <w:tcW w:w="815" w:type="dxa"/>
            <w:vMerge w:val="restart"/>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加分</w:t>
            </w:r>
          </w:p>
        </w:tc>
        <w:tc>
          <w:tcPr>
            <w:tcW w:w="707" w:type="dxa"/>
            <w:vMerge w:val="restart"/>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5</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获国家自然科学、技术发明、科技进步奖项目数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获得发明专利授权数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获得国家行业协会、</w:t>
            </w:r>
            <w:r>
              <w:rPr>
                <w:rFonts w:hint="eastAsia" w:ascii="Times New Roman" w:hAnsi="Times New Roman" w:eastAsia="方正仿宋_GBK" w:cs="方正仿宋_GBK"/>
                <w:kern w:val="0"/>
                <w:sz w:val="24"/>
                <w:lang w:eastAsia="zh-CN"/>
              </w:rPr>
              <w:t>市级</w:t>
            </w:r>
            <w:r>
              <w:rPr>
                <w:rFonts w:hint="eastAsia" w:ascii="Times New Roman" w:hAnsi="Times New Roman" w:eastAsia="方正仿宋_GBK" w:cs="方正仿宋_GBK"/>
                <w:kern w:val="0"/>
                <w:sz w:val="24"/>
              </w:rPr>
              <w:t>科技进步奖等项目数</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项</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872" w:type="dxa"/>
            <w:vMerge w:val="continue"/>
            <w:vAlign w:val="center"/>
          </w:tcPr>
          <w:p>
            <w:pPr>
              <w:widowControl w:val="0"/>
              <w:adjustRightInd w:val="0"/>
              <w:snapToGrid w:val="0"/>
              <w:spacing w:line="0" w:lineRule="atLeast"/>
              <w:jc w:val="left"/>
              <w:rPr>
                <w:rFonts w:hint="eastAsia" w:ascii="Times New Roman" w:hAnsi="Times New Roman" w:eastAsia="方正仿宋_GBK" w:cs="方正仿宋_GBK"/>
                <w:kern w:val="0"/>
                <w:sz w:val="24"/>
              </w:rPr>
            </w:pPr>
          </w:p>
        </w:tc>
        <w:tc>
          <w:tcPr>
            <w:tcW w:w="815" w:type="dxa"/>
            <w:vMerge w:val="continue"/>
            <w:vAlign w:val="center"/>
          </w:tcPr>
          <w:p>
            <w:pPr>
              <w:widowControl w:val="0"/>
              <w:adjustRightInd w:val="0"/>
              <w:snapToGrid w:val="0"/>
              <w:spacing w:line="0" w:lineRule="atLeast"/>
              <w:rPr>
                <w:rFonts w:hint="eastAsia" w:ascii="Times New Roman" w:hAnsi="Times New Roman" w:eastAsia="方正仿宋_GBK" w:cs="方正仿宋_GBK"/>
                <w:kern w:val="0"/>
                <w:sz w:val="24"/>
              </w:rPr>
            </w:pPr>
          </w:p>
        </w:tc>
        <w:tc>
          <w:tcPr>
            <w:tcW w:w="707" w:type="dxa"/>
            <w:vMerge w:val="continue"/>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当年研究与试验发展（R&amp;D）经费支出额占主营业务收入的比重超过5%</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2"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扣分</w:t>
            </w:r>
          </w:p>
        </w:tc>
        <w:tc>
          <w:tcPr>
            <w:tcW w:w="81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扣分</w:t>
            </w:r>
          </w:p>
        </w:tc>
        <w:tc>
          <w:tcPr>
            <w:tcW w:w="707"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385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企业经营亏损</w:t>
            </w:r>
          </w:p>
        </w:tc>
        <w:tc>
          <w:tcPr>
            <w:tcW w:w="89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6"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万元</w:t>
            </w:r>
          </w:p>
        </w:tc>
        <w:tc>
          <w:tcPr>
            <w:tcW w:w="1181" w:type="dxa"/>
            <w:vAlign w:val="center"/>
          </w:tcPr>
          <w:p>
            <w:pPr>
              <w:widowControl w:val="0"/>
              <w:adjustRightInd w:val="0"/>
              <w:snapToGrid w:val="0"/>
              <w:spacing w:line="0" w:lineRule="atLeast"/>
              <w:jc w:val="center"/>
              <w:rPr>
                <w:rFonts w:hint="eastAsia" w:ascii="Times New Roman" w:hAnsi="Times New Roman" w:eastAsia="方正仿宋_GBK" w:cs="方正仿宋_GBK"/>
                <w:kern w:val="0"/>
                <w:sz w:val="24"/>
              </w:rPr>
            </w:pPr>
          </w:p>
        </w:tc>
      </w:tr>
    </w:tbl>
    <w:p>
      <w:pPr>
        <w:widowControl/>
        <w:spacing w:line="500" w:lineRule="atLeast"/>
        <w:ind w:firstLine="320"/>
        <w:jc w:val="left"/>
        <w:rPr>
          <w:rFonts w:hint="eastAsia" w:ascii="Times New Roman" w:hAnsi="Times New Roman" w:eastAsia="方正黑体_GBK" w:cs="方正黑体_GBK"/>
          <w:kern w:val="0"/>
          <w:szCs w:val="21"/>
        </w:rPr>
      </w:pPr>
      <w:r>
        <w:rPr>
          <w:rFonts w:hint="eastAsia" w:ascii="Times New Roman" w:hAnsi="Times New Roman" w:eastAsia="方正黑体_GBK" w:cs="方正黑体_GBK"/>
          <w:kern w:val="0"/>
          <w:sz w:val="32"/>
          <w:szCs w:val="32"/>
        </w:rPr>
        <w:t>二、行业系数</w:t>
      </w:r>
    </w:p>
    <w:tbl>
      <w:tblPr>
        <w:tblStyle w:val="6"/>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43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3135"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kern w:val="0"/>
                <w:sz w:val="24"/>
              </w:rPr>
            </w:pPr>
            <w:r>
              <w:rPr>
                <w:rFonts w:hint="eastAsia" w:ascii="Times New Roman" w:hAnsi="Times New Roman" w:eastAsia="方正黑体_GBK" w:cs="方正黑体_GBK"/>
                <w:b w:val="0"/>
                <w:bCs/>
                <w:kern w:val="0"/>
                <w:sz w:val="24"/>
              </w:rPr>
              <w:t>行业名称</w:t>
            </w:r>
          </w:p>
        </w:tc>
        <w:tc>
          <w:tcPr>
            <w:tcW w:w="2432"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kern w:val="0"/>
                <w:sz w:val="24"/>
              </w:rPr>
            </w:pPr>
            <w:r>
              <w:rPr>
                <w:rFonts w:hint="eastAsia" w:ascii="Times New Roman" w:hAnsi="Times New Roman" w:eastAsia="方正黑体_GBK" w:cs="方正黑体_GBK"/>
                <w:b w:val="0"/>
                <w:bCs/>
                <w:kern w:val="0"/>
                <w:sz w:val="24"/>
              </w:rPr>
              <w:t>研究与试验发展经费支出占主营业务收入的比重</w:t>
            </w:r>
          </w:p>
        </w:tc>
        <w:tc>
          <w:tcPr>
            <w:tcW w:w="1809"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kern w:val="0"/>
                <w:sz w:val="24"/>
              </w:rPr>
            </w:pPr>
            <w:r>
              <w:rPr>
                <w:rFonts w:hint="eastAsia" w:ascii="Times New Roman" w:hAnsi="Times New Roman" w:eastAsia="方正黑体_GBK" w:cs="方正黑体_GBK"/>
                <w:b w:val="0"/>
                <w:bCs/>
                <w:kern w:val="0"/>
                <w:sz w:val="24"/>
              </w:rPr>
              <w:t>新产品销售收</w:t>
            </w:r>
            <w:r>
              <w:rPr>
                <w:rFonts w:hint="eastAsia" w:ascii="Times New Roman" w:hAnsi="Times New Roman" w:eastAsia="方正黑体_GBK" w:cs="方正黑体_GBK"/>
                <w:b w:val="0"/>
                <w:bCs/>
                <w:kern w:val="0"/>
                <w:sz w:val="24"/>
              </w:rPr>
              <w:br w:type="textWrapping"/>
            </w:r>
            <w:r>
              <w:rPr>
                <w:rFonts w:hint="eastAsia" w:ascii="Times New Roman" w:hAnsi="Times New Roman" w:eastAsia="方正黑体_GBK" w:cs="方正黑体_GBK"/>
                <w:b w:val="0"/>
                <w:bCs/>
                <w:kern w:val="0"/>
                <w:sz w:val="24"/>
              </w:rPr>
              <w:t>入占主营业务</w:t>
            </w:r>
            <w:r>
              <w:rPr>
                <w:rFonts w:hint="eastAsia" w:ascii="Times New Roman" w:hAnsi="Times New Roman" w:eastAsia="方正黑体_GBK" w:cs="方正黑体_GBK"/>
                <w:b w:val="0"/>
                <w:bCs/>
                <w:kern w:val="0"/>
                <w:sz w:val="24"/>
              </w:rPr>
              <w:br w:type="textWrapping"/>
            </w:r>
            <w:r>
              <w:rPr>
                <w:rFonts w:hint="eastAsia" w:ascii="Times New Roman" w:hAnsi="Times New Roman" w:eastAsia="方正黑体_GBK" w:cs="方正黑体_GBK"/>
                <w:b w:val="0"/>
                <w:bCs/>
                <w:kern w:val="0"/>
                <w:sz w:val="24"/>
              </w:rPr>
              <w:t>收入的比重</w:t>
            </w:r>
          </w:p>
        </w:tc>
        <w:tc>
          <w:tcPr>
            <w:tcW w:w="1809" w:type="dxa"/>
            <w:vAlign w:val="center"/>
          </w:tcPr>
          <w:p>
            <w:pPr>
              <w:widowControl w:val="0"/>
              <w:adjustRightInd w:val="0"/>
              <w:snapToGrid w:val="0"/>
              <w:spacing w:line="0" w:lineRule="atLeast"/>
              <w:jc w:val="center"/>
              <w:rPr>
                <w:rFonts w:hint="eastAsia" w:ascii="Times New Roman" w:hAnsi="Times New Roman" w:eastAsia="方正黑体_GBK" w:cs="方正黑体_GBK"/>
                <w:b w:val="0"/>
                <w:bCs/>
                <w:kern w:val="0"/>
                <w:sz w:val="24"/>
              </w:rPr>
            </w:pPr>
            <w:r>
              <w:rPr>
                <w:rFonts w:hint="eastAsia" w:ascii="Times New Roman" w:hAnsi="Times New Roman" w:eastAsia="方正黑体_GBK" w:cs="方正黑体_GBK"/>
                <w:b w:val="0"/>
                <w:bCs/>
                <w:kern w:val="0"/>
                <w:sz w:val="24"/>
              </w:rPr>
              <w:t>新产品销售利</w:t>
            </w:r>
            <w:r>
              <w:rPr>
                <w:rFonts w:hint="eastAsia" w:ascii="Times New Roman" w:hAnsi="Times New Roman" w:eastAsia="方正黑体_GBK" w:cs="方正黑体_GBK"/>
                <w:b w:val="0"/>
                <w:bCs/>
                <w:kern w:val="0"/>
                <w:sz w:val="24"/>
              </w:rPr>
              <w:br w:type="textWrapping"/>
            </w:r>
            <w:r>
              <w:rPr>
                <w:rFonts w:hint="eastAsia" w:ascii="Times New Roman" w:hAnsi="Times New Roman" w:eastAsia="方正黑体_GBK" w:cs="方正黑体_GBK"/>
                <w:b w:val="0"/>
                <w:bCs/>
                <w:kern w:val="0"/>
                <w:sz w:val="24"/>
              </w:rPr>
              <w:t>润占利润总额</w:t>
            </w:r>
            <w:r>
              <w:rPr>
                <w:rFonts w:hint="eastAsia" w:ascii="Times New Roman" w:hAnsi="Times New Roman" w:eastAsia="方正黑体_GBK" w:cs="方正黑体_GBK"/>
                <w:b w:val="0"/>
                <w:bCs/>
                <w:kern w:val="0"/>
                <w:sz w:val="24"/>
              </w:rPr>
              <w:br w:type="textWrapping"/>
            </w:r>
            <w:r>
              <w:rPr>
                <w:rFonts w:hint="eastAsia" w:ascii="Times New Roman" w:hAnsi="Times New Roman" w:eastAsia="方正黑体_GBK" w:cs="方正黑体_GBK"/>
                <w:b w:val="0"/>
                <w:bCs/>
                <w:kern w:val="0"/>
                <w:sz w:val="24"/>
              </w:rPr>
              <w:t>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农业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煤炭开采和洗选业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石油和天然气开采业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有色金属矿采选业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农副食品加工业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食品制造业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酒、饮料和精制茶制造业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烟草制品业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纺织业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纺织服装、服饰业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皮革、毛皮、羽毛及其制品和制鞋业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木材加工和木、竹、藤、棕、草制品业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家具制造业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造纸和纸制品业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印刷和记录媒介复制业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文教、工美、体育和娱乐用品制造业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石油加工、炼焦和核燃料加工业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化学原料和化学制品制造业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医药制造业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化学纤维制造业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橡胶和塑料制品业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非金属矿物制品业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黑色金属冶炼和压延加工业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有色金属冶炼和压延加工业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金属制品业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通用设备制造业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专用设备制造业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汽车制造业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铁路、船舶、航空航天和其他运输设备制造业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电气机械和器材制造业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计算机、通信和其他电子设备制造业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仪器仪表制造业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电力、热力生产和供应业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房屋建筑业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土木工程建筑业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建筑安装业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软件和信息技术服务业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0.6</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专业技术服务业</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3135" w:type="dxa"/>
            <w:vAlign w:val="center"/>
          </w:tcPr>
          <w:p>
            <w:pPr>
              <w:widowControl w:val="0"/>
              <w:adjustRightInd w:val="0"/>
              <w:snapToGrid w:val="0"/>
              <w:spacing w:line="0" w:lineRule="atLeast"/>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w:t>
            </w:r>
          </w:p>
        </w:tc>
        <w:tc>
          <w:tcPr>
            <w:tcW w:w="2432"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1809" w:type="dxa"/>
            <w:vAlign w:val="center"/>
          </w:tcPr>
          <w:p>
            <w:pPr>
              <w:widowControl w:val="0"/>
              <w:adjustRightInd w:val="0"/>
              <w:snapToGrid w:val="0"/>
              <w:spacing w:line="0" w:lineRule="atLeast"/>
              <w:jc w:val="center"/>
              <w:rPr>
                <w:rFonts w:ascii="Times New Roman" w:hAnsi="Times New Roman" w:eastAsia="仿宋" w:cs="宋体"/>
                <w:kern w:val="0"/>
                <w:sz w:val="24"/>
              </w:rPr>
            </w:pPr>
            <w:r>
              <w:rPr>
                <w:rFonts w:ascii="Times New Roman" w:hAnsi="Times New Roman" w:eastAsia="仿宋" w:cs="宋体"/>
                <w:kern w:val="0"/>
                <w:sz w:val="24"/>
              </w:rPr>
              <w:t>1</w:t>
            </w:r>
          </w:p>
        </w:tc>
      </w:tr>
    </w:tbl>
    <w:p>
      <w:pPr>
        <w:widowControl w:val="0"/>
        <w:adjustRightInd w:val="0"/>
        <w:snapToGrid w:val="0"/>
        <w:spacing w:line="578" w:lineRule="atLeast"/>
        <w:ind w:firstLine="614"/>
        <w:jc w:val="lef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 w:val="32"/>
          <w:szCs w:val="32"/>
        </w:rPr>
        <w:t>有关说明：</w:t>
      </w:r>
    </w:p>
    <w:p>
      <w:pPr>
        <w:autoSpaceDE w:val="0"/>
        <w:autoSpaceDN w:val="0"/>
        <w:adjustRightInd w:val="0"/>
        <w:snapToGrid w:val="0"/>
        <w:spacing w:line="578" w:lineRule="atLeast"/>
        <w:ind w:firstLine="640" w:firstLineChars="200"/>
        <w:jc w:val="both"/>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考虑到不同规模企业在研发投入强度上存在显著差异，对</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企业研究与试验发展（R&amp;D）经费支出额占主营业务收入的比重</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这一指标的基本要求按照企业规模划分为4档：主营业务收入30亿元及以上的企业为1.5%，主营业务收入5亿</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30亿元（含5亿元）的企业为2.0%，主营业务收入1亿</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5亿元（含1亿元）的企业为2.5%，主营业务收入1亿元以下的企业为3.0%。</w:t>
      </w:r>
    </w:p>
    <w:p>
      <w:pPr>
        <w:widowControl w:val="0"/>
        <w:adjustRightInd w:val="0"/>
        <w:snapToGrid w:val="0"/>
        <w:spacing w:line="578" w:lineRule="atLeast"/>
        <w:ind w:firstLine="614"/>
        <w:jc w:val="both"/>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2.由于不同行业在研发投入与产出方面存在较大差异，技术中心评估时，对不同行业企业</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企业研究与试验发展（R&amp;D）经费支出额占主营业务收入的比重</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新产品销售收入占主营业务收入的比重</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新产品销售利润占利润总额的比重</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三个指标引入行业系数加以调节。</w:t>
      </w:r>
    </w:p>
    <w:p>
      <w:pPr>
        <w:widowControl w:val="0"/>
        <w:adjustRightInd w:val="0"/>
        <w:snapToGrid w:val="0"/>
        <w:spacing w:line="578" w:lineRule="atLeast"/>
        <w:ind w:firstLine="614"/>
        <w:jc w:val="both"/>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行业系数只作为评估机构评价时使用，企业填报时无需考虑行业系数，按实际数据填报。评价时，根据企业填报的实际数据计算得出上述指标的比重，再乘以行业系数，得出指标的评价值。</w:t>
      </w:r>
    </w:p>
    <w:p>
      <w:pPr>
        <w:widowControl w:val="0"/>
        <w:adjustRightInd w:val="0"/>
        <w:snapToGrid w:val="0"/>
        <w:spacing w:line="578" w:lineRule="atLeast"/>
        <w:ind w:firstLine="614"/>
        <w:jc w:val="both"/>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行业系数表中的</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其他</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行业包括</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交通运输、仓储和邮政业</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文化、体育和娱乐业</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等行业。</w:t>
      </w:r>
    </w:p>
    <w:p>
      <w:pPr>
        <w:widowControl w:val="0"/>
        <w:adjustRightInd w:val="0"/>
        <w:snapToGrid w:val="0"/>
        <w:spacing w:line="578" w:lineRule="atLeast"/>
        <w:ind w:firstLine="614"/>
        <w:jc w:val="left"/>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三、指标体系的完善</w:t>
      </w:r>
    </w:p>
    <w:p>
      <w:pPr>
        <w:widowControl w:val="0"/>
        <w:adjustRightInd w:val="0"/>
        <w:snapToGrid w:val="0"/>
        <w:spacing w:line="578" w:lineRule="atLeast"/>
        <w:ind w:firstLine="611"/>
        <w:jc w:val="both"/>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 w:val="32"/>
          <w:szCs w:val="32"/>
        </w:rPr>
        <w:t>市经济信息委会同市财政局、</w:t>
      </w:r>
      <w:r>
        <w:rPr>
          <w:rFonts w:hint="eastAsia" w:ascii="Times New Roman" w:hAnsi="Times New Roman" w:eastAsia="方正仿宋_GBK" w:cs="方正仿宋_GBK"/>
          <w:kern w:val="0"/>
          <w:sz w:val="32"/>
          <w:szCs w:val="32"/>
          <w:lang w:eastAsia="zh-CN"/>
        </w:rPr>
        <w:t>重庆</w:t>
      </w:r>
      <w:r>
        <w:rPr>
          <w:rFonts w:hint="eastAsia" w:ascii="Times New Roman" w:hAnsi="Times New Roman" w:eastAsia="方正仿宋_GBK" w:cs="方正仿宋_GBK"/>
          <w:kern w:val="0"/>
          <w:sz w:val="32"/>
          <w:szCs w:val="32"/>
        </w:rPr>
        <w:t>市税</w:t>
      </w:r>
      <w:r>
        <w:rPr>
          <w:rFonts w:hint="eastAsia" w:ascii="Times New Roman" w:hAnsi="Times New Roman" w:eastAsia="方正仿宋_GBK" w:cs="方正仿宋_GBK"/>
          <w:kern w:val="0"/>
          <w:sz w:val="32"/>
          <w:szCs w:val="32"/>
          <w:lang w:eastAsia="zh-CN"/>
        </w:rPr>
        <w:t>务</w:t>
      </w:r>
      <w:r>
        <w:rPr>
          <w:rFonts w:hint="eastAsia" w:ascii="Times New Roman" w:hAnsi="Times New Roman" w:eastAsia="方正仿宋_GBK" w:cs="方正仿宋_GBK"/>
          <w:kern w:val="0"/>
          <w:sz w:val="32"/>
          <w:szCs w:val="32"/>
        </w:rPr>
        <w:t>局、重庆海关将根据各行业技术创新的实际状况和政府的宏观政策导向对评价指标、行业系数等适时进行必要的调整。</w:t>
      </w:r>
    </w:p>
    <w:p>
      <w:pPr>
        <w:widowControl w:val="0"/>
        <w:adjustRightInd w:val="0"/>
        <w:snapToGrid w:val="0"/>
        <w:spacing w:line="578" w:lineRule="atLeast"/>
        <w:ind w:firstLine="614"/>
        <w:jc w:val="left"/>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四、限定性指标的最低标准</w:t>
      </w:r>
    </w:p>
    <w:p>
      <w:pPr>
        <w:widowControl w:val="0"/>
        <w:adjustRightInd w:val="0"/>
        <w:snapToGrid w:val="0"/>
        <w:spacing w:line="578" w:lineRule="atLeast"/>
        <w:ind w:firstLine="611"/>
        <w:jc w:val="left"/>
        <w:rPr>
          <w:rFonts w:hint="eastAsia" w:ascii="Times New Roman" w:hAnsi="Times New Roman" w:eastAsia="方正仿宋_GBK" w:cs="方正仿宋_GBK"/>
          <w:kern w:val="0"/>
          <w:sz w:val="32"/>
          <w:szCs w:val="32"/>
        </w:rPr>
      </w:pP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一</w:t>
      </w:r>
      <w:r>
        <w:rPr>
          <w:rFonts w:hint="eastAsia" w:ascii="Times New Roman" w:hAnsi="Times New Roman" w:eastAsia="方正仿宋_GBK"/>
          <w:kern w:val="2"/>
          <w:sz w:val="32"/>
          <w:szCs w:val="32"/>
          <w:lang w:eastAsia="zh-CN"/>
        </w:rPr>
        <w:t>）</w:t>
      </w:r>
      <w:r>
        <w:rPr>
          <w:rFonts w:hint="eastAsia" w:ascii="Times New Roman" w:hAnsi="Times New Roman" w:eastAsia="方正仿宋_GBK" w:cs="方正仿宋_GBK"/>
          <w:kern w:val="0"/>
          <w:sz w:val="32"/>
          <w:szCs w:val="32"/>
        </w:rPr>
        <w:t>企业研究与试验发展（R&amp;D）经费支出额不低于</w:t>
      </w:r>
      <w:r>
        <w:rPr>
          <w:rFonts w:hint="eastAsia" w:ascii="Times New Roman" w:hAnsi="Times New Roman" w:eastAsia="方正仿宋_GBK" w:cs="方正仿宋_GBK"/>
          <w:kern w:val="0"/>
          <w:sz w:val="32"/>
          <w:szCs w:val="32"/>
          <w:lang w:val="en-US" w:eastAsia="zh-CN"/>
        </w:rPr>
        <w:t>300</w:t>
      </w:r>
      <w:r>
        <w:rPr>
          <w:rFonts w:hint="eastAsia" w:ascii="Times New Roman" w:hAnsi="Times New Roman" w:eastAsia="方正仿宋_GBK" w:cs="方正仿宋_GBK"/>
          <w:kern w:val="0"/>
          <w:sz w:val="32"/>
          <w:szCs w:val="32"/>
        </w:rPr>
        <w:t>万元。</w:t>
      </w:r>
    </w:p>
    <w:p>
      <w:pPr>
        <w:widowControl w:val="0"/>
        <w:adjustRightInd w:val="0"/>
        <w:snapToGrid w:val="0"/>
        <w:spacing w:line="578" w:lineRule="atLeast"/>
        <w:ind w:firstLine="611"/>
        <w:jc w:val="left"/>
        <w:rPr>
          <w:rFonts w:hint="eastAsia" w:ascii="Times New Roman" w:hAnsi="Times New Roman" w:eastAsia="方正仿宋_GBK" w:cs="方正仿宋_GBK"/>
          <w:kern w:val="0"/>
          <w:sz w:val="32"/>
          <w:szCs w:val="32"/>
        </w:rPr>
      </w:pP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二</w:t>
      </w:r>
      <w:r>
        <w:rPr>
          <w:rFonts w:hint="eastAsia" w:ascii="Times New Roman" w:hAnsi="Times New Roman" w:eastAsia="方正仿宋_GBK"/>
          <w:kern w:val="2"/>
          <w:sz w:val="32"/>
          <w:szCs w:val="32"/>
          <w:lang w:eastAsia="zh-CN"/>
        </w:rPr>
        <w:t>）</w:t>
      </w:r>
      <w:r>
        <w:rPr>
          <w:rFonts w:hint="eastAsia" w:ascii="Times New Roman" w:hAnsi="Times New Roman" w:eastAsia="方正仿宋_GBK" w:cs="方正仿宋_GBK"/>
          <w:kern w:val="0"/>
          <w:sz w:val="32"/>
          <w:szCs w:val="32"/>
        </w:rPr>
        <w:t>企业专职研究与试验发展人员数不低于30人（建筑、物流、现代服务业、现代农业等行业企业可放宽到15人）。</w:t>
      </w:r>
    </w:p>
    <w:p>
      <w:pPr>
        <w:widowControl w:val="0"/>
        <w:adjustRightInd w:val="0"/>
        <w:snapToGrid w:val="0"/>
        <w:spacing w:line="578" w:lineRule="atLeast"/>
        <w:ind w:firstLine="611"/>
        <w:jc w:val="left"/>
        <w:rPr>
          <w:rFonts w:hint="eastAsia" w:ascii="Times New Roman" w:hAnsi="Times New Roman" w:eastAsia="方正仿宋_GBK" w:cs="方正仿宋_GBK"/>
          <w:kern w:val="0"/>
          <w:sz w:val="32"/>
          <w:szCs w:val="32"/>
        </w:rPr>
      </w:pP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三</w:t>
      </w:r>
      <w:r>
        <w:rPr>
          <w:rFonts w:hint="eastAsia" w:ascii="Times New Roman" w:hAnsi="Times New Roman" w:eastAsia="方正仿宋_GBK"/>
          <w:kern w:val="2"/>
          <w:sz w:val="32"/>
          <w:szCs w:val="32"/>
          <w:lang w:eastAsia="zh-CN"/>
        </w:rPr>
        <w:t>）</w:t>
      </w:r>
      <w:r>
        <w:rPr>
          <w:rFonts w:hint="eastAsia" w:ascii="Times New Roman" w:hAnsi="Times New Roman" w:eastAsia="方正仿宋_GBK" w:cs="方正仿宋_GBK"/>
          <w:kern w:val="0"/>
          <w:sz w:val="32"/>
          <w:szCs w:val="32"/>
        </w:rPr>
        <w:t>企业技术开发仪器设备原值不低于300万元（软件、物流、现代服务业、现代农业等行业企业可放宽到150万元）。</w:t>
      </w:r>
    </w:p>
    <w:p>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四</w:t>
      </w:r>
      <w:r>
        <w:rPr>
          <w:rFonts w:hint="eastAsia" w:ascii="Times New Roman" w:hAnsi="Times New Roman" w:eastAsia="方正仿宋_GBK"/>
          <w:kern w:val="2"/>
          <w:sz w:val="32"/>
          <w:szCs w:val="32"/>
          <w:lang w:eastAsia="zh-CN"/>
        </w:rPr>
        <w:t>）</w:t>
      </w:r>
      <w:r>
        <w:rPr>
          <w:rFonts w:hint="eastAsia" w:ascii="Times New Roman" w:hAnsi="Times New Roman" w:eastAsia="方正仿宋_GBK" w:cs="方正仿宋_GBK"/>
          <w:kern w:val="0"/>
          <w:sz w:val="32"/>
          <w:szCs w:val="32"/>
        </w:rPr>
        <w:t>建筑企业具有一级及以上资质，注册资本金5000万元以上、净资产6000万元以上，</w:t>
      </w:r>
      <w:r>
        <w:rPr>
          <w:rFonts w:hint="eastAsia" w:ascii="Times New Roman" w:hAnsi="Times New Roman" w:eastAsia="方正仿宋_GBK" w:cs="方正仿宋_GBK"/>
          <w:kern w:val="0"/>
          <w:sz w:val="32"/>
          <w:szCs w:val="32"/>
          <w:lang w:eastAsia="zh-CN"/>
        </w:rPr>
        <w:t>增值</w:t>
      </w:r>
      <w:r>
        <w:rPr>
          <w:rFonts w:hint="eastAsia" w:ascii="Times New Roman" w:hAnsi="Times New Roman" w:eastAsia="方正仿宋_GBK" w:cs="方正仿宋_GBK"/>
          <w:kern w:val="0"/>
          <w:sz w:val="32"/>
          <w:szCs w:val="32"/>
        </w:rPr>
        <w:t>税在3000万元以上；上年度没有由于技术原因发生重大质量事故、较大生产安全事故或二起以上（含二起）一般生产安全事故</w:t>
      </w:r>
      <w:r>
        <w:rPr>
          <w:rFonts w:hint="eastAsia" w:ascii="Times New Roman" w:hAnsi="Times New Roman" w:eastAsia="方正仿宋_GBK" w:cs="方正仿宋_GBK"/>
          <w:kern w:val="0"/>
          <w:sz w:val="32"/>
          <w:szCs w:val="32"/>
          <w:lang w:eastAsia="zh-CN"/>
        </w:rPr>
        <w:t>。</w:t>
      </w:r>
    </w:p>
    <w:sectPr>
      <w:headerReference r:id="rId3" w:type="default"/>
      <w:footerReference r:id="rId4" w:type="default"/>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Mono CJK JP Regular">
    <w:altName w:val="宋体"/>
    <w:panose1 w:val="020B0500000000000000"/>
    <w:charset w:val="86"/>
    <w:family w:val="swiss"/>
    <w:pitch w:val="default"/>
    <w:sig w:usb0="00000000" w:usb1="0000000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3"/>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path/>
              <v:fill on="f" focussize="0,0"/>
              <v:stroke on="f"/>
              <v:imagedata o:title=""/>
              <o:lock v:ext="edit" aspectratio="f"/>
              <v:textbox inset="0mm,0mm,0mm,0mm" style="mso-fit-shape-to-text:t;">
                <w:txbxContent>
                  <w:p>
                    <w:pPr>
                      <w:pStyle w:val="3"/>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v:textbox>
            </v:shape>
          </w:pict>
        </mc:Fallback>
      </mc:AlternateConten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16293"/>
    <w:rsid w:val="22D1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basedOn w:val="1"/>
    <w:next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2025-04-22T02:49:00Z</dcterms:created>
  <dc:creator>姜私雨</dc:creator>
  <cp:lastModifiedBy>姜私雨</cp:lastModifiedBy>
  <dcterms:modified xsi:type="dcterms:W3CDTF">2025-04-22T02:49:56Z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