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widowControl w:val="0"/>
        <w:adjustRightInd w:val="0"/>
        <w:snapToGrid w:val="0"/>
        <w:spacing w:before="0" w:beforeLines="0" w:beforeAutospacing="0" w:after="0" w:afterLines="0" w:afterAutospacing="0" w:line="580" w:lineRule="exact"/>
        <w:jc w:val="both"/>
        <w:rPr>
          <w:rStyle w:val="7"/>
          <w:rFonts w:hint="eastAsia" w:ascii="Times New Roman" w:hAnsi="Times New Roman" w:eastAsia="方正黑体_GBK"/>
          <w:b w:val="0"/>
          <w:kern w:val="2"/>
        </w:rPr>
      </w:pPr>
      <w:r>
        <w:rPr>
          <w:rStyle w:val="7"/>
          <w:rFonts w:hint="eastAsia" w:ascii="Times New Roman" w:hAnsi="Times New Roman" w:eastAsia="方正黑体_GBK"/>
          <w:b w:val="0"/>
          <w:kern w:val="2"/>
          <w:lang w:eastAsia="zh-CN"/>
        </w:rPr>
        <w:t>附件</w:t>
      </w:r>
      <w:r>
        <w:rPr>
          <w:rStyle w:val="7"/>
          <w:rFonts w:hint="eastAsia" w:ascii="Times New Roman" w:hAnsi="Times New Roman" w:eastAsia="方正黑体_GBK"/>
          <w:b w:val="0"/>
          <w:kern w:val="2"/>
        </w:rPr>
        <w:t>1</w:t>
      </w:r>
    </w:p>
    <w:p>
      <w:pPr>
        <w:pStyle w:val="9"/>
        <w:widowControl w:val="0"/>
        <w:adjustRightInd w:val="0"/>
        <w:snapToGrid w:val="0"/>
        <w:spacing w:before="0" w:beforeLines="0" w:beforeAutospacing="0" w:after="0" w:afterLines="0" w:afterAutospacing="0" w:line="580" w:lineRule="exact"/>
        <w:jc w:val="both"/>
        <w:rPr>
          <w:rStyle w:val="7"/>
          <w:rFonts w:hint="eastAsia" w:ascii="Times New Roman" w:hAnsi="Times New Roman" w:eastAsia="方正仿宋_GBK"/>
          <w:b w:val="0"/>
          <w:kern w:val="2"/>
        </w:rPr>
      </w:pPr>
    </w:p>
    <w:p>
      <w:pPr>
        <w:pStyle w:val="9"/>
        <w:widowControl w:val="0"/>
        <w:adjustRightInd w:val="0"/>
        <w:snapToGrid w:val="0"/>
        <w:spacing w:before="0" w:beforeLines="0" w:beforeAutospacing="0" w:after="0" w:afterLines="0" w:afterAutospacing="0" w:line="580" w:lineRule="exact"/>
        <w:jc w:val="center"/>
        <w:rPr>
          <w:rFonts w:hint="eastAsia" w:ascii="Times New Roman" w:hAnsi="Times New Roman" w:eastAsia="方正小标宋_GBK"/>
          <w:sz w:val="44"/>
          <w:szCs w:val="44"/>
        </w:rPr>
      </w:pPr>
      <w:r>
        <w:rPr>
          <w:rStyle w:val="7"/>
          <w:rFonts w:hint="eastAsia" w:ascii="Times New Roman" w:hAnsi="Times New Roman" w:eastAsia="方正小标宋_GBK"/>
          <w:b w:val="0"/>
          <w:kern w:val="2"/>
          <w:sz w:val="44"/>
          <w:szCs w:val="44"/>
        </w:rPr>
        <w:t>《重庆市企业技术中心申请报告》编写提纲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jc w:val="both"/>
        <w:rPr>
          <w:rStyle w:val="7"/>
          <w:rFonts w:hint="eastAsia" w:ascii="Times New Roman" w:hAnsi="Times New Roman" w:eastAsia="方正仿宋_GBK"/>
          <w:b w:val="0"/>
          <w:kern w:val="2"/>
          <w:sz w:val="32"/>
          <w:szCs w:val="32"/>
        </w:rPr>
      </w:pP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jc w:val="both"/>
        <w:rPr>
          <w:rFonts w:hint="eastAsia" w:ascii="Times New Roman" w:hAnsi="Times New Roman" w:eastAsia="方正黑体_GBK"/>
          <w:kern w:val="2"/>
          <w:sz w:val="32"/>
          <w:szCs w:val="32"/>
        </w:rPr>
      </w:pPr>
      <w:r>
        <w:rPr>
          <w:rStyle w:val="7"/>
          <w:rFonts w:hint="eastAsia" w:ascii="Times New Roman" w:hAnsi="Times New Roman" w:eastAsia="方正仿宋_GBK"/>
          <w:b w:val="0"/>
          <w:kern w:val="2"/>
          <w:sz w:val="32"/>
          <w:szCs w:val="32"/>
        </w:rPr>
        <w:t>　　</w:t>
      </w:r>
      <w:r>
        <w:rPr>
          <w:rStyle w:val="7"/>
          <w:rFonts w:hint="eastAsia" w:ascii="Times New Roman" w:hAnsi="Times New Roman" w:eastAsia="方正黑体_GBK"/>
          <w:b w:val="0"/>
          <w:kern w:val="2"/>
          <w:sz w:val="32"/>
          <w:szCs w:val="32"/>
        </w:rPr>
        <w:t>一、企业（集团）的基本情况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jc w:val="both"/>
        <w:rPr>
          <w:rFonts w:hint="eastAsia"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　　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企业经营管理等基本情况，包括所有制性质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与隶属关系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、主要下属企业、职工人数、企业总资产、资产负债率、银行信用等级、销售收入、利润、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税收、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主导产品及市场占有率、技术来源等。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企业在行业中的地位和作用。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jc w:val="both"/>
        <w:rPr>
          <w:rFonts w:hint="eastAsia"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　　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企业在本产业领域技术创新中的作用和竞争能力。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jc w:val="both"/>
        <w:rPr>
          <w:rFonts w:hint="eastAsia" w:ascii="Times New Roman" w:hAnsi="Times New Roman" w:eastAsia="方正黑体_GBK"/>
          <w:kern w:val="2"/>
          <w:sz w:val="32"/>
          <w:szCs w:val="32"/>
        </w:rPr>
      </w:pPr>
      <w:r>
        <w:rPr>
          <w:rStyle w:val="7"/>
          <w:rFonts w:hint="eastAsia" w:ascii="Times New Roman" w:hAnsi="Times New Roman" w:eastAsia="方正仿宋_GBK"/>
          <w:b w:val="0"/>
          <w:kern w:val="2"/>
          <w:sz w:val="32"/>
          <w:szCs w:val="32"/>
        </w:rPr>
        <w:t>　　</w:t>
      </w:r>
      <w:r>
        <w:rPr>
          <w:rStyle w:val="7"/>
          <w:rFonts w:hint="eastAsia" w:ascii="Times New Roman" w:hAnsi="Times New Roman" w:eastAsia="方正黑体_GBK"/>
          <w:b w:val="0"/>
          <w:kern w:val="2"/>
          <w:sz w:val="32"/>
          <w:szCs w:val="32"/>
        </w:rPr>
        <w:t>二、企业技术中心的基本情况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jc w:val="both"/>
        <w:rPr>
          <w:rFonts w:hint="eastAsia"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　　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企业技术中心的组织机构和运行机制，包括：企业技术中心的建设和发展历程、组织架构、组织体系建设、规章制度建立、研发项目组织管理机制、研发经费管理机制、人才激励机制、内外部合作机制等。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jc w:val="both"/>
        <w:rPr>
          <w:rFonts w:hint="eastAsia"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　　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企业技术中心的基础条件和创新资源整合情况</w:t>
      </w:r>
      <w:r>
        <w:rPr>
          <w:rFonts w:hint="eastAsia" w:ascii="Times New Roman" w:hAnsi="Times New Roman" w:eastAsia="方正仿宋_GBK"/>
          <w:color w:val="000000"/>
          <w:kern w:val="2"/>
          <w:sz w:val="32"/>
          <w:szCs w:val="32"/>
        </w:rPr>
        <w:t>，包括：研究开发和试验基础条件建设情况，固定资产原值、净值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；企业技术中心技术带头人及创新团队建设情况，人才培养情况；研发投入情况；信息化建设情况。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jc w:val="both"/>
        <w:rPr>
          <w:rFonts w:hint="eastAsia" w:ascii="Times New Roman" w:hAnsi="Times New Roman" w:eastAsia="方正仿宋_GBK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　　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企业技术中心研究开发工作开展情况，包括：原创性创新、自主开发、引进技术消化吸收、重大产品创新、工艺创新、商业模式创新、产学研合作、企业间合作、国际化研发活动等。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</w:rPr>
        <w:t>　　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/>
          <w:kern w:val="2"/>
          <w:sz w:val="32"/>
          <w:szCs w:val="32"/>
        </w:rPr>
        <w:t>企业技</w:t>
      </w:r>
      <w:bookmarkStart w:id="0" w:name="_GoBack"/>
      <w:bookmarkEnd w:id="0"/>
      <w:r>
        <w:rPr>
          <w:rFonts w:hint="eastAsia" w:ascii="Times New Roman" w:hAnsi="Times New Roman" w:eastAsia="方正仿宋_GBK"/>
          <w:kern w:val="2"/>
          <w:sz w:val="32"/>
          <w:szCs w:val="32"/>
        </w:rPr>
        <w:t xml:space="preserve">术中心取得的主要创新成果（3年之内）及其经济社会效益。   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ind w:firstLine="640" w:firstLineChars="200"/>
        <w:jc w:val="both"/>
        <w:rPr>
          <w:rFonts w:hint="eastAsia" w:ascii="Times New Roman" w:hAnsi="Times New Roman" w:eastAsia="方正黑体_GBK" w:cs="方正黑体_GBK"/>
          <w:b w:val="0"/>
          <w:bCs w:val="0"/>
          <w:kern w:val="2"/>
          <w:sz w:val="32"/>
          <w:szCs w:val="32"/>
        </w:rPr>
      </w:pPr>
      <w:r>
        <w:rPr>
          <w:rFonts w:hint="eastAsia" w:ascii="Times New Roman" w:hAnsi="Times New Roman" w:eastAsia="方正黑体_GBK" w:cs="方正黑体_GBK"/>
          <w:b w:val="0"/>
          <w:bCs w:val="0"/>
          <w:kern w:val="2"/>
          <w:sz w:val="32"/>
          <w:szCs w:val="32"/>
        </w:rPr>
        <w:t>三、企业技术创新战略和规划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企业制定未来3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eastAsia="zh-CN"/>
        </w:rPr>
        <w:t>—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5年技术创新发展战略情况，及该战略对企业总体发展目标的支撑情况。</w:t>
      </w:r>
    </w:p>
    <w:p>
      <w:pPr>
        <w:pStyle w:val="5"/>
        <w:widowControl w:val="0"/>
        <w:adjustRightInd w:val="0"/>
        <w:snapToGrid w:val="0"/>
        <w:spacing w:before="0" w:beforeLines="0" w:beforeAutospacing="0" w:after="0" w:afterLines="0" w:afterAutospacing="0" w:line="578" w:lineRule="atLeast"/>
        <w:ind w:firstLine="640" w:firstLineChars="200"/>
        <w:jc w:val="both"/>
        <w:rPr>
          <w:rFonts w:hint="eastAsia" w:ascii="Times New Roman" w:hAnsi="Times New Roman" w:eastAsia="方正仿宋_GBK" w:cs="Times New Roman"/>
          <w:kern w:val="2"/>
          <w:sz w:val="32"/>
          <w:szCs w:val="32"/>
        </w:rPr>
      </w:pP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方正仿宋_GBK"/>
          <w:kern w:val="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</w:rPr>
        <w:t>企业近期在技术创新方面拟实施的重点举措，包括创新条件建设、创新人才集聚、重点研发项目部署等。</w:t>
      </w:r>
    </w:p>
    <w:p/>
    <w:sectPr>
      <w:footerReference r:id="rId3" w:type="default"/>
      <w:pgSz w:w="11906" w:h="16838"/>
      <w:pgMar w:top="2098" w:right="1474" w:bottom="1984" w:left="1587" w:header="851" w:footer="1587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oto Sans Mono CJK JP Regular">
    <w:altName w:val="宋体"/>
    <w:panose1 w:val="020B0500000000000000"/>
    <w:charset w:val="86"/>
    <w:family w:val="swiss"/>
    <w:pitch w:val="default"/>
    <w:sig w:usb0="00000000" w:usb1="0000000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95885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885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Style w:val="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"/>
                              <w:rFonts w:hint="eastAsia" w:ascii="宋体" w:hAnsi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</w:p>
                      </w:txbxContent>
                    </wps:txbx>
                    <wps:bodyPr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75.5pt;mso-position-horizontal:outside;mso-position-horizontal-relative:margin;z-index:251660288;mso-width-relative:page;mso-height-relative:page;" filled="f" stroked="f" coordsize="21600,21600" o:gfxdata="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VYPs2tIAAAAFAQAADwAA&#10;AAAAAAABACAAAAAiAAAAZHJzL2Rvd25yZXYueG1sUEsBAhQAFAAAAAgAh07iQGItDKSqAQAAPgMA&#10;AA4AAAAAAAAAAQAgAAAAIQEAAGRycy9lMm9Eb2MueG1sUEsFBgAAAAAGAAYAWQEAAD0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Style w:val="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"/>
                        <w:rFonts w:hint="eastAsia" w:ascii="宋体" w:hAnsi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D6D14"/>
    <w:rsid w:val="796D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basedOn w:val="6"/>
    <w:qFormat/>
    <w:uiPriority w:val="22"/>
    <w:rPr>
      <w:rFonts w:cs="Times New Roman"/>
      <w:b/>
      <w:bCs/>
    </w:rPr>
  </w:style>
  <w:style w:type="paragraph" w:customStyle="1" w:styleId="9">
    <w:name w:val="1"/>
    <w:basedOn w:val="1"/>
    <w:semiHidden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32"/>
      <w:szCs w:val="32"/>
    </w:rPr>
  </w:style>
  <w:style w:type="paragraph" w:customStyle="1" w:styleId="10">
    <w:name w:val="索引 51"/>
    <w:next w:val="1"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2025-04-22T02:44:00Z</dcterms:created>
  <dc:creator>姜私雨</dc:creator>
  <cp:lastModifiedBy>姜私雨</cp:lastModifiedBy>
  <dcterms:modified xsi:type="dcterms:W3CDTF">2025-04-22T02:47:16Z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