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600" w:lineRule="atLeas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渝经信中小〔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-2147483648" w:line="578" w:lineRule="atLeast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adjustRightInd w:val="0"/>
        <w:snapToGrid w:val="0"/>
        <w:spacing w:beforeLines="0" w:line="578" w:lineRule="atLeast"/>
        <w:jc w:val="both"/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重庆市经济和信息化委员会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关于支持中小企业公共服务窗口平台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建设运营的通知</w:t>
      </w:r>
    </w:p>
    <w:p>
      <w:pPr>
        <w:tabs>
          <w:tab w:val="left" w:pos="232"/>
        </w:tabs>
        <w:adjustRightInd w:val="0"/>
        <w:snapToGrid w:val="0"/>
        <w:spacing w:line="578" w:lineRule="atLeas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ab/>
      </w:r>
    </w:p>
    <w:p>
      <w:pPr>
        <w:pStyle w:val="2"/>
        <w:keepNext w:val="0"/>
        <w:keepLines w:val="0"/>
        <w:adjustRightInd w:val="0"/>
        <w:snapToGrid w:val="0"/>
        <w:spacing w:line="578" w:lineRule="atLeast"/>
        <w:ind w:firstLine="0" w:firstLineChars="0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各区县（自治县）经济信息委，两江新区、西部科学城重庆高新区、万盛经开区经信部门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，各中小企业公共服务窗口平台：</w:t>
      </w:r>
    </w:p>
    <w:p>
      <w:pPr>
        <w:tabs>
          <w:tab w:val="left" w:pos="232"/>
        </w:tabs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</w:t>
      </w:r>
      <w:r>
        <w:rPr>
          <w:rFonts w:ascii="Times New Roman" w:hAnsi="Times New Roman" w:eastAsia="方正仿宋_GBK"/>
          <w:sz w:val="32"/>
          <w:szCs w:val="32"/>
        </w:rPr>
        <w:t>《工业和信息化部关于健全中小企业公共服务体系的指导意见》</w:t>
      </w:r>
      <w:r>
        <w:rPr>
          <w:rFonts w:hint="eastAsia" w:ascii="Times New Roman" w:hAnsi="Times New Roman" w:eastAsia="方正仿宋_GBK"/>
          <w:sz w:val="32"/>
          <w:szCs w:val="32"/>
        </w:rPr>
        <w:t>《重庆市支持制造业稳增长促转型提能级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若干</w:t>
      </w:r>
      <w:r>
        <w:rPr>
          <w:rFonts w:hint="eastAsia" w:ascii="Times New Roman" w:hAnsi="Times New Roman" w:eastAsia="方正仿宋_GBK"/>
          <w:sz w:val="32"/>
          <w:szCs w:val="32"/>
        </w:rPr>
        <w:t>政策措施》</w:t>
      </w:r>
      <w:r>
        <w:rPr>
          <w:rFonts w:ascii="Times New Roman" w:hAnsi="Times New Roman" w:eastAsia="方正仿宋_GBK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sz w:val="32"/>
          <w:szCs w:val="32"/>
        </w:rPr>
        <w:t>政策</w:t>
      </w:r>
      <w:r>
        <w:rPr>
          <w:rFonts w:ascii="Times New Roman" w:hAnsi="Times New Roman" w:eastAsia="方正仿宋_GBK"/>
          <w:sz w:val="32"/>
          <w:szCs w:val="32"/>
        </w:rPr>
        <w:t>要求，</w:t>
      </w: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ascii="Times New Roman" w:hAnsi="Times New Roman" w:eastAsia="方正仿宋_GBK"/>
          <w:sz w:val="32"/>
          <w:szCs w:val="32"/>
        </w:rPr>
        <w:t>支持区县中小企业公共服务窗口平台（以下简称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区县窗口平台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建设运营，强化能力建设、提升</w:t>
      </w:r>
      <w:r>
        <w:rPr>
          <w:rFonts w:ascii="Times New Roman" w:hAnsi="Times New Roman" w:eastAsia="方正仿宋_GBK"/>
          <w:sz w:val="32"/>
          <w:szCs w:val="32"/>
        </w:rPr>
        <w:t>服务质效，拟组织开展区县窗口平台工作计划报送</w:t>
      </w:r>
      <w:r>
        <w:rPr>
          <w:rFonts w:hint="eastAsia" w:ascii="Times New Roman" w:hAnsi="Times New Roman" w:eastAsia="方正仿宋_GBK"/>
          <w:sz w:val="32"/>
          <w:szCs w:val="32"/>
        </w:rPr>
        <w:t>及评价</w:t>
      </w:r>
      <w:r>
        <w:rPr>
          <w:rFonts w:ascii="Times New Roman" w:hAnsi="Times New Roman" w:eastAsia="方正仿宋_GBK"/>
          <w:sz w:val="32"/>
          <w:szCs w:val="32"/>
        </w:rPr>
        <w:t>工作，</w:t>
      </w:r>
      <w:r>
        <w:rPr>
          <w:rFonts w:hint="eastAsia" w:ascii="Times New Roman" w:hAnsi="Times New Roman" w:eastAsia="方正仿宋_GBK"/>
          <w:sz w:val="32"/>
          <w:szCs w:val="32"/>
        </w:rPr>
        <w:t>更好助力全市</w:t>
      </w:r>
      <w:r>
        <w:rPr>
          <w:rFonts w:ascii="Times New Roman" w:hAnsi="Times New Roman" w:eastAsia="方正仿宋_GBK"/>
          <w:sz w:val="32"/>
          <w:szCs w:val="32"/>
        </w:rPr>
        <w:t>中小企业高质量发展。现将有关事项通知如下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tabs>
          <w:tab w:val="left" w:pos="232"/>
        </w:tabs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一、报送对象    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bookmarkStart w:id="0" w:name="OLE_LINK3"/>
      <w:r>
        <w:rPr>
          <w:rFonts w:ascii="Times New Roman" w:hAnsi="Times New Roman" w:eastAsia="方正仿宋_GBK"/>
          <w:sz w:val="32"/>
          <w:szCs w:val="32"/>
        </w:rPr>
        <w:t>经确定的区县中小企业公共服务窗口平台。</w:t>
      </w:r>
    </w:p>
    <w:bookmarkEnd w:id="0"/>
    <w:p>
      <w:pPr>
        <w:tabs>
          <w:tab w:val="left" w:pos="232"/>
        </w:tabs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二、实施期限    </w:t>
      </w:r>
    </w:p>
    <w:p>
      <w:pPr>
        <w:tabs>
          <w:tab w:val="left" w:pos="232"/>
        </w:tabs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月1日至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30</w:t>
      </w:r>
      <w:r>
        <w:rPr>
          <w:rFonts w:ascii="Times New Roman" w:hAnsi="Times New Roman" w:eastAsia="方正仿宋_GBK"/>
          <w:sz w:val="32"/>
          <w:szCs w:val="32"/>
        </w:rPr>
        <w:t>日。</w:t>
      </w:r>
    </w:p>
    <w:p>
      <w:pPr>
        <w:tabs>
          <w:tab w:val="left" w:pos="232"/>
        </w:tabs>
        <w:adjustRightInd w:val="0"/>
        <w:snapToGrid w:val="0"/>
        <w:spacing w:line="578" w:lineRule="atLeas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三、实施内容   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“</w:t>
      </w:r>
      <w:r>
        <w:rPr>
          <w:rFonts w:ascii="Times New Roman" w:hAnsi="Times New Roman" w:eastAsia="方正楷体_GBK"/>
          <w:sz w:val="32"/>
          <w:szCs w:val="32"/>
        </w:rPr>
        <w:t>企业码上服务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”</w:t>
      </w:r>
      <w:r>
        <w:rPr>
          <w:rFonts w:ascii="Times New Roman" w:hAnsi="Times New Roman" w:eastAsia="方正楷体_GBK"/>
          <w:sz w:val="32"/>
          <w:szCs w:val="32"/>
        </w:rPr>
        <w:t>综合场景应用推广。</w:t>
      </w:r>
      <w:r>
        <w:rPr>
          <w:rFonts w:ascii="Times New Roman" w:hAnsi="Times New Roman" w:eastAsia="方正仿宋_GBK"/>
          <w:sz w:val="32"/>
          <w:szCs w:val="32"/>
        </w:rPr>
        <w:t>广泛宣传、推广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渝企码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，推动企业使用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码上直办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”“</w:t>
      </w:r>
      <w:r>
        <w:rPr>
          <w:rFonts w:ascii="Times New Roman" w:hAnsi="Times New Roman" w:eastAsia="方正仿宋_GBK"/>
          <w:sz w:val="32"/>
          <w:szCs w:val="32"/>
        </w:rPr>
        <w:t>码上施策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”“</w:t>
      </w:r>
      <w:r>
        <w:rPr>
          <w:rFonts w:ascii="Times New Roman" w:hAnsi="Times New Roman" w:eastAsia="方正仿宋_GBK"/>
          <w:sz w:val="32"/>
          <w:szCs w:val="32"/>
        </w:rPr>
        <w:t>码上直聘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”“</w:t>
      </w:r>
      <w:r>
        <w:rPr>
          <w:rFonts w:ascii="Times New Roman" w:hAnsi="Times New Roman" w:eastAsia="方正仿宋_GBK"/>
          <w:sz w:val="32"/>
          <w:szCs w:val="32"/>
        </w:rPr>
        <w:t>码上融资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”“</w:t>
      </w:r>
      <w:r>
        <w:rPr>
          <w:rFonts w:ascii="Times New Roman" w:hAnsi="Times New Roman" w:eastAsia="方正仿宋_GBK"/>
          <w:sz w:val="32"/>
          <w:szCs w:val="32"/>
        </w:rPr>
        <w:t>码上科服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等五类场景，助力打造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企业码上服务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综合场景应用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一站式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服务矩阵。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（二）梯度培育服务。</w:t>
      </w:r>
      <w:r>
        <w:rPr>
          <w:rFonts w:ascii="Times New Roman" w:hAnsi="Times New Roman" w:eastAsia="方正仿宋_GBK"/>
          <w:sz w:val="32"/>
          <w:szCs w:val="32"/>
        </w:rPr>
        <w:t>围绕优质中小企业生成、发展、壮大等环节，开展优质中小企业政策宣贯活动，为创新型中小企业、专精特新中小企业、专精特新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小巨人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企业</w:t>
      </w:r>
      <w:r>
        <w:rPr>
          <w:rFonts w:hint="eastAsia" w:ascii="Times New Roman" w:hAnsi="Times New Roman" w:eastAsia="方正仿宋_GBK"/>
          <w:sz w:val="32"/>
          <w:szCs w:val="32"/>
        </w:rPr>
        <w:t>培育</w:t>
      </w:r>
      <w:r>
        <w:rPr>
          <w:rFonts w:ascii="Times New Roman" w:hAnsi="Times New Roman" w:eastAsia="方正仿宋_GBK"/>
          <w:sz w:val="32"/>
          <w:szCs w:val="32"/>
        </w:rPr>
        <w:t>提供</w:t>
      </w:r>
      <w:r>
        <w:rPr>
          <w:rFonts w:hint="eastAsia" w:ascii="Times New Roman" w:hAnsi="Times New Roman" w:eastAsia="方正仿宋_GBK"/>
          <w:sz w:val="32"/>
          <w:szCs w:val="32"/>
        </w:rPr>
        <w:t>实地</w:t>
      </w:r>
      <w:r>
        <w:rPr>
          <w:rFonts w:ascii="Times New Roman" w:hAnsi="Times New Roman" w:eastAsia="方正仿宋_GBK"/>
          <w:sz w:val="32"/>
          <w:szCs w:val="32"/>
        </w:rPr>
        <w:t>指导和</w:t>
      </w:r>
      <w:r>
        <w:rPr>
          <w:rFonts w:hint="eastAsia" w:ascii="Times New Roman" w:hAnsi="Times New Roman" w:eastAsia="方正仿宋_GBK"/>
          <w:sz w:val="32"/>
          <w:szCs w:val="32"/>
        </w:rPr>
        <w:t>个性化</w:t>
      </w:r>
      <w:r>
        <w:rPr>
          <w:rFonts w:ascii="Times New Roman" w:hAnsi="Times New Roman" w:eastAsia="方正仿宋_GBK"/>
          <w:sz w:val="32"/>
          <w:szCs w:val="32"/>
        </w:rPr>
        <w:t>培育服务。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（三）融资促进服务。</w:t>
      </w:r>
      <w:r>
        <w:rPr>
          <w:rFonts w:ascii="Times New Roman" w:hAnsi="Times New Roman" w:eastAsia="方正仿宋_GBK"/>
          <w:sz w:val="32"/>
          <w:szCs w:val="32"/>
        </w:rPr>
        <w:t>聚合金融服务资源，推进产融合作，常态化、多形式组织开展中小企业融资政策宣传、政银企对接、投融资路演等活动，推动中小企业申请商业价值信用贷款、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转贷应急周转资金</w:t>
      </w:r>
      <w:r>
        <w:rPr>
          <w:rFonts w:ascii="Times New Roman" w:hAnsi="Times New Roman" w:eastAsia="方正仿宋_GBK"/>
          <w:sz w:val="32"/>
          <w:szCs w:val="32"/>
        </w:rPr>
        <w:t>、技改专项贷、产业链增信融资，入库拟上市培育库等。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（四）数字化转型服务。</w:t>
      </w:r>
      <w:r>
        <w:rPr>
          <w:rFonts w:ascii="Times New Roman" w:hAnsi="Times New Roman" w:eastAsia="方正仿宋_GBK"/>
          <w:sz w:val="32"/>
          <w:szCs w:val="32"/>
        </w:rPr>
        <w:t>推动中小企业采用大数据、云计算、人工智能等新一代信息技术，提高生产效率，降低运营成本，增强其竞争力和创新能力。依托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经济·数转赋能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平台，面向中小企业开展数字化水平评测、定制化产品研发，提供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小快轻准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产品和解决方案，协助中小企业融入大企业核心生态等。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方正楷体_GBK"/>
          <w:sz w:val="32"/>
          <w:szCs w:val="32"/>
        </w:rPr>
        <w:t>（五）融通发展服务。</w:t>
      </w:r>
      <w:r>
        <w:rPr>
          <w:rFonts w:ascii="Times New Roman" w:hAnsi="Times New Roman" w:eastAsia="方正仿宋_GBK"/>
          <w:sz w:val="32"/>
          <w:szCs w:val="32"/>
        </w:rPr>
        <w:t>组织辖区企业开展大中小企业融通发展暨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四链融合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对接活动，推动企业使用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渝企零距离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大中小企业融通对接信息平台（以下简称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渝企零距离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平台）发布需求和供给，实现精准匹配和对接。推动链主企业发挥带动作用，帮助中小企业融入大企业供应链，推动上下游资源共享、协同攻关，提升产业链韧性和安全水平。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（六）权益保护服务。</w:t>
      </w:r>
      <w:r>
        <w:rPr>
          <w:rFonts w:ascii="Times New Roman" w:hAnsi="Times New Roman" w:eastAsia="方正仿宋_GBK"/>
          <w:sz w:val="32"/>
          <w:szCs w:val="32"/>
        </w:rPr>
        <w:t>开展《中华人民共和国中小企业促进法》《保障中小企业款项支付条例》等政策普法宣传活动，提升企业维权意识。协助</w:t>
      </w:r>
      <w:r>
        <w:rPr>
          <w:rFonts w:hint="eastAsia" w:ascii="Times New Roman" w:hAnsi="Times New Roman" w:eastAsia="方正仿宋_GBK"/>
          <w:sz w:val="32"/>
          <w:szCs w:val="32"/>
        </w:rPr>
        <w:t>区县</w:t>
      </w:r>
      <w:r>
        <w:rPr>
          <w:rFonts w:ascii="Times New Roman" w:hAnsi="Times New Roman" w:eastAsia="方正仿宋_GBK"/>
          <w:sz w:val="32"/>
          <w:szCs w:val="32"/>
        </w:rPr>
        <w:t>中小企业</w:t>
      </w:r>
      <w:r>
        <w:rPr>
          <w:rFonts w:hint="eastAsia" w:ascii="Times New Roman" w:hAnsi="Times New Roman" w:eastAsia="方正仿宋_GBK"/>
          <w:sz w:val="32"/>
          <w:szCs w:val="32"/>
        </w:rPr>
        <w:t>主管部门</w:t>
      </w:r>
      <w:r>
        <w:rPr>
          <w:rFonts w:ascii="Times New Roman" w:hAnsi="Times New Roman" w:eastAsia="方正仿宋_GBK"/>
          <w:sz w:val="32"/>
          <w:szCs w:val="32"/>
        </w:rPr>
        <w:t>对账款拖欠、行政侵权、违规增加企业负担等侵害行为开展维权投诉工作，保护中小企业合法权益。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（七）科技创新服务。</w:t>
      </w:r>
      <w:r>
        <w:rPr>
          <w:rFonts w:ascii="Times New Roman" w:hAnsi="Times New Roman" w:eastAsia="方正仿宋_GBK"/>
          <w:sz w:val="32"/>
          <w:szCs w:val="32"/>
        </w:rPr>
        <w:t>推动科技资源向中小企业开放共享，促进科技成果转化和产业升级，包括但不限于促进科技服务机构向中小企业提供研发设计、创业孵化、技术交易、知识产权、专业技术咨询等服务‌。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（八）人才引育服务。</w:t>
      </w:r>
      <w:r>
        <w:rPr>
          <w:rFonts w:ascii="Times New Roman" w:hAnsi="Times New Roman" w:eastAsia="方正仿宋_GBK"/>
          <w:sz w:val="32"/>
          <w:szCs w:val="32"/>
        </w:rPr>
        <w:t>组织辖区中小企业参加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百日招聘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”“</w:t>
      </w:r>
      <w:r>
        <w:rPr>
          <w:rFonts w:ascii="Times New Roman" w:hAnsi="Times New Roman" w:eastAsia="方正仿宋_GBK"/>
          <w:sz w:val="32"/>
          <w:szCs w:val="32"/>
        </w:rPr>
        <w:t>优企入校、招才引智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、经营管理领军人才培训、中小企业及民营企业培训等活动，帮助中小企业选拔和招聘人才，提升员工技能和知识水平，建立有效的人才管理和激励体系。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四、组织流程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（一）计划申报。</w:t>
      </w:r>
      <w:r>
        <w:rPr>
          <w:rFonts w:hint="eastAsia" w:ascii="Times New Roman" w:hAnsi="Times New Roman" w:eastAsia="方正仿宋_GBK"/>
          <w:sz w:val="32"/>
          <w:szCs w:val="32"/>
        </w:rPr>
        <w:t>有申报意愿</w:t>
      </w:r>
      <w:r>
        <w:rPr>
          <w:rFonts w:ascii="Times New Roman" w:hAnsi="Times New Roman" w:eastAsia="方正仿宋_GBK"/>
          <w:sz w:val="32"/>
          <w:szCs w:val="32"/>
        </w:rPr>
        <w:t>的区县窗口平台填报《重庆市中小企业公共服务窗口平台年度工作计划表》（</w:t>
      </w:r>
      <w:r>
        <w:rPr>
          <w:rFonts w:hint="eastAsia" w:ascii="Times New Roman" w:hAnsi="Times New Roman" w:eastAsia="方正仿宋_GBK"/>
          <w:sz w:val="32"/>
          <w:szCs w:val="32"/>
        </w:rPr>
        <w:t>见</w:t>
      </w:r>
      <w:r>
        <w:rPr>
          <w:rFonts w:ascii="Times New Roman" w:hAnsi="Times New Roman" w:eastAsia="方正仿宋_GBK"/>
          <w:sz w:val="32"/>
          <w:szCs w:val="32"/>
        </w:rPr>
        <w:t>附件1），编制申报材料（</w:t>
      </w:r>
      <w:r>
        <w:rPr>
          <w:rFonts w:hint="eastAsia" w:ascii="Times New Roman" w:hAnsi="Times New Roman" w:eastAsia="方正仿宋_GBK"/>
          <w:sz w:val="32"/>
          <w:szCs w:val="32"/>
        </w:rPr>
        <w:t>见</w:t>
      </w:r>
      <w:r>
        <w:rPr>
          <w:rFonts w:ascii="Times New Roman" w:hAnsi="Times New Roman" w:eastAsia="方正仿宋_GBK"/>
          <w:sz w:val="32"/>
          <w:szCs w:val="32"/>
        </w:rPr>
        <w:t>附件2），于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（星期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32"/>
        </w:rPr>
        <w:t>前交至区县中小企业主管部门。各区县窗口平台要按照《重庆市中小企业公共服务窗口平台年度工作计划绩效评价</w:t>
      </w:r>
      <w:r>
        <w:rPr>
          <w:rFonts w:hint="eastAsia" w:ascii="Times New Roman" w:hAnsi="Times New Roman" w:eastAsia="方正仿宋_GBK"/>
          <w:sz w:val="32"/>
          <w:szCs w:val="32"/>
        </w:rPr>
        <w:t>体系</w:t>
      </w:r>
      <w:r>
        <w:rPr>
          <w:rFonts w:ascii="Times New Roman" w:hAnsi="Times New Roman" w:eastAsia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/>
          <w:sz w:val="32"/>
          <w:szCs w:val="32"/>
        </w:rPr>
        <w:t>见</w:t>
      </w:r>
      <w:r>
        <w:rPr>
          <w:rFonts w:ascii="Times New Roman" w:hAnsi="Times New Roman" w:eastAsia="方正仿宋_GBK"/>
          <w:sz w:val="32"/>
          <w:szCs w:val="32"/>
        </w:rPr>
        <w:t>附件3）开展工作计划编制，工作计划评价指标满分为100分，包括基础保障20分、服务质效70分、区县中小企业主管部门评价及支持情况10分。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（二）区县初审。</w:t>
      </w:r>
      <w:r>
        <w:rPr>
          <w:rFonts w:ascii="Times New Roman" w:hAnsi="Times New Roman" w:eastAsia="方正仿宋_GBK"/>
          <w:sz w:val="32"/>
          <w:szCs w:val="32"/>
        </w:rPr>
        <w:t>区县中小企业主管部门对申报材料的真实性、完整性和信用状况进行审核，提出审核意见，于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（星期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32"/>
        </w:rPr>
        <w:t>前将推荐报告、申报材料纸质件和电子版（含Word及PDF盖章版）报送至市经济信息委政务服务大厅（联系人：郭老师；联系电话：63897957）。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（三）市级审核。</w:t>
      </w:r>
      <w:r>
        <w:rPr>
          <w:rFonts w:ascii="Times New Roman" w:hAnsi="Times New Roman" w:eastAsia="方正仿宋_GBK"/>
          <w:sz w:val="32"/>
          <w:szCs w:val="32"/>
        </w:rPr>
        <w:t>市经济信息委对区县窗口平台的工作计划</w:t>
      </w:r>
      <w:r>
        <w:rPr>
          <w:rFonts w:ascii="Times New Roman" w:hAnsi="Times New Roman" w:eastAsia="方正仿宋_GBK"/>
          <w:color w:val="333333"/>
          <w:sz w:val="32"/>
          <w:szCs w:val="32"/>
        </w:rPr>
        <w:t>进</w:t>
      </w:r>
      <w:r>
        <w:rPr>
          <w:rFonts w:ascii="Times New Roman" w:hAnsi="Times New Roman" w:eastAsia="方正仿宋_GBK"/>
          <w:sz w:val="32"/>
          <w:szCs w:val="32"/>
        </w:rPr>
        <w:t>行</w:t>
      </w:r>
      <w:r>
        <w:rPr>
          <w:rFonts w:hint="eastAsia" w:ascii="Times New Roman" w:hAnsi="Times New Roman" w:eastAsia="方正仿宋_GBK"/>
          <w:sz w:val="32"/>
          <w:szCs w:val="32"/>
        </w:rPr>
        <w:t>合规性</w:t>
      </w:r>
      <w:r>
        <w:rPr>
          <w:rFonts w:ascii="Times New Roman" w:hAnsi="Times New Roman" w:eastAsia="方正仿宋_GBK"/>
          <w:sz w:val="32"/>
          <w:szCs w:val="32"/>
        </w:rPr>
        <w:t>审核，符合条件的按程序进行公示。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（四）组织实施。</w:t>
      </w:r>
      <w:r>
        <w:rPr>
          <w:rFonts w:ascii="Times New Roman" w:hAnsi="Times New Roman" w:eastAsia="方正仿宋_GBK"/>
          <w:sz w:val="32"/>
          <w:szCs w:val="32"/>
        </w:rPr>
        <w:t>区县窗口平台按照</w:t>
      </w:r>
      <w:r>
        <w:rPr>
          <w:rFonts w:hint="eastAsia" w:ascii="Times New Roman" w:hAnsi="Times New Roman" w:eastAsia="方正仿宋_GBK"/>
          <w:sz w:val="32"/>
          <w:szCs w:val="32"/>
        </w:rPr>
        <w:t>审核意见向市、区（县）</w:t>
      </w:r>
      <w:r>
        <w:rPr>
          <w:rFonts w:ascii="Times New Roman" w:hAnsi="Times New Roman" w:eastAsia="方正仿宋_GBK"/>
          <w:sz w:val="32"/>
          <w:szCs w:val="32"/>
        </w:rPr>
        <w:t>两级中小企业主管部门</w:t>
      </w:r>
      <w:r>
        <w:rPr>
          <w:rFonts w:hint="eastAsia" w:ascii="Times New Roman" w:hAnsi="Times New Roman" w:eastAsia="方正仿宋_GBK"/>
          <w:sz w:val="32"/>
          <w:szCs w:val="32"/>
        </w:rPr>
        <w:t>报送</w:t>
      </w:r>
      <w:r>
        <w:rPr>
          <w:rFonts w:ascii="Times New Roman" w:hAnsi="Times New Roman" w:eastAsia="方正仿宋_GBK"/>
          <w:sz w:val="32"/>
          <w:szCs w:val="32"/>
        </w:rPr>
        <w:t>工作</w:t>
      </w:r>
      <w:r>
        <w:rPr>
          <w:rFonts w:hint="eastAsia" w:ascii="Times New Roman" w:hAnsi="Times New Roman" w:eastAsia="方正仿宋_GBK"/>
          <w:sz w:val="32"/>
          <w:szCs w:val="32"/>
        </w:rPr>
        <w:t>实施方案备案，</w:t>
      </w:r>
      <w:r>
        <w:rPr>
          <w:rFonts w:ascii="Times New Roman" w:hAnsi="Times New Roman" w:eastAsia="方正仿宋_GBK"/>
          <w:sz w:val="32"/>
          <w:szCs w:val="32"/>
        </w:rPr>
        <w:t>开展服务工作，相关数据纳入重庆市中小企业公共服务平台运营管理系统（以下简称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平台运营管理系统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）。市区（县）两级中小企业主管部门加强统筹协调、业务指导和监督检查，督促区县窗口平台</w:t>
      </w:r>
      <w:r>
        <w:rPr>
          <w:rFonts w:hint="eastAsia" w:ascii="Times New Roman" w:hAnsi="Times New Roman" w:eastAsia="方正仿宋_GBK"/>
          <w:sz w:val="32"/>
          <w:szCs w:val="32"/>
        </w:rPr>
        <w:t>按实施方案开展服务工作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（五）绩效评价。</w:t>
      </w:r>
      <w:r>
        <w:rPr>
          <w:rFonts w:ascii="Times New Roman" w:hAnsi="Times New Roman" w:eastAsia="方正仿宋_GBK"/>
          <w:sz w:val="32"/>
          <w:szCs w:val="32"/>
        </w:rPr>
        <w:t>实施期满后，区县窗口平台按要求将工作实施情况及佐证材料</w:t>
      </w:r>
      <w:r>
        <w:rPr>
          <w:rFonts w:hint="eastAsia" w:ascii="Times New Roman" w:hAnsi="Times New Roman" w:eastAsia="方正仿宋_GBK"/>
          <w:sz w:val="32"/>
          <w:szCs w:val="32"/>
        </w:rPr>
        <w:t>于10月10日前</w:t>
      </w:r>
      <w:r>
        <w:rPr>
          <w:rFonts w:ascii="Times New Roman" w:hAnsi="Times New Roman" w:eastAsia="方正仿宋_GBK"/>
          <w:sz w:val="32"/>
          <w:szCs w:val="32"/>
        </w:rPr>
        <w:t>报送到区县中小企业主管部门，区县中小企业主管部门审核后将结果及相关材料</w:t>
      </w:r>
      <w:r>
        <w:rPr>
          <w:rFonts w:hint="eastAsia" w:ascii="Times New Roman" w:hAnsi="Times New Roman" w:eastAsia="方正仿宋_GBK"/>
          <w:sz w:val="32"/>
          <w:szCs w:val="32"/>
        </w:rPr>
        <w:t>于10月17日前</w:t>
      </w:r>
      <w:r>
        <w:rPr>
          <w:rFonts w:ascii="Times New Roman" w:hAnsi="Times New Roman" w:eastAsia="方正仿宋_GBK"/>
          <w:sz w:val="32"/>
          <w:szCs w:val="32"/>
        </w:rPr>
        <w:t>报送到市经济信息委。市经济信息委根据实施期区县窗口平台运营情况、</w:t>
      </w:r>
      <w:r>
        <w:rPr>
          <w:rFonts w:hint="eastAsia" w:ascii="Times New Roman" w:hAnsi="Times New Roman" w:eastAsia="方正仿宋_GBK"/>
          <w:sz w:val="32"/>
          <w:szCs w:val="32"/>
        </w:rPr>
        <w:t>实施方案</w:t>
      </w:r>
      <w:r>
        <w:rPr>
          <w:rFonts w:ascii="Times New Roman" w:hAnsi="Times New Roman" w:eastAsia="方正仿宋_GBK"/>
          <w:sz w:val="32"/>
          <w:szCs w:val="32"/>
        </w:rPr>
        <w:t>执行情况及区县中小企业主管部门的支持情况进行绩效评价。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（六）</w:t>
      </w:r>
      <w:r>
        <w:rPr>
          <w:rFonts w:hint="eastAsia" w:ascii="Times New Roman" w:hAnsi="Times New Roman" w:eastAsia="方正楷体_GBK"/>
          <w:sz w:val="32"/>
          <w:szCs w:val="32"/>
        </w:rPr>
        <w:t>资金</w:t>
      </w:r>
      <w:r>
        <w:rPr>
          <w:rFonts w:ascii="Times New Roman" w:hAnsi="Times New Roman" w:eastAsia="方正楷体_GBK"/>
          <w:sz w:val="32"/>
          <w:szCs w:val="32"/>
        </w:rPr>
        <w:t>支持。</w:t>
      </w:r>
      <w:r>
        <w:rPr>
          <w:rFonts w:ascii="Times New Roman" w:hAnsi="Times New Roman" w:eastAsia="方正仿宋_GBK"/>
          <w:sz w:val="32"/>
          <w:szCs w:val="32"/>
        </w:rPr>
        <w:t>对绩效评价较好的区县窗口平台给予</w:t>
      </w:r>
      <w:r>
        <w:rPr>
          <w:rFonts w:hint="eastAsia" w:ascii="Times New Roman" w:hAnsi="Times New Roman" w:eastAsia="方正仿宋_GBK"/>
          <w:sz w:val="32"/>
          <w:szCs w:val="32"/>
        </w:rPr>
        <w:t>资金</w:t>
      </w:r>
      <w:r>
        <w:rPr>
          <w:rFonts w:ascii="Times New Roman" w:hAnsi="Times New Roman" w:eastAsia="方正仿宋_GBK"/>
          <w:sz w:val="32"/>
          <w:szCs w:val="32"/>
        </w:rPr>
        <w:t>支持，数量不超过20家（渝东南、渝东北支持数量不少于支持总量的30%），其中绩效评价为一档的不超过10家，支持额度不超过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0万元，绩效评价为二档的不超过10家，支持额度不超过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0万元。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五、工作要求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（一）区县窗口平台必须诚信经营，加强合规管理，若出现申报期、实施期被列为失信被执行人，巡视审计中出现问题，申请项目造假等情况，将取消支持资格。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32"/>
          <w:szCs w:val="32"/>
        </w:rPr>
        <w:t>（二）区县窗口平台提供的工作计划</w:t>
      </w:r>
      <w:r>
        <w:rPr>
          <w:rFonts w:hint="eastAsia" w:ascii="Times New Roman" w:hAnsi="Times New Roman" w:eastAsia="方正仿宋_GBK"/>
          <w:sz w:val="32"/>
          <w:szCs w:val="32"/>
        </w:rPr>
        <w:t>、实施方案</w:t>
      </w:r>
      <w:r>
        <w:rPr>
          <w:rFonts w:ascii="Times New Roman" w:hAnsi="Times New Roman" w:eastAsia="方正仿宋_GBK"/>
          <w:sz w:val="32"/>
          <w:szCs w:val="32"/>
        </w:rPr>
        <w:t>材料及绩效评价材料须真实准确，若有服务活动、服务记录、满意度评价等服务数据造假等行为，处于项目实施期的，取消</w:t>
      </w:r>
      <w:r>
        <w:rPr>
          <w:rFonts w:hint="eastAsia" w:ascii="Times New Roman" w:hAnsi="Times New Roman" w:eastAsia="方正仿宋_GBK"/>
          <w:sz w:val="32"/>
          <w:szCs w:val="32"/>
        </w:rPr>
        <w:t>当年及下一年</w:t>
      </w:r>
      <w:r>
        <w:rPr>
          <w:rFonts w:ascii="Times New Roman" w:hAnsi="Times New Roman" w:eastAsia="方正仿宋_GBK"/>
          <w:sz w:val="32"/>
          <w:szCs w:val="32"/>
        </w:rPr>
        <w:t>支持资格，已拨付资金的，按相关程序追回支持资金。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（三）区县窗口平台要依据自身实际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科学设定工作目标。经绩效评价，实施期内若工作目标完成率低于70%，视为当年绩效评价不合格，并取消下一年支持资格。</w:t>
      </w:r>
    </w:p>
    <w:p>
      <w:pPr>
        <w:pStyle w:val="2"/>
        <w:keepNext w:val="0"/>
        <w:keepLines w:val="0"/>
        <w:adjustRightInd w:val="0"/>
        <w:snapToGrid w:val="0"/>
        <w:spacing w:line="578" w:lineRule="atLeast"/>
        <w:ind w:firstLine="640"/>
        <w:rPr>
          <w:rFonts w:ascii="Times New Roman" w:hAnsi="Times New Roman" w:eastAsia="方正仿宋_GBK" w:cs="Times New Roman"/>
          <w:bCs w:val="0"/>
          <w:kern w:val="2"/>
          <w:szCs w:val="32"/>
        </w:rPr>
      </w:pPr>
      <w:r>
        <w:rPr>
          <w:rFonts w:hint="eastAsia" w:ascii="Times New Roman" w:hAnsi="Times New Roman" w:eastAsia="方正仿宋_GBK"/>
          <w:szCs w:val="32"/>
        </w:rPr>
        <w:t>（四）</w:t>
      </w:r>
      <w:r>
        <w:rPr>
          <w:rFonts w:hint="eastAsia" w:ascii="Times New Roman" w:hAnsi="Times New Roman" w:eastAsia="方正仿宋_GBK" w:cs="Times New Roman"/>
          <w:bCs w:val="0"/>
          <w:kern w:val="2"/>
          <w:szCs w:val="32"/>
        </w:rPr>
        <w:t>区县中小企业主管部门要高度重视中小企业公共服务体系建设工作，要因地制宜建好、用好、支持好平台体系，推动形成良性发展。同时要加强宣传，认真组织，严格按照通知要求择优筛选，推荐出经营良好、服务能力高、企业口碑好的窗口平台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六、联系方式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联系人：陈谦；联系电话：023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/>
          <w:sz w:val="32"/>
          <w:szCs w:val="32"/>
        </w:rPr>
        <w:t>63895477。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附件：1.重庆市中小企业公共服务窗口平台工作计划表</w:t>
      </w:r>
    </w:p>
    <w:p>
      <w:pPr>
        <w:adjustRightInd w:val="0"/>
        <w:snapToGrid w:val="0"/>
        <w:spacing w:line="578" w:lineRule="atLeas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2.重庆市中小企业公共服务窗口平台工作计划材</w:t>
      </w:r>
    </w:p>
    <w:p>
      <w:pPr>
        <w:adjustRightInd w:val="0"/>
        <w:snapToGrid w:val="0"/>
        <w:spacing w:line="578" w:lineRule="atLeast"/>
        <w:ind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/>
          <w:sz w:val="40"/>
          <w:szCs w:val="40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料清单</w:t>
      </w:r>
    </w:p>
    <w:p>
      <w:pPr>
        <w:adjustRightInd w:val="0"/>
        <w:snapToGrid w:val="0"/>
        <w:spacing w:line="578" w:lineRule="atLeas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3.重庆市中小企业公共服务窗口平台工作计划</w:t>
      </w:r>
    </w:p>
    <w:p>
      <w:pPr>
        <w:adjustRightInd w:val="0"/>
        <w:snapToGrid w:val="0"/>
        <w:spacing w:line="578" w:lineRule="atLeast"/>
        <w:ind w:firstLine="0" w:firstLineChars="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/>
          <w:sz w:val="48"/>
          <w:szCs w:val="48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绩效评价</w:t>
      </w:r>
      <w:r>
        <w:rPr>
          <w:rFonts w:hint="eastAsia" w:ascii="Times New Roman" w:hAnsi="Times New Roman" w:eastAsia="方正仿宋_GBK"/>
          <w:sz w:val="32"/>
          <w:szCs w:val="32"/>
        </w:rPr>
        <w:t>体系</w:t>
      </w: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78" w:lineRule="atLeast"/>
        <w:ind w:left="1277" w:leftChars="608" w:firstLine="320" w:firstLineChars="1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</w:t>
      </w:r>
      <w:r>
        <w:rPr>
          <w:rFonts w:ascii="Times New Roman" w:hAnsi="Times New Roman" w:eastAsia="方正仿宋_GBK"/>
          <w:sz w:val="32"/>
          <w:szCs w:val="32"/>
        </w:rPr>
        <w:t xml:space="preserve">重庆市经济和信息化委员会  </w:t>
      </w:r>
    </w:p>
    <w:p>
      <w:pPr>
        <w:adjustRightInd w:val="0"/>
        <w:snapToGrid w:val="0"/>
        <w:spacing w:line="578" w:lineRule="atLeas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</w:t>
      </w:r>
    </w:p>
    <w:p>
      <w:pPr>
        <w:pStyle w:val="2"/>
        <w:keepNext w:val="0"/>
        <w:keepLines w:val="0"/>
        <w:adjustRightInd w:val="0"/>
        <w:snapToGrid w:val="0"/>
        <w:spacing w:line="578" w:lineRule="atLeast"/>
        <w:ind w:firstLine="640"/>
        <w:rPr>
          <w:rFonts w:hint="eastAsia" w:ascii="Times New Roman" w:hAnsi="Times New Roman" w:eastAsia="方正仿宋_GBK" w:cs="Times New Roman"/>
          <w:bCs w:val="0"/>
          <w:kern w:val="2"/>
          <w:szCs w:val="32"/>
        </w:rPr>
      </w:pPr>
      <w:r>
        <w:rPr>
          <w:rFonts w:hint="eastAsia" w:ascii="Times New Roman" w:hAnsi="Times New Roman" w:eastAsia="方正仿宋_GBK" w:cs="Times New Roman"/>
          <w:bCs w:val="0"/>
          <w:kern w:val="2"/>
          <w:szCs w:val="32"/>
        </w:rPr>
        <w:t>（此件公开发布）</w:t>
      </w:r>
    </w:p>
    <w:p>
      <w:pPr>
        <w:rPr>
          <w:rFonts w:hint="eastAsia" w:ascii="Times New Roman" w:hAnsi="Times New Roman" w:eastAsia="方正仿宋_GBK" w:cs="Times New Roman"/>
          <w:bCs w:val="0"/>
          <w:kern w:val="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textAlignment w:val="auto"/>
        <w:outlineLvl w:val="0"/>
        <w:rPr>
          <w:rFonts w:hint="eastAsia"/>
        </w:rPr>
      </w:pPr>
      <w:bookmarkStart w:id="1" w:name="_GoBack"/>
      <w:bookmarkEnd w:id="1"/>
    </w:p>
    <w:p>
      <w:pPr>
        <w:rPr>
          <w:rFonts w:ascii="Times New Roman" w:hAnsi="Times New Roman"/>
        </w:rPr>
      </w:pPr>
    </w:p>
    <w:p>
      <w:pPr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single" w:color="auto" w:sz="4" w:space="0"/>
        </w:pBdr>
        <w:ind w:left="0" w:leftChars="0" w:firstLine="280" w:firstLineChars="100"/>
        <w:jc w:val="both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抄送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重庆市中小企业发展服务中心</w:t>
      </w:r>
    </w:p>
    <w:p>
      <w:pPr>
        <w:pStyle w:val="2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single" w:color="auto" w:sz="4" w:space="0"/>
        </w:pBdr>
        <w:ind w:left="0" w:leftChars="0" w:firstLine="0" w:firstLineChars="0"/>
        <w:jc w:val="both"/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重庆市经济和信息化委员会办公室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日印发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59264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E27FB"/>
    <w:rsid w:val="384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ind w:firstLine="200" w:firstLineChars="200"/>
      <w:outlineLvl w:val="0"/>
    </w:pPr>
    <w:rPr>
      <w:rFonts w:eastAsia="方正黑体_GBK" w:cs="宋体"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2025-01-15T01:18:00Z</dcterms:created>
  <dc:creator>姜私雨</dc:creator>
  <cp:lastModifiedBy>姜私雨</cp:lastModifiedBy>
  <dcterms:modified xsi:type="dcterms:W3CDTF">2025-01-15T01:19:51Z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