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atLeast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bidi="ar"/>
        </w:rPr>
        <w:t>附件1</w:t>
      </w:r>
    </w:p>
    <w:p>
      <w:pPr>
        <w:adjustRightInd w:val="0"/>
        <w:snapToGrid w:val="0"/>
        <w:spacing w:line="550" w:lineRule="atLeas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  <w:lang w:bidi="ar"/>
        </w:rPr>
      </w:pPr>
    </w:p>
    <w:p>
      <w:pPr>
        <w:adjustRightInd w:val="0"/>
        <w:snapToGrid w:val="0"/>
        <w:spacing w:line="550" w:lineRule="atLeas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2024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年工业互联网标识解析二级节点项目</w:t>
      </w:r>
    </w:p>
    <w:p>
      <w:pPr>
        <w:adjustRightInd w:val="0"/>
        <w:snapToGrid w:val="0"/>
        <w:spacing w:line="550" w:lineRule="atLeas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要素条件</w:t>
      </w:r>
    </w:p>
    <w:p>
      <w:pPr>
        <w:adjustRightInd w:val="0"/>
        <w:snapToGrid w:val="0"/>
        <w:spacing w:line="578" w:lineRule="atLeas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一、基本要求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围绕重庆市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“33618”现代制造业集群体系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支持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链主企业、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</w:rPr>
        <w:t>重点企业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建设行业二级节点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积极拓展标识应用，以标识服务贯通上下游产业链供应链，连接用户、设备、产品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创新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标识应用行业贯通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；规范工业互联网标识服务，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在可行性调研阶段，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企业需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与工业互联网标识解析国家顶级节点（重庆）对接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在二级节点建成运行后，根据《工业互联网标识管理办法》第六条规定，及时向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重庆市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通信管理局申请取得互联网域名注册服务机构许可；积极履行安全主体责任，建立安全工作制度，配备安全防护设施设备，切实保障二级节点安全、稳定、高效运行。</w:t>
      </w:r>
    </w:p>
    <w:p>
      <w:pPr>
        <w:numPr>
          <w:ilvl w:val="0"/>
          <w:numId w:val="0"/>
        </w:numPr>
        <w:adjustRightInd w:val="0"/>
        <w:snapToGrid w:val="0"/>
        <w:spacing w:line="550" w:lineRule="atLeast"/>
        <w:ind w:firstLine="640" w:firstLineChars="200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重点产业链二级节点建设行业方向建议</w:t>
      </w:r>
    </w:p>
    <w:p>
      <w:pPr>
        <w:widowControl w:val="0"/>
        <w:numPr>
          <w:ilvl w:val="0"/>
          <w:numId w:val="0"/>
        </w:numPr>
        <w:spacing w:before="0" w:beforeAutospacing="0" w:after="0" w:afterAutospacing="0" w:line="240" w:lineRule="atLeast"/>
        <w:ind w:left="0" w:leftChars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6"/>
        <w:tblW w:w="742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64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行业方向建议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汽车制造业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电池制造业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半导体器件专用设备制造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bidi="ar"/>
              </w:rPr>
              <w:t>通用设备制造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bidi="ar"/>
              </w:rPr>
              <w:t>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专用设备制造业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化学原料和化学制品制造业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智能消费设备制造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bidi="ar"/>
              </w:rPr>
              <w:t>食品制造业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bidi="ar"/>
              </w:rPr>
              <w:t>农副食品加工业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医药制造业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纺织服装、服饰业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造纸和纸制品业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家具制造业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有色金属冶炼和压延加工业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电气机械和器材制造业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铁路、船舶、航空航天和其他运输设备制造业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仪器仪表制造业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软件和信息技术服务业</w:t>
            </w:r>
          </w:p>
        </w:tc>
      </w:tr>
    </w:tbl>
    <w:p>
      <w:pPr>
        <w:adjustRightInd w:val="0"/>
        <w:snapToGrid w:val="0"/>
        <w:spacing w:line="55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、预期目标</w:t>
      </w:r>
    </w:p>
    <w:p>
      <w:pPr>
        <w:adjustRightInd w:val="0"/>
        <w:snapToGrid w:val="0"/>
        <w:spacing w:line="55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二级节点建成后，注册量不少于2000万个、累计解析量不少于500万次、接入企业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节点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数不少于50个。</w:t>
      </w:r>
    </w:p>
    <w:p>
      <w:pPr>
        <w:adjustRightInd w:val="0"/>
        <w:snapToGrid w:val="0"/>
        <w:spacing w:line="55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项目投资</w:t>
      </w:r>
    </w:p>
    <w:p>
      <w:pPr>
        <w:adjustRightInd w:val="0"/>
        <w:snapToGrid w:val="0"/>
        <w:spacing w:line="55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二级节点项目投资原则上不低于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000万元。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5BB4"/>
    <w:rsid w:val="22B66CFB"/>
    <w:rsid w:val="3DD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pPr>
      <w:spacing w:line="240" w:lineRule="auto"/>
      <w:jc w:val="left"/>
    </w:pPr>
    <w:rPr>
      <w:rFonts w:eastAsia="仿宋"/>
      <w:sz w:val="24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2024-12-18T06:10:00Z</dcterms:created>
  <dc:creator>姜私雨</dc:creator>
  <cp:lastModifiedBy>姜私雨</cp:lastModifiedBy>
  <dcterms:modified xsi:type="dcterms:W3CDTF">2024-12-18T06:12:47Z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