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eastAsia="zh-CN"/>
        </w:rPr>
        <w:t>重庆市经济和信息化委员会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</w:rPr>
        <w:t>关于印发重庆市提振工业经济运行若干政策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</w:rPr>
        <w:t>措施的通知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渝经信规范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各区县（自治县）经济信息委，两江新区、西部科学城重庆高新区、万盛经开区经信部门，机关各处室：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《重庆市提振工业经济运行若干政策措施》已经委党组会审议通过，现予印发，请抓好贯彻落实。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重庆市经济和信息化委员会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/>
        </w:rPr>
        <w:t xml:space="preserve">  2022年6月15日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5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重庆市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提振工业经济运行若干政策措施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为贯彻落实国务院稳住经济大盘电视电话会议精神和市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委市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有关工作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部署，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制定以下政策措施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一、稳住市场主体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1.培育领军（链主）企业。实施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一企一策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培育计划，支持企业强创新、拓市场、抓重组、促融合、提质量。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u w:val="none"/>
          <w:lang w:val="en-US" w:eastAsia="zh-CN" w:bidi="ar"/>
        </w:rPr>
        <w:t>对技术改造投资或扩大再投资后年工业增加值首次突破10亿元及以上工业企业，给予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u w:val="none"/>
          <w:lang w:val="en-US" w:eastAsia="zh-CN" w:bidi="ar"/>
        </w:rPr>
        <w:t>100万元及以上奖励。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2.支持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双百企业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稳健运行。实施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周监测、周调度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，及时协调解决企业用电、用气、用地、用工、融资、运输等方面存在的问题。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支持中小企业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专精特新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发展。深入推进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专精特新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企业高质量发展专项行动计划，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着力打造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专精特新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孵化载体，重点支持一批中小企业孵化器建设。对国家专精特新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小巨人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重点培育企业和新增国家专精特新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小巨人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给予财政资金支持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4.开展规下企业问诊帮扶。市区联动、部门协同，对照工作清单开展入企问诊，问题化解。鼓励区县（开发区）针对升规企业制定奖励政策。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5.盘活闲置资源。实施停产半停产企业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兼并重组、租赁经营、转产经营、合资合作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四个一批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专项行动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成功实现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兼并重组，符合相关申报条件的企业给予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不超过100万元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二、提振重点产业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6.完善汽车产业生态。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支持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整车企业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新车型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研发上市，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支持公共领域新能源汽车推广应用。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加快充换电、加氢、车路协同等基础设施建设运营，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支持企业新建或升级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新能源和智能网联汽车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数据平台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打造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应用场景（测试场），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开展实验测试。对符合条件的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企业按项目类别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2000万元补助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7.稳住电子产业增势。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出台智能终端产业防疫情调结构稳生产奖补政策，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智能终端企业开展智能化改造，鼓励区县（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开发区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）出台扶持政策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对投资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集成电路设计、制造、封测、装备、材料等领域的企业，给予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不超过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1000万元支持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8.稳定装备产业增长。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加快工业机器人国产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替代进程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装备制造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重点企业产品进入交通、基建、能源、环保等领域采购体系。支持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企业加大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智能山地农机装备研发生产，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按不超过项目投资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</w:rPr>
        <w:t>的20%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择优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</w:rPr>
        <w:t>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不超过200万元支持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9.加快材料产业复苏。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投资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国家急需战略性新材料、轻合金产业链、先进钢铁产业链以及化工新材料关键环节的企业，给予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不超过200万元支持。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10.推动消费品产业提质增效。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战略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，开展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渝见美品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集中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宣传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推广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活动，升级粮油食品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，培育个护美妆产业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，支持与乡村振兴关联度高的特色、绿色产业发展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加大生物医药产业培育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。对新获批的医药产品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按标准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给予不超过1000万元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奖励；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对新建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第三方研发服务平台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高端生产场地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给予不超过1000万元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支持；对符合条件的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第三方研发及生产服务平台按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服务收入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的3%给予不超过500万元奖励。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振兴软件产业。推动出台利用存量楼宇大力发展软件产业促进创新创业的若干措施。聚焦重点行业打造软件应用示范场景，对符合条件的重点工业软件产品、重点信息安全软件产品、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首版次软件产品、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首次进入国家重点软件清单企业、重庆市重点软件企业、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软件公共服务平台，以及通过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揭榜挂帅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等方式对软件领域关键核心技术攻关的重大项目，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给予单个项目不超过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600万元奖励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三、加大投资支持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12.加快开工一批项目。实施新开工项目计划制度，形成项目清单，细化节点安排，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一项一策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提速前期工作，支持企业加快要件办理、场地平整、资金筹措、水电气讯接入。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13.加速在建项目进度。动态调整项目清单，支持细化基础施工、主体施工、厂房装修、设备安装、调试运行等时间节点安排，及时解决项目建设过程中存在的问题。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推进绿色技改。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lang w:val="en-US" w:eastAsia="zh-CN"/>
        </w:rPr>
        <w:t>支持企业、园区实施节能降碳与资源高效利用、清洁生产和工业固废再利用等领域技术改造，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lang w:val="en-US" w:eastAsia="zh-CN"/>
        </w:rPr>
        <w:t>给予单个项目不超过200万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lang w:val="en-US" w:eastAsia="zh-CN"/>
        </w:rPr>
        <w:t>奖励。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lang w:val="en-US" w:eastAsia="zh-CN"/>
        </w:rPr>
        <w:t>对获得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lang w:val="en-US" w:eastAsia="zh-CN"/>
        </w:rPr>
        <w:t>国家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</w:rPr>
        <w:t>绿色工厂、绿色园区、绿色供应链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lang w:eastAsia="zh-CN"/>
        </w:rPr>
        <w:t>试点示范的，给予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lang w:eastAsia="zh-CN"/>
        </w:rPr>
        <w:t>不超过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</w:rPr>
        <w:t>100万元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  <w:highlight w:val="none"/>
          <w:lang w:eastAsia="zh-CN"/>
        </w:rPr>
        <w:t>的奖励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15.深入实施智能制造。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支持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企业开展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工业互联网标识解析节点、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5G+工业互联网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、创新示范智能工厂建设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支持数字化车间、新模式应用、物联网等项目建设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支持企业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上云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灯塔工厂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u w:val="none"/>
          <w:lang w:eastAsia="zh-CN"/>
        </w:rPr>
        <w:t>，给予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u w:val="none"/>
          <w:lang w:eastAsia="zh-CN"/>
        </w:rPr>
        <w:t>不超过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u w:val="none"/>
          <w:lang w:val="en-US" w:eastAsia="zh-CN"/>
        </w:rPr>
        <w:t>1000万元补助。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四、强化增量培育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16.加强投达产项目调度。滚动调整新投产、达产项目清单，市区联动、精准施策，定期收集和协调解决项目推进存在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问题。项目建设和经济指标贡献度纳入政府绩效考核。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17.加快补链延链强链。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形成重点产业链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关键零部件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原材料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缺项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”“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弱项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清单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，建立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招商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项目库，集聚资源开展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点对点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精准招商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"/>
        </w:rPr>
        <w:t>促进一批补链、延链项目落地。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C0C0C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18.支持新产品研发上市。加快实施规上工业企业研发机构倍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highlight w:val="none"/>
          <w:lang w:val="en-US" w:eastAsia="zh-CN"/>
        </w:rPr>
        <w:t>增计划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鼓励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企业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创建国家级、市级工业设计中心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支持企业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以“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揭榜挂帅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、联合攻关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等方式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，狠抓研发设计、技术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突破和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新品上市。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u w:val="none"/>
          <w:lang w:val="en-US" w:eastAsia="zh-CN" w:bidi="ar"/>
        </w:rPr>
        <w:t>对使用首台（套）重大技术装备、</w:t>
      </w:r>
      <w:r>
        <w:rPr>
          <w:rFonts w:hint="default" w:ascii="Times New Roman" w:hAnsi="Times New Roman" w:eastAsia="方正仿宋_GBK" w:cs="Times New Roman"/>
          <w:i w:val="0"/>
          <w:caps w:val="0"/>
          <w:color w:val="0C0C0C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首批次材料等创新产品的企业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highlight w:val="none"/>
          <w:u w:val="none"/>
          <w:lang w:val="en-US" w:eastAsia="zh-CN" w:bidi="ar"/>
        </w:rPr>
        <w:t>，给予不超过500万元首购首用奖励。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五、实施稳链工程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19.保产业链供应链稳定。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一链一策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一企一专员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日监测、日报告、日调度重点企业供应链运行和保障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。深入实施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链长制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推进问题化解。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20.落实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白名单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制度。动态调整城市运行保障企业、产业链供应链重点企业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防疫物资生产企业、连续生产企业等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白名单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清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单，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细化实化服务措施。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21.完善产业生态。促进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大中小企业融通发展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开展供应链协同伙伴计划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开放供应链、扩大中小微企业采购、构建专业化配套集群成效显著且年累计采购额在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1亿元及以上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的领军（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链主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）企业，给予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单个项目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不超过200万元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六、优化发展环境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rPr>
          <w:rFonts w:hint="default" w:ascii="Times New Roman" w:hAnsi="Times New Roman" w:eastAsia="sans-serif" w:cs="Times New Roman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22.落实减负降本政策。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出台减负政策措施目录清单，推动减税降费政策落地，规范行政事业性收费、经营服务性收费，落实涉企保证金和生产要素优惠政策。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23.优化企业服务机制。开展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企业吹哨、部门报到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专项行动，政企互动、市区联动、部门协同，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分级分类推动企业诉求和问题事项办理。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24.防范化解拖欠中小企业账款。严格执行《保障中小企业款项支付条例》，开展防范和化解拖欠中小企业账款专项行动，集中化解存量拖欠，严防新增拖欠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健全长效机制，加强整改情况跟踪监督，有效缓解中小企业资金短缺问题。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25.保障煤电气运要素。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统筹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全市电力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天然气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、运输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等保障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供需两侧发力保障全市经济社会发展和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产业链、重点企业能源需求。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both"/>
        <w:textAlignment w:val="baseline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引导金融资源助力企业发展。完善企业融资需求就近响应机制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推进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渝企金服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区县子平台和服务机构建设。推动商业价值信用贷、转贷应急政策扩面增效，开展中小制造企业抵押增值贷款试点。组建专项基金支持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专精特新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企业发展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优选100家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专精特新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开展上市</w:t>
      </w:r>
      <w:r>
        <w:rPr>
          <w:rFonts w:hint="default" w:ascii="Times New Roman" w:hAnsi="Times New Roman" w:eastAsia="方正仿宋_GBK" w:cs="Times New Roman"/>
          <w:color w:val="070707"/>
          <w:sz w:val="32"/>
          <w:szCs w:val="32"/>
        </w:rPr>
        <w:t>培育。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jc w:val="left"/>
        <w:textAlignment w:val="auto"/>
        <w:rPr>
          <w:rFonts w:hint="default" w:ascii="Times New Roman" w:hAnsi="Times New Roman" w:eastAsia="方正小标宋_GBK" w:cs="Times New Roman"/>
          <w:color w:val="0C0C0C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70707"/>
          <w:sz w:val="32"/>
          <w:szCs w:val="32"/>
          <w:lang w:eastAsia="zh-CN"/>
        </w:rPr>
        <w:t>各区县（开发区）可参照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</w:rPr>
        <w:t>本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  <w:lang w:eastAsia="zh-CN"/>
        </w:rPr>
        <w:t>文件制定相应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</w:rPr>
        <w:t>政策措施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  <w:lang w:eastAsia="zh-CN"/>
        </w:rPr>
        <w:t>政策措施详细内容以市经济信息委具体下发文件为准；过去有关规定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</w:rPr>
        <w:t>与本政策措施不一致的，以本政策措施为准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  <w:lang w:eastAsia="zh-CN"/>
        </w:rPr>
        <w:t>；国家出台相关政策的，遵照执行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C0C0C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139065</wp:posOffset>
              </wp:positionV>
              <wp:extent cx="5409565" cy="190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9565" cy="190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flip:y;margin-left:6pt;margin-top:10.95pt;height:0.15pt;width:425.95pt;z-index:251659264;mso-width-relative:page;mso-height-relative:page;" filled="f" stroked="t" coordsize="21600,21600" o:gfxdata="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PT&#10;c9YAAAAIAQAADwAAAAAAAAABACAAAAAiAAAAZHJzL2Rvd25yZXYueG1sUEsBAhQAFAAAAAgAh07i&#10;QFEJZD7rAQAAsQMAAA4AAAAAAAAAAQAgAAAAJQ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348615</wp:posOffset>
              </wp:positionV>
              <wp:extent cx="5584190" cy="6985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4190" cy="698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2pt;margin-top:27.45pt;height:0.55pt;width:439.7pt;z-index:251658240;mso-width-relative:page;mso-height-relative:page;" filled="f" stroked="t" coordsize="21600,21600" o:gfxdata="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C+OjWAAAABwEA&#10;AA8AAAAAAAAAAQAgAAAAIgAAAGRycy9kb3ducmV2LnhtbFBLAQIUABQAAAAIAIdO4kD/lGxc4wEA&#10;AKYDAAAOAAAAAAAAAAEAIAAAACUBAABkcnMvZTJvRG9jLnhtbFBLBQYAAAAABgAGAFkBAAB6BQAA&#10;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52622"/>
    <w:rsid w:val="01067093"/>
    <w:rsid w:val="019E71BD"/>
    <w:rsid w:val="01E93D58"/>
    <w:rsid w:val="04B679C3"/>
    <w:rsid w:val="05F07036"/>
    <w:rsid w:val="06E00104"/>
    <w:rsid w:val="080F63D8"/>
    <w:rsid w:val="08F52622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4323D96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2CE54BA"/>
    <w:rsid w:val="648B0A32"/>
    <w:rsid w:val="658F6764"/>
    <w:rsid w:val="665233C1"/>
    <w:rsid w:val="69AC0D42"/>
    <w:rsid w:val="6A597EEA"/>
    <w:rsid w:val="6AD9688B"/>
    <w:rsid w:val="6B68303F"/>
    <w:rsid w:val="6D0E3F22"/>
    <w:rsid w:val="744E4660"/>
    <w:rsid w:val="753355A2"/>
    <w:rsid w:val="759F1C61"/>
    <w:rsid w:val="76054A99"/>
    <w:rsid w:val="76735391"/>
    <w:rsid w:val="769F2DE8"/>
    <w:rsid w:val="76C673E0"/>
    <w:rsid w:val="76FDEB7C"/>
    <w:rsid w:val="79C65162"/>
    <w:rsid w:val="79EE7E31"/>
    <w:rsid w:val="7A0C406F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iPriority w:val="0"/>
    <w:pPr>
      <w:spacing w:after="120" w:line="240" w:lineRule="atLeast"/>
    </w:pPr>
    <w:rPr>
      <w:rFonts w:ascii="Times New Roman" w:hAnsi="Times New Roman"/>
      <w:spacing w:val="-6"/>
      <w:kern w:val="0"/>
      <w:sz w:val="20"/>
      <w:szCs w:val="20"/>
    </w:rPr>
  </w:style>
  <w:style w:type="paragraph" w:styleId="6">
    <w:name w:val="index 7"/>
    <w:basedOn w:val="1"/>
    <w:next w:val="1"/>
    <w:uiPriority w:val="0"/>
    <w:pPr>
      <w:ind w:left="1200" w:leftChars="1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2.wpt</Template>
  <Pages>4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2022-06-08T09:25:00Z</dcterms:created>
  <dc:creator>熊雪芹</dc:creator>
  <cp:lastModifiedBy>熊雪芹</cp:lastModifiedBy>
  <dcterms:modified xsi:type="dcterms:W3CDTF">2022-06-21T08:22:06Z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