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365E">
      <w:pPr>
        <w:keepNext w:val="0"/>
        <w:keepLines w:val="0"/>
        <w:pageBreakBefore w:val="0"/>
        <w:widowControl w:val="0"/>
        <w:kinsoku/>
        <w:wordWrap/>
        <w:overflowPunct/>
        <w:topLinePunct w:val="0"/>
        <w:autoSpaceDE/>
        <w:autoSpaceDN/>
        <w:bidi w:val="0"/>
        <w:adjustRightInd/>
        <w:snapToGrid/>
        <w:jc w:val="left"/>
        <w:textAlignment w:val="auto"/>
        <w:rPr>
          <w:rFonts w:hint="eastAsia" w:ascii="方正黑体_GBK" w:hAnsi="方正黑体_GBK" w:eastAsia="方正黑体_GBK" w:cs="方正黑体_GBK"/>
          <w:b w:val="0"/>
          <w:bCs w:val="0"/>
          <w:sz w:val="32"/>
          <w:szCs w:val="32"/>
          <w:lang w:eastAsia="zh-CN"/>
        </w:rPr>
      </w:pPr>
      <w:bookmarkStart w:id="0" w:name="_Hlk156404803"/>
      <w:r>
        <w:rPr>
          <w:rFonts w:hint="eastAsia" w:ascii="方正黑体_GBK" w:hAnsi="方正黑体_GBK" w:eastAsia="方正黑体_GBK" w:cs="方正黑体_GBK"/>
          <w:b w:val="0"/>
          <w:bCs w:val="0"/>
          <w:sz w:val="32"/>
          <w:szCs w:val="32"/>
          <w:lang w:eastAsia="zh-CN"/>
        </w:rPr>
        <w:t>附件</w:t>
      </w:r>
    </w:p>
    <w:p w14:paraId="25C1B07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重庆市科学技术</w:t>
      </w:r>
      <w:bookmarkEnd w:id="0"/>
      <w:r>
        <w:rPr>
          <w:rFonts w:hint="eastAsia" w:ascii="方正小标宋_GBK" w:hAnsi="方正小标宋_GBK" w:eastAsia="方正小标宋_GBK" w:cs="方正小标宋_GBK"/>
          <w:b w:val="0"/>
          <w:bCs w:val="0"/>
          <w:sz w:val="44"/>
          <w:szCs w:val="44"/>
        </w:rPr>
        <w:t>奖拟提名项目公示</w:t>
      </w:r>
    </w:p>
    <w:p w14:paraId="731074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楷体_GBK" w:cs="Times New Roman"/>
          <w:b/>
          <w:bCs/>
          <w:sz w:val="44"/>
          <w:szCs w:val="44"/>
        </w:rPr>
      </w:pPr>
      <w:r>
        <w:rPr>
          <w:rFonts w:hint="default" w:ascii="Times New Roman" w:hAnsi="Times New Roman" w:eastAsia="方正楷体_GBK" w:cs="Times New Roman"/>
          <w:sz w:val="32"/>
          <w:szCs w:val="32"/>
        </w:rPr>
        <w:t>（20</w:t>
      </w:r>
      <w:r>
        <w:rPr>
          <w:rFonts w:hint="default" w:ascii="Times New Roman" w:hAnsi="Times New Roman" w:eastAsia="方正楷体_GBK" w:cs="Times New Roman"/>
          <w:sz w:val="32"/>
          <w:szCs w:val="32"/>
          <w:lang w:val="en-US" w:eastAsia="zh-CN"/>
        </w:rPr>
        <w:t>25</w:t>
      </w:r>
      <w:r>
        <w:rPr>
          <w:rFonts w:hint="default" w:ascii="Times New Roman" w:hAnsi="Times New Roman" w:eastAsia="方正楷体_GBK" w:cs="Times New Roman"/>
          <w:sz w:val="32"/>
          <w:szCs w:val="32"/>
        </w:rPr>
        <w:t>年度）</w:t>
      </w:r>
    </w:p>
    <w:p w14:paraId="16BA7F5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一、项目名称</w:t>
      </w:r>
    </w:p>
    <w:p w14:paraId="540FBA11">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仿宋" w:cs="Times New Roman"/>
          <w:sz w:val="32"/>
          <w:szCs w:val="32"/>
          <w:lang w:val="en-US" w:eastAsia="zh-CN"/>
        </w:rPr>
        <w:t>面向气体净化的开放框架材料关键技术及应用</w:t>
      </w:r>
    </w:p>
    <w:p w14:paraId="08F2BF86">
      <w:pPr>
        <w:keepNext w:val="0"/>
        <w:keepLines w:val="0"/>
        <w:pageBreakBefore w:val="0"/>
        <w:widowControl w:val="0"/>
        <w:numPr>
          <w:numId w:val="0"/>
        </w:numPr>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二、</w:t>
      </w:r>
      <w:r>
        <w:rPr>
          <w:rFonts w:hint="default" w:ascii="Times New Roman" w:hAnsi="Times New Roman" w:eastAsia="方正黑体_GBK" w:cs="Times New Roman"/>
          <w:b w:val="0"/>
          <w:bCs w:val="0"/>
          <w:sz w:val="32"/>
          <w:szCs w:val="32"/>
        </w:rPr>
        <w:t>提名者</w:t>
      </w:r>
    </w:p>
    <w:p w14:paraId="18B50E37">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重庆市经济和信息化委员会</w:t>
      </w:r>
    </w:p>
    <w:p w14:paraId="1850953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三、</w:t>
      </w:r>
      <w:r>
        <w:rPr>
          <w:rFonts w:hint="default" w:ascii="Times New Roman" w:hAnsi="Times New Roman" w:eastAsia="方正黑体_GBK" w:cs="Times New Roman"/>
          <w:b w:val="0"/>
          <w:bCs w:val="0"/>
          <w:sz w:val="32"/>
          <w:szCs w:val="32"/>
        </w:rPr>
        <w:t>提名等级</w:t>
      </w:r>
    </w:p>
    <w:p w14:paraId="65B4AEE2">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科技进步奖一等奖</w:t>
      </w:r>
    </w:p>
    <w:p w14:paraId="453A6F83">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四、项目简介</w:t>
      </w:r>
    </w:p>
    <w:p w14:paraId="23E38AD3">
      <w:pPr>
        <w:pStyle w:val="23"/>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面向我国在战略气体分离与高端环境气体净化的重大需求，项目针对气体净化技术对高端多孔材料功能设计性差、制备能力不足及应用推广缺乏，突破了开放框架材料从结构机理到工程应用的关键瓶颈，实现了设计由经验指导向机理明确、生产由实验室条件向工业化制造、应用由示范验证向规模推广的跨越。主要创新点如下：</w:t>
      </w:r>
    </w:p>
    <w:p w14:paraId="0C580C8D">
      <w:pPr>
        <w:pStyle w:val="23"/>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1）构建了以新型共价键成键方式、新型金属簇及多重相互作用协同稳定为特征的开放框架新体系；开发了聚合与结晶过程动力学—热力学协同的普适性调控技术，实现框架材料孔径尺寸和孔内化学环境的精确构筑。突破了框架材料在不同气体分离场景下难以实现定向设计的瓶颈，为高效气体净化提供了坚实的材料基础。</w:t>
      </w:r>
    </w:p>
    <w:p w14:paraId="2EAAB0F6">
      <w:pPr>
        <w:pStyle w:val="23"/>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2）发明了开放框架材料绿色连续化规模制备与成型工艺，首创框架材料无溶剂合成策略，实现高效率、高一致性批量化生产；建立框架材料粉体高强度造粒、涂覆与成膜工艺，突破其受“不溶、不熔、不烧结”特征制约的加工成型工程化难题，实现材料从粉体向母粒、柔性膜及工程构件的顺利转化。</w:t>
      </w:r>
    </w:p>
    <w:p w14:paraId="1830F81E">
      <w:pPr>
        <w:pStyle w:val="23"/>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3）构建了非极性小分子（H₂、He）高效筛分体系，实现贫氦天然气中高效富氦，纯度达99.999%；发展极性分子（H₂O、VOCs）深度吸附与超低浓度脱除技术，实现低露点除湿和ppb级污染物去除，填补国内高端制造业对深度除湿与痕量污染物净化需求空白；建立面向生物毒性污染物的高效气体无害化技术，为重大公共卫生事件应急防护提供关键支撑。</w:t>
      </w:r>
    </w:p>
    <w:p w14:paraId="15F85A51">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五、主要完成单位</w:t>
      </w:r>
    </w:p>
    <w:p w14:paraId="7E8E7711">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lang w:val="en-US" w:eastAsia="zh-CN"/>
        </w:rPr>
        <w:t>北京理工大学重庆创新中心、北京理工大学、理工清科（重庆）先进材料研究院有限公司、重庆再升科技股份有限公司、长江师范学院、中石化重庆涪陵页岩气勘探开发有限公司、重庆万凯新材料科技有限公司、北京理工大学前沿技术研究院</w:t>
      </w:r>
    </w:p>
    <w:p w14:paraId="1E1C48C5">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六、主要完成人及其贡献</w:t>
      </w:r>
    </w:p>
    <w:p w14:paraId="5B7DA08C">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14:ligatures w14:val="none"/>
        </w:rPr>
      </w:pPr>
      <w:r>
        <w:rPr>
          <w:rFonts w:hint="default" w:ascii="Times New Roman" w:hAnsi="Times New Roman" w:eastAsia="方正仿宋_GBK" w:cs="Times New Roman"/>
          <w:kern w:val="2"/>
          <w:sz w:val="32"/>
          <w:szCs w:val="32"/>
          <w:lang w:val="en-US" w:eastAsia="zh-CN" w:bidi="ar-SA"/>
          <w14:ligatures w14:val="none"/>
        </w:rPr>
        <w:t>王博，作为主要研发人及组织人，长期关注开放框架材料从结构机理到工程应用方面的研究，组建了一个实力雄厚的研发团队，参与了相关主要专利技术的研发工作，构建了结构可编程、传质可调控、形态可工程化的材料技术体系。作为项目的总指挥，为项目的顺利实施全面部署和协调项目的各项工作。对项目的主要技术创新第1、2、3项做出了贡献，在该项目技术研发中投入的工作量占本人工作总量90%。</w:t>
      </w:r>
    </w:p>
    <w:p w14:paraId="0A54912C">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冯霄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作为项目主要技术负责人，参与了相关主要专利技术的研发工作，负责相关专利技术开发及研发团队的协调及管理工作，负责带领技术团队开展</w:t>
      </w:r>
      <w:r>
        <w:rPr>
          <w:rFonts w:hint="default" w:ascii="Times New Roman" w:hAnsi="Times New Roman" w:eastAsia="方正仿宋_GBK" w:cs="Times New Roman"/>
          <w:sz w:val="32"/>
          <w:szCs w:val="32"/>
          <w:lang w:eastAsia="zh-CN"/>
        </w:rPr>
        <w:t>材料分子设计、制备工艺、结构优化、性能调控到工程应用验证</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eastAsia="zh-CN"/>
        </w:rPr>
        <w:t>系统化研究，</w:t>
      </w:r>
      <w:r>
        <w:rPr>
          <w:rFonts w:hint="default" w:ascii="Times New Roman" w:hAnsi="Times New Roman" w:eastAsia="方正仿宋_GBK" w:cs="Times New Roman"/>
          <w:sz w:val="32"/>
          <w:szCs w:val="32"/>
          <w:lang w:val="en-US" w:eastAsia="zh-CN"/>
        </w:rPr>
        <w:t>。对项目的主要技术创新第1、2、3项做出了贡献，在该项目技术研发中投入的工作量占本人工作总量的90%。</w:t>
      </w:r>
    </w:p>
    <w:p w14:paraId="0DBD37FC">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苏岳峰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为项目主要技术负责人，构建了以新型共价键成键方式、新型金属簇及多重相互作用协同稳定为特征的开放框架新体系，并将开放框架材料气体分子筛分与定向捕获用于非极性小分子高效筛分、极性分子定向捕获及有机与生物污染物降解，为重大公共卫生事件应急防护提供关键支撑。对项目的主要技术创新第1、2、3项做出了贡献，在该项目技术研发中投入的工作量占本人工作总量的90%。</w:t>
      </w:r>
    </w:p>
    <w:p w14:paraId="34B5245D">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刘华丽，作为项目主要技术负责人，参与了相关主要专利技术的研发工作，负责相关专利技术中试及企业技术人员的协调及管理工作，负责相关技术的企业应用推广，积极配合技术团队开展相应的现场实验。对项目的主要技术创新第1、2、3项做出了贡献，在该项目技术研发中投入的工作量占本人工作总量的80%。</w:t>
      </w:r>
    </w:p>
    <w:p w14:paraId="02F71715">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臧红辉，负责相关技术的企业应用推广，组织技术团队开展相应的现场实验，产品的性能测试。对项目的主要技术创新第3项做出了贡献，在该项目技术研发中投入的工作量占本人工作总量的80%。</w:t>
      </w:r>
    </w:p>
    <w:p w14:paraId="7EE2B7C3">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丁佰锁，作为项目主要技术负责人，参与了相关主要专利技术的研发工作，负责相关专利技术中试及企业技术人员的协调及管理工作，负责相关技术的企业应用推广，积极配合技术团队开展相应的现场实验。对项目的主要技术创新第1、2、3项做出了贡献，在该项目技术研发中投入的工作量占本人工作总量的70%。</w:t>
      </w:r>
    </w:p>
    <w:p w14:paraId="64C1BF14">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郭茂，负责相关技术的企业应用推广，组织技术团队开展相应的现场实验，产品的性能测试。对项目的主要技术创新第3项做出了贡献，在该项目技术研发中投入的工作量占本人工作总量的70%。</w:t>
      </w:r>
    </w:p>
    <w:p w14:paraId="16B31F86">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杨金明，负责相关技术的企业应用推广，组织技术团队开展相应的现场实验，产品的性能测试。对项目的主要技术创新第3项做出了贡献，在该项目技术研发中投入的工作量占本人工作总量的70%。</w:t>
      </w:r>
    </w:p>
    <w:p w14:paraId="5001660D">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宋军备，负责相关技术的企业应用推广，组织技术团队开展相应的现场实验，产品的性能测试。对项目的主要技术创新第3项做出了贡献，在该项目技术研发中投入的工作量占本人工作总量的70%。</w:t>
      </w:r>
    </w:p>
    <w:p w14:paraId="740275C8">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赵爽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为项目主要技术负责人，提出了限域空间热聚合、水相/无溶剂连续流反应等绿色合成新策略，创制了保护孔径造粒、热压原位成膜及喷雾涂覆成膜等精密成型技术。对项目的主要技术创新第2项做出了贡献，在该项目技术研发中投入的工作量占本人工作总量的60%。</w:t>
      </w:r>
    </w:p>
    <w:p w14:paraId="31B6CBC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王乾有，项目实施过程中的技术骨干，全程参与制定工艺方案，修改工艺路线，完善工艺流程，同时兼顾与外部资源衔接、沟通，及时将所掌握的资源和工艺优化运用于本工程中。负责了核心专利技术的研发工作，负责核心专利技术中试，组织技术团队开展相应的现场实验。对项目的主要技术创新第2项做出了贡献，在该项目技术研发中投入的工作量占本人工作总量的60%。</w:t>
      </w:r>
    </w:p>
    <w:p w14:paraId="480879FA">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马青朗，项目实施过程中的技术骨干，开发了针对极性气体分子的痕量深度脱除新技术，攻克了超低浓度下极性分子捕获难、吸附容量低、脱附不彻底等技术难题。对项目的主要技术创新第3项做出了贡献，在该项目技术研发中投入的工作量占本人工作总量的60%。</w:t>
      </w:r>
    </w:p>
    <w:p w14:paraId="1A154B3D">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余亮，项目实施过程中的技术骨干，开发了针对极性气体分子的痕量深度脱除新技术，攻克了超低浓度下极性分子捕获难、吸附容量低、脱附不彻底等技术难题。对项目的主要技术创新第3项做出了贡献，在该项目技术研发中投入的工作量占本人工作总量的60%。</w:t>
      </w:r>
    </w:p>
    <w:p w14:paraId="488D985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黄辉胜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为项目主要技术负责人，提出了限域空间热聚合、水相/无溶剂连续流反应等绿色合成新策略，创制了保护孔径造粒、热压原位成膜及喷雾涂覆成膜等精密成型技术。对项目的主要技术创新第2项做出了贡献，在该项目技术研发中投入的工作量占本人工作总量的60%。</w:t>
      </w:r>
    </w:p>
    <w:p w14:paraId="2E3568D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孙志兵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为项目主要技术负责人，提出了限域空间热聚合、水相/无溶剂连续流反应等绿色合成新策略，创制了保护孔径造粒、热压原位成膜及喷雾涂覆成膜等精密成型技术。对项目的主要技术创新第2项做出了贡献，在该项目技术研发中投入的工作量占本人工作总量的60%</w:t>
      </w:r>
      <w:r>
        <w:rPr>
          <w:rFonts w:hint="default" w:ascii="Times New Roman" w:hAnsi="Times New Roman" w:eastAsia="方正仿宋_GBK" w:cs="Times New Roman"/>
          <w:sz w:val="32"/>
          <w:szCs w:val="32"/>
        </w:rPr>
        <w:t>。</w:t>
      </w:r>
    </w:p>
    <w:p w14:paraId="76246D20">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七、主要知识产权和其他支撑材料目录</w:t>
      </w:r>
    </w:p>
    <w:tbl>
      <w:tblPr>
        <w:tblStyle w:val="1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57"/>
        <w:gridCol w:w="1101"/>
        <w:gridCol w:w="1113"/>
        <w:gridCol w:w="1455"/>
        <w:gridCol w:w="1149"/>
        <w:gridCol w:w="1108"/>
        <w:gridCol w:w="1108"/>
      </w:tblGrid>
      <w:tr w14:paraId="0357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4A4575B">
            <w:pPr>
              <w:snapToGrid w:val="0"/>
              <w:spacing w:line="240" w:lineRule="exact"/>
              <w:jc w:val="center"/>
              <w:rPr>
                <w:rFonts w:hint="eastAsia" w:ascii="方正黑体_GBK" w:hAnsi="方正黑体_GBK" w:eastAsia="方正黑体_GBK" w:cs="方正黑体_GBK"/>
                <w:b/>
                <w:bCs/>
                <w:color w:val="auto"/>
                <w:sz w:val="18"/>
                <w:szCs w:val="18"/>
                <w:lang w:val="en-US" w:eastAsia="zh-CN"/>
              </w:rPr>
            </w:pPr>
            <w:r>
              <w:rPr>
                <w:rFonts w:hint="eastAsia" w:ascii="方正黑体_GBK" w:hAnsi="方正黑体_GBK" w:eastAsia="方正黑体_GBK" w:cs="方正黑体_GBK"/>
                <w:b/>
                <w:bCs/>
                <w:color w:val="auto"/>
                <w:sz w:val="18"/>
                <w:szCs w:val="18"/>
                <w:lang w:val="en-US" w:eastAsia="zh-CN"/>
              </w:rPr>
              <w:t>序号</w:t>
            </w:r>
          </w:p>
        </w:tc>
        <w:tc>
          <w:tcPr>
            <w:tcW w:w="1557" w:type="dxa"/>
            <w:vAlign w:val="center"/>
          </w:tcPr>
          <w:p w14:paraId="58D26DD5">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知识产权类别</w:t>
            </w:r>
          </w:p>
        </w:tc>
        <w:tc>
          <w:tcPr>
            <w:tcW w:w="1101" w:type="dxa"/>
            <w:vAlign w:val="center"/>
          </w:tcPr>
          <w:p w14:paraId="7E940C6A">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知识产权具体名称</w:t>
            </w:r>
          </w:p>
        </w:tc>
        <w:tc>
          <w:tcPr>
            <w:tcW w:w="1113" w:type="dxa"/>
            <w:vAlign w:val="center"/>
          </w:tcPr>
          <w:p w14:paraId="0096B23A">
            <w:pPr>
              <w:snapToGrid w:val="0"/>
              <w:spacing w:line="240" w:lineRule="exact"/>
              <w:jc w:val="center"/>
              <w:rPr>
                <w:rFonts w:hint="eastAsia" w:ascii="方正黑体_GBK" w:hAnsi="方正黑体_GBK" w:eastAsia="方正黑体_GBK" w:cs="方正黑体_GBK"/>
                <w:b/>
                <w:bCs/>
                <w:color w:val="auto"/>
                <w:sz w:val="18"/>
                <w:szCs w:val="18"/>
              </w:rPr>
            </w:pPr>
            <w:r>
              <w:rPr>
                <w:rFonts w:hint="eastAsia" w:ascii="方正黑体_GBK" w:hAnsi="方正黑体_GBK" w:eastAsia="方正黑体_GBK" w:cs="方正黑体_GBK"/>
                <w:b/>
                <w:bCs/>
                <w:color w:val="auto"/>
                <w:sz w:val="18"/>
                <w:szCs w:val="18"/>
              </w:rPr>
              <w:t>国家</w:t>
            </w:r>
          </w:p>
          <w:p w14:paraId="1011F0A3">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（地区）</w:t>
            </w:r>
          </w:p>
        </w:tc>
        <w:tc>
          <w:tcPr>
            <w:tcW w:w="1455" w:type="dxa"/>
            <w:vAlign w:val="center"/>
          </w:tcPr>
          <w:p w14:paraId="28D86778">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授权号</w:t>
            </w:r>
          </w:p>
        </w:tc>
        <w:tc>
          <w:tcPr>
            <w:tcW w:w="1149" w:type="dxa"/>
            <w:vAlign w:val="center"/>
          </w:tcPr>
          <w:p w14:paraId="4673FE43">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授权日期</w:t>
            </w:r>
          </w:p>
        </w:tc>
        <w:tc>
          <w:tcPr>
            <w:tcW w:w="1108" w:type="dxa"/>
            <w:vAlign w:val="center"/>
          </w:tcPr>
          <w:p w14:paraId="225AA3E9">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权利人</w:t>
            </w:r>
          </w:p>
        </w:tc>
        <w:tc>
          <w:tcPr>
            <w:tcW w:w="1108" w:type="dxa"/>
            <w:vAlign w:val="center"/>
          </w:tcPr>
          <w:p w14:paraId="492B0834">
            <w:pPr>
              <w:snapToGrid w:val="0"/>
              <w:spacing w:line="240" w:lineRule="exact"/>
              <w:jc w:val="center"/>
              <w:rPr>
                <w:rFonts w:hint="eastAsia" w:ascii="方正黑体_GBK" w:hAnsi="方正黑体_GBK" w:eastAsia="方正黑体_GBK" w:cs="方正黑体_GBK"/>
                <w:b/>
                <w:bCs/>
                <w:color w:val="auto"/>
                <w:kern w:val="2"/>
                <w:sz w:val="18"/>
                <w:szCs w:val="18"/>
                <w:lang w:val="en-US" w:eastAsia="zh-CN" w:bidi="ar-SA"/>
              </w:rPr>
            </w:pPr>
            <w:r>
              <w:rPr>
                <w:rFonts w:hint="eastAsia" w:ascii="方正黑体_GBK" w:hAnsi="方正黑体_GBK" w:eastAsia="方正黑体_GBK" w:cs="方正黑体_GBK"/>
                <w:b/>
                <w:bCs/>
                <w:color w:val="auto"/>
                <w:sz w:val="18"/>
                <w:szCs w:val="18"/>
              </w:rPr>
              <w:t>发明人</w:t>
            </w:r>
          </w:p>
        </w:tc>
      </w:tr>
      <w:tr w14:paraId="1EF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FDF3F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1557" w:type="dxa"/>
            <w:vAlign w:val="center"/>
          </w:tcPr>
          <w:p w14:paraId="1EA9542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24D316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基于喹啉环连接的共价有机框架材料及其制备方法</w:t>
            </w:r>
          </w:p>
        </w:tc>
        <w:tc>
          <w:tcPr>
            <w:tcW w:w="1113" w:type="dxa"/>
            <w:vAlign w:val="center"/>
          </w:tcPr>
          <w:p w14:paraId="786FA9F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773FF5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114292412 B</w:t>
            </w:r>
          </w:p>
        </w:tc>
        <w:tc>
          <w:tcPr>
            <w:tcW w:w="1149" w:type="dxa"/>
            <w:vAlign w:val="center"/>
          </w:tcPr>
          <w:p w14:paraId="5461F9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2022.09.20</w:t>
            </w:r>
          </w:p>
        </w:tc>
        <w:tc>
          <w:tcPr>
            <w:tcW w:w="1108" w:type="dxa"/>
            <w:vAlign w:val="center"/>
          </w:tcPr>
          <w:p w14:paraId="79C11C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北京理工大学;北京理工大学前沿技术研究院</w:t>
            </w:r>
          </w:p>
        </w:tc>
        <w:tc>
          <w:tcPr>
            <w:tcW w:w="1108" w:type="dxa"/>
            <w:vAlign w:val="center"/>
          </w:tcPr>
          <w:p w14:paraId="3F5E8A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王博;冯霄;韩向豪</w:t>
            </w:r>
          </w:p>
        </w:tc>
      </w:tr>
      <w:tr w14:paraId="50BA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7000D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p>
        </w:tc>
        <w:tc>
          <w:tcPr>
            <w:tcW w:w="1557" w:type="dxa"/>
            <w:vAlign w:val="center"/>
          </w:tcPr>
          <w:p w14:paraId="01CE48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bookmarkStart w:id="1" w:name="_GoBack"/>
            <w:bookmarkEnd w:id="1"/>
          </w:p>
        </w:tc>
        <w:tc>
          <w:tcPr>
            <w:tcW w:w="1101" w:type="dxa"/>
            <w:vAlign w:val="center"/>
          </w:tcPr>
          <w:p w14:paraId="1F0C04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一种高价态金属有机框架材料、其制备及应用</w:t>
            </w:r>
          </w:p>
        </w:tc>
        <w:tc>
          <w:tcPr>
            <w:tcW w:w="1113" w:type="dxa"/>
            <w:vAlign w:val="center"/>
          </w:tcPr>
          <w:p w14:paraId="6D92D89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1A84DDA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114196038 B</w:t>
            </w:r>
          </w:p>
        </w:tc>
        <w:tc>
          <w:tcPr>
            <w:tcW w:w="1149" w:type="dxa"/>
            <w:vAlign w:val="center"/>
          </w:tcPr>
          <w:p w14:paraId="33DC05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2022.09.20</w:t>
            </w:r>
          </w:p>
        </w:tc>
        <w:tc>
          <w:tcPr>
            <w:tcW w:w="1108" w:type="dxa"/>
            <w:vAlign w:val="center"/>
          </w:tcPr>
          <w:p w14:paraId="6698FF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北京理工大学;北京理工大学前沿技术研究院</w:t>
            </w:r>
          </w:p>
        </w:tc>
        <w:tc>
          <w:tcPr>
            <w:tcW w:w="1108" w:type="dxa"/>
            <w:vAlign w:val="center"/>
          </w:tcPr>
          <w:p w14:paraId="21BF4F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王博;冯霄;马豆</w:t>
            </w:r>
          </w:p>
        </w:tc>
      </w:tr>
      <w:tr w14:paraId="1CB1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FBA42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w:t>
            </w:r>
          </w:p>
        </w:tc>
        <w:tc>
          <w:tcPr>
            <w:tcW w:w="1557" w:type="dxa"/>
            <w:vAlign w:val="center"/>
          </w:tcPr>
          <w:p w14:paraId="3B29FF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7DBD8E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一种通过合成后修饰使COFs薄膜实现高效分离气体的方法</w:t>
            </w:r>
          </w:p>
        </w:tc>
        <w:tc>
          <w:tcPr>
            <w:tcW w:w="1113" w:type="dxa"/>
            <w:vAlign w:val="center"/>
          </w:tcPr>
          <w:p w14:paraId="06DCDEA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6B75EC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112679781 B</w:t>
            </w:r>
          </w:p>
        </w:tc>
        <w:tc>
          <w:tcPr>
            <w:tcW w:w="1149" w:type="dxa"/>
            <w:vAlign w:val="center"/>
          </w:tcPr>
          <w:p w14:paraId="33DFE7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2021.09.21</w:t>
            </w:r>
          </w:p>
        </w:tc>
        <w:tc>
          <w:tcPr>
            <w:tcW w:w="1108" w:type="dxa"/>
            <w:vAlign w:val="center"/>
          </w:tcPr>
          <w:p w14:paraId="10C96A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北京理工大学;北京理工大学前沿技术研究院</w:t>
            </w:r>
          </w:p>
        </w:tc>
        <w:tc>
          <w:tcPr>
            <w:tcW w:w="1108" w:type="dxa"/>
            <w:vAlign w:val="center"/>
          </w:tcPr>
          <w:p w14:paraId="735C8B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王博;冯霄;井雪纯</w:t>
            </w:r>
          </w:p>
        </w:tc>
      </w:tr>
      <w:tr w14:paraId="197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E896B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1557" w:type="dxa"/>
            <w:vAlign w:val="center"/>
          </w:tcPr>
          <w:p w14:paraId="1AA733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2FBF02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一类具有氢气分离性质的玻璃态 MOF 膜材料及其制备方法</w:t>
            </w:r>
          </w:p>
        </w:tc>
        <w:tc>
          <w:tcPr>
            <w:tcW w:w="1113" w:type="dxa"/>
            <w:vAlign w:val="center"/>
          </w:tcPr>
          <w:p w14:paraId="720585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3048CDF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112717727 B</w:t>
            </w:r>
          </w:p>
        </w:tc>
        <w:tc>
          <w:tcPr>
            <w:tcW w:w="1149" w:type="dxa"/>
            <w:vAlign w:val="center"/>
          </w:tcPr>
          <w:p w14:paraId="1D5595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2022.05.13</w:t>
            </w:r>
          </w:p>
        </w:tc>
        <w:tc>
          <w:tcPr>
            <w:tcW w:w="1108" w:type="dxa"/>
            <w:vAlign w:val="center"/>
          </w:tcPr>
          <w:p w14:paraId="250810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w:t>
            </w:r>
          </w:p>
        </w:tc>
        <w:tc>
          <w:tcPr>
            <w:tcW w:w="1108" w:type="dxa"/>
            <w:vAlign w:val="center"/>
          </w:tcPr>
          <w:p w14:paraId="50B23B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王博;冯霄;李婕</w:t>
            </w:r>
          </w:p>
        </w:tc>
      </w:tr>
      <w:tr w14:paraId="3DC0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47320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1557" w:type="dxa"/>
            <w:vAlign w:val="center"/>
          </w:tcPr>
          <w:p w14:paraId="1773299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6F7DCA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一类可高效分离气体的复合膜材料及其制备方法</w:t>
            </w:r>
          </w:p>
        </w:tc>
        <w:tc>
          <w:tcPr>
            <w:tcW w:w="1113" w:type="dxa"/>
            <w:vAlign w:val="center"/>
          </w:tcPr>
          <w:p w14:paraId="5066B5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30730C3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112717716 B</w:t>
            </w:r>
          </w:p>
        </w:tc>
        <w:tc>
          <w:tcPr>
            <w:tcW w:w="1149" w:type="dxa"/>
            <w:vAlign w:val="center"/>
          </w:tcPr>
          <w:p w14:paraId="587413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2022.04.08</w:t>
            </w:r>
          </w:p>
        </w:tc>
        <w:tc>
          <w:tcPr>
            <w:tcW w:w="1108" w:type="dxa"/>
            <w:vAlign w:val="center"/>
          </w:tcPr>
          <w:p w14:paraId="58A8FF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w:t>
            </w:r>
          </w:p>
        </w:tc>
        <w:tc>
          <w:tcPr>
            <w:tcW w:w="1108" w:type="dxa"/>
            <w:vAlign w:val="center"/>
          </w:tcPr>
          <w:p w14:paraId="7BCB36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王博;冯霄;邵鹏鹏</w:t>
            </w:r>
          </w:p>
        </w:tc>
      </w:tr>
      <w:tr w14:paraId="665D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341928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w:t>
            </w:r>
          </w:p>
        </w:tc>
        <w:tc>
          <w:tcPr>
            <w:tcW w:w="1557" w:type="dxa"/>
            <w:vAlign w:val="center"/>
          </w:tcPr>
          <w:p w14:paraId="5F9DF4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6741AB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一种多孔材料超高负载量混合基质膜的制备方法</w:t>
            </w:r>
          </w:p>
        </w:tc>
        <w:tc>
          <w:tcPr>
            <w:tcW w:w="1113" w:type="dxa"/>
            <w:vAlign w:val="center"/>
          </w:tcPr>
          <w:p w14:paraId="7E9BCD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69FEB4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110052182 B</w:t>
            </w:r>
          </w:p>
        </w:tc>
        <w:tc>
          <w:tcPr>
            <w:tcW w:w="1149" w:type="dxa"/>
            <w:vAlign w:val="center"/>
          </w:tcPr>
          <w:p w14:paraId="631AEC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2020.10.20</w:t>
            </w:r>
          </w:p>
        </w:tc>
        <w:tc>
          <w:tcPr>
            <w:tcW w:w="1108" w:type="dxa"/>
            <w:vAlign w:val="center"/>
          </w:tcPr>
          <w:p w14:paraId="6E173D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w:t>
            </w:r>
          </w:p>
        </w:tc>
        <w:tc>
          <w:tcPr>
            <w:tcW w:w="1108" w:type="dxa"/>
            <w:vAlign w:val="center"/>
          </w:tcPr>
          <w:p w14:paraId="356C8F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王博;冯霄;刘艺;王航;赵爽</w:t>
            </w:r>
          </w:p>
        </w:tc>
      </w:tr>
      <w:tr w14:paraId="1C5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B9C79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w:t>
            </w:r>
          </w:p>
        </w:tc>
        <w:tc>
          <w:tcPr>
            <w:tcW w:w="1557" w:type="dxa"/>
            <w:vAlign w:val="center"/>
          </w:tcPr>
          <w:p w14:paraId="7BB9D6D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1EF97E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ZnO/壳聚糖/ZIF-8联合改性聚丙烯的方法、滤材及防病毒口罩</w:t>
            </w:r>
          </w:p>
        </w:tc>
        <w:tc>
          <w:tcPr>
            <w:tcW w:w="1113" w:type="dxa"/>
            <w:vAlign w:val="center"/>
          </w:tcPr>
          <w:p w14:paraId="77F837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34E43F9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112126154 B</w:t>
            </w:r>
          </w:p>
        </w:tc>
        <w:tc>
          <w:tcPr>
            <w:tcW w:w="1149" w:type="dxa"/>
            <w:vAlign w:val="center"/>
          </w:tcPr>
          <w:p w14:paraId="5F41A4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2022.11.08</w:t>
            </w:r>
          </w:p>
        </w:tc>
        <w:tc>
          <w:tcPr>
            <w:tcW w:w="1108" w:type="dxa"/>
            <w:vAlign w:val="center"/>
          </w:tcPr>
          <w:p w14:paraId="73458D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北京理工大学重庆创新中心、北京理工大学</w:t>
            </w:r>
          </w:p>
        </w:tc>
        <w:tc>
          <w:tcPr>
            <w:tcW w:w="1108" w:type="dxa"/>
            <w:vAlign w:val="center"/>
          </w:tcPr>
          <w:p w14:paraId="148C95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董锦洋;陈来;苏岳锋;卢赟;赵勇;石奇;李永健;徐利锋;吴锋</w:t>
            </w:r>
          </w:p>
        </w:tc>
      </w:tr>
      <w:tr w14:paraId="5E0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2F4D14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w:t>
            </w:r>
          </w:p>
        </w:tc>
        <w:tc>
          <w:tcPr>
            <w:tcW w:w="1557" w:type="dxa"/>
            <w:vAlign w:val="center"/>
          </w:tcPr>
          <w:p w14:paraId="6A6549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266A0D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一种混合基质膜及其制备方法与应用</w:t>
            </w:r>
          </w:p>
        </w:tc>
        <w:tc>
          <w:tcPr>
            <w:tcW w:w="1113" w:type="dxa"/>
            <w:vAlign w:val="center"/>
          </w:tcPr>
          <w:p w14:paraId="3F42AA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2CFCC3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116764462 B</w:t>
            </w:r>
          </w:p>
        </w:tc>
        <w:tc>
          <w:tcPr>
            <w:tcW w:w="1149" w:type="dxa"/>
            <w:vAlign w:val="center"/>
          </w:tcPr>
          <w:p w14:paraId="006831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2025.11.07</w:t>
            </w:r>
          </w:p>
        </w:tc>
        <w:tc>
          <w:tcPr>
            <w:tcW w:w="1108" w:type="dxa"/>
            <w:vAlign w:val="center"/>
          </w:tcPr>
          <w:p w14:paraId="1ACBB1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理工清科（重庆）先进材料研究院有限公司</w:t>
            </w:r>
          </w:p>
        </w:tc>
        <w:tc>
          <w:tcPr>
            <w:tcW w:w="1108" w:type="dxa"/>
            <w:vAlign w:val="center"/>
          </w:tcPr>
          <w:p w14:paraId="55DBC7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丁佰锁,彭婷,刘华丽</w:t>
            </w:r>
          </w:p>
        </w:tc>
      </w:tr>
      <w:tr w14:paraId="32E5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14:paraId="1C5A0A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w:t>
            </w:r>
          </w:p>
        </w:tc>
        <w:tc>
          <w:tcPr>
            <w:tcW w:w="1557" w:type="dxa"/>
            <w:vAlign w:val="center"/>
          </w:tcPr>
          <w:p w14:paraId="43B32F6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031EED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双金属 MOFs 浸渍活性炭吸附剂及其制备方法与应用</w:t>
            </w:r>
          </w:p>
        </w:tc>
        <w:tc>
          <w:tcPr>
            <w:tcW w:w="1113" w:type="dxa"/>
            <w:vAlign w:val="center"/>
          </w:tcPr>
          <w:p w14:paraId="7E91464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4E3EB6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116688952 B</w:t>
            </w:r>
          </w:p>
        </w:tc>
        <w:tc>
          <w:tcPr>
            <w:tcW w:w="1149" w:type="dxa"/>
            <w:vAlign w:val="center"/>
          </w:tcPr>
          <w:p w14:paraId="22F2B3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2025.05.06</w:t>
            </w:r>
          </w:p>
        </w:tc>
        <w:tc>
          <w:tcPr>
            <w:tcW w:w="1108" w:type="dxa"/>
            <w:vAlign w:val="center"/>
          </w:tcPr>
          <w:p w14:paraId="227F60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理工清科（重庆）先进材料研究院有限公司</w:t>
            </w:r>
          </w:p>
        </w:tc>
        <w:tc>
          <w:tcPr>
            <w:tcW w:w="1108" w:type="dxa"/>
            <w:vAlign w:val="center"/>
          </w:tcPr>
          <w:p w14:paraId="721EDE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丁佰锁,彭婷,刘华丽,汪雨</w:t>
            </w:r>
          </w:p>
        </w:tc>
      </w:tr>
      <w:tr w14:paraId="772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3FCD7B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w:t>
            </w:r>
          </w:p>
        </w:tc>
        <w:tc>
          <w:tcPr>
            <w:tcW w:w="1557" w:type="dxa"/>
            <w:vAlign w:val="center"/>
          </w:tcPr>
          <w:p w14:paraId="282AED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发明专利</w:t>
            </w:r>
          </w:p>
        </w:tc>
        <w:tc>
          <w:tcPr>
            <w:tcW w:w="1101" w:type="dxa"/>
            <w:vAlign w:val="center"/>
          </w:tcPr>
          <w:p w14:paraId="382A29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基于低品位热能收集转化复合材料的水蒸发发电器件及其制作方法</w:t>
            </w:r>
          </w:p>
        </w:tc>
        <w:tc>
          <w:tcPr>
            <w:tcW w:w="1113" w:type="dxa"/>
            <w:vAlign w:val="center"/>
          </w:tcPr>
          <w:p w14:paraId="0B2940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中国</w:t>
            </w:r>
          </w:p>
        </w:tc>
        <w:tc>
          <w:tcPr>
            <w:tcW w:w="1455" w:type="dxa"/>
            <w:vAlign w:val="center"/>
          </w:tcPr>
          <w:p w14:paraId="119260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2"/>
                <w:sz w:val="18"/>
                <w:szCs w:val="18"/>
                <w:u w:val="none"/>
                <w:lang w:val="en-US" w:eastAsia="zh-CN" w:bidi="ar-SA"/>
              </w:rPr>
              <w:t>CN 115642828 B</w:t>
            </w:r>
          </w:p>
        </w:tc>
        <w:tc>
          <w:tcPr>
            <w:tcW w:w="1149" w:type="dxa"/>
            <w:vAlign w:val="center"/>
          </w:tcPr>
          <w:p w14:paraId="6BB9CE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2025.11.21</w:t>
            </w:r>
          </w:p>
        </w:tc>
        <w:tc>
          <w:tcPr>
            <w:tcW w:w="1108" w:type="dxa"/>
            <w:vAlign w:val="center"/>
          </w:tcPr>
          <w:p w14:paraId="40874E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理工清科（重庆）先进材料研究院有限公司</w:t>
            </w:r>
          </w:p>
        </w:tc>
        <w:tc>
          <w:tcPr>
            <w:tcW w:w="1108" w:type="dxa"/>
            <w:vAlign w:val="center"/>
          </w:tcPr>
          <w:p w14:paraId="0EFF46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丁佰锁</w:t>
            </w:r>
          </w:p>
        </w:tc>
      </w:tr>
    </w:tbl>
    <w:p w14:paraId="6E5CEFDD">
      <w:pPr>
        <w:keepNext w:val="0"/>
        <w:keepLines w:val="0"/>
        <w:pageBreakBefore w:val="0"/>
        <w:widowControl w:val="0"/>
        <w:kinsoku/>
        <w:wordWrap/>
        <w:overflowPunct/>
        <w:topLinePunct w:val="0"/>
        <w:autoSpaceDE/>
        <w:autoSpaceDN/>
        <w:bidi w:val="0"/>
        <w:adjustRightInd/>
        <w:snapToGrid/>
        <w:textAlignment w:val="auto"/>
        <w:rPr>
          <w:rFonts w:hint="default" w:ascii="方正仿宋_GBK" w:eastAsia="方正仿宋_GBK"/>
          <w:sz w:val="32"/>
          <w:szCs w:val="32"/>
          <w:lang w:val="en-US" w:eastAsia="zh-CN"/>
        </w:rPr>
      </w:pP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思源黑体">
    <w:panose1 w:val="020B0500000000000000"/>
    <w:charset w:val="86"/>
    <w:family w:val="auto"/>
    <w:pitch w:val="default"/>
    <w:sig w:usb0="30000083" w:usb1="2BDF3C10" w:usb2="00000016" w:usb3="00000000" w:csb0="602E0107" w:csb1="00000000"/>
  </w:font>
  <w:font w:name="方正魏碑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文泉驿等宽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EEEE3"/>
    <w:multiLevelType w:val="singleLevel"/>
    <w:tmpl w:val="573EEEE3"/>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2NzU1sDA3MDI2MDZW0lEKTi0uzszPAykwqQUAF47gZiwAAAA="/>
    <w:docVar w:name="commondata" w:val="eyJoZGlkIjoiMGM4OWE1OGU1ZGM2YzhjMWM1ZmE3NjQ4Yzc4Y2FmYjEifQ=="/>
  </w:docVars>
  <w:rsids>
    <w:rsidRoot w:val="001020F6"/>
    <w:rsid w:val="000078B7"/>
    <w:rsid w:val="00010798"/>
    <w:rsid w:val="00013352"/>
    <w:rsid w:val="00014E92"/>
    <w:rsid w:val="000153A7"/>
    <w:rsid w:val="00015E34"/>
    <w:rsid w:val="0002334E"/>
    <w:rsid w:val="00025C7B"/>
    <w:rsid w:val="00040DC6"/>
    <w:rsid w:val="0006348B"/>
    <w:rsid w:val="0006476C"/>
    <w:rsid w:val="00064D5A"/>
    <w:rsid w:val="00066F1C"/>
    <w:rsid w:val="00073716"/>
    <w:rsid w:val="00074BF6"/>
    <w:rsid w:val="000A4FBA"/>
    <w:rsid w:val="000B2768"/>
    <w:rsid w:val="000B448C"/>
    <w:rsid w:val="000B616D"/>
    <w:rsid w:val="000D3FB7"/>
    <w:rsid w:val="000D49D9"/>
    <w:rsid w:val="000E0ACA"/>
    <w:rsid w:val="000F70B1"/>
    <w:rsid w:val="001020F6"/>
    <w:rsid w:val="00103543"/>
    <w:rsid w:val="00105B2A"/>
    <w:rsid w:val="00107C3F"/>
    <w:rsid w:val="00110836"/>
    <w:rsid w:val="001154C9"/>
    <w:rsid w:val="00121422"/>
    <w:rsid w:val="00122665"/>
    <w:rsid w:val="001248E3"/>
    <w:rsid w:val="00126DCE"/>
    <w:rsid w:val="00127684"/>
    <w:rsid w:val="00131598"/>
    <w:rsid w:val="001364D5"/>
    <w:rsid w:val="00140454"/>
    <w:rsid w:val="001417D9"/>
    <w:rsid w:val="00142092"/>
    <w:rsid w:val="0015600E"/>
    <w:rsid w:val="00161934"/>
    <w:rsid w:val="00163163"/>
    <w:rsid w:val="00165332"/>
    <w:rsid w:val="00166493"/>
    <w:rsid w:val="001730AA"/>
    <w:rsid w:val="00190972"/>
    <w:rsid w:val="0019166B"/>
    <w:rsid w:val="0019260D"/>
    <w:rsid w:val="00193D4D"/>
    <w:rsid w:val="00194DB9"/>
    <w:rsid w:val="00195735"/>
    <w:rsid w:val="001A56A2"/>
    <w:rsid w:val="001B1734"/>
    <w:rsid w:val="001B674C"/>
    <w:rsid w:val="001D415F"/>
    <w:rsid w:val="001D5FCC"/>
    <w:rsid w:val="001E0416"/>
    <w:rsid w:val="001E1D51"/>
    <w:rsid w:val="001E7CFB"/>
    <w:rsid w:val="001F06BE"/>
    <w:rsid w:val="001F1E7F"/>
    <w:rsid w:val="001F208E"/>
    <w:rsid w:val="001F2EB7"/>
    <w:rsid w:val="00227F76"/>
    <w:rsid w:val="00231D26"/>
    <w:rsid w:val="0023366A"/>
    <w:rsid w:val="00250A01"/>
    <w:rsid w:val="00251201"/>
    <w:rsid w:val="002667F1"/>
    <w:rsid w:val="0027074F"/>
    <w:rsid w:val="0027171A"/>
    <w:rsid w:val="00271EF1"/>
    <w:rsid w:val="002725BC"/>
    <w:rsid w:val="002822B7"/>
    <w:rsid w:val="0029423A"/>
    <w:rsid w:val="00297D13"/>
    <w:rsid w:val="002A490E"/>
    <w:rsid w:val="002A7D6C"/>
    <w:rsid w:val="002B60E9"/>
    <w:rsid w:val="002C657F"/>
    <w:rsid w:val="002D2858"/>
    <w:rsid w:val="002D5751"/>
    <w:rsid w:val="002D6FB9"/>
    <w:rsid w:val="002F01F2"/>
    <w:rsid w:val="002F2F7D"/>
    <w:rsid w:val="002F4C14"/>
    <w:rsid w:val="002F646F"/>
    <w:rsid w:val="003111DE"/>
    <w:rsid w:val="0031392B"/>
    <w:rsid w:val="00321B5A"/>
    <w:rsid w:val="003246CF"/>
    <w:rsid w:val="00331AE0"/>
    <w:rsid w:val="003363CD"/>
    <w:rsid w:val="0033653D"/>
    <w:rsid w:val="00336A19"/>
    <w:rsid w:val="0033742C"/>
    <w:rsid w:val="003470C9"/>
    <w:rsid w:val="00355085"/>
    <w:rsid w:val="00355955"/>
    <w:rsid w:val="00365201"/>
    <w:rsid w:val="00373B22"/>
    <w:rsid w:val="003804D9"/>
    <w:rsid w:val="00382141"/>
    <w:rsid w:val="003841DC"/>
    <w:rsid w:val="00386F24"/>
    <w:rsid w:val="0038710C"/>
    <w:rsid w:val="00396B9A"/>
    <w:rsid w:val="003A0892"/>
    <w:rsid w:val="003A56B4"/>
    <w:rsid w:val="003B038A"/>
    <w:rsid w:val="003B08B6"/>
    <w:rsid w:val="003B2EF4"/>
    <w:rsid w:val="003B485B"/>
    <w:rsid w:val="003B692B"/>
    <w:rsid w:val="003C09F6"/>
    <w:rsid w:val="003C3AE1"/>
    <w:rsid w:val="003C4454"/>
    <w:rsid w:val="003D0AF7"/>
    <w:rsid w:val="003D12BD"/>
    <w:rsid w:val="003D5791"/>
    <w:rsid w:val="003E2EC6"/>
    <w:rsid w:val="003E3FA9"/>
    <w:rsid w:val="003E6A90"/>
    <w:rsid w:val="003F041A"/>
    <w:rsid w:val="003F0F7E"/>
    <w:rsid w:val="00401E4C"/>
    <w:rsid w:val="004024F7"/>
    <w:rsid w:val="00402B0B"/>
    <w:rsid w:val="00402EAC"/>
    <w:rsid w:val="00414295"/>
    <w:rsid w:val="00417D2E"/>
    <w:rsid w:val="00423C3F"/>
    <w:rsid w:val="0042674B"/>
    <w:rsid w:val="00441C07"/>
    <w:rsid w:val="0044599E"/>
    <w:rsid w:val="0045157B"/>
    <w:rsid w:val="004635A9"/>
    <w:rsid w:val="0047262D"/>
    <w:rsid w:val="004859AF"/>
    <w:rsid w:val="00492EEB"/>
    <w:rsid w:val="004958F9"/>
    <w:rsid w:val="00496BA1"/>
    <w:rsid w:val="004A09F6"/>
    <w:rsid w:val="004A721A"/>
    <w:rsid w:val="004B5275"/>
    <w:rsid w:val="004B53B6"/>
    <w:rsid w:val="004C4778"/>
    <w:rsid w:val="004E1892"/>
    <w:rsid w:val="004E31F9"/>
    <w:rsid w:val="004E3490"/>
    <w:rsid w:val="004E3996"/>
    <w:rsid w:val="004E5987"/>
    <w:rsid w:val="004F0DDD"/>
    <w:rsid w:val="004F2A24"/>
    <w:rsid w:val="004F6B77"/>
    <w:rsid w:val="0050356C"/>
    <w:rsid w:val="00504136"/>
    <w:rsid w:val="005134FA"/>
    <w:rsid w:val="005151B4"/>
    <w:rsid w:val="00521850"/>
    <w:rsid w:val="00523CFB"/>
    <w:rsid w:val="005256AE"/>
    <w:rsid w:val="00527B66"/>
    <w:rsid w:val="00530442"/>
    <w:rsid w:val="005358D5"/>
    <w:rsid w:val="00536525"/>
    <w:rsid w:val="005366FE"/>
    <w:rsid w:val="00537346"/>
    <w:rsid w:val="00544284"/>
    <w:rsid w:val="00545F95"/>
    <w:rsid w:val="00552B21"/>
    <w:rsid w:val="00560C0D"/>
    <w:rsid w:val="00563344"/>
    <w:rsid w:val="00581E87"/>
    <w:rsid w:val="00584287"/>
    <w:rsid w:val="005903F9"/>
    <w:rsid w:val="005914DD"/>
    <w:rsid w:val="005A0D98"/>
    <w:rsid w:val="005A279E"/>
    <w:rsid w:val="005B15D9"/>
    <w:rsid w:val="005B1D38"/>
    <w:rsid w:val="005B3B22"/>
    <w:rsid w:val="005B70E8"/>
    <w:rsid w:val="005D12FF"/>
    <w:rsid w:val="005E13BC"/>
    <w:rsid w:val="005E1744"/>
    <w:rsid w:val="005F476E"/>
    <w:rsid w:val="00603705"/>
    <w:rsid w:val="006150DC"/>
    <w:rsid w:val="00616825"/>
    <w:rsid w:val="00616F8B"/>
    <w:rsid w:val="006223BA"/>
    <w:rsid w:val="006250D1"/>
    <w:rsid w:val="006265F9"/>
    <w:rsid w:val="006279D2"/>
    <w:rsid w:val="00632163"/>
    <w:rsid w:val="00645657"/>
    <w:rsid w:val="00647C9F"/>
    <w:rsid w:val="0067250A"/>
    <w:rsid w:val="006959AF"/>
    <w:rsid w:val="006A151F"/>
    <w:rsid w:val="006A2886"/>
    <w:rsid w:val="006A30A3"/>
    <w:rsid w:val="006B0D7B"/>
    <w:rsid w:val="006B1CD4"/>
    <w:rsid w:val="006B6E9D"/>
    <w:rsid w:val="006E4BFE"/>
    <w:rsid w:val="006E5966"/>
    <w:rsid w:val="006E6034"/>
    <w:rsid w:val="006E65CF"/>
    <w:rsid w:val="00706B01"/>
    <w:rsid w:val="00707790"/>
    <w:rsid w:val="00707EF2"/>
    <w:rsid w:val="00710C86"/>
    <w:rsid w:val="007273C8"/>
    <w:rsid w:val="0072782E"/>
    <w:rsid w:val="00730CC9"/>
    <w:rsid w:val="00733DE0"/>
    <w:rsid w:val="00734B2D"/>
    <w:rsid w:val="0074113E"/>
    <w:rsid w:val="00742A9F"/>
    <w:rsid w:val="00742C0E"/>
    <w:rsid w:val="00750AFA"/>
    <w:rsid w:val="00757084"/>
    <w:rsid w:val="0076671D"/>
    <w:rsid w:val="0078309F"/>
    <w:rsid w:val="00797E2A"/>
    <w:rsid w:val="007A3AD7"/>
    <w:rsid w:val="007B7BDB"/>
    <w:rsid w:val="007C2487"/>
    <w:rsid w:val="007C52CA"/>
    <w:rsid w:val="007C612A"/>
    <w:rsid w:val="007D03D5"/>
    <w:rsid w:val="007D083C"/>
    <w:rsid w:val="007E4BF9"/>
    <w:rsid w:val="007F2A00"/>
    <w:rsid w:val="008044D7"/>
    <w:rsid w:val="00810325"/>
    <w:rsid w:val="008111B1"/>
    <w:rsid w:val="008134F8"/>
    <w:rsid w:val="00815241"/>
    <w:rsid w:val="00822814"/>
    <w:rsid w:val="0082342F"/>
    <w:rsid w:val="00826D93"/>
    <w:rsid w:val="0083092A"/>
    <w:rsid w:val="00835264"/>
    <w:rsid w:val="00836D07"/>
    <w:rsid w:val="00841C52"/>
    <w:rsid w:val="00851F57"/>
    <w:rsid w:val="008636B1"/>
    <w:rsid w:val="00866B8E"/>
    <w:rsid w:val="00870983"/>
    <w:rsid w:val="008753D9"/>
    <w:rsid w:val="00875EFA"/>
    <w:rsid w:val="008762D1"/>
    <w:rsid w:val="0088251D"/>
    <w:rsid w:val="008A26CB"/>
    <w:rsid w:val="008A3FAD"/>
    <w:rsid w:val="008A42B4"/>
    <w:rsid w:val="008B7F96"/>
    <w:rsid w:val="008C165D"/>
    <w:rsid w:val="008C7E46"/>
    <w:rsid w:val="008D6FB0"/>
    <w:rsid w:val="008F24E0"/>
    <w:rsid w:val="008F5DED"/>
    <w:rsid w:val="0090775C"/>
    <w:rsid w:val="00916743"/>
    <w:rsid w:val="009219FE"/>
    <w:rsid w:val="0093193E"/>
    <w:rsid w:val="00947182"/>
    <w:rsid w:val="00947C4E"/>
    <w:rsid w:val="0095212D"/>
    <w:rsid w:val="0095547F"/>
    <w:rsid w:val="00963D34"/>
    <w:rsid w:val="009773A9"/>
    <w:rsid w:val="009815AC"/>
    <w:rsid w:val="0098689C"/>
    <w:rsid w:val="009872BB"/>
    <w:rsid w:val="0099554E"/>
    <w:rsid w:val="009A13C9"/>
    <w:rsid w:val="009A621A"/>
    <w:rsid w:val="009B221A"/>
    <w:rsid w:val="009B46FB"/>
    <w:rsid w:val="009C0217"/>
    <w:rsid w:val="009C51ED"/>
    <w:rsid w:val="009D303E"/>
    <w:rsid w:val="009E1D85"/>
    <w:rsid w:val="009E3F35"/>
    <w:rsid w:val="009F38B2"/>
    <w:rsid w:val="009F75C8"/>
    <w:rsid w:val="00A0409D"/>
    <w:rsid w:val="00A05CCE"/>
    <w:rsid w:val="00A10889"/>
    <w:rsid w:val="00A11D35"/>
    <w:rsid w:val="00A13021"/>
    <w:rsid w:val="00A2297B"/>
    <w:rsid w:val="00A27659"/>
    <w:rsid w:val="00A32731"/>
    <w:rsid w:val="00A446DA"/>
    <w:rsid w:val="00A51AAB"/>
    <w:rsid w:val="00A545F9"/>
    <w:rsid w:val="00A57F76"/>
    <w:rsid w:val="00A60F2F"/>
    <w:rsid w:val="00A61024"/>
    <w:rsid w:val="00A613D0"/>
    <w:rsid w:val="00A62844"/>
    <w:rsid w:val="00A63D48"/>
    <w:rsid w:val="00A74290"/>
    <w:rsid w:val="00A76CD0"/>
    <w:rsid w:val="00A83D64"/>
    <w:rsid w:val="00A853D7"/>
    <w:rsid w:val="00A9536B"/>
    <w:rsid w:val="00A972BF"/>
    <w:rsid w:val="00AA086C"/>
    <w:rsid w:val="00AA2D4C"/>
    <w:rsid w:val="00AA3AEA"/>
    <w:rsid w:val="00AA3E70"/>
    <w:rsid w:val="00AA4966"/>
    <w:rsid w:val="00AC3150"/>
    <w:rsid w:val="00AD5EEB"/>
    <w:rsid w:val="00AD7694"/>
    <w:rsid w:val="00AF0884"/>
    <w:rsid w:val="00AF1CB2"/>
    <w:rsid w:val="00B20039"/>
    <w:rsid w:val="00B248CA"/>
    <w:rsid w:val="00B263A8"/>
    <w:rsid w:val="00B2762A"/>
    <w:rsid w:val="00B310C6"/>
    <w:rsid w:val="00B32445"/>
    <w:rsid w:val="00B32C88"/>
    <w:rsid w:val="00B36BD4"/>
    <w:rsid w:val="00B40245"/>
    <w:rsid w:val="00B6203D"/>
    <w:rsid w:val="00B6321E"/>
    <w:rsid w:val="00B67737"/>
    <w:rsid w:val="00B707FD"/>
    <w:rsid w:val="00B715C3"/>
    <w:rsid w:val="00B74977"/>
    <w:rsid w:val="00B7499E"/>
    <w:rsid w:val="00B7618D"/>
    <w:rsid w:val="00B77157"/>
    <w:rsid w:val="00B82448"/>
    <w:rsid w:val="00BA1C73"/>
    <w:rsid w:val="00BC78FD"/>
    <w:rsid w:val="00BC7C25"/>
    <w:rsid w:val="00BD45A2"/>
    <w:rsid w:val="00BE1A95"/>
    <w:rsid w:val="00BE3117"/>
    <w:rsid w:val="00C015E6"/>
    <w:rsid w:val="00C02A48"/>
    <w:rsid w:val="00C03EB8"/>
    <w:rsid w:val="00C04057"/>
    <w:rsid w:val="00C05B6E"/>
    <w:rsid w:val="00C06184"/>
    <w:rsid w:val="00C125A7"/>
    <w:rsid w:val="00C130E3"/>
    <w:rsid w:val="00C157B7"/>
    <w:rsid w:val="00C25FE6"/>
    <w:rsid w:val="00C333A7"/>
    <w:rsid w:val="00C42FDF"/>
    <w:rsid w:val="00C4501B"/>
    <w:rsid w:val="00C46D26"/>
    <w:rsid w:val="00C55680"/>
    <w:rsid w:val="00C65484"/>
    <w:rsid w:val="00C6629F"/>
    <w:rsid w:val="00C67C7E"/>
    <w:rsid w:val="00CA4AE7"/>
    <w:rsid w:val="00CB0F14"/>
    <w:rsid w:val="00CB3FE0"/>
    <w:rsid w:val="00CC33CE"/>
    <w:rsid w:val="00CD408C"/>
    <w:rsid w:val="00CF0F2C"/>
    <w:rsid w:val="00CF273C"/>
    <w:rsid w:val="00D02EEB"/>
    <w:rsid w:val="00D06202"/>
    <w:rsid w:val="00D145B1"/>
    <w:rsid w:val="00D21458"/>
    <w:rsid w:val="00D30461"/>
    <w:rsid w:val="00D30A14"/>
    <w:rsid w:val="00D358E4"/>
    <w:rsid w:val="00D407E1"/>
    <w:rsid w:val="00D42C82"/>
    <w:rsid w:val="00D43361"/>
    <w:rsid w:val="00D52774"/>
    <w:rsid w:val="00D5776A"/>
    <w:rsid w:val="00D62305"/>
    <w:rsid w:val="00D62767"/>
    <w:rsid w:val="00D7095F"/>
    <w:rsid w:val="00D72ED8"/>
    <w:rsid w:val="00D82013"/>
    <w:rsid w:val="00D95248"/>
    <w:rsid w:val="00D95A0E"/>
    <w:rsid w:val="00DB4E72"/>
    <w:rsid w:val="00DC26AE"/>
    <w:rsid w:val="00DC7E96"/>
    <w:rsid w:val="00DD20EF"/>
    <w:rsid w:val="00DE0D74"/>
    <w:rsid w:val="00DE60EC"/>
    <w:rsid w:val="00E02CBC"/>
    <w:rsid w:val="00E1166C"/>
    <w:rsid w:val="00E122D1"/>
    <w:rsid w:val="00E130BC"/>
    <w:rsid w:val="00E25E7E"/>
    <w:rsid w:val="00E3260B"/>
    <w:rsid w:val="00E37BBA"/>
    <w:rsid w:val="00E40162"/>
    <w:rsid w:val="00E430EE"/>
    <w:rsid w:val="00E51B4E"/>
    <w:rsid w:val="00E57F01"/>
    <w:rsid w:val="00E6044C"/>
    <w:rsid w:val="00E63217"/>
    <w:rsid w:val="00E66970"/>
    <w:rsid w:val="00E719BF"/>
    <w:rsid w:val="00E71C3C"/>
    <w:rsid w:val="00E72FB6"/>
    <w:rsid w:val="00E81AE4"/>
    <w:rsid w:val="00E9719B"/>
    <w:rsid w:val="00EA39EE"/>
    <w:rsid w:val="00EA7B4F"/>
    <w:rsid w:val="00EB38CC"/>
    <w:rsid w:val="00EB4ECA"/>
    <w:rsid w:val="00EB558D"/>
    <w:rsid w:val="00EB63DD"/>
    <w:rsid w:val="00EB7ADD"/>
    <w:rsid w:val="00ED5249"/>
    <w:rsid w:val="00EE0868"/>
    <w:rsid w:val="00EE15BA"/>
    <w:rsid w:val="00F00730"/>
    <w:rsid w:val="00F05418"/>
    <w:rsid w:val="00F227A2"/>
    <w:rsid w:val="00F22CB6"/>
    <w:rsid w:val="00F23F3A"/>
    <w:rsid w:val="00F30020"/>
    <w:rsid w:val="00F30473"/>
    <w:rsid w:val="00F50097"/>
    <w:rsid w:val="00F5252A"/>
    <w:rsid w:val="00F52CFA"/>
    <w:rsid w:val="00F55147"/>
    <w:rsid w:val="00F55781"/>
    <w:rsid w:val="00F62892"/>
    <w:rsid w:val="00F84692"/>
    <w:rsid w:val="00F95D46"/>
    <w:rsid w:val="00FA2098"/>
    <w:rsid w:val="00FB1507"/>
    <w:rsid w:val="00FB373C"/>
    <w:rsid w:val="00FB547A"/>
    <w:rsid w:val="00FB60F1"/>
    <w:rsid w:val="00FC5547"/>
    <w:rsid w:val="00FD40AC"/>
    <w:rsid w:val="00FE15E3"/>
    <w:rsid w:val="00FE32C7"/>
    <w:rsid w:val="00FE3DE9"/>
    <w:rsid w:val="00FF0414"/>
    <w:rsid w:val="01F504C2"/>
    <w:rsid w:val="02117712"/>
    <w:rsid w:val="02E610CF"/>
    <w:rsid w:val="037405E1"/>
    <w:rsid w:val="04F027A9"/>
    <w:rsid w:val="04F60F5D"/>
    <w:rsid w:val="04FA4552"/>
    <w:rsid w:val="051A6F66"/>
    <w:rsid w:val="05520877"/>
    <w:rsid w:val="05C3315A"/>
    <w:rsid w:val="06031D65"/>
    <w:rsid w:val="062C7A39"/>
    <w:rsid w:val="080A5EBF"/>
    <w:rsid w:val="082E5202"/>
    <w:rsid w:val="089B79AC"/>
    <w:rsid w:val="09C0632E"/>
    <w:rsid w:val="0A661DAB"/>
    <w:rsid w:val="0A7375B2"/>
    <w:rsid w:val="0AE95411"/>
    <w:rsid w:val="0AFC3A37"/>
    <w:rsid w:val="0B444E7F"/>
    <w:rsid w:val="0B755420"/>
    <w:rsid w:val="0B9A2898"/>
    <w:rsid w:val="0CF87B8D"/>
    <w:rsid w:val="0D4A47F3"/>
    <w:rsid w:val="0DFF5585"/>
    <w:rsid w:val="0E83347D"/>
    <w:rsid w:val="0EFE3455"/>
    <w:rsid w:val="0FDC5544"/>
    <w:rsid w:val="0FF54858"/>
    <w:rsid w:val="102412AA"/>
    <w:rsid w:val="11131439"/>
    <w:rsid w:val="11A55E09"/>
    <w:rsid w:val="11F12DFD"/>
    <w:rsid w:val="132754F7"/>
    <w:rsid w:val="13543737"/>
    <w:rsid w:val="13D40775"/>
    <w:rsid w:val="14747BBE"/>
    <w:rsid w:val="14DC5FE6"/>
    <w:rsid w:val="14E135FC"/>
    <w:rsid w:val="1549557C"/>
    <w:rsid w:val="15B4486D"/>
    <w:rsid w:val="160D53CE"/>
    <w:rsid w:val="16825D60"/>
    <w:rsid w:val="16881F81"/>
    <w:rsid w:val="177AFB99"/>
    <w:rsid w:val="17AB3A62"/>
    <w:rsid w:val="17D96F59"/>
    <w:rsid w:val="181D5E04"/>
    <w:rsid w:val="194D9450"/>
    <w:rsid w:val="195A0B4F"/>
    <w:rsid w:val="196B727E"/>
    <w:rsid w:val="1A8E045F"/>
    <w:rsid w:val="1AB17E55"/>
    <w:rsid w:val="1AF916A0"/>
    <w:rsid w:val="1CC73445"/>
    <w:rsid w:val="1D511BBF"/>
    <w:rsid w:val="1DC6338F"/>
    <w:rsid w:val="1E3F4B35"/>
    <w:rsid w:val="1E805C34"/>
    <w:rsid w:val="1E8C282B"/>
    <w:rsid w:val="1F153682"/>
    <w:rsid w:val="1F5617E3"/>
    <w:rsid w:val="1F817EB6"/>
    <w:rsid w:val="1FDEB95B"/>
    <w:rsid w:val="1FEE7961"/>
    <w:rsid w:val="223111F3"/>
    <w:rsid w:val="22A30143"/>
    <w:rsid w:val="237E664E"/>
    <w:rsid w:val="2444710E"/>
    <w:rsid w:val="250D579E"/>
    <w:rsid w:val="253634F0"/>
    <w:rsid w:val="255F52DD"/>
    <w:rsid w:val="25711DDF"/>
    <w:rsid w:val="274272F5"/>
    <w:rsid w:val="2765379E"/>
    <w:rsid w:val="28164F13"/>
    <w:rsid w:val="29EE3043"/>
    <w:rsid w:val="2A731E32"/>
    <w:rsid w:val="2AF6028B"/>
    <w:rsid w:val="2BE1588C"/>
    <w:rsid w:val="2D742BF6"/>
    <w:rsid w:val="2D933744"/>
    <w:rsid w:val="2DA07759"/>
    <w:rsid w:val="2DE56040"/>
    <w:rsid w:val="2F4A02C4"/>
    <w:rsid w:val="2FCC6B91"/>
    <w:rsid w:val="30D047F9"/>
    <w:rsid w:val="319B6BB5"/>
    <w:rsid w:val="31ED2707"/>
    <w:rsid w:val="32D0096E"/>
    <w:rsid w:val="32F04CDF"/>
    <w:rsid w:val="32FD11AA"/>
    <w:rsid w:val="331343F9"/>
    <w:rsid w:val="35337105"/>
    <w:rsid w:val="35610116"/>
    <w:rsid w:val="374F173F"/>
    <w:rsid w:val="378679C0"/>
    <w:rsid w:val="37DD15AA"/>
    <w:rsid w:val="38033706"/>
    <w:rsid w:val="386D0205"/>
    <w:rsid w:val="389F5168"/>
    <w:rsid w:val="396C302A"/>
    <w:rsid w:val="3A422AA2"/>
    <w:rsid w:val="3B516536"/>
    <w:rsid w:val="3B8D2134"/>
    <w:rsid w:val="3C190A39"/>
    <w:rsid w:val="3C3A2BDD"/>
    <w:rsid w:val="3C4D4F50"/>
    <w:rsid w:val="3C97441D"/>
    <w:rsid w:val="3CD817E2"/>
    <w:rsid w:val="3D6F5BE0"/>
    <w:rsid w:val="3DDEDD1F"/>
    <w:rsid w:val="3DF31B27"/>
    <w:rsid w:val="3EB31234"/>
    <w:rsid w:val="3EFF92F1"/>
    <w:rsid w:val="3EFFE65A"/>
    <w:rsid w:val="3F2661B3"/>
    <w:rsid w:val="402F4D5C"/>
    <w:rsid w:val="411671C4"/>
    <w:rsid w:val="41171BBB"/>
    <w:rsid w:val="41BD4926"/>
    <w:rsid w:val="42B2063A"/>
    <w:rsid w:val="42EF4FB3"/>
    <w:rsid w:val="431502D9"/>
    <w:rsid w:val="435272F0"/>
    <w:rsid w:val="43793414"/>
    <w:rsid w:val="447D006E"/>
    <w:rsid w:val="46DA7D28"/>
    <w:rsid w:val="46EC688F"/>
    <w:rsid w:val="47CB3ECE"/>
    <w:rsid w:val="485E60C8"/>
    <w:rsid w:val="48C9740D"/>
    <w:rsid w:val="49303C95"/>
    <w:rsid w:val="49431BB4"/>
    <w:rsid w:val="49470249"/>
    <w:rsid w:val="496F474D"/>
    <w:rsid w:val="49B94FFB"/>
    <w:rsid w:val="4A5A3216"/>
    <w:rsid w:val="4AFE4E52"/>
    <w:rsid w:val="4B6422B6"/>
    <w:rsid w:val="4B6D3720"/>
    <w:rsid w:val="4C0A0767"/>
    <w:rsid w:val="4C1672E0"/>
    <w:rsid w:val="4CB24937"/>
    <w:rsid w:val="4CBA03DF"/>
    <w:rsid w:val="4D942FD5"/>
    <w:rsid w:val="4DF93815"/>
    <w:rsid w:val="4E8A2033"/>
    <w:rsid w:val="4EAA2B1D"/>
    <w:rsid w:val="4EDD4E60"/>
    <w:rsid w:val="4FD80B7D"/>
    <w:rsid w:val="50885343"/>
    <w:rsid w:val="55835CD9"/>
    <w:rsid w:val="56996C9C"/>
    <w:rsid w:val="577D00FD"/>
    <w:rsid w:val="57BF18C4"/>
    <w:rsid w:val="57C40364"/>
    <w:rsid w:val="57FF311C"/>
    <w:rsid w:val="585F008D"/>
    <w:rsid w:val="59567118"/>
    <w:rsid w:val="59805353"/>
    <w:rsid w:val="5A783688"/>
    <w:rsid w:val="5B693926"/>
    <w:rsid w:val="5CA754B2"/>
    <w:rsid w:val="5D5C103F"/>
    <w:rsid w:val="5E1E4546"/>
    <w:rsid w:val="5E40626B"/>
    <w:rsid w:val="5E745F14"/>
    <w:rsid w:val="5E96232F"/>
    <w:rsid w:val="5EF52A15"/>
    <w:rsid w:val="5EFD0600"/>
    <w:rsid w:val="5F450243"/>
    <w:rsid w:val="5FEC203A"/>
    <w:rsid w:val="5FFFDF40"/>
    <w:rsid w:val="617B67E3"/>
    <w:rsid w:val="618F2A1B"/>
    <w:rsid w:val="61E810F3"/>
    <w:rsid w:val="6223037D"/>
    <w:rsid w:val="624B54D9"/>
    <w:rsid w:val="624B69FD"/>
    <w:rsid w:val="62AE2353"/>
    <w:rsid w:val="63436BE9"/>
    <w:rsid w:val="635900C9"/>
    <w:rsid w:val="63780255"/>
    <w:rsid w:val="63C17E4E"/>
    <w:rsid w:val="63D43986"/>
    <w:rsid w:val="64056B95"/>
    <w:rsid w:val="64E42046"/>
    <w:rsid w:val="65B56EDA"/>
    <w:rsid w:val="66A57C79"/>
    <w:rsid w:val="66CBC9BA"/>
    <w:rsid w:val="67ED5E0C"/>
    <w:rsid w:val="67FCC5DC"/>
    <w:rsid w:val="684A5FEB"/>
    <w:rsid w:val="68604EC2"/>
    <w:rsid w:val="68A509B6"/>
    <w:rsid w:val="68D0308C"/>
    <w:rsid w:val="69593AB8"/>
    <w:rsid w:val="69AB4987"/>
    <w:rsid w:val="6A25179F"/>
    <w:rsid w:val="6A701C86"/>
    <w:rsid w:val="6AEF5059"/>
    <w:rsid w:val="6B785296"/>
    <w:rsid w:val="6C3D203B"/>
    <w:rsid w:val="6D2F407A"/>
    <w:rsid w:val="6E445903"/>
    <w:rsid w:val="6F2D6176"/>
    <w:rsid w:val="6F7F256D"/>
    <w:rsid w:val="6FE38857"/>
    <w:rsid w:val="6FF76896"/>
    <w:rsid w:val="7055435C"/>
    <w:rsid w:val="71153587"/>
    <w:rsid w:val="711D4F3D"/>
    <w:rsid w:val="71265898"/>
    <w:rsid w:val="712D08D1"/>
    <w:rsid w:val="713E1429"/>
    <w:rsid w:val="71EF5337"/>
    <w:rsid w:val="724C3580"/>
    <w:rsid w:val="72E23678"/>
    <w:rsid w:val="72E476B5"/>
    <w:rsid w:val="74566390"/>
    <w:rsid w:val="7479207F"/>
    <w:rsid w:val="75026DF5"/>
    <w:rsid w:val="756DC8F1"/>
    <w:rsid w:val="765B3093"/>
    <w:rsid w:val="76DE16E8"/>
    <w:rsid w:val="78875916"/>
    <w:rsid w:val="79FC7092"/>
    <w:rsid w:val="7A196581"/>
    <w:rsid w:val="7AA5772A"/>
    <w:rsid w:val="7ADD172D"/>
    <w:rsid w:val="7AF7C0E1"/>
    <w:rsid w:val="7B687429"/>
    <w:rsid w:val="7BFD4F74"/>
    <w:rsid w:val="7BFD86DA"/>
    <w:rsid w:val="7CFDC0A0"/>
    <w:rsid w:val="7D637428"/>
    <w:rsid w:val="7DA261A2"/>
    <w:rsid w:val="7DF72D87"/>
    <w:rsid w:val="7EBFBF60"/>
    <w:rsid w:val="7EC62364"/>
    <w:rsid w:val="7ECB2594"/>
    <w:rsid w:val="7F96E0D3"/>
    <w:rsid w:val="9EBA3963"/>
    <w:rsid w:val="9FF33412"/>
    <w:rsid w:val="AB9FB554"/>
    <w:rsid w:val="AF399576"/>
    <w:rsid w:val="AF5B21F6"/>
    <w:rsid w:val="B7F659E8"/>
    <w:rsid w:val="B8A78E56"/>
    <w:rsid w:val="BA07C65B"/>
    <w:rsid w:val="BC3E611C"/>
    <w:rsid w:val="BFEF44C0"/>
    <w:rsid w:val="C2E9969F"/>
    <w:rsid w:val="CD5CD56F"/>
    <w:rsid w:val="D6EDAEF9"/>
    <w:rsid w:val="DDAF4E50"/>
    <w:rsid w:val="DE3BD8F8"/>
    <w:rsid w:val="DE76E02E"/>
    <w:rsid w:val="DEAC8A38"/>
    <w:rsid w:val="DEFF7C31"/>
    <w:rsid w:val="DF6C3FD0"/>
    <w:rsid w:val="DF9E8217"/>
    <w:rsid w:val="DFE34637"/>
    <w:rsid w:val="DFF54476"/>
    <w:rsid w:val="E23FC96B"/>
    <w:rsid w:val="E9DD1F9A"/>
    <w:rsid w:val="EEBF6255"/>
    <w:rsid w:val="F3C71BDD"/>
    <w:rsid w:val="F3ED080D"/>
    <w:rsid w:val="F5AF39B6"/>
    <w:rsid w:val="F5FB542C"/>
    <w:rsid w:val="F7BF3707"/>
    <w:rsid w:val="F7DB3188"/>
    <w:rsid w:val="F97C456F"/>
    <w:rsid w:val="FB675B5F"/>
    <w:rsid w:val="FC2E76F0"/>
    <w:rsid w:val="FDBF5386"/>
    <w:rsid w:val="FDFE88ED"/>
    <w:rsid w:val="FE7D8804"/>
    <w:rsid w:val="FFB14C8E"/>
    <w:rsid w:val="FFDF8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List Number"/>
    <w:basedOn w:val="1"/>
    <w:semiHidden/>
    <w:unhideWhenUsed/>
    <w:qFormat/>
    <w:uiPriority w:val="99"/>
    <w:pPr>
      <w:numPr>
        <w:ilvl w:val="0"/>
        <w:numId w:val="1"/>
      </w:numPr>
    </w:pPr>
  </w:style>
  <w:style w:type="paragraph" w:styleId="4">
    <w:name w:val="Normal Indent"/>
    <w:basedOn w:val="1"/>
    <w:next w:val="1"/>
    <w:unhideWhenUsed/>
    <w:qFormat/>
    <w:uiPriority w:val="99"/>
    <w:pPr>
      <w:ind w:firstLine="420"/>
    </w:pPr>
    <w:rPr>
      <w:rFonts w:eastAsia="宋体" w:cs="Times New Roman"/>
      <w:szCs w:val="24"/>
    </w:rPr>
  </w:style>
  <w:style w:type="paragraph" w:styleId="5">
    <w:name w:val="caption"/>
    <w:basedOn w:val="1"/>
    <w:next w:val="1"/>
    <w:semiHidden/>
    <w:unhideWhenUsed/>
    <w:qFormat/>
    <w:uiPriority w:val="35"/>
    <w:rPr>
      <w:rFonts w:ascii="Arial" w:hAnsi="Arial" w:eastAsia="黑体"/>
      <w:sz w:val="20"/>
    </w:rPr>
  </w:style>
  <w:style w:type="paragraph" w:styleId="6">
    <w:name w:val="annotation text"/>
    <w:basedOn w:val="1"/>
    <w:semiHidden/>
    <w:unhideWhenUsed/>
    <w:qFormat/>
    <w:uiPriority w:val="99"/>
    <w:pPr>
      <w:jc w:val="left"/>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customStyle="1" w:styleId="15">
    <w:name w:val="标题 1 字符"/>
    <w:basedOn w:val="12"/>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 w:type="character" w:customStyle="1" w:styleId="17">
    <w:name w:val="NormalCharacter"/>
    <w:semiHidden/>
    <w:qFormat/>
    <w:uiPriority w:val="0"/>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a-size-extra-large"/>
    <w:basedOn w:val="12"/>
    <w:qFormat/>
    <w:uiPriority w:val="0"/>
  </w:style>
  <w:style w:type="character" w:customStyle="1" w:styleId="21">
    <w:name w:val="a-list-item"/>
    <w:basedOn w:val="12"/>
    <w:qFormat/>
    <w:uiPriority w:val="0"/>
  </w:style>
  <w:style w:type="character" w:customStyle="1" w:styleId="22">
    <w:name w:val="a-text-bold"/>
    <w:basedOn w:val="12"/>
    <w:qFormat/>
    <w:uiPriority w:val="0"/>
  </w:style>
  <w:style w:type="paragraph" w:customStyle="1" w:styleId="23">
    <w:name w:val="p0"/>
    <w:basedOn w:val="1"/>
    <w:qFormat/>
    <w:uiPriority w:val="0"/>
    <w:pPr>
      <w:widowControl/>
      <w:spacing w:after="0" w:line="240" w:lineRule="auto"/>
      <w:jc w:val="both"/>
    </w:pPr>
    <w:rPr>
      <w:rFonts w:ascii="Times New Roman" w:hAnsi="Times New Roman" w:eastAsia="宋体" w:cs="Times New Roman"/>
      <w:kern w:val="0"/>
      <w:sz w:val="21"/>
      <w:szCs w:val="21"/>
      <w14:ligatures w14:val="none"/>
    </w:rPr>
  </w:style>
  <w:style w:type="character" w:customStyle="1" w:styleId="24">
    <w:name w:val="font11"/>
    <w:basedOn w:val="12"/>
    <w:qFormat/>
    <w:uiPriority w:val="0"/>
    <w:rPr>
      <w:rFonts w:hint="eastAsia" w:ascii="宋体" w:hAnsi="宋体" w:eastAsia="宋体" w:cs="宋体"/>
      <w:color w:val="000000"/>
      <w:sz w:val="18"/>
      <w:szCs w:val="18"/>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4646</Words>
  <Characters>5156</Characters>
  <Lines>30</Lines>
  <Paragraphs>8</Paragraphs>
  <TotalTime>11</TotalTime>
  <ScaleCrop>false</ScaleCrop>
  <LinksUpToDate>false</LinksUpToDate>
  <CharactersWithSpaces>5156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2021-09-09T10:00:00Z</dcterms:created>
  <dc:creator>PC</dc:creator>
  <cp:lastModifiedBy>jxw</cp:lastModifiedBy>
  <cp:lastPrinted>2025-02-18T07:26:00Z</cp:lastPrinted>
  <dcterms:modified xsi:type="dcterms:W3CDTF">2026-02-24T14:16:39Z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16202D795EF341BE9636EFDB32534850_13</vt:lpwstr>
  </property>
  <property fmtid="{D5CDD505-2E9C-101B-9397-08002B2CF9AE}" pid="4" name="KSOTemplateDocerSaveRecord">
    <vt:lpwstr>eyJoZGlkIjoiN2E5NTViZTAyNTEwM2UzYjhkNDk1Y2M3OTRhYzhjNjYiLCJ1c2VySWQiOiIyMzYyNzM4MzgifQ==</vt:lpwstr>
  </property>
</Properties>
</file>