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69110E">
      <w:pPr>
        <w:overflowPunct w:val="0"/>
        <w:spacing w:line="520" w:lineRule="exact"/>
        <w:jc w:val="center"/>
        <w:rPr>
          <w:rFonts w:ascii="方正小标宋_GBK" w:eastAsia="方正小标宋_GBK"/>
          <w:color w:val="000000"/>
          <w:kern w:val="0"/>
          <w:sz w:val="44"/>
          <w:szCs w:val="44"/>
          <w:shd w:val="clear" w:color="auto" w:fill="FFFFFF"/>
        </w:rPr>
      </w:pPr>
      <w:r>
        <w:rPr>
          <w:rFonts w:hint="eastAsia" w:ascii="方正小标宋_GBK" w:eastAsia="方正小标宋_GBK"/>
          <w:color w:val="000000"/>
          <w:kern w:val="0"/>
          <w:sz w:val="44"/>
          <w:szCs w:val="44"/>
          <w:shd w:val="clear" w:color="auto" w:fill="FFFFFF"/>
        </w:rPr>
        <w:t>履约结果公告</w:t>
      </w:r>
    </w:p>
    <w:p w14:paraId="5D958F32">
      <w:pPr>
        <w:keepNext w:val="0"/>
        <w:keepLines w:val="0"/>
        <w:pageBreakBefore w:val="0"/>
        <w:kinsoku/>
        <w:wordWrap/>
        <w:overflowPunct w:val="0"/>
        <w:topLinePunct w:val="0"/>
        <w:autoSpaceDE/>
        <w:autoSpaceDN/>
        <w:bidi w:val="0"/>
        <w:adjustRightInd/>
        <w:spacing w:line="520" w:lineRule="exact"/>
        <w:textAlignment w:val="auto"/>
        <w:rPr>
          <w:rFonts w:hint="eastAsia" w:ascii="方正黑体_GBK" w:hAnsi="黑体" w:eastAsia="方正黑体_GBK"/>
          <w:szCs w:val="32"/>
        </w:rPr>
      </w:pPr>
    </w:p>
    <w:p w14:paraId="46C4D8EF">
      <w:pPr>
        <w:keepNext w:val="0"/>
        <w:keepLines w:val="0"/>
        <w:pageBreakBefore w:val="0"/>
        <w:kinsoku/>
        <w:wordWrap/>
        <w:overflowPunct w:val="0"/>
        <w:topLinePunct w:val="0"/>
        <w:autoSpaceDE/>
        <w:autoSpaceDN/>
        <w:bidi w:val="0"/>
        <w:adjustRightInd/>
        <w:spacing w:line="520" w:lineRule="exact"/>
        <w:textAlignment w:val="auto"/>
        <w:rPr>
          <w:rFonts w:hint="eastAsia" w:ascii="方正黑体_GBK" w:hAnsi="黑体" w:eastAsia="方正黑体_GBK"/>
          <w:szCs w:val="32"/>
        </w:rPr>
      </w:pPr>
      <w:r>
        <w:rPr>
          <w:rFonts w:hint="eastAsia" w:ascii="方正黑体_GBK" w:hAnsi="黑体" w:eastAsia="方正黑体_GBK"/>
          <w:szCs w:val="32"/>
        </w:rPr>
        <w:t>一、合同编号</w:t>
      </w:r>
      <w:r>
        <w:rPr>
          <w:rFonts w:hint="eastAsia" w:ascii="方正黑体_GBK" w:hAnsi="黑体" w:eastAsia="方正黑体_GBK"/>
          <w:szCs w:val="32"/>
          <w:highlight w:val="none"/>
        </w:rPr>
        <w:t>：</w:t>
      </w:r>
      <w:r>
        <w:rPr>
          <w:rFonts w:hint="eastAsia" w:ascii="方正黑体_GBK" w:hAnsi="仿宋" w:eastAsia="方正黑体_GBK"/>
          <w:szCs w:val="32"/>
          <w:highlight w:val="none"/>
          <w:u w:val="single"/>
          <w:lang w:val="en-US" w:eastAsia="zh-CN"/>
        </w:rPr>
        <w:t>CQCBJQ2508-326</w:t>
      </w:r>
    </w:p>
    <w:p w14:paraId="28F92357">
      <w:pPr>
        <w:keepNext w:val="0"/>
        <w:keepLines w:val="0"/>
        <w:pageBreakBefore w:val="0"/>
        <w:kinsoku/>
        <w:wordWrap/>
        <w:overflowPunct w:val="0"/>
        <w:topLinePunct w:val="0"/>
        <w:autoSpaceDE/>
        <w:autoSpaceDN/>
        <w:bidi w:val="0"/>
        <w:adjustRightInd/>
        <w:spacing w:line="520" w:lineRule="exact"/>
        <w:textAlignment w:val="auto"/>
        <w:rPr>
          <w:rFonts w:hint="eastAsia" w:ascii="黑体" w:hAnsi="黑体" w:eastAsiaTheme="minorEastAsia"/>
          <w:szCs w:val="32"/>
          <w:u w:val="single"/>
          <w:lang w:eastAsia="zh-CN"/>
        </w:rPr>
      </w:pPr>
      <w:r>
        <w:rPr>
          <w:rFonts w:hint="eastAsia" w:ascii="方正黑体_GBK" w:hAnsi="黑体" w:eastAsia="方正黑体_GBK"/>
          <w:szCs w:val="32"/>
        </w:rPr>
        <w:t>二、合同名称：</w:t>
      </w:r>
      <w:r>
        <w:rPr>
          <w:rFonts w:hint="eastAsia" w:ascii="方正仿宋_GBK" w:hAnsi="方正仿宋_GBK" w:eastAsia="方正仿宋_GBK" w:cs="方正仿宋_GBK"/>
          <w:kern w:val="0"/>
          <w:sz w:val="21"/>
          <w:szCs w:val="21"/>
          <w:u w:val="single"/>
          <w:lang w:eastAsia="zh-CN"/>
        </w:rPr>
        <w:t>2025年“万企重庆行”系列活动——““长嘉汇客来、东站启新程”南岸区产业对接活动政府采购合同</w:t>
      </w:r>
    </w:p>
    <w:p w14:paraId="534E5C2C">
      <w:pPr>
        <w:keepNext w:val="0"/>
        <w:keepLines w:val="0"/>
        <w:pageBreakBefore w:val="0"/>
        <w:kinsoku/>
        <w:wordWrap/>
        <w:overflowPunct w:val="0"/>
        <w:topLinePunct w:val="0"/>
        <w:autoSpaceDE/>
        <w:autoSpaceDN/>
        <w:bidi w:val="0"/>
        <w:adjustRightInd/>
        <w:spacing w:line="520" w:lineRule="exact"/>
        <w:textAlignment w:val="auto"/>
        <w:rPr>
          <w:rFonts w:hint="eastAsia" w:ascii="方正黑体_GBK" w:hAnsi="黑体" w:eastAsia="方正黑体_GBK"/>
          <w:szCs w:val="32"/>
          <w:lang w:eastAsia="zh-CN"/>
        </w:rPr>
      </w:pPr>
      <w:r>
        <w:rPr>
          <w:rFonts w:hint="eastAsia" w:ascii="方正黑体_GBK" w:hAnsi="黑体" w:eastAsia="方正黑体_GBK"/>
          <w:szCs w:val="32"/>
        </w:rPr>
        <w:t>三、项目编号：</w:t>
      </w:r>
      <w:r>
        <w:rPr>
          <w:rFonts w:hint="eastAsia" w:ascii="方正黑体_GBK" w:hAnsi="仿宋" w:eastAsia="方正黑体_GBK"/>
          <w:szCs w:val="32"/>
          <w:u w:val="single"/>
          <w:lang w:val="en-US" w:eastAsia="zh-CN"/>
        </w:rPr>
        <w:t xml:space="preserve">CQCBJQ2508-326 </w:t>
      </w:r>
    </w:p>
    <w:p w14:paraId="6033C033">
      <w:pPr>
        <w:keepNext w:val="0"/>
        <w:keepLines w:val="0"/>
        <w:pageBreakBefore w:val="0"/>
        <w:kinsoku/>
        <w:wordWrap/>
        <w:overflowPunct w:val="0"/>
        <w:topLinePunct w:val="0"/>
        <w:autoSpaceDE/>
        <w:autoSpaceDN/>
        <w:bidi w:val="0"/>
        <w:adjustRightInd/>
        <w:spacing w:line="520" w:lineRule="exact"/>
        <w:textAlignment w:val="auto"/>
        <w:rPr>
          <w:rFonts w:ascii="黑体" w:hAnsi="黑体" w:eastAsia="黑体"/>
          <w:szCs w:val="32"/>
        </w:rPr>
      </w:pPr>
      <w:r>
        <w:rPr>
          <w:rFonts w:hint="eastAsia" w:ascii="方正黑体_GBK" w:hAnsi="黑体" w:eastAsia="方正黑体_GBK"/>
          <w:szCs w:val="32"/>
        </w:rPr>
        <w:t>四、项目名称：</w:t>
      </w:r>
      <w:r>
        <w:rPr>
          <w:rFonts w:hint="eastAsia" w:ascii="方正仿宋_GBK" w:hAnsi="方正仿宋_GBK" w:eastAsia="方正仿宋_GBK" w:cs="方正仿宋_GBK"/>
          <w:kern w:val="0"/>
          <w:sz w:val="21"/>
          <w:szCs w:val="21"/>
          <w:u w:val="single"/>
          <w:lang w:eastAsia="zh-CN"/>
        </w:rPr>
        <w:t>2025年“万企重庆行”系列活动——“长嘉汇客来、东站启新程”南岸区产业对接活动</w:t>
      </w:r>
    </w:p>
    <w:p w14:paraId="7BD31BD8">
      <w:pPr>
        <w:keepNext w:val="0"/>
        <w:keepLines w:val="0"/>
        <w:pageBreakBefore w:val="0"/>
        <w:kinsoku/>
        <w:wordWrap/>
        <w:overflowPunct w:val="0"/>
        <w:topLinePunct w:val="0"/>
        <w:autoSpaceDE/>
        <w:autoSpaceDN/>
        <w:bidi w:val="0"/>
        <w:adjustRightInd/>
        <w:spacing w:line="520" w:lineRule="exact"/>
        <w:textAlignment w:val="auto"/>
        <w:rPr>
          <w:rFonts w:ascii="方正黑体_GBK" w:hAnsi="黑体" w:eastAsia="方正黑体_GBK"/>
          <w:szCs w:val="32"/>
        </w:rPr>
      </w:pPr>
      <w:r>
        <w:rPr>
          <w:rFonts w:hint="eastAsia" w:ascii="方正黑体_GBK" w:hAnsi="黑体" w:eastAsia="方正黑体_GBK"/>
          <w:szCs w:val="32"/>
        </w:rPr>
        <w:t>五、合同主体</w:t>
      </w:r>
    </w:p>
    <w:p w14:paraId="263FA5B0">
      <w:pPr>
        <w:keepNext w:val="0"/>
        <w:keepLines w:val="0"/>
        <w:pageBreakBefore w:val="0"/>
        <w:kinsoku/>
        <w:wordWrap/>
        <w:overflowPunct w:val="0"/>
        <w:topLinePunct w:val="0"/>
        <w:autoSpaceDE/>
        <w:autoSpaceDN/>
        <w:bidi w:val="0"/>
        <w:adjustRightInd/>
        <w:spacing w:line="520" w:lineRule="exact"/>
        <w:ind w:firstLine="420" w:firstLineChars="200"/>
        <w:textAlignment w:val="auto"/>
        <w:rPr>
          <w:rFonts w:ascii="方正仿宋_GBK" w:hAnsi="方正仿宋_GBK" w:cs="方正仿宋_GBK"/>
          <w:szCs w:val="32"/>
          <w:u w:val="single"/>
        </w:rPr>
      </w:pPr>
      <w:r>
        <w:rPr>
          <w:rFonts w:hint="eastAsia" w:ascii="方正仿宋_GBK" w:hAnsi="方正仿宋_GBK" w:cs="方正仿宋_GBK"/>
          <w:szCs w:val="32"/>
        </w:rPr>
        <w:t>采购人（甲方）：</w:t>
      </w:r>
      <w:r>
        <w:rPr>
          <w:rFonts w:hint="eastAsia" w:ascii="方正仿宋_GBK" w:hAnsi="方正仿宋_GBK" w:eastAsia="方正仿宋_GBK" w:cs="方正仿宋_GBK"/>
          <w:szCs w:val="32"/>
          <w:u w:val="single"/>
        </w:rPr>
        <w:t>重庆市经济和信息化委员会</w:t>
      </w:r>
    </w:p>
    <w:p w14:paraId="089AEEC4">
      <w:pPr>
        <w:keepNext w:val="0"/>
        <w:keepLines w:val="0"/>
        <w:pageBreakBefore w:val="0"/>
        <w:kinsoku/>
        <w:wordWrap/>
        <w:overflowPunct w:val="0"/>
        <w:topLinePunct w:val="0"/>
        <w:autoSpaceDE/>
        <w:autoSpaceDN/>
        <w:bidi w:val="0"/>
        <w:adjustRightInd/>
        <w:spacing w:line="520" w:lineRule="exact"/>
        <w:ind w:firstLine="420" w:firstLineChars="200"/>
        <w:textAlignment w:val="auto"/>
        <w:rPr>
          <w:rFonts w:ascii="方正仿宋_GBK" w:hAnsi="方正仿宋_GBK" w:cs="方正仿宋_GBK"/>
          <w:szCs w:val="32"/>
          <w:u w:val="single"/>
        </w:rPr>
      </w:pPr>
      <w:r>
        <w:rPr>
          <w:rFonts w:hint="eastAsia" w:ascii="方正仿宋_GBK" w:hAnsi="方正仿宋_GBK" w:cs="方正仿宋_GBK"/>
          <w:szCs w:val="32"/>
        </w:rPr>
        <w:t>地址：</w:t>
      </w:r>
      <w:r>
        <w:rPr>
          <w:rFonts w:hint="eastAsia" w:ascii="方正仿宋_GBK" w:hAnsi="方正仿宋_GBK" w:eastAsia="方正仿宋_GBK" w:cs="方正仿宋_GBK"/>
          <w:szCs w:val="32"/>
          <w:u w:val="single"/>
        </w:rPr>
        <w:t>重庆市两江新区云杉南路12号</w:t>
      </w:r>
    </w:p>
    <w:p w14:paraId="615EC290">
      <w:pPr>
        <w:keepNext w:val="0"/>
        <w:keepLines w:val="0"/>
        <w:pageBreakBefore w:val="0"/>
        <w:kinsoku/>
        <w:wordWrap/>
        <w:overflowPunct w:val="0"/>
        <w:topLinePunct w:val="0"/>
        <w:autoSpaceDE/>
        <w:autoSpaceDN/>
        <w:bidi w:val="0"/>
        <w:adjustRightInd/>
        <w:spacing w:line="520" w:lineRule="exact"/>
        <w:ind w:firstLine="420" w:firstLineChars="200"/>
        <w:textAlignment w:val="auto"/>
        <w:rPr>
          <w:rFonts w:ascii="方正仿宋_GBK" w:hAnsi="方正仿宋_GBK" w:cs="方正仿宋_GBK"/>
          <w:szCs w:val="32"/>
          <w:u w:val="single"/>
        </w:rPr>
      </w:pPr>
      <w:r>
        <w:rPr>
          <w:rFonts w:hint="eastAsia" w:ascii="方正仿宋_GBK" w:hAnsi="方正仿宋_GBK" w:cs="方正仿宋_GBK"/>
          <w:szCs w:val="32"/>
        </w:rPr>
        <w:t>联系方式：</w:t>
      </w:r>
      <w:r>
        <w:rPr>
          <w:rFonts w:hint="eastAsia" w:ascii="方正仿宋_GBK" w:hAnsi="方正仿宋_GBK" w:cs="方正仿宋_GBK"/>
          <w:szCs w:val="32"/>
          <w:u w:val="single"/>
        </w:rPr>
        <w:t>（023）63895</w:t>
      </w:r>
      <w:r>
        <w:rPr>
          <w:rFonts w:hint="eastAsia" w:ascii="方正仿宋_GBK" w:hAnsi="方正仿宋_GBK" w:cs="方正仿宋_GBK"/>
          <w:szCs w:val="32"/>
          <w:u w:val="single"/>
          <w:lang w:val="en-US" w:eastAsia="zh-CN"/>
        </w:rPr>
        <w:t>77</w:t>
      </w:r>
      <w:r>
        <w:rPr>
          <w:rFonts w:hint="eastAsia" w:ascii="方正仿宋_GBK" w:hAnsi="方正仿宋_GBK" w:cs="方正仿宋_GBK"/>
          <w:szCs w:val="32"/>
          <w:u w:val="single"/>
        </w:rPr>
        <w:t>3</w:t>
      </w:r>
    </w:p>
    <w:p w14:paraId="57CB93A5">
      <w:pPr>
        <w:keepNext w:val="0"/>
        <w:keepLines w:val="0"/>
        <w:pageBreakBefore w:val="0"/>
        <w:widowControl w:val="0"/>
        <w:kinsoku/>
        <w:wordWrap/>
        <w:topLinePunct w:val="0"/>
        <w:autoSpaceDE/>
        <w:autoSpaceDN/>
        <w:bidi w:val="0"/>
        <w:adjustRightInd/>
        <w:snapToGrid/>
        <w:spacing w:line="520" w:lineRule="exact"/>
        <w:ind w:firstLine="420" w:firstLineChars="200"/>
        <w:textAlignment w:val="auto"/>
        <w:rPr>
          <w:rFonts w:hint="eastAsia" w:ascii="方正仿宋_GBK" w:hAnsi="方正仿宋_GBK" w:eastAsia="方正仿宋_GBK" w:cs="方正仿宋_GBK"/>
          <w:szCs w:val="32"/>
          <w:u w:val="single"/>
        </w:rPr>
      </w:pPr>
      <w:r>
        <w:rPr>
          <w:rFonts w:hint="eastAsia" w:ascii="方正仿宋_GBK" w:hAnsi="方正仿宋_GBK" w:cs="方正仿宋_GBK"/>
          <w:szCs w:val="32"/>
        </w:rPr>
        <w:t>供应商（乙方）：</w:t>
      </w:r>
      <w:r>
        <w:rPr>
          <w:rFonts w:hint="eastAsia" w:ascii="方正仿宋_GBK" w:hAnsi="方正仿宋_GBK" w:eastAsia="方正仿宋_GBK" w:cs="方正仿宋_GBK"/>
          <w:szCs w:val="32"/>
          <w:u w:val="single"/>
        </w:rPr>
        <w:t>重庆赫尔兰展览有限公司</w:t>
      </w:r>
    </w:p>
    <w:p w14:paraId="6067FFBD">
      <w:pPr>
        <w:keepNext w:val="0"/>
        <w:keepLines w:val="0"/>
        <w:pageBreakBefore w:val="0"/>
        <w:widowControl w:val="0"/>
        <w:kinsoku/>
        <w:wordWrap/>
        <w:topLinePunct w:val="0"/>
        <w:autoSpaceDE/>
        <w:autoSpaceDN/>
        <w:bidi w:val="0"/>
        <w:adjustRightInd/>
        <w:snapToGrid/>
        <w:spacing w:line="520" w:lineRule="exact"/>
        <w:ind w:firstLine="420" w:firstLineChars="200"/>
        <w:textAlignment w:val="auto"/>
        <w:rPr>
          <w:rFonts w:hint="eastAsia" w:ascii="方正仿宋_GBK" w:hAnsi="方正仿宋_GBK" w:eastAsia="方正仿宋_GBK" w:cs="方正仿宋_GBK"/>
          <w:sz w:val="21"/>
          <w:szCs w:val="32"/>
          <w:u w:val="single"/>
          <w:lang w:val="en-US" w:eastAsia="zh-CN"/>
        </w:rPr>
      </w:pPr>
      <w:r>
        <w:rPr>
          <w:rFonts w:hint="eastAsia" w:ascii="方正仿宋_GBK" w:hAnsi="方正仿宋_GBK" w:eastAsia="方正仿宋_GBK" w:cs="方正仿宋_GBK"/>
          <w:szCs w:val="32"/>
          <w:u w:val="single"/>
        </w:rPr>
        <w:t>地址：重庆市渝中区解放碑街道民生路283号 21-B</w:t>
      </w:r>
    </w:p>
    <w:p w14:paraId="7247A36D">
      <w:pPr>
        <w:keepNext w:val="0"/>
        <w:keepLines w:val="0"/>
        <w:pageBreakBefore w:val="0"/>
        <w:widowControl w:val="0"/>
        <w:kinsoku/>
        <w:wordWrap/>
        <w:topLinePunct w:val="0"/>
        <w:autoSpaceDE/>
        <w:autoSpaceDN/>
        <w:bidi w:val="0"/>
        <w:adjustRightInd/>
        <w:snapToGrid/>
        <w:spacing w:line="520" w:lineRule="exact"/>
        <w:ind w:firstLine="420" w:firstLineChars="200"/>
        <w:textAlignment w:val="auto"/>
        <w:rPr>
          <w:rFonts w:hint="default" w:eastAsiaTheme="minorEastAsia"/>
          <w:sz w:val="21"/>
          <w:szCs w:val="21"/>
          <w:lang w:val="en-US" w:eastAsia="zh-CN"/>
        </w:rPr>
      </w:pPr>
      <w:r>
        <w:rPr>
          <w:rFonts w:hint="eastAsia"/>
          <w:sz w:val="21"/>
          <w:szCs w:val="21"/>
          <w:lang w:eastAsia="zh-CN"/>
        </w:rPr>
        <w:t>联系方式</w:t>
      </w:r>
      <w:r>
        <w:rPr>
          <w:sz w:val="21"/>
          <w:szCs w:val="21"/>
        </w:rPr>
        <w:t>：</w:t>
      </w:r>
      <w:r>
        <w:rPr>
          <w:rFonts w:hint="eastAsia"/>
          <w:sz w:val="21"/>
          <w:szCs w:val="21"/>
          <w:lang w:val="en-US" w:eastAsia="zh-CN"/>
        </w:rPr>
        <w:t>18323115682</w:t>
      </w:r>
    </w:p>
    <w:p w14:paraId="167C2384">
      <w:pPr>
        <w:keepNext w:val="0"/>
        <w:keepLines w:val="0"/>
        <w:pageBreakBefore w:val="0"/>
        <w:kinsoku/>
        <w:wordWrap/>
        <w:overflowPunct w:val="0"/>
        <w:topLinePunct w:val="0"/>
        <w:autoSpaceDE/>
        <w:autoSpaceDN/>
        <w:bidi w:val="0"/>
        <w:adjustRightInd/>
        <w:spacing w:line="520" w:lineRule="exact"/>
        <w:textAlignment w:val="auto"/>
        <w:rPr>
          <w:rFonts w:ascii="方正黑体_GBK" w:hAnsi="黑体" w:eastAsia="方正黑体_GBK"/>
          <w:szCs w:val="32"/>
        </w:rPr>
      </w:pPr>
      <w:r>
        <w:rPr>
          <w:rFonts w:hint="eastAsia" w:ascii="方正黑体_GBK" w:hAnsi="黑体" w:eastAsia="方正黑体_GBK"/>
          <w:szCs w:val="32"/>
        </w:rPr>
        <w:t>六、合同主要信息</w:t>
      </w:r>
    </w:p>
    <w:p w14:paraId="679F407D">
      <w:pPr>
        <w:keepNext w:val="0"/>
        <w:keepLines w:val="0"/>
        <w:pageBreakBefore w:val="0"/>
        <w:kinsoku/>
        <w:wordWrap/>
        <w:topLinePunct w:val="0"/>
        <w:autoSpaceDE/>
        <w:autoSpaceDN/>
        <w:bidi w:val="0"/>
        <w:adjustRightInd/>
        <w:spacing w:line="520" w:lineRule="exact"/>
        <w:ind w:firstLine="420" w:firstLineChars="200"/>
        <w:textAlignment w:val="auto"/>
        <w:rPr>
          <w:rFonts w:hint="eastAsia" w:ascii="方正仿宋_GBK" w:hAnsi="方正仿宋_GBK" w:cs="方正仿宋_GBK"/>
          <w:sz w:val="21"/>
          <w:szCs w:val="21"/>
        </w:rPr>
      </w:pPr>
      <w:r>
        <w:rPr>
          <w:rFonts w:hint="eastAsia" w:ascii="方正仿宋_GBK" w:hAnsi="方正仿宋_GBK" w:cs="方正仿宋_GBK"/>
          <w:sz w:val="21"/>
          <w:szCs w:val="21"/>
        </w:rPr>
        <w:t>服务内容</w:t>
      </w:r>
      <w:r>
        <w:rPr>
          <w:rFonts w:hint="eastAsia" w:ascii="方正仿宋_GBK" w:hAnsi="方正仿宋_GBK" w:cs="方正仿宋_GBK"/>
          <w:sz w:val="21"/>
          <w:szCs w:val="21"/>
          <w:lang w:eastAsia="zh-CN"/>
        </w:rPr>
        <w:t>及服务要求</w:t>
      </w:r>
      <w:r>
        <w:rPr>
          <w:rFonts w:hint="eastAsia" w:ascii="方正仿宋_GBK" w:hAnsi="方正仿宋_GBK" w:cs="方正仿宋_GBK"/>
          <w:sz w:val="21"/>
          <w:szCs w:val="21"/>
        </w:rPr>
        <w:t>：</w:t>
      </w:r>
    </w:p>
    <w:p w14:paraId="768EF7A2">
      <w:pPr>
        <w:keepNext w:val="0"/>
        <w:keepLines w:val="0"/>
        <w:pageBreakBefore w:val="0"/>
        <w:widowControl/>
        <w:kinsoku/>
        <w:wordWrap/>
        <w:topLinePunct w:val="0"/>
        <w:autoSpaceDE/>
        <w:autoSpaceDN/>
        <w:bidi w:val="0"/>
        <w:adjustRightInd/>
        <w:snapToGrid w:val="0"/>
        <w:spacing w:line="520" w:lineRule="exact"/>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（一）乙方应提供活动总体策划和设计、统筹、媒体宣传及现场执行和保障工作。主要包括：</w:t>
      </w:r>
    </w:p>
    <w:p w14:paraId="3B777C30">
      <w:pPr>
        <w:keepNext w:val="0"/>
        <w:keepLines w:val="0"/>
        <w:pageBreakBefore w:val="0"/>
        <w:widowControl/>
        <w:kinsoku/>
        <w:wordWrap/>
        <w:topLinePunct w:val="0"/>
        <w:autoSpaceDE/>
        <w:autoSpaceDN/>
        <w:bidi w:val="0"/>
        <w:adjustRightInd/>
        <w:snapToGrid w:val="0"/>
        <w:spacing w:line="520" w:lineRule="exact"/>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1.活动内容策划和设计。包括但不限于整体设计、氛围设计和资料审校等。</w:t>
      </w:r>
    </w:p>
    <w:p w14:paraId="328DE7DA">
      <w:pPr>
        <w:keepNext w:val="0"/>
        <w:keepLines w:val="0"/>
        <w:pageBreakBefore w:val="0"/>
        <w:widowControl/>
        <w:kinsoku/>
        <w:wordWrap/>
        <w:topLinePunct w:val="0"/>
        <w:autoSpaceDE/>
        <w:autoSpaceDN/>
        <w:bidi w:val="0"/>
        <w:adjustRightInd/>
        <w:snapToGrid w:val="0"/>
        <w:spacing w:line="520" w:lineRule="exact"/>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2.统筹。包括但不限于整体统筹（执行方案制定、分工统筹）、分项统筹（资源协调与沟通、</w:t>
      </w:r>
    </w:p>
    <w:p w14:paraId="539AC0F5">
      <w:pPr>
        <w:keepNext w:val="0"/>
        <w:keepLines w:val="0"/>
        <w:pageBreakBefore w:val="0"/>
        <w:widowControl/>
        <w:kinsoku/>
        <w:wordWrap/>
        <w:topLinePunct w:val="0"/>
        <w:autoSpaceDE/>
        <w:autoSpaceDN/>
        <w:bidi w:val="0"/>
        <w:adjustRightInd/>
        <w:snapToGrid w:val="0"/>
        <w:spacing w:line="520" w:lineRule="exact"/>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统筹嘉宾邀请工作及支撑统筹参会人员组织工作）等。</w:t>
      </w:r>
    </w:p>
    <w:p w14:paraId="4CC8AC65">
      <w:pPr>
        <w:keepNext w:val="0"/>
        <w:keepLines w:val="0"/>
        <w:pageBreakBefore w:val="0"/>
        <w:widowControl/>
        <w:kinsoku/>
        <w:wordWrap/>
        <w:topLinePunct w:val="0"/>
        <w:autoSpaceDE/>
        <w:autoSpaceDN/>
        <w:bidi w:val="0"/>
        <w:adjustRightInd/>
        <w:snapToGrid w:val="0"/>
        <w:spacing w:line="520" w:lineRule="exact"/>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3.会务服务及现场执行。包括但不限于场地租赁、设施设备、舞台搭建、物料准备等。</w:t>
      </w:r>
    </w:p>
    <w:p w14:paraId="1FFB624D">
      <w:pPr>
        <w:keepNext w:val="0"/>
        <w:keepLines w:val="0"/>
        <w:pageBreakBefore w:val="0"/>
        <w:widowControl/>
        <w:kinsoku/>
        <w:wordWrap/>
        <w:topLinePunct w:val="0"/>
        <w:autoSpaceDE/>
        <w:autoSpaceDN/>
        <w:bidi w:val="0"/>
        <w:adjustRightInd/>
        <w:snapToGrid w:val="0"/>
        <w:spacing w:line="520" w:lineRule="exact"/>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4.媒体宣传。包括但不限于主流媒体报道、摄影摄像（现场拍照直播和活动现场活动花絮拍摄等）及视频快剪等。</w:t>
      </w:r>
    </w:p>
    <w:p w14:paraId="57FD535A">
      <w:pPr>
        <w:keepNext w:val="0"/>
        <w:keepLines w:val="0"/>
        <w:pageBreakBefore w:val="0"/>
        <w:widowControl/>
        <w:kinsoku/>
        <w:wordWrap/>
        <w:topLinePunct w:val="0"/>
        <w:autoSpaceDE/>
        <w:autoSpaceDN/>
        <w:bidi w:val="0"/>
        <w:adjustRightInd/>
        <w:snapToGrid w:val="0"/>
        <w:spacing w:line="520" w:lineRule="exact"/>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5.餐饮服务。提供自助午餐服务。</w:t>
      </w:r>
    </w:p>
    <w:p w14:paraId="65E68DA7">
      <w:pPr>
        <w:keepNext w:val="0"/>
        <w:keepLines w:val="0"/>
        <w:pageBreakBefore w:val="0"/>
        <w:widowControl/>
        <w:kinsoku/>
        <w:wordWrap/>
        <w:topLinePunct w:val="0"/>
        <w:autoSpaceDE/>
        <w:autoSpaceDN/>
        <w:bidi w:val="0"/>
        <w:adjustRightInd/>
        <w:snapToGrid w:val="0"/>
        <w:spacing w:line="520" w:lineRule="exact"/>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6.完成本项目涉及的其他工作内容。</w:t>
      </w:r>
    </w:p>
    <w:p w14:paraId="6BC50287">
      <w:pPr>
        <w:keepNext w:val="0"/>
        <w:keepLines w:val="0"/>
        <w:pageBreakBefore w:val="0"/>
        <w:widowControl/>
        <w:kinsoku/>
        <w:wordWrap/>
        <w:topLinePunct w:val="0"/>
        <w:autoSpaceDE/>
        <w:autoSpaceDN/>
        <w:bidi w:val="0"/>
        <w:adjustRightInd/>
        <w:snapToGrid w:val="0"/>
        <w:spacing w:line="520" w:lineRule="exact"/>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（二）具体要求</w:t>
      </w:r>
    </w:p>
    <w:p w14:paraId="43F59F08">
      <w:pPr>
        <w:keepNext w:val="0"/>
        <w:keepLines w:val="0"/>
        <w:pageBreakBefore w:val="0"/>
        <w:widowControl/>
        <w:kinsoku/>
        <w:wordWrap/>
        <w:topLinePunct w:val="0"/>
        <w:autoSpaceDE/>
        <w:autoSpaceDN/>
        <w:bidi w:val="0"/>
        <w:adjustRightInd/>
        <w:snapToGrid w:val="0"/>
        <w:spacing w:line="520" w:lineRule="exact"/>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1.乙方的活动整体策划方案要充分体现活动主题内容，活动门头标识清晰，造型大方醒目，要具有“长嘉汇客来、东站启新程”的元素。</w:t>
      </w:r>
    </w:p>
    <w:p w14:paraId="13D81937">
      <w:pPr>
        <w:keepNext w:val="0"/>
        <w:keepLines w:val="0"/>
        <w:pageBreakBefore w:val="0"/>
        <w:widowControl/>
        <w:kinsoku/>
        <w:wordWrap/>
        <w:topLinePunct w:val="0"/>
        <w:autoSpaceDE/>
        <w:autoSpaceDN/>
        <w:bidi w:val="0"/>
        <w:adjustRightInd/>
        <w:snapToGrid w:val="0"/>
        <w:spacing w:line="520" w:lineRule="exact"/>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2.乙方提供活动的环节设置切合本活动主题，人员安排调度适当。</w:t>
      </w:r>
    </w:p>
    <w:p w14:paraId="4B928E0E">
      <w:pPr>
        <w:keepNext w:val="0"/>
        <w:keepLines w:val="0"/>
        <w:pageBreakBefore w:val="0"/>
        <w:widowControl/>
        <w:kinsoku/>
        <w:wordWrap/>
        <w:topLinePunct w:val="0"/>
        <w:autoSpaceDE/>
        <w:autoSpaceDN/>
        <w:bidi w:val="0"/>
        <w:adjustRightInd/>
        <w:snapToGrid w:val="0"/>
        <w:spacing w:line="520" w:lineRule="exact"/>
        <w:ind w:firstLine="420" w:firstLineChars="200"/>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3.乙方的应急预案应制定完善，利于操作，能及时应对突发事件，承诺突发事件在30分钟内作出解决方案。</w:t>
      </w:r>
    </w:p>
    <w:p w14:paraId="5FA02B88">
      <w:pPr>
        <w:widowControl/>
        <w:numPr>
          <w:ilvl w:val="0"/>
          <w:numId w:val="0"/>
        </w:numPr>
        <w:ind w:firstLine="210" w:firstLineChars="100"/>
        <w:jc w:val="left"/>
        <w:textAlignment w:val="top"/>
        <w:rPr>
          <w:rStyle w:val="15"/>
          <w:rFonts w:hint="default"/>
          <w:lang w:bidi="ar"/>
        </w:rPr>
      </w:pPr>
      <w:r>
        <w:rPr>
          <w:rFonts w:hint="eastAsia" w:asciiTheme="minorEastAsia" w:hAnsiTheme="minorEastAsia" w:eastAsiaTheme="minorEastAsia" w:cstheme="minorEastAsia"/>
          <w:kern w:val="2"/>
          <w:sz w:val="21"/>
          <w:szCs w:val="21"/>
          <w:lang w:val="en-US" w:eastAsia="zh-CN" w:bidi="ar-SA"/>
        </w:rPr>
        <w:t>　4.乙方在嘉宾接待方面要针对不同层级的嘉宾分类制定接待方案，包括嘉宾在活动期间的饮</w:t>
      </w:r>
      <w:r>
        <w:rPr>
          <w:rStyle w:val="15"/>
          <w:rFonts w:hint="default"/>
          <w:lang w:bidi="ar"/>
        </w:rPr>
        <w:t>食通行以及会场引导。</w:t>
      </w:r>
      <w:r>
        <w:rPr>
          <w:rStyle w:val="15"/>
          <w:rFonts w:hint="default"/>
          <w:lang w:bidi="ar"/>
        </w:rPr>
        <w:br w:type="textWrapping"/>
      </w:r>
      <w:r>
        <w:rPr>
          <w:rStyle w:val="15"/>
          <w:rFonts w:hint="default"/>
          <w:lang w:bidi="ar"/>
        </w:rPr>
        <w:t>　　（三）执行方面</w:t>
      </w:r>
    </w:p>
    <w:p w14:paraId="1895F26A">
      <w:pPr>
        <w:widowControl/>
        <w:numPr>
          <w:ilvl w:val="0"/>
          <w:numId w:val="0"/>
        </w:numPr>
        <w:ind w:firstLine="220" w:firstLineChars="100"/>
        <w:jc w:val="left"/>
        <w:textAlignment w:val="top"/>
        <w:rPr>
          <w:rStyle w:val="15"/>
          <w:rFonts w:hint="default"/>
          <w:lang w:bidi="ar"/>
        </w:rPr>
      </w:pPr>
      <w:r>
        <w:rPr>
          <w:rFonts w:hint="eastAsia" w:ascii="方正仿宋_GBK" w:hAnsi="方正仿宋_GBK" w:eastAsia="方正仿宋_GBK" w:cs="方正仿宋_GBK"/>
          <w:color w:val="000000"/>
          <w:sz w:val="22"/>
          <w:szCs w:val="22"/>
          <w:lang w:bidi="ar"/>
        </w:rPr>
        <w:t>　1.乙方的</w:t>
      </w:r>
      <w:r>
        <w:rPr>
          <w:rStyle w:val="15"/>
          <w:rFonts w:hint="default"/>
          <w:lang w:bidi="ar"/>
        </w:rPr>
        <w:t>所有设计搭建必须按照绿色设计、绿色选材和绿色安全施工要求推进实施。</w:t>
      </w:r>
    </w:p>
    <w:p w14:paraId="3B241EAB">
      <w:pPr>
        <w:widowControl/>
        <w:numPr>
          <w:ilvl w:val="0"/>
          <w:numId w:val="0"/>
        </w:numPr>
        <w:ind w:firstLine="220" w:firstLineChars="100"/>
        <w:jc w:val="left"/>
        <w:textAlignment w:val="top"/>
        <w:rPr>
          <w:rStyle w:val="15"/>
          <w:rFonts w:hint="default"/>
          <w:lang w:bidi="ar"/>
        </w:rPr>
      </w:pPr>
      <w:r>
        <w:rPr>
          <w:rFonts w:hint="eastAsia" w:ascii="方正仿宋_GBK" w:hAnsi="方正仿宋_GBK" w:eastAsia="方正仿宋_GBK" w:cs="方正仿宋_GBK"/>
          <w:color w:val="000000"/>
          <w:sz w:val="22"/>
          <w:szCs w:val="22"/>
          <w:lang w:bidi="ar"/>
        </w:rPr>
        <w:t>　2.</w:t>
      </w:r>
      <w:r>
        <w:rPr>
          <w:rStyle w:val="15"/>
          <w:rFonts w:hint="default"/>
          <w:lang w:bidi="ar"/>
        </w:rPr>
        <w:t>执行中，</w:t>
      </w:r>
      <w:r>
        <w:rPr>
          <w:rStyle w:val="15"/>
          <w:lang w:bidi="ar"/>
        </w:rPr>
        <w:t>乙方应</w:t>
      </w:r>
      <w:r>
        <w:rPr>
          <w:rStyle w:val="15"/>
          <w:rFonts w:hint="default"/>
          <w:lang w:bidi="ar"/>
        </w:rPr>
        <w:t>能良好沟通协调活动中涉及的相关部门，对各类事情都反应迅速。</w:t>
      </w:r>
    </w:p>
    <w:p w14:paraId="48D3DE7C">
      <w:pPr>
        <w:widowControl/>
        <w:numPr>
          <w:ilvl w:val="0"/>
          <w:numId w:val="0"/>
        </w:numPr>
        <w:ind w:firstLine="220" w:firstLineChars="100"/>
        <w:jc w:val="left"/>
        <w:textAlignment w:val="top"/>
        <w:rPr>
          <w:rStyle w:val="15"/>
          <w:rFonts w:hint="default"/>
          <w:lang w:bidi="ar"/>
        </w:rPr>
      </w:pPr>
      <w:r>
        <w:rPr>
          <w:rFonts w:hint="eastAsia" w:ascii="方正仿宋_GBK" w:hAnsi="方正仿宋_GBK" w:eastAsia="方正仿宋_GBK" w:cs="方正仿宋_GBK"/>
          <w:color w:val="000000"/>
          <w:sz w:val="22"/>
          <w:szCs w:val="22"/>
          <w:lang w:bidi="ar"/>
        </w:rPr>
        <w:t>　3.乙方应</w:t>
      </w:r>
      <w:r>
        <w:rPr>
          <w:rStyle w:val="15"/>
          <w:rFonts w:hint="default"/>
          <w:lang w:bidi="ar"/>
        </w:rPr>
        <w:t>按照相关安全要求执行对接各项任务，确保执行过程的安全，无事故、无隐患。如果在执行过程中出现安全事故，策划执行方承担一切后果。</w:t>
      </w:r>
    </w:p>
    <w:p w14:paraId="061961E6">
      <w:pPr>
        <w:widowControl/>
        <w:numPr>
          <w:ilvl w:val="0"/>
          <w:numId w:val="0"/>
        </w:numPr>
        <w:ind w:firstLine="220" w:firstLineChars="100"/>
        <w:jc w:val="left"/>
        <w:textAlignment w:val="top"/>
        <w:rPr>
          <w:rStyle w:val="15"/>
          <w:rFonts w:hint="default"/>
          <w:lang w:bidi="ar"/>
        </w:rPr>
      </w:pPr>
      <w:r>
        <w:rPr>
          <w:rFonts w:hint="eastAsia" w:ascii="方正仿宋_GBK" w:hAnsi="方正仿宋_GBK" w:eastAsia="方正仿宋_GBK" w:cs="方正仿宋_GBK"/>
          <w:color w:val="000000"/>
          <w:sz w:val="22"/>
          <w:szCs w:val="22"/>
          <w:lang w:bidi="ar"/>
        </w:rPr>
        <w:t>　4.乙方</w:t>
      </w:r>
      <w:r>
        <w:rPr>
          <w:rStyle w:val="15"/>
          <w:rFonts w:hint="default"/>
          <w:lang w:bidi="ar"/>
        </w:rPr>
        <w:t>能随时按甲方要求无条件修改策划、设计方案和变更执行，并能提出合理的建议，不得增加价格。</w:t>
      </w:r>
    </w:p>
    <w:p w14:paraId="0177A339">
      <w:pPr>
        <w:widowControl/>
        <w:numPr>
          <w:ilvl w:val="0"/>
          <w:numId w:val="0"/>
        </w:numPr>
        <w:ind w:firstLine="220" w:firstLineChars="100"/>
        <w:jc w:val="left"/>
        <w:textAlignment w:val="top"/>
        <w:rPr>
          <w:rStyle w:val="15"/>
          <w:rFonts w:hint="default"/>
          <w:lang w:bidi="ar"/>
        </w:rPr>
      </w:pPr>
      <w:r>
        <w:rPr>
          <w:rFonts w:hint="eastAsia" w:ascii="方正仿宋_GBK" w:hAnsi="方正仿宋_GBK" w:eastAsia="方正仿宋_GBK" w:cs="方正仿宋_GBK"/>
          <w:color w:val="000000"/>
          <w:sz w:val="22"/>
          <w:szCs w:val="22"/>
          <w:lang w:bidi="ar"/>
        </w:rPr>
        <w:t>　5.乙方</w:t>
      </w:r>
      <w:r>
        <w:rPr>
          <w:rStyle w:val="15"/>
          <w:rFonts w:hint="default"/>
          <w:lang w:bidi="ar"/>
        </w:rPr>
        <w:t>要按照甲方要求的时间保质保量完成活动场地搭建及撤除工作。</w:t>
      </w:r>
      <w:r>
        <w:rPr>
          <w:rStyle w:val="15"/>
          <w:rFonts w:hint="default"/>
          <w:lang w:bidi="ar"/>
        </w:rPr>
        <w:br w:type="textWrapping"/>
      </w:r>
      <w:r>
        <w:rPr>
          <w:rStyle w:val="15"/>
          <w:rFonts w:hint="default"/>
          <w:lang w:bidi="ar"/>
        </w:rPr>
        <w:t>　　（四）人员配置</w:t>
      </w:r>
    </w:p>
    <w:p w14:paraId="5C7EA80B">
      <w:pPr>
        <w:widowControl/>
        <w:ind w:firstLine="440" w:firstLineChars="200"/>
        <w:jc w:val="left"/>
        <w:textAlignment w:val="top"/>
        <w:rPr>
          <w:rStyle w:val="15"/>
          <w:rFonts w:hint="default"/>
          <w:lang w:bidi="ar"/>
        </w:rPr>
      </w:pPr>
      <w:r>
        <w:rPr>
          <w:rStyle w:val="15"/>
          <w:lang w:bidi="ar"/>
        </w:rPr>
        <w:t>乙方</w:t>
      </w:r>
      <w:r>
        <w:rPr>
          <w:rStyle w:val="15"/>
          <w:rFonts w:hint="default"/>
          <w:lang w:bidi="ar"/>
        </w:rPr>
        <w:t>须构建由不少于3人（至少包括项目负责人1名和主要人员至少2名）的专业服务人员组成的项目服务团队为本项目服务，项目总负责人应有较强的组织领导能力，具有承担相类似活动项目的经验。</w:t>
      </w:r>
      <w:r>
        <w:rPr>
          <w:rStyle w:val="15"/>
          <w:lang w:bidi="ar"/>
        </w:rPr>
        <w:t>合同签订</w:t>
      </w:r>
      <w:r>
        <w:rPr>
          <w:rStyle w:val="15"/>
          <w:rFonts w:hint="default"/>
          <w:lang w:bidi="ar"/>
        </w:rPr>
        <w:t>后，项目总负责人（1人）和主要成员（至少2人）未经甲方同意不得更换。</w:t>
      </w:r>
    </w:p>
    <w:p w14:paraId="76DBB095">
      <w:pPr>
        <w:widowControl/>
        <w:ind w:left="0" w:leftChars="0" w:firstLine="440" w:firstLineChars="200"/>
        <w:jc w:val="left"/>
        <w:textAlignment w:val="top"/>
        <w:rPr>
          <w:rStyle w:val="15"/>
          <w:rFonts w:hint="default"/>
          <w:lang w:bidi="ar"/>
        </w:rPr>
      </w:pPr>
      <w:r>
        <w:rPr>
          <w:rStyle w:val="15"/>
          <w:rFonts w:hint="default"/>
          <w:lang w:bidi="ar"/>
        </w:rPr>
        <w:t>提供拟派项目总负责人和主要成员为</w:t>
      </w:r>
      <w:r>
        <w:rPr>
          <w:rStyle w:val="15"/>
          <w:lang w:bidi="ar"/>
        </w:rPr>
        <w:t>乙方</w:t>
      </w:r>
      <w:r>
        <w:rPr>
          <w:rStyle w:val="15"/>
          <w:rFonts w:hint="default"/>
          <w:lang w:bidi="ar"/>
        </w:rPr>
        <w:t>在职员工或劳务派遣员工，提供拟派人员的职务、</w:t>
      </w:r>
      <w:r>
        <w:rPr>
          <w:rStyle w:val="15"/>
          <w:lang w:bidi="ar"/>
        </w:rPr>
        <w:t>乙方</w:t>
      </w:r>
      <w:r>
        <w:rPr>
          <w:rStyle w:val="15"/>
          <w:rFonts w:hint="default"/>
          <w:lang w:bidi="ar"/>
        </w:rPr>
        <w:t>为其购买的社保证明（或为其签订的劳动合同或劳务派遣协议）。</w:t>
      </w:r>
    </w:p>
    <w:p w14:paraId="68084BAE">
      <w:pPr>
        <w:widowControl/>
        <w:ind w:firstLine="440" w:firstLineChars="200"/>
        <w:jc w:val="left"/>
        <w:textAlignment w:val="top"/>
        <w:rPr>
          <w:rStyle w:val="15"/>
          <w:rFonts w:hint="default"/>
          <w:lang w:bidi="ar"/>
        </w:rPr>
      </w:pPr>
      <w:r>
        <w:rPr>
          <w:rStyle w:val="15"/>
          <w:rFonts w:hint="default"/>
          <w:lang w:bidi="ar"/>
        </w:rPr>
        <w:t>（五）相关要求</w:t>
      </w:r>
    </w:p>
    <w:p w14:paraId="5B2E668D">
      <w:pPr>
        <w:widowControl/>
        <w:numPr>
          <w:ilvl w:val="0"/>
          <w:numId w:val="0"/>
        </w:numPr>
        <w:ind w:firstLine="440" w:firstLineChars="200"/>
        <w:jc w:val="left"/>
        <w:textAlignment w:val="top"/>
        <w:rPr>
          <w:rStyle w:val="15"/>
          <w:rFonts w:hint="default"/>
          <w:lang w:bidi="ar"/>
        </w:rPr>
      </w:pPr>
      <w:r>
        <w:rPr>
          <w:rFonts w:hint="eastAsia" w:ascii="方正仿宋_GBK" w:hAnsi="方正仿宋_GBK" w:eastAsia="方正仿宋_GBK" w:cs="方正仿宋_GBK"/>
          <w:color w:val="000000"/>
          <w:sz w:val="22"/>
          <w:szCs w:val="22"/>
          <w:lang w:bidi="ar"/>
        </w:rPr>
        <w:t>1.</w:t>
      </w:r>
      <w:r>
        <w:rPr>
          <w:rStyle w:val="15"/>
          <w:lang w:bidi="ar"/>
        </w:rPr>
        <w:t>乙方</w:t>
      </w:r>
      <w:r>
        <w:rPr>
          <w:rStyle w:val="15"/>
          <w:rFonts w:hint="default"/>
          <w:lang w:bidi="ar"/>
        </w:rPr>
        <w:t>须在正式合同签订后至正式搭建前，随时按甲方要求进行修改，不收取任何费</w:t>
      </w:r>
      <w:r>
        <w:rPr>
          <w:rStyle w:val="15"/>
          <w:lang w:bidi="ar"/>
        </w:rPr>
        <w:t>用</w:t>
      </w:r>
      <w:r>
        <w:rPr>
          <w:rStyle w:val="15"/>
          <w:rFonts w:hint="default"/>
          <w:lang w:bidi="ar"/>
        </w:rPr>
        <w:t>。</w:t>
      </w:r>
    </w:p>
    <w:p w14:paraId="2D0F22D3">
      <w:pPr>
        <w:widowControl/>
        <w:numPr>
          <w:ilvl w:val="0"/>
          <w:numId w:val="0"/>
        </w:numPr>
        <w:ind w:firstLine="440" w:firstLineChars="200"/>
        <w:jc w:val="left"/>
        <w:textAlignment w:val="top"/>
        <w:rPr>
          <w:rStyle w:val="15"/>
          <w:rFonts w:hint="default"/>
          <w:lang w:bidi="ar"/>
        </w:rPr>
      </w:pPr>
      <w:r>
        <w:rPr>
          <w:rFonts w:hint="eastAsia" w:ascii="方正仿宋_GBK" w:hAnsi="方正仿宋_GBK" w:eastAsia="方正仿宋_GBK" w:cs="方正仿宋_GBK"/>
          <w:color w:val="000000"/>
          <w:sz w:val="22"/>
          <w:szCs w:val="22"/>
          <w:lang w:bidi="ar"/>
        </w:rPr>
        <w:t>2.</w:t>
      </w:r>
      <w:r>
        <w:rPr>
          <w:rStyle w:val="15"/>
          <w:lang w:bidi="ar"/>
        </w:rPr>
        <w:t>乙方</w:t>
      </w:r>
      <w:r>
        <w:rPr>
          <w:rStyle w:val="15"/>
          <w:rFonts w:hint="default"/>
          <w:lang w:bidi="ar"/>
        </w:rPr>
        <w:t>在安装和拆卸活动场地过程中，造成的人员人身伤害</w:t>
      </w:r>
      <w:r>
        <w:rPr>
          <w:rStyle w:val="15"/>
          <w:lang w:bidi="ar"/>
        </w:rPr>
        <w:t>或财产损害</w:t>
      </w:r>
      <w:r>
        <w:rPr>
          <w:rStyle w:val="15"/>
          <w:rFonts w:hint="default"/>
          <w:lang w:bidi="ar"/>
        </w:rPr>
        <w:t>，由</w:t>
      </w:r>
      <w:r>
        <w:rPr>
          <w:rStyle w:val="15"/>
          <w:lang w:bidi="ar"/>
        </w:rPr>
        <w:t>乙方</w:t>
      </w:r>
      <w:r>
        <w:rPr>
          <w:rStyle w:val="15"/>
          <w:rFonts w:hint="default"/>
          <w:lang w:bidi="ar"/>
        </w:rPr>
        <w:t>自行承担全部责任及相关赔偿。</w:t>
      </w:r>
    </w:p>
    <w:p w14:paraId="02A566BB">
      <w:pPr>
        <w:widowControl/>
        <w:numPr>
          <w:ilvl w:val="0"/>
          <w:numId w:val="0"/>
        </w:numPr>
        <w:ind w:firstLine="440" w:firstLineChars="200"/>
        <w:jc w:val="left"/>
        <w:textAlignment w:val="top"/>
        <w:rPr>
          <w:rStyle w:val="15"/>
          <w:rFonts w:hint="default"/>
          <w:lang w:bidi="ar"/>
        </w:rPr>
      </w:pPr>
      <w:r>
        <w:rPr>
          <w:rFonts w:hint="eastAsia" w:ascii="方正仿宋_GBK" w:hAnsi="方正仿宋_GBK" w:eastAsia="方正仿宋_GBK" w:cs="方正仿宋_GBK"/>
          <w:color w:val="000000"/>
          <w:sz w:val="22"/>
          <w:szCs w:val="22"/>
          <w:lang w:bidi="ar"/>
        </w:rPr>
        <w:t>3.</w:t>
      </w:r>
      <w:r>
        <w:rPr>
          <w:rStyle w:val="15"/>
          <w:lang w:bidi="ar"/>
        </w:rPr>
        <w:t>乙方</w:t>
      </w:r>
      <w:r>
        <w:rPr>
          <w:rStyle w:val="15"/>
          <w:rFonts w:hint="default"/>
          <w:lang w:bidi="ar"/>
        </w:rPr>
        <w:t>在安装和拆卸活动场地过程中，出现违反场地方及主办单位规定的相关行为，由</w:t>
      </w:r>
      <w:r>
        <w:rPr>
          <w:rStyle w:val="15"/>
          <w:lang w:bidi="ar"/>
        </w:rPr>
        <w:t>乙方</w:t>
      </w:r>
      <w:r>
        <w:rPr>
          <w:rStyle w:val="15"/>
          <w:rFonts w:hint="default"/>
          <w:lang w:bidi="ar"/>
        </w:rPr>
        <w:t>自行承担全部责任及相关赔偿。</w:t>
      </w:r>
    </w:p>
    <w:p w14:paraId="1CE55D2F">
      <w:pPr>
        <w:keepNext w:val="0"/>
        <w:keepLines w:val="0"/>
        <w:pageBreakBefore w:val="0"/>
        <w:widowControl/>
        <w:kinsoku/>
        <w:wordWrap/>
        <w:topLinePunct w:val="0"/>
        <w:autoSpaceDE/>
        <w:autoSpaceDN/>
        <w:bidi w:val="0"/>
        <w:adjustRightInd/>
        <w:snapToGrid w:val="0"/>
        <w:spacing w:line="520" w:lineRule="exact"/>
        <w:ind w:firstLine="440" w:firstLineChars="200"/>
        <w:textAlignment w:val="auto"/>
        <w:rPr>
          <w:rFonts w:hint="eastAsia" w:asciiTheme="minorEastAsia" w:hAnsiTheme="minorEastAsia" w:eastAsiaTheme="minorEastAsia" w:cstheme="minorEastAsia"/>
          <w:sz w:val="21"/>
          <w:szCs w:val="21"/>
        </w:rPr>
      </w:pPr>
      <w:r>
        <w:rPr>
          <w:rStyle w:val="15"/>
          <w:rFonts w:hint="default"/>
          <w:lang w:bidi="ar"/>
        </w:rPr>
        <w:t>4.</w:t>
      </w:r>
      <w:r>
        <w:rPr>
          <w:rStyle w:val="15"/>
          <w:lang w:bidi="ar"/>
        </w:rPr>
        <w:t>乙方按需</w:t>
      </w:r>
      <w:r>
        <w:rPr>
          <w:rStyle w:val="15"/>
          <w:rFonts w:hint="default"/>
          <w:lang w:bidi="ar"/>
        </w:rPr>
        <w:t>提供总体实施计划和分项实施进度表、人员分工明细表，要求安排详细合理，分工明确。</w:t>
      </w:r>
      <w:r>
        <w:rPr>
          <w:rStyle w:val="15"/>
          <w:rFonts w:hint="default"/>
          <w:lang w:bidi="ar"/>
        </w:rPr>
        <w:br w:type="textWrapping"/>
      </w:r>
      <w:r>
        <w:rPr>
          <w:rStyle w:val="15"/>
          <w:lang w:bidi="ar"/>
        </w:rPr>
        <w:t xml:space="preserve">    </w:t>
      </w:r>
      <w:r>
        <w:rPr>
          <w:rStyle w:val="15"/>
          <w:rFonts w:hint="default"/>
          <w:lang w:bidi="ar"/>
        </w:rPr>
        <w:t>（六）</w:t>
      </w:r>
      <w:r>
        <w:rPr>
          <w:rStyle w:val="15"/>
          <w:lang w:bidi="ar"/>
        </w:rPr>
        <w:t>乙方</w:t>
      </w:r>
      <w:r>
        <w:rPr>
          <w:rStyle w:val="15"/>
          <w:rFonts w:hint="default"/>
          <w:lang w:bidi="ar"/>
        </w:rPr>
        <w:t>承诺活动现场相关负责人员须保证24小时活动支持服务，提供现场服务人员名单、有效通讯等信息，并保证信息的准确性。</w:t>
      </w:r>
      <w:r>
        <w:rPr>
          <w:rStyle w:val="15"/>
          <w:rFonts w:hint="default"/>
          <w:lang w:bidi="ar"/>
        </w:rPr>
        <w:br w:type="textWrapping"/>
      </w:r>
      <w:r>
        <w:rPr>
          <w:rStyle w:val="15"/>
          <w:lang w:bidi="ar"/>
        </w:rPr>
        <w:t xml:space="preserve">    </w:t>
      </w:r>
      <w:r>
        <w:rPr>
          <w:rStyle w:val="15"/>
          <w:rFonts w:hint="default"/>
          <w:lang w:bidi="ar"/>
        </w:rPr>
        <w:t>（七）</w:t>
      </w:r>
      <w:r>
        <w:rPr>
          <w:rStyle w:val="15"/>
          <w:lang w:bidi="ar"/>
        </w:rPr>
        <w:t>乙方已</w:t>
      </w:r>
      <w:r>
        <w:rPr>
          <w:rStyle w:val="15"/>
          <w:rFonts w:hint="default"/>
          <w:lang w:bidi="ar"/>
        </w:rPr>
        <w:t>综合考虑本项目相关活动流程所产生的所有费用，充分衡量和估计本项目履行中可能发生的其他潜在导致价格变动的风险因素，</w:t>
      </w:r>
      <w:r>
        <w:rPr>
          <w:rStyle w:val="15"/>
          <w:lang w:bidi="ar"/>
        </w:rPr>
        <w:t>合同签订</w:t>
      </w:r>
      <w:r>
        <w:rPr>
          <w:rStyle w:val="15"/>
          <w:rFonts w:hint="default"/>
          <w:lang w:bidi="ar"/>
        </w:rPr>
        <w:t>后视为就本项目所有所需服务及所需相应设施、设备、材料、人员、耗材及各类检验报告等已经包含在该价格中，且不做任何调整。服务要求中所产生的一切费用均由</w:t>
      </w:r>
      <w:r>
        <w:rPr>
          <w:rStyle w:val="15"/>
          <w:lang w:bidi="ar"/>
        </w:rPr>
        <w:t>乙方</w:t>
      </w:r>
      <w:r>
        <w:rPr>
          <w:rStyle w:val="15"/>
          <w:rFonts w:hint="default"/>
          <w:lang w:bidi="ar"/>
        </w:rPr>
        <w:t>支付，活动期间如因对项目理解及活动规模不充足导致活动延期或出现服务停滞情况所产生的一切损失均由</w:t>
      </w:r>
      <w:r>
        <w:rPr>
          <w:rStyle w:val="15"/>
          <w:lang w:bidi="ar"/>
        </w:rPr>
        <w:t>乙方</w:t>
      </w:r>
      <w:r>
        <w:rPr>
          <w:rStyle w:val="15"/>
          <w:rFonts w:hint="default"/>
          <w:lang w:bidi="ar"/>
        </w:rPr>
        <w:t>负责。</w:t>
      </w:r>
      <w:r>
        <w:rPr>
          <w:rStyle w:val="15"/>
          <w:rFonts w:hint="default"/>
          <w:lang w:bidi="ar"/>
        </w:rPr>
        <w:br w:type="textWrapping"/>
      </w:r>
      <w:r>
        <w:rPr>
          <w:rStyle w:val="15"/>
          <w:lang w:bidi="ar"/>
        </w:rPr>
        <w:t xml:space="preserve">    </w:t>
      </w:r>
      <w:r>
        <w:rPr>
          <w:rStyle w:val="15"/>
          <w:rFonts w:hint="default"/>
          <w:lang w:bidi="ar"/>
        </w:rPr>
        <w:t>（八）乙方应根据本项目的内容和要求，制定完成本次采购相关服务的总体需求理解及策划方案、实施方案、安全管理及应急方案、综合协调方案等。</w:t>
      </w:r>
    </w:p>
    <w:p w14:paraId="5CA18A3C">
      <w:pPr>
        <w:keepNext w:val="0"/>
        <w:keepLines w:val="0"/>
        <w:pageBreakBefore w:val="0"/>
        <w:kinsoku/>
        <w:wordWrap/>
        <w:overflowPunct w:val="0"/>
        <w:topLinePunct w:val="0"/>
        <w:autoSpaceDE/>
        <w:autoSpaceDN/>
        <w:bidi w:val="0"/>
        <w:adjustRightInd/>
        <w:spacing w:line="520" w:lineRule="exact"/>
        <w:ind w:firstLine="420" w:firstLineChars="200"/>
        <w:textAlignment w:val="auto"/>
        <w:rPr>
          <w:rFonts w:hint="eastAsia" w:ascii="方正仿宋_GBK" w:hAnsi="方正仿宋_GBK" w:cs="方正仿宋_GBK" w:eastAsiaTheme="minorEastAsia"/>
          <w:sz w:val="21"/>
          <w:szCs w:val="21"/>
          <w:lang w:eastAsia="zh-CN"/>
        </w:rPr>
      </w:pPr>
      <w:r>
        <w:rPr>
          <w:rFonts w:hint="eastAsia" w:ascii="方正仿宋_GBK" w:hAnsi="方正仿宋_GBK" w:cs="方正仿宋_GBK"/>
          <w:sz w:val="21"/>
          <w:szCs w:val="21"/>
        </w:rPr>
        <w:t>服务期限：</w:t>
      </w:r>
      <w:r>
        <w:rPr>
          <w:rFonts w:hint="eastAsia"/>
          <w:sz w:val="21"/>
          <w:szCs w:val="21"/>
        </w:rPr>
        <w:t>202</w:t>
      </w:r>
      <w:r>
        <w:rPr>
          <w:rFonts w:hint="eastAsia"/>
          <w:sz w:val="21"/>
          <w:szCs w:val="21"/>
          <w:lang w:val="en-US" w:eastAsia="zh-CN"/>
        </w:rPr>
        <w:t>6</w:t>
      </w:r>
      <w:r>
        <w:rPr>
          <w:rFonts w:hint="eastAsia"/>
          <w:sz w:val="21"/>
          <w:szCs w:val="21"/>
        </w:rPr>
        <w:t>年</w:t>
      </w:r>
      <w:r>
        <w:rPr>
          <w:rFonts w:hint="eastAsia"/>
          <w:sz w:val="21"/>
          <w:szCs w:val="21"/>
          <w:lang w:val="en-US" w:eastAsia="zh-CN"/>
        </w:rPr>
        <w:t>4</w:t>
      </w:r>
      <w:r>
        <w:rPr>
          <w:rFonts w:hint="eastAsia"/>
          <w:sz w:val="21"/>
          <w:szCs w:val="21"/>
        </w:rPr>
        <w:t>月</w:t>
      </w:r>
      <w:r>
        <w:rPr>
          <w:rFonts w:hint="eastAsia"/>
          <w:sz w:val="21"/>
          <w:szCs w:val="21"/>
          <w:lang w:val="en-US" w:eastAsia="zh-CN"/>
        </w:rPr>
        <w:t>29</w:t>
      </w:r>
      <w:r>
        <w:rPr>
          <w:rFonts w:hint="eastAsia"/>
          <w:sz w:val="21"/>
          <w:szCs w:val="21"/>
        </w:rPr>
        <w:t>日</w:t>
      </w:r>
    </w:p>
    <w:p w14:paraId="22CD183B">
      <w:pPr>
        <w:keepNext w:val="0"/>
        <w:keepLines w:val="0"/>
        <w:pageBreakBefore w:val="0"/>
        <w:kinsoku/>
        <w:wordWrap/>
        <w:overflowPunct w:val="0"/>
        <w:topLinePunct w:val="0"/>
        <w:autoSpaceDE/>
        <w:autoSpaceDN/>
        <w:bidi w:val="0"/>
        <w:adjustRightInd/>
        <w:spacing w:line="520" w:lineRule="exact"/>
        <w:ind w:firstLine="420" w:firstLineChars="200"/>
        <w:textAlignment w:val="auto"/>
        <w:rPr>
          <w:rFonts w:hint="default" w:ascii="方正仿宋_GBK" w:hAnsi="方正仿宋_GBK" w:cs="方正仿宋_GBK" w:eastAsiaTheme="minorEastAsia"/>
          <w:sz w:val="21"/>
          <w:szCs w:val="21"/>
          <w:lang w:val="en-US" w:eastAsia="zh-CN"/>
        </w:rPr>
      </w:pPr>
      <w:r>
        <w:rPr>
          <w:rFonts w:hint="eastAsia" w:ascii="方正仿宋_GBK" w:hAnsi="方正仿宋_GBK" w:cs="方正仿宋_GBK"/>
          <w:sz w:val="21"/>
          <w:szCs w:val="21"/>
        </w:rPr>
        <w:t>服务地点：</w:t>
      </w:r>
      <w:r>
        <w:rPr>
          <w:rFonts w:hint="eastAsia" w:ascii="方正仿宋_GBK" w:hAnsi="方正仿宋_GBK" w:cs="方正仿宋_GBK"/>
          <w:sz w:val="21"/>
          <w:szCs w:val="21"/>
          <w:lang w:eastAsia="zh-CN"/>
        </w:rPr>
        <w:t>重庆市南岸区广阳岛国际会议中心</w:t>
      </w:r>
    </w:p>
    <w:p w14:paraId="4F36F2D1">
      <w:pPr>
        <w:keepNext w:val="0"/>
        <w:keepLines w:val="0"/>
        <w:pageBreakBefore w:val="0"/>
        <w:kinsoku/>
        <w:wordWrap/>
        <w:overflowPunct w:val="0"/>
        <w:topLinePunct w:val="0"/>
        <w:autoSpaceDE/>
        <w:autoSpaceDN/>
        <w:bidi w:val="0"/>
        <w:adjustRightInd/>
        <w:spacing w:line="520" w:lineRule="exact"/>
        <w:textAlignment w:val="auto"/>
        <w:rPr>
          <w:rFonts w:hint="eastAsia" w:ascii="黑体" w:hAnsi="黑体" w:eastAsia="仿宋"/>
          <w:sz w:val="21"/>
          <w:szCs w:val="21"/>
          <w:lang w:eastAsia="zh-CN"/>
        </w:rPr>
      </w:pPr>
      <w:r>
        <w:rPr>
          <w:rFonts w:hint="eastAsia" w:ascii="方正黑体_GBK" w:hAnsi="黑体" w:eastAsia="方正黑体_GBK"/>
          <w:sz w:val="21"/>
          <w:szCs w:val="21"/>
        </w:rPr>
        <w:t>七、验收（或终止）日期：</w:t>
      </w:r>
      <w:r>
        <w:rPr>
          <w:rFonts w:hint="eastAsia" w:ascii="方正仿宋_GBK" w:hAnsi="方正仿宋_GBK" w:eastAsia="方正仿宋_GBK" w:cs="方正仿宋_GBK"/>
          <w:szCs w:val="32"/>
          <w:u w:val="single"/>
          <w:lang w:val="en-US" w:eastAsia="zh-CN"/>
        </w:rPr>
        <w:t>2026年5月7日</w:t>
      </w:r>
    </w:p>
    <w:p w14:paraId="111A4095">
      <w:pPr>
        <w:keepNext w:val="0"/>
        <w:keepLines w:val="0"/>
        <w:pageBreakBefore w:val="0"/>
        <w:kinsoku/>
        <w:wordWrap/>
        <w:overflowPunct w:val="0"/>
        <w:topLinePunct w:val="0"/>
        <w:autoSpaceDE/>
        <w:autoSpaceDN/>
        <w:bidi w:val="0"/>
        <w:adjustRightInd/>
        <w:spacing w:line="520" w:lineRule="exact"/>
        <w:textAlignment w:val="auto"/>
        <w:rPr>
          <w:rFonts w:hint="eastAsia" w:ascii="黑体" w:hAnsi="黑体" w:eastAsia="方正黑体_GBK"/>
          <w:sz w:val="21"/>
          <w:szCs w:val="21"/>
          <w:lang w:eastAsia="zh-CN"/>
        </w:rPr>
      </w:pPr>
      <w:r>
        <w:rPr>
          <w:rFonts w:hint="eastAsia" w:ascii="方正黑体_GBK" w:hAnsi="黑体" w:eastAsia="方正黑体_GBK"/>
          <w:sz w:val="21"/>
          <w:szCs w:val="21"/>
        </w:rPr>
        <w:t>八、验收组成员：</w:t>
      </w:r>
      <w:r>
        <w:rPr>
          <w:rFonts w:hint="eastAsia" w:ascii="黑体" w:hAnsi="黑体" w:eastAsia="方正黑体_GBK"/>
          <w:sz w:val="21"/>
          <w:szCs w:val="21"/>
          <w:lang w:eastAsia="zh-CN"/>
        </w:rPr>
        <w:t>招商统筹处</w:t>
      </w:r>
    </w:p>
    <w:p w14:paraId="16068BB6">
      <w:pPr>
        <w:keepNext w:val="0"/>
        <w:keepLines w:val="0"/>
        <w:pageBreakBefore w:val="0"/>
        <w:kinsoku/>
        <w:wordWrap/>
        <w:overflowPunct w:val="0"/>
        <w:topLinePunct w:val="0"/>
        <w:autoSpaceDE/>
        <w:autoSpaceDN/>
        <w:bidi w:val="0"/>
        <w:adjustRightInd/>
        <w:spacing w:line="520" w:lineRule="exact"/>
        <w:textAlignment w:val="auto"/>
        <w:rPr>
          <w:rFonts w:hint="eastAsia" w:ascii="仿宋" w:hAnsi="仿宋" w:eastAsia="仿宋"/>
          <w:sz w:val="21"/>
          <w:szCs w:val="21"/>
          <w:u w:val="single"/>
          <w:lang w:eastAsia="zh-CN"/>
        </w:rPr>
      </w:pPr>
      <w:r>
        <w:rPr>
          <w:rFonts w:hint="eastAsia" w:ascii="方正黑体_GBK" w:hAnsi="黑体" w:eastAsia="方正黑体_GBK"/>
          <w:sz w:val="21"/>
          <w:szCs w:val="21"/>
        </w:rPr>
        <w:t>九、验收（或终止）意见：</w:t>
      </w:r>
      <w:r>
        <w:rPr>
          <w:rFonts w:hint="eastAsia" w:ascii="方正仿宋_GBK" w:hAnsi="方正仿宋_GBK" w:eastAsia="方正仿宋_GBK" w:cs="方正仿宋_GBK"/>
          <w:szCs w:val="32"/>
          <w:u w:val="single"/>
          <w:lang w:eastAsia="zh-CN"/>
        </w:rPr>
        <w:t>验收通过</w:t>
      </w:r>
    </w:p>
    <w:p w14:paraId="45E0E2F1">
      <w:pPr>
        <w:keepNext w:val="0"/>
        <w:keepLines w:val="0"/>
        <w:pageBreakBefore w:val="0"/>
        <w:kinsoku/>
        <w:wordWrap/>
        <w:overflowPunct w:val="0"/>
        <w:topLinePunct w:val="0"/>
        <w:autoSpaceDE/>
        <w:autoSpaceDN/>
        <w:bidi w:val="0"/>
        <w:adjustRightInd/>
        <w:spacing w:line="520" w:lineRule="exact"/>
        <w:textAlignment w:val="auto"/>
        <w:rPr>
          <w:rFonts w:ascii="方正黑体_GBK" w:hAnsi="黑体" w:eastAsia="方正黑体_GBK"/>
          <w:sz w:val="21"/>
          <w:szCs w:val="21"/>
        </w:rPr>
      </w:pPr>
      <w:r>
        <w:rPr>
          <w:rFonts w:hint="eastAsia" w:ascii="方正黑体_GBK" w:hAnsi="黑体" w:eastAsia="方正黑体_GBK"/>
          <w:sz w:val="21"/>
          <w:szCs w:val="21"/>
        </w:rPr>
        <w:t>十、公告期限</w:t>
      </w:r>
      <w:bookmarkStart w:id="0" w:name="_GoBack"/>
      <w:bookmarkEnd w:id="0"/>
    </w:p>
    <w:p w14:paraId="2EEF0EAE">
      <w:pPr>
        <w:keepNext w:val="0"/>
        <w:keepLines w:val="0"/>
        <w:pageBreakBefore w:val="0"/>
        <w:kinsoku/>
        <w:wordWrap/>
        <w:overflowPunct w:val="0"/>
        <w:topLinePunct w:val="0"/>
        <w:autoSpaceDE/>
        <w:autoSpaceDN/>
        <w:bidi w:val="0"/>
        <w:adjustRightInd/>
        <w:spacing w:line="520" w:lineRule="exact"/>
        <w:ind w:firstLine="420" w:firstLineChars="200"/>
        <w:textAlignment w:val="auto"/>
        <w:rPr>
          <w:rFonts w:ascii="仿宋" w:hAnsi="仿宋" w:eastAsia="仿宋"/>
          <w:sz w:val="21"/>
          <w:szCs w:val="21"/>
          <w:u w:val="single"/>
        </w:rPr>
      </w:pPr>
      <w:r>
        <w:rPr>
          <w:rFonts w:hint="eastAsia"/>
          <w:color w:val="000000"/>
          <w:sz w:val="21"/>
          <w:szCs w:val="21"/>
          <w:shd w:val="clear" w:color="auto" w:fill="FFFFFF"/>
        </w:rPr>
        <w:t>自本公告发布之日起2个工作日。</w:t>
      </w:r>
    </w:p>
    <w:p w14:paraId="4F5B5274">
      <w:pPr>
        <w:keepNext w:val="0"/>
        <w:keepLines w:val="0"/>
        <w:pageBreakBefore w:val="0"/>
        <w:kinsoku/>
        <w:wordWrap/>
        <w:overflowPunct w:val="0"/>
        <w:topLinePunct w:val="0"/>
        <w:autoSpaceDE/>
        <w:autoSpaceDN/>
        <w:bidi w:val="0"/>
        <w:adjustRightInd/>
        <w:spacing w:line="520" w:lineRule="exact"/>
        <w:textAlignment w:val="auto"/>
        <w:rPr>
          <w:rFonts w:ascii="方正仿宋_GBK" w:hAnsi="方正仿宋_GBK" w:eastAsia="方正仿宋_GBK" w:cs="方正仿宋_GBK"/>
          <w:sz w:val="32"/>
          <w:szCs w:val="32"/>
        </w:rPr>
      </w:pPr>
      <w:r>
        <w:rPr>
          <w:rFonts w:hint="eastAsia" w:ascii="方正黑体_GBK" w:hAnsi="黑体" w:eastAsia="方正黑体_GBK"/>
          <w:sz w:val="21"/>
          <w:szCs w:val="21"/>
        </w:rPr>
        <w:t>十一、</w:t>
      </w:r>
      <w:r>
        <w:rPr>
          <w:rFonts w:ascii="方正黑体_GBK" w:hAnsi="黑体" w:eastAsia="方正黑体_GBK"/>
          <w:sz w:val="21"/>
          <w:szCs w:val="21"/>
        </w:rPr>
        <w:t>其他</w:t>
      </w:r>
      <w:r>
        <w:rPr>
          <w:rFonts w:hint="eastAsia" w:ascii="方正黑体_GBK" w:hAnsi="黑体" w:eastAsia="方正黑体_GBK"/>
          <w:sz w:val="21"/>
          <w:szCs w:val="21"/>
        </w:rPr>
        <w:t>补充事宜：</w:t>
      </w:r>
    </w:p>
    <w:p w14:paraId="4EEEA172"/>
    <w:sectPr>
      <w:headerReference r:id="rId3" w:type="default"/>
      <w:footerReference r:id="rId4" w:type="default"/>
      <w:pgSz w:w="11906" w:h="16838"/>
      <w:pgMar w:top="1962" w:right="1474" w:bottom="1962"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71991">
    <w:pPr>
      <w:pStyle w:val="12"/>
      <w:ind w:left="4788" w:leftChars="2280" w:firstLine="6400" w:firstLineChars="2000"/>
      <w:rPr>
        <w:rFonts w:eastAsia="仿宋"/>
        <w:sz w:val="32"/>
        <w:szCs w:val="48"/>
      </w:rPr>
    </w:pPr>
    <w:r>
      <w:rPr>
        <w:rFonts w:hint="eastAsia" w:eastAsia="仿宋"/>
        <w:sz w:val="32"/>
        <w:szCs w:val="48"/>
      </w:rPr>
      <w:t xml:space="preserve">  </w:t>
    </w:r>
  </w:p>
  <w:p w14:paraId="5C52F6CD">
    <w:pPr>
      <w:pStyle w:val="12"/>
      <w:wordWrap w:val="0"/>
      <w:ind w:left="3786" w:leftChars="1803" w:firstLine="7398" w:firstLineChars="2312"/>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74295</wp:posOffset>
              </wp:positionV>
              <wp:extent cx="5616575" cy="1905"/>
              <wp:effectExtent l="0" t="10795" r="6985" b="17780"/>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59264;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color w:val="FAFAFA"/>
        <w:sz w:val="32"/>
      </w:rPr>
      <w:t xml:space="preserve"> </w:t>
    </w:r>
    <w:r>
      <w:rPr>
        <w:rFonts w:hint="eastAsia" w:ascii="宋体" w:hAnsi="宋体" w:eastAsia="宋体" w:cs="宋体"/>
        <w:b/>
        <w:bCs/>
        <w:color w:val="005192"/>
        <w:sz w:val="28"/>
        <w:szCs w:val="44"/>
        <w:lang w:eastAsia="zh-Hans"/>
      </w:rPr>
      <w:t>重庆市财政局</w:t>
    </w:r>
    <w:r>
      <w:rPr>
        <w:rFonts w:hint="eastAsia" w:ascii="宋体" w:hAnsi="宋体" w:eastAsia="宋体" w:cs="宋体"/>
        <w:b/>
        <w:bCs/>
        <w:color w:val="005192"/>
        <w:sz w:val="28"/>
        <w:szCs w:val="44"/>
      </w:rPr>
      <w:t xml:space="preserve">发布     </w:t>
    </w:r>
  </w:p>
  <w:p w14:paraId="60C92D9D">
    <w:pPr>
      <w:pStyle w:val="12"/>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D6935">
    <w:pPr>
      <w:pStyle w:val="12"/>
      <w:textAlignment w:val="center"/>
      <w:rPr>
        <w:rFonts w:ascii="宋体" w:hAnsi="宋体" w:eastAsia="宋体" w:cs="宋体"/>
        <w:b/>
        <w:bCs/>
        <w:color w:val="005192"/>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707C0C"/>
    <w:multiLevelType w:val="multilevel"/>
    <w:tmpl w:val="01707C0C"/>
    <w:lvl w:ilvl="0" w:tentative="0">
      <w:start w:val="1"/>
      <w:numFmt w:val="chineseCounting"/>
      <w:suff w:val="nothing"/>
      <w:lvlText w:val="%1、"/>
      <w:lvlJc w:val="left"/>
      <w:pPr>
        <w:tabs>
          <w:tab w:val="left" w:pos="0"/>
        </w:tabs>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0"/>
      </w:pPr>
      <w:rPr>
        <w:rFonts w:hint="eastAsia"/>
      </w:rPr>
    </w:lvl>
    <w:lvl w:ilvl="3" w:tentative="0">
      <w:start w:val="1"/>
      <w:numFmt w:val="decimal"/>
      <w:isLgl/>
      <w:suff w:val="nothing"/>
      <w:lvlText w:val="%3.%4"/>
      <w:lvlJc w:val="left"/>
      <w:pPr>
        <w:ind w:left="0" w:firstLine="0"/>
      </w:pPr>
      <w:rPr>
        <w:rFonts w:hint="eastAsia"/>
      </w:rPr>
    </w:lvl>
    <w:lvl w:ilvl="4" w:tentative="0">
      <w:start w:val="1"/>
      <w:numFmt w:val="decimalEnclosedCircleChinese"/>
      <w:isLgl/>
      <w:suff w:val="nothing"/>
      <w:lvlText w:val="%3.%4.%5"/>
      <w:lvlJc w:val="left"/>
      <w:pPr>
        <w:ind w:left="0" w:firstLine="0"/>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D6B7E"/>
    <w:rsid w:val="02A23C06"/>
    <w:rsid w:val="05536A60"/>
    <w:rsid w:val="0A887BD7"/>
    <w:rsid w:val="122D6FB1"/>
    <w:rsid w:val="1B38635F"/>
    <w:rsid w:val="1DDFB388"/>
    <w:rsid w:val="1DF66EB4"/>
    <w:rsid w:val="22F27C5C"/>
    <w:rsid w:val="29ED5C46"/>
    <w:rsid w:val="2B595843"/>
    <w:rsid w:val="2BC63A29"/>
    <w:rsid w:val="2FFF02EA"/>
    <w:rsid w:val="41C90680"/>
    <w:rsid w:val="44A81299"/>
    <w:rsid w:val="4502713E"/>
    <w:rsid w:val="478E39F4"/>
    <w:rsid w:val="4DA16016"/>
    <w:rsid w:val="515F6ED8"/>
    <w:rsid w:val="51C1263F"/>
    <w:rsid w:val="5C781102"/>
    <w:rsid w:val="5F754C66"/>
    <w:rsid w:val="63936152"/>
    <w:rsid w:val="68050F4D"/>
    <w:rsid w:val="69C0704A"/>
    <w:rsid w:val="6BCA388B"/>
    <w:rsid w:val="6C872551"/>
    <w:rsid w:val="76C23FE2"/>
    <w:rsid w:val="773401EA"/>
    <w:rsid w:val="F0EB836C"/>
    <w:rsid w:val="FB7A3A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tabs>
        <w:tab w:val="left" w:pos="420"/>
      </w:tabs>
      <w:spacing w:beforeLines="0" w:beforeAutospacing="0" w:afterLines="0" w:afterAutospacing="0" w:line="360" w:lineRule="auto"/>
      <w:outlineLvl w:val="0"/>
    </w:pPr>
    <w:rPr>
      <w:rFonts w:ascii="Times New Roman" w:hAnsi="Times New Roman" w:eastAsia="方正黑体_GBK" w:cs="Times New Roman"/>
      <w:b/>
      <w:kern w:val="44"/>
      <w:sz w:val="44"/>
    </w:rPr>
  </w:style>
  <w:style w:type="paragraph" w:styleId="3">
    <w:name w:val="heading 2"/>
    <w:basedOn w:val="1"/>
    <w:next w:val="1"/>
    <w:semiHidden/>
    <w:unhideWhenUsed/>
    <w:qFormat/>
    <w:uiPriority w:val="0"/>
    <w:pPr>
      <w:keepNext/>
      <w:keepLines/>
      <w:tabs>
        <w:tab w:val="left" w:pos="420"/>
      </w:tabs>
      <w:spacing w:beforeLines="0" w:beforeAutospacing="0" w:afterLines="0" w:afterAutospacing="0" w:line="360" w:lineRule="auto"/>
      <w:ind w:left="0" w:firstLine="0"/>
      <w:jc w:val="left"/>
      <w:outlineLvl w:val="1"/>
    </w:pPr>
    <w:rPr>
      <w:rFonts w:ascii="Arial" w:hAnsi="Arial" w:eastAsia="方正黑体_GBK" w:cs="Times New Roman"/>
      <w:b/>
      <w:sz w:val="36"/>
    </w:rPr>
  </w:style>
  <w:style w:type="paragraph" w:styleId="4">
    <w:name w:val="heading 3"/>
    <w:basedOn w:val="1"/>
    <w:next w:val="1"/>
    <w:semiHidden/>
    <w:unhideWhenUsed/>
    <w:qFormat/>
    <w:uiPriority w:val="0"/>
    <w:pPr>
      <w:keepNext/>
      <w:keepLines/>
      <w:spacing w:beforeLines="0" w:beforeAutospacing="0" w:afterLines="0" w:afterAutospacing="0" w:line="360" w:lineRule="auto"/>
      <w:ind w:left="0" w:firstLine="0"/>
      <w:outlineLvl w:val="2"/>
    </w:pPr>
    <w:rPr>
      <w:rFonts w:ascii="Times New Roman" w:hAnsi="Times New Roman" w:eastAsia="方正黑体_GBK" w:cs="Times New Roman"/>
      <w:b/>
      <w:sz w:val="32"/>
    </w:rPr>
  </w:style>
  <w:style w:type="paragraph" w:styleId="5">
    <w:name w:val="heading 4"/>
    <w:basedOn w:val="1"/>
    <w:next w:val="1"/>
    <w:semiHidden/>
    <w:unhideWhenUsed/>
    <w:qFormat/>
    <w:uiPriority w:val="0"/>
    <w:pPr>
      <w:keepNext/>
      <w:keepLines/>
      <w:spacing w:beforeLines="0" w:beforeAutospacing="0" w:afterLines="0" w:afterAutospacing="0" w:line="360" w:lineRule="auto"/>
      <w:ind w:left="0" w:firstLine="0"/>
      <w:outlineLvl w:val="3"/>
    </w:pPr>
    <w:rPr>
      <w:rFonts w:ascii="Arial" w:hAnsi="Arial" w:eastAsia="方正黑体_GBK" w:cs="Times New Roman"/>
      <w:b/>
      <w:sz w:val="30"/>
    </w:rPr>
  </w:style>
  <w:style w:type="paragraph" w:styleId="6">
    <w:name w:val="heading 5"/>
    <w:basedOn w:val="1"/>
    <w:next w:val="1"/>
    <w:semiHidden/>
    <w:unhideWhenUsed/>
    <w:qFormat/>
    <w:uiPriority w:val="0"/>
    <w:pPr>
      <w:keepNext/>
      <w:keepLines/>
      <w:spacing w:beforeLines="0" w:beforeAutospacing="0" w:afterLines="0" w:afterAutospacing="0" w:line="360" w:lineRule="auto"/>
      <w:ind w:firstLine="0"/>
      <w:outlineLvl w:val="4"/>
    </w:pPr>
    <w:rPr>
      <w:rFonts w:ascii="Times New Roman" w:hAnsi="Times New Roman" w:eastAsia="方正黑体_GBK" w:cs="Times New Roman"/>
      <w:b/>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firstLine="402"/>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firstLine="402"/>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firstLine="402"/>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firstLine="402"/>
      <w:outlineLvl w:val="8"/>
    </w:pPr>
    <w:rPr>
      <w:rFonts w:ascii="Arial" w:hAnsi="Arial" w:eastAsia="黑体"/>
      <w:sz w:val="21"/>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15">
    <w:name w:val="font11"/>
    <w:basedOn w:val="14"/>
    <w:qFormat/>
    <w:uiPriority w:val="0"/>
    <w:rPr>
      <w:rFonts w:hint="eastAsia" w:ascii="方正仿宋_GBK" w:hAnsi="方正仿宋_GBK" w:eastAsia="方正仿宋_GBK" w:cs="方正仿宋_GBK"/>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1533</Words>
  <Characters>1615</Characters>
  <Lines>0</Lines>
  <Paragraphs>0</Paragraphs>
  <TotalTime>0</TotalTime>
  <ScaleCrop>false</ScaleCrop>
  <LinksUpToDate>false</LinksUpToDate>
  <CharactersWithSpaces>1617</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2024-10-15T10:13:00Z</dcterms:created>
  <dc:creator>Six</dc:creator>
  <cp:lastModifiedBy>guest</cp:lastModifiedBy>
  <dcterms:modified xsi:type="dcterms:W3CDTF">2026-08-12T10:02:19Z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1CCE42F51B8D40E894B54AAD3213FD5F_13</vt:lpwstr>
  </property>
  <property fmtid="{D5CDD505-2E9C-101B-9397-08002B2CF9AE}" pid="4" name="KSOTemplateDocerSaveRecord">
    <vt:lpwstr>eyJoZGlkIjoiNmMwYTJmMWE5OTlhNmMyYjRhOWE2ZmJiNGUwOWEzZTQiLCJ1c2VySWQiOiIxMjE1NDY1MDUzIn0=</vt:lpwstr>
  </property>
</Properties>
</file>