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2026年无线电赋能制造业高质量发展技术服务项目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CQCBJQ2606-205</w:t>
      </w:r>
    </w:p>
    <w:p w14:paraId="7BE1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2026年无线电赋能制造业高质量发展技术服务项目</w:t>
      </w:r>
    </w:p>
    <w:p w14:paraId="6BE3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0"/>
        <w:gridCol w:w="2083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2026年无线电赋能制造业高质量发展技术服务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重庆信息通信研究院 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 xml:space="preserve">  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重庆信息通信研究院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24.29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18.5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76.79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成都点阵科技有限公司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23.83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31.33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66.16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成都蜀诚通信技术有限公司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6.5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60.83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  旭、</w:t>
      </w:r>
      <w:r>
        <w:rPr>
          <w:rFonts w:hint="eastAsia" w:asciiTheme="majorEastAsia" w:hAnsiTheme="majorEastAsia" w:eastAsiaTheme="majorEastAsia" w:cstheme="minorBidi"/>
          <w:color w:val="333333"/>
          <w:kern w:val="2"/>
          <w:sz w:val="21"/>
          <w:szCs w:val="21"/>
          <w:lang w:val="en-US" w:eastAsia="zh-CN" w:bidi="ar-SA"/>
        </w:rPr>
        <w:t>万邦睿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、甘汁冰</w:t>
      </w:r>
    </w:p>
    <w:p w14:paraId="62E3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话：（023）63897736</w:t>
      </w:r>
    </w:p>
    <w:p w14:paraId="7D780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701943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BB2AAF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E4415FC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3D6D8F"/>
    <w:rsid w:val="4C46376A"/>
    <w:rsid w:val="4C605771"/>
    <w:rsid w:val="4DEB661F"/>
    <w:rsid w:val="5012387C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7352D3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6F39715B"/>
    <w:rsid w:val="6F502086"/>
    <w:rsid w:val="709A72B2"/>
    <w:rsid w:val="70D00971"/>
    <w:rsid w:val="73D2382E"/>
    <w:rsid w:val="74561014"/>
    <w:rsid w:val="751E3A9D"/>
    <w:rsid w:val="766111DA"/>
    <w:rsid w:val="769A411C"/>
    <w:rsid w:val="7836218B"/>
    <w:rsid w:val="7A2F5A49"/>
    <w:rsid w:val="7B4E7EFF"/>
    <w:rsid w:val="7C4C309C"/>
    <w:rsid w:val="7C4F72D9"/>
    <w:rsid w:val="7E447A3F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460</Characters>
  <Lines>2</Lines>
  <Paragraphs>1</Paragraphs>
  <TotalTime>0</TotalTime>
  <ScaleCrop>false</ScaleCrop>
  <LinksUpToDate>false</LinksUpToDate>
  <CharactersWithSpaces>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2026-07-17T03:42:23Z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