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7BE00">
      <w:pPr>
        <w:pStyle w:val="5"/>
        <w:shd w:val="clear" w:color="auto" w:fill="FFFFFF"/>
        <w:spacing w:line="400" w:lineRule="exact"/>
        <w:jc w:val="center"/>
        <w:rPr>
          <w:rFonts w:hint="eastAsia" w:asciiTheme="majorEastAsia" w:hAnsiTheme="majorEastAsia" w:eastAsiaTheme="majorEastAsia"/>
          <w:color w:val="333333"/>
          <w:sz w:val="36"/>
          <w:szCs w:val="36"/>
          <w:lang w:eastAsia="zh-CN"/>
        </w:rPr>
      </w:pPr>
      <w:r>
        <w:rPr>
          <w:rFonts w:hint="eastAsia" w:asciiTheme="majorEastAsia" w:hAnsiTheme="majorEastAsia" w:eastAsiaTheme="majorEastAsia"/>
          <w:color w:val="333333"/>
          <w:sz w:val="36"/>
          <w:szCs w:val="36"/>
          <w:lang w:eastAsia="zh-CN"/>
        </w:rPr>
        <w:t xml:space="preserve">重庆市经济和信息化委员会采购原市招商投资局大数据平台民事诉讼案件专项法律服务 </w:t>
      </w:r>
    </w:p>
    <w:p w14:paraId="0EFC4D7A">
      <w:pPr>
        <w:pStyle w:val="5"/>
        <w:shd w:val="clear" w:color="auto" w:fill="FFFFFF"/>
        <w:spacing w:line="400" w:lineRule="exact"/>
        <w:jc w:val="center"/>
        <w:rPr>
          <w:rFonts w:asciiTheme="majorEastAsia" w:hAnsiTheme="majorEastAsia" w:eastAsiaTheme="majorEastAsia"/>
          <w:color w:val="333333"/>
          <w:sz w:val="36"/>
          <w:szCs w:val="36"/>
        </w:rPr>
      </w:pPr>
      <w:r>
        <w:rPr>
          <w:rFonts w:hint="eastAsia" w:asciiTheme="majorEastAsia" w:hAnsiTheme="majorEastAsia" w:eastAsiaTheme="majorEastAsia"/>
          <w:color w:val="333333"/>
          <w:sz w:val="36"/>
          <w:szCs w:val="36"/>
        </w:rPr>
        <w:t>结果公示</w:t>
      </w:r>
    </w:p>
    <w:p w14:paraId="41367ED6">
      <w:pPr>
        <w:snapToGrid w:val="0"/>
        <w:spacing w:line="360" w:lineRule="auto"/>
        <w:ind w:firstLine="422" w:firstLineChars="200"/>
        <w:rPr>
          <w:rFonts w:hint="eastAsia" w:asciiTheme="majorEastAsia" w:hAnsiTheme="majorEastAsia" w:eastAsiaTheme="majorEastAsia"/>
          <w:b/>
          <w:color w:val="333333"/>
          <w:szCs w:val="21"/>
          <w:lang w:eastAsia="zh-CN"/>
        </w:rPr>
      </w:pPr>
      <w:r>
        <w:rPr>
          <w:rFonts w:hint="eastAsia" w:asciiTheme="majorEastAsia" w:hAnsiTheme="majorEastAsia" w:eastAsiaTheme="majorEastAsia"/>
          <w:b/>
          <w:color w:val="333333"/>
          <w:szCs w:val="21"/>
        </w:rPr>
        <w:t>一、项目号：</w:t>
      </w:r>
      <w:r>
        <w:rPr>
          <w:rFonts w:hint="eastAsia" w:asciiTheme="majorEastAsia" w:hAnsiTheme="majorEastAsia" w:eastAsiaTheme="majorEastAsia"/>
          <w:b/>
          <w:color w:val="333333"/>
          <w:szCs w:val="21"/>
          <w:lang w:eastAsia="zh-CN"/>
        </w:rPr>
        <w:t>CQCBJQ2603-098</w:t>
      </w:r>
    </w:p>
    <w:p w14:paraId="7BE14A41">
      <w:pPr>
        <w:snapToGrid w:val="0"/>
        <w:spacing w:line="360" w:lineRule="auto"/>
        <w:ind w:firstLine="422" w:firstLineChars="200"/>
        <w:rPr>
          <w:rFonts w:hint="eastAsia" w:asciiTheme="majorEastAsia" w:hAnsiTheme="majorEastAsia" w:eastAsiaTheme="majorEastAsia"/>
          <w:b/>
          <w:color w:val="333333"/>
          <w:szCs w:val="21"/>
          <w:lang w:eastAsia="zh-CN"/>
        </w:rPr>
      </w:pPr>
      <w:r>
        <w:rPr>
          <w:rFonts w:hint="eastAsia" w:asciiTheme="majorEastAsia" w:hAnsiTheme="majorEastAsia" w:eastAsiaTheme="majorEastAsia"/>
          <w:b/>
          <w:color w:val="333333"/>
          <w:szCs w:val="21"/>
        </w:rPr>
        <w:t>二、项目名称：</w:t>
      </w:r>
      <w:r>
        <w:rPr>
          <w:rFonts w:hint="eastAsia" w:asciiTheme="majorEastAsia" w:hAnsiTheme="majorEastAsia" w:eastAsiaTheme="majorEastAsia"/>
          <w:b/>
          <w:color w:val="333333"/>
          <w:szCs w:val="21"/>
          <w:lang w:eastAsia="zh-CN"/>
        </w:rPr>
        <w:t>重庆市经济和信息化委员会采购原市招商投资局大数据平台民事诉讼案件专项法律服务</w:t>
      </w:r>
    </w:p>
    <w:p w14:paraId="6BE335FD">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rPr>
        <w:t>三、采购方式：竞争性磋商</w:t>
      </w:r>
    </w:p>
    <w:p w14:paraId="24F9C3B9">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rPr>
        <w:t>四、评审日期：202</w:t>
      </w:r>
      <w:r>
        <w:rPr>
          <w:rFonts w:hint="eastAsia" w:asciiTheme="majorEastAsia" w:hAnsiTheme="majorEastAsia" w:eastAsiaTheme="majorEastAsia"/>
          <w:b/>
          <w:color w:val="333333"/>
          <w:szCs w:val="21"/>
          <w:lang w:val="en-US" w:eastAsia="zh-CN"/>
        </w:rPr>
        <w:t>6</w:t>
      </w:r>
      <w:r>
        <w:rPr>
          <w:rFonts w:hint="eastAsia" w:asciiTheme="majorEastAsia" w:hAnsiTheme="majorEastAsia" w:eastAsiaTheme="majorEastAsia"/>
          <w:b/>
          <w:color w:val="333333"/>
          <w:szCs w:val="21"/>
        </w:rPr>
        <w:t>年</w:t>
      </w:r>
      <w:r>
        <w:rPr>
          <w:rFonts w:hint="eastAsia" w:asciiTheme="majorEastAsia" w:hAnsiTheme="majorEastAsia" w:eastAsiaTheme="majorEastAsia"/>
          <w:b/>
          <w:color w:val="333333"/>
          <w:szCs w:val="21"/>
          <w:lang w:val="en-US" w:eastAsia="zh-CN"/>
        </w:rPr>
        <w:t>4</w:t>
      </w:r>
      <w:r>
        <w:rPr>
          <w:rFonts w:hint="eastAsia" w:asciiTheme="majorEastAsia" w:hAnsiTheme="majorEastAsia" w:eastAsiaTheme="majorEastAsia"/>
          <w:b/>
          <w:color w:val="333333"/>
          <w:szCs w:val="21"/>
        </w:rPr>
        <w:t>月</w:t>
      </w:r>
      <w:r>
        <w:rPr>
          <w:rFonts w:hint="eastAsia" w:asciiTheme="majorEastAsia" w:hAnsiTheme="majorEastAsia" w:eastAsiaTheme="majorEastAsia"/>
          <w:b/>
          <w:color w:val="333333"/>
          <w:szCs w:val="21"/>
          <w:lang w:val="en-US" w:eastAsia="zh-CN"/>
        </w:rPr>
        <w:t>27</w:t>
      </w:r>
      <w:r>
        <w:rPr>
          <w:rFonts w:hint="eastAsia" w:asciiTheme="majorEastAsia" w:hAnsiTheme="majorEastAsia" w:eastAsiaTheme="majorEastAsia"/>
          <w:b/>
          <w:color w:val="333333"/>
          <w:szCs w:val="21"/>
        </w:rPr>
        <w:t>日</w:t>
      </w:r>
    </w:p>
    <w:p w14:paraId="2EA770C5">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rPr>
        <w:t>五、公示日期：202</w:t>
      </w:r>
      <w:r>
        <w:rPr>
          <w:rFonts w:hint="eastAsia" w:asciiTheme="majorEastAsia" w:hAnsiTheme="majorEastAsia" w:eastAsiaTheme="majorEastAsia"/>
          <w:b/>
          <w:color w:val="333333"/>
          <w:szCs w:val="21"/>
          <w:lang w:val="en-US" w:eastAsia="zh-CN"/>
        </w:rPr>
        <w:t>6</w:t>
      </w:r>
      <w:r>
        <w:rPr>
          <w:rFonts w:hint="eastAsia" w:asciiTheme="majorEastAsia" w:hAnsiTheme="majorEastAsia" w:eastAsiaTheme="majorEastAsia"/>
          <w:b/>
          <w:color w:val="333333"/>
          <w:szCs w:val="21"/>
        </w:rPr>
        <w:t>年</w:t>
      </w:r>
      <w:r>
        <w:rPr>
          <w:rFonts w:hint="eastAsia" w:asciiTheme="majorEastAsia" w:hAnsiTheme="majorEastAsia" w:eastAsiaTheme="majorEastAsia"/>
          <w:b/>
          <w:color w:val="333333"/>
          <w:szCs w:val="21"/>
          <w:lang w:val="en-US" w:eastAsia="zh-CN"/>
        </w:rPr>
        <w:t>4</w:t>
      </w:r>
      <w:r>
        <w:rPr>
          <w:rFonts w:hint="eastAsia" w:asciiTheme="majorEastAsia" w:hAnsiTheme="majorEastAsia" w:eastAsiaTheme="majorEastAsia"/>
          <w:b/>
          <w:color w:val="333333"/>
          <w:szCs w:val="21"/>
        </w:rPr>
        <w:t>月</w:t>
      </w:r>
      <w:r>
        <w:rPr>
          <w:rFonts w:hint="eastAsia" w:asciiTheme="majorEastAsia" w:hAnsiTheme="majorEastAsia" w:eastAsiaTheme="majorEastAsia"/>
          <w:b/>
          <w:color w:val="333333"/>
          <w:szCs w:val="21"/>
          <w:highlight w:val="none"/>
          <w:lang w:val="en-US" w:eastAsia="zh-CN"/>
        </w:rPr>
        <w:t>28</w:t>
      </w:r>
      <w:r>
        <w:rPr>
          <w:rFonts w:hint="eastAsia" w:asciiTheme="majorEastAsia" w:hAnsiTheme="majorEastAsia" w:eastAsiaTheme="majorEastAsia"/>
          <w:b/>
          <w:color w:val="333333"/>
          <w:szCs w:val="21"/>
          <w:highlight w:val="none"/>
        </w:rPr>
        <w:t>日</w:t>
      </w:r>
      <w:bookmarkStart w:id="0" w:name="_GoBack"/>
      <w:bookmarkEnd w:id="0"/>
    </w:p>
    <w:p w14:paraId="3718865B">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rPr>
        <w:t>六、成交结果</w:t>
      </w:r>
    </w:p>
    <w:tbl>
      <w:tblPr>
        <w:tblStyle w:val="14"/>
        <w:tblW w:w="8364" w:type="dxa"/>
        <w:tblCellSpacing w:w="15" w:type="dxa"/>
        <w:tblInd w:w="60" w:type="dxa"/>
        <w:tblLayout w:type="fixed"/>
        <w:tblCellMar>
          <w:top w:w="15" w:type="dxa"/>
          <w:left w:w="15" w:type="dxa"/>
          <w:bottom w:w="15" w:type="dxa"/>
          <w:right w:w="15" w:type="dxa"/>
        </w:tblCellMar>
      </w:tblPr>
      <w:tblGrid>
        <w:gridCol w:w="3288"/>
        <w:gridCol w:w="2065"/>
        <w:gridCol w:w="3011"/>
      </w:tblGrid>
      <w:tr w14:paraId="44ADF6FD">
        <w:tblPrEx>
          <w:tblCellMar>
            <w:top w:w="15" w:type="dxa"/>
            <w:left w:w="15" w:type="dxa"/>
            <w:bottom w:w="15" w:type="dxa"/>
            <w:right w:w="15" w:type="dxa"/>
          </w:tblCellMar>
        </w:tblPrEx>
        <w:trPr>
          <w:trHeight w:val="276" w:hRule="atLeast"/>
          <w:tblCellSpacing w:w="15" w:type="dxa"/>
        </w:trPr>
        <w:tc>
          <w:tcPr>
            <w:tcW w:w="3243" w:type="dxa"/>
            <w:tcBorders>
              <w:top w:val="single" w:color="000000" w:sz="6" w:space="0"/>
              <w:left w:val="single" w:color="000000" w:sz="6" w:space="0"/>
              <w:bottom w:val="single" w:color="000000" w:sz="6" w:space="0"/>
              <w:right w:val="single" w:color="000000" w:sz="6" w:space="0"/>
            </w:tcBorders>
            <w:vAlign w:val="center"/>
          </w:tcPr>
          <w:p w14:paraId="59EEF9F3">
            <w:pPr>
              <w:spacing w:line="240" w:lineRule="exact"/>
              <w:jc w:val="center"/>
              <w:rPr>
                <w:rFonts w:hint="eastAsia" w:asciiTheme="majorEastAsia" w:hAnsiTheme="majorEastAsia" w:eastAsiaTheme="majorEastAsia"/>
                <w:b/>
                <w:bCs/>
                <w:color w:val="333333"/>
                <w:szCs w:val="21"/>
              </w:rPr>
            </w:pPr>
            <w:r>
              <w:rPr>
                <w:rFonts w:hint="eastAsia" w:asciiTheme="majorEastAsia" w:hAnsiTheme="majorEastAsia" w:eastAsiaTheme="majorEastAsia"/>
                <w:b/>
                <w:bCs/>
                <w:color w:val="333333"/>
                <w:szCs w:val="21"/>
              </w:rPr>
              <w:t>项目内容</w:t>
            </w:r>
          </w:p>
        </w:tc>
        <w:tc>
          <w:tcPr>
            <w:tcW w:w="2035" w:type="dxa"/>
            <w:tcBorders>
              <w:top w:val="single" w:color="000000" w:sz="6" w:space="0"/>
              <w:left w:val="single" w:color="000000" w:sz="6" w:space="0"/>
              <w:bottom w:val="single" w:color="000000" w:sz="6" w:space="0"/>
              <w:right w:val="single" w:color="000000" w:sz="6" w:space="0"/>
            </w:tcBorders>
            <w:vAlign w:val="center"/>
          </w:tcPr>
          <w:p w14:paraId="3C87ABBB">
            <w:pPr>
              <w:spacing w:line="240" w:lineRule="exact"/>
              <w:jc w:val="center"/>
              <w:rPr>
                <w:rFonts w:hint="default" w:asciiTheme="majorEastAsia" w:hAnsiTheme="majorEastAsia" w:eastAsiaTheme="majorEastAsia"/>
                <w:b/>
                <w:bCs/>
                <w:color w:val="333333"/>
                <w:szCs w:val="21"/>
                <w:lang w:val="en-US" w:eastAsia="zh-CN"/>
              </w:rPr>
            </w:pPr>
            <w:r>
              <w:rPr>
                <w:rFonts w:hint="eastAsia" w:asciiTheme="majorEastAsia" w:hAnsiTheme="majorEastAsia" w:eastAsiaTheme="majorEastAsia"/>
                <w:b/>
                <w:bCs/>
                <w:color w:val="333333"/>
                <w:szCs w:val="21"/>
                <w:lang w:val="en-US" w:eastAsia="zh-CN"/>
              </w:rPr>
              <w:t>成交金额（元）</w:t>
            </w:r>
          </w:p>
        </w:tc>
        <w:tc>
          <w:tcPr>
            <w:tcW w:w="2966" w:type="dxa"/>
            <w:tcBorders>
              <w:top w:val="single" w:color="000000" w:sz="6" w:space="0"/>
              <w:left w:val="single" w:color="000000" w:sz="6" w:space="0"/>
              <w:bottom w:val="single" w:color="000000" w:sz="6" w:space="0"/>
              <w:right w:val="single" w:color="000000" w:sz="6" w:space="0"/>
            </w:tcBorders>
            <w:vAlign w:val="center"/>
          </w:tcPr>
          <w:p w14:paraId="7FA86EAB">
            <w:pPr>
              <w:spacing w:line="240" w:lineRule="exact"/>
              <w:jc w:val="center"/>
              <w:rPr>
                <w:rFonts w:hint="eastAsia" w:asciiTheme="majorEastAsia" w:hAnsiTheme="majorEastAsia" w:eastAsiaTheme="majorEastAsia"/>
                <w:b/>
                <w:bCs/>
                <w:color w:val="333333"/>
                <w:szCs w:val="21"/>
              </w:rPr>
            </w:pPr>
            <w:r>
              <w:rPr>
                <w:rFonts w:hint="eastAsia" w:asciiTheme="majorEastAsia" w:hAnsiTheme="majorEastAsia" w:eastAsiaTheme="majorEastAsia"/>
                <w:b/>
                <w:bCs/>
                <w:color w:val="333333"/>
                <w:szCs w:val="21"/>
              </w:rPr>
              <w:t>成交供应商</w:t>
            </w:r>
          </w:p>
        </w:tc>
      </w:tr>
      <w:tr w14:paraId="6AFB5654">
        <w:tblPrEx>
          <w:tblCellMar>
            <w:top w:w="15" w:type="dxa"/>
            <w:left w:w="15" w:type="dxa"/>
            <w:bottom w:w="15" w:type="dxa"/>
            <w:right w:w="15" w:type="dxa"/>
          </w:tblCellMar>
        </w:tblPrEx>
        <w:trPr>
          <w:trHeight w:val="533" w:hRule="atLeast"/>
          <w:tblCellSpacing w:w="15" w:type="dxa"/>
        </w:trPr>
        <w:tc>
          <w:tcPr>
            <w:tcW w:w="3243" w:type="dxa"/>
            <w:tcBorders>
              <w:top w:val="single" w:color="000000" w:sz="6" w:space="0"/>
              <w:left w:val="single" w:color="000000" w:sz="6" w:space="0"/>
              <w:bottom w:val="single" w:color="000000" w:sz="6" w:space="0"/>
              <w:right w:val="single" w:color="000000" w:sz="6" w:space="0"/>
            </w:tcBorders>
            <w:vAlign w:val="center"/>
          </w:tcPr>
          <w:p w14:paraId="2811DAC4">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重庆市经济和信息化委员会采购原市招商投资局大数据平台民事诉讼案件专项法律服务</w:t>
            </w:r>
          </w:p>
        </w:tc>
        <w:tc>
          <w:tcPr>
            <w:tcW w:w="2035" w:type="dxa"/>
            <w:tcBorders>
              <w:top w:val="single" w:color="000000" w:sz="6" w:space="0"/>
              <w:left w:val="single" w:color="000000" w:sz="6" w:space="0"/>
              <w:bottom w:val="single" w:color="000000" w:sz="6" w:space="0"/>
              <w:right w:val="single" w:color="000000" w:sz="6" w:space="0"/>
            </w:tcBorders>
            <w:vAlign w:val="center"/>
          </w:tcPr>
          <w:p w14:paraId="44547C2F">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300000.00</w:t>
            </w:r>
          </w:p>
        </w:tc>
        <w:tc>
          <w:tcPr>
            <w:tcW w:w="2966" w:type="dxa"/>
            <w:tcBorders>
              <w:top w:val="single" w:color="000000" w:sz="6" w:space="0"/>
              <w:left w:val="single" w:color="000000" w:sz="6" w:space="0"/>
              <w:bottom w:val="single" w:color="000000" w:sz="6" w:space="0"/>
              <w:right w:val="single" w:color="000000" w:sz="6" w:space="0"/>
            </w:tcBorders>
            <w:vAlign w:val="center"/>
          </w:tcPr>
          <w:p w14:paraId="19DB17F2">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上海中联（重庆）律师事务所</w:t>
            </w:r>
          </w:p>
        </w:tc>
      </w:tr>
    </w:tbl>
    <w:p w14:paraId="1D8D3E81">
      <w:pPr>
        <w:keepNext w:val="0"/>
        <w:keepLines w:val="0"/>
        <w:pageBreakBefore w:val="0"/>
        <w:widowControl w:val="0"/>
        <w:kinsoku/>
        <w:wordWrap/>
        <w:overflowPunct/>
        <w:topLinePunct w:val="0"/>
        <w:autoSpaceDE/>
        <w:autoSpaceDN/>
        <w:bidi w:val="0"/>
        <w:adjustRightInd/>
        <w:snapToGrid w:val="0"/>
        <w:spacing w:line="240" w:lineRule="auto"/>
        <w:ind w:firstLine="422" w:firstLineChars="200"/>
        <w:textAlignment w:val="auto"/>
        <w:rPr>
          <w:rFonts w:hint="default" w:asciiTheme="majorEastAsia" w:hAnsiTheme="majorEastAsia" w:eastAsiaTheme="majorEastAsia"/>
          <w:b/>
          <w:color w:val="333333"/>
          <w:szCs w:val="21"/>
          <w:lang w:val="en-US" w:eastAsia="zh-CN"/>
        </w:rPr>
      </w:pPr>
      <w:r>
        <w:rPr>
          <w:rFonts w:hint="eastAsia" w:asciiTheme="majorEastAsia" w:hAnsiTheme="majorEastAsia" w:eastAsiaTheme="majorEastAsia"/>
          <w:b/>
          <w:color w:val="333333"/>
          <w:szCs w:val="21"/>
          <w:lang w:val="en-US" w:eastAsia="zh-CN"/>
        </w:rPr>
        <w:t>七、评审得分表</w:t>
      </w:r>
    </w:p>
    <w:tbl>
      <w:tblPr>
        <w:tblStyle w:val="14"/>
        <w:tblW w:w="8420" w:type="dxa"/>
        <w:tblCellSpacing w:w="15" w:type="dxa"/>
        <w:tblInd w:w="30" w:type="dxa"/>
        <w:tblLayout w:type="fixed"/>
        <w:tblCellMar>
          <w:top w:w="15" w:type="dxa"/>
          <w:left w:w="15" w:type="dxa"/>
          <w:bottom w:w="15" w:type="dxa"/>
          <w:right w:w="15" w:type="dxa"/>
        </w:tblCellMar>
      </w:tblPr>
      <w:tblGrid>
        <w:gridCol w:w="3305"/>
        <w:gridCol w:w="1052"/>
        <w:gridCol w:w="1052"/>
        <w:gridCol w:w="1052"/>
        <w:gridCol w:w="1052"/>
        <w:gridCol w:w="907"/>
      </w:tblGrid>
      <w:tr w14:paraId="0A80EF13">
        <w:tblPrEx>
          <w:tblCellMar>
            <w:top w:w="15" w:type="dxa"/>
            <w:left w:w="15" w:type="dxa"/>
            <w:bottom w:w="15" w:type="dxa"/>
            <w:right w:w="15" w:type="dxa"/>
          </w:tblCellMar>
        </w:tblPrEx>
        <w:trPr>
          <w:trHeight w:val="276" w:hRule="atLeast"/>
          <w:tblCellSpacing w:w="15" w:type="dxa"/>
        </w:trPr>
        <w:tc>
          <w:tcPr>
            <w:tcW w:w="3260" w:type="dxa"/>
            <w:tcBorders>
              <w:top w:val="single" w:color="000000" w:sz="6" w:space="0"/>
              <w:left w:val="single" w:color="000000" w:sz="6" w:space="0"/>
              <w:bottom w:val="single" w:color="000000" w:sz="6" w:space="0"/>
              <w:right w:val="single" w:color="000000" w:sz="6" w:space="0"/>
            </w:tcBorders>
            <w:vAlign w:val="center"/>
          </w:tcPr>
          <w:p w14:paraId="5997466C">
            <w:pPr>
              <w:spacing w:line="240" w:lineRule="exact"/>
              <w:jc w:val="center"/>
              <w:rPr>
                <w:rFonts w:hint="default" w:asciiTheme="majorEastAsia" w:hAnsiTheme="majorEastAsia" w:eastAsiaTheme="majorEastAsia"/>
                <w:b/>
                <w:bCs/>
                <w:color w:val="333333"/>
                <w:szCs w:val="21"/>
                <w:lang w:val="en-US" w:eastAsia="zh-CN"/>
              </w:rPr>
            </w:pPr>
            <w:r>
              <w:rPr>
                <w:rFonts w:hint="eastAsia" w:asciiTheme="majorEastAsia" w:hAnsiTheme="majorEastAsia" w:eastAsiaTheme="majorEastAsia"/>
                <w:b/>
                <w:bCs/>
                <w:color w:val="333333"/>
                <w:szCs w:val="21"/>
                <w:lang w:val="en-US" w:eastAsia="zh-CN"/>
              </w:rPr>
              <w:t>供应商名称</w:t>
            </w:r>
          </w:p>
        </w:tc>
        <w:tc>
          <w:tcPr>
            <w:tcW w:w="1022" w:type="dxa"/>
            <w:tcBorders>
              <w:top w:val="single" w:color="000000" w:sz="6" w:space="0"/>
              <w:left w:val="single" w:color="000000" w:sz="6" w:space="0"/>
              <w:bottom w:val="single" w:color="000000" w:sz="6" w:space="0"/>
              <w:right w:val="single" w:color="000000" w:sz="6" w:space="0"/>
            </w:tcBorders>
            <w:vAlign w:val="center"/>
          </w:tcPr>
          <w:p w14:paraId="72CEE324">
            <w:pPr>
              <w:spacing w:line="240" w:lineRule="exact"/>
              <w:jc w:val="center"/>
              <w:rPr>
                <w:rFonts w:hint="default" w:asciiTheme="majorEastAsia" w:hAnsiTheme="majorEastAsia" w:eastAsiaTheme="majorEastAsia"/>
                <w:b/>
                <w:bCs/>
                <w:color w:val="333333"/>
                <w:szCs w:val="21"/>
                <w:lang w:val="en-US" w:eastAsia="zh-CN"/>
              </w:rPr>
            </w:pPr>
            <w:r>
              <w:rPr>
                <w:rFonts w:hint="eastAsia" w:asciiTheme="majorEastAsia" w:hAnsiTheme="majorEastAsia" w:eastAsiaTheme="majorEastAsia"/>
                <w:b/>
                <w:bCs/>
                <w:color w:val="333333"/>
                <w:szCs w:val="21"/>
                <w:lang w:val="en-US" w:eastAsia="zh-CN"/>
              </w:rPr>
              <w:t>报价得分</w:t>
            </w:r>
          </w:p>
        </w:tc>
        <w:tc>
          <w:tcPr>
            <w:tcW w:w="1022" w:type="dxa"/>
            <w:tcBorders>
              <w:top w:val="single" w:color="000000" w:sz="6" w:space="0"/>
              <w:left w:val="single" w:color="000000" w:sz="6" w:space="0"/>
              <w:bottom w:val="single" w:color="000000" w:sz="6" w:space="0"/>
              <w:right w:val="single" w:color="000000" w:sz="6" w:space="0"/>
            </w:tcBorders>
            <w:vAlign w:val="center"/>
          </w:tcPr>
          <w:p w14:paraId="2C233BAE">
            <w:pPr>
              <w:spacing w:line="240" w:lineRule="exact"/>
              <w:jc w:val="center"/>
              <w:rPr>
                <w:rFonts w:hint="eastAsia" w:asciiTheme="majorEastAsia" w:hAnsiTheme="majorEastAsia" w:eastAsiaTheme="majorEastAsia"/>
                <w:b/>
                <w:bCs/>
                <w:color w:val="333333"/>
                <w:szCs w:val="21"/>
                <w:lang w:val="en-US" w:eastAsia="zh-CN"/>
              </w:rPr>
            </w:pPr>
            <w:r>
              <w:rPr>
                <w:rFonts w:hint="eastAsia" w:asciiTheme="majorEastAsia" w:hAnsiTheme="majorEastAsia" w:eastAsiaTheme="majorEastAsia"/>
                <w:b/>
                <w:bCs/>
                <w:color w:val="333333"/>
                <w:szCs w:val="21"/>
                <w:lang w:val="en-US" w:eastAsia="zh-CN"/>
              </w:rPr>
              <w:t>技术得分</w:t>
            </w:r>
          </w:p>
        </w:tc>
        <w:tc>
          <w:tcPr>
            <w:tcW w:w="1022" w:type="dxa"/>
            <w:tcBorders>
              <w:top w:val="single" w:color="000000" w:sz="6" w:space="0"/>
              <w:left w:val="single" w:color="000000" w:sz="6" w:space="0"/>
              <w:bottom w:val="single" w:color="000000" w:sz="6" w:space="0"/>
              <w:right w:val="single" w:color="000000" w:sz="6" w:space="0"/>
            </w:tcBorders>
            <w:vAlign w:val="center"/>
          </w:tcPr>
          <w:p w14:paraId="395AC8E1">
            <w:pPr>
              <w:spacing w:line="240" w:lineRule="exact"/>
              <w:jc w:val="center"/>
              <w:rPr>
                <w:rFonts w:hint="eastAsia" w:asciiTheme="majorEastAsia" w:hAnsiTheme="majorEastAsia" w:eastAsiaTheme="majorEastAsia"/>
                <w:b/>
                <w:bCs/>
                <w:color w:val="333333"/>
                <w:szCs w:val="21"/>
                <w:lang w:val="en-US" w:eastAsia="zh-CN"/>
              </w:rPr>
            </w:pPr>
            <w:r>
              <w:rPr>
                <w:rFonts w:hint="eastAsia" w:asciiTheme="majorEastAsia" w:hAnsiTheme="majorEastAsia" w:eastAsiaTheme="majorEastAsia"/>
                <w:b/>
                <w:bCs/>
                <w:color w:val="333333"/>
                <w:szCs w:val="21"/>
                <w:lang w:val="en-US" w:eastAsia="zh-CN"/>
              </w:rPr>
              <w:t>商务得分</w:t>
            </w:r>
          </w:p>
        </w:tc>
        <w:tc>
          <w:tcPr>
            <w:tcW w:w="1022" w:type="dxa"/>
            <w:tcBorders>
              <w:top w:val="single" w:color="000000" w:sz="6" w:space="0"/>
              <w:left w:val="single" w:color="000000" w:sz="6" w:space="0"/>
              <w:bottom w:val="single" w:color="000000" w:sz="6" w:space="0"/>
              <w:right w:val="single" w:color="000000" w:sz="6" w:space="0"/>
            </w:tcBorders>
            <w:vAlign w:val="center"/>
          </w:tcPr>
          <w:p w14:paraId="22234454">
            <w:pPr>
              <w:spacing w:line="240" w:lineRule="exact"/>
              <w:jc w:val="center"/>
              <w:rPr>
                <w:rFonts w:hint="eastAsia" w:asciiTheme="majorEastAsia" w:hAnsiTheme="majorEastAsia" w:eastAsiaTheme="majorEastAsia"/>
                <w:b/>
                <w:bCs/>
                <w:color w:val="333333"/>
                <w:szCs w:val="21"/>
                <w:lang w:val="en-US" w:eastAsia="zh-CN"/>
              </w:rPr>
            </w:pPr>
            <w:r>
              <w:rPr>
                <w:rFonts w:hint="eastAsia" w:asciiTheme="majorEastAsia" w:hAnsiTheme="majorEastAsia" w:eastAsiaTheme="majorEastAsia"/>
                <w:b/>
                <w:bCs/>
                <w:color w:val="333333"/>
                <w:szCs w:val="21"/>
                <w:lang w:val="en-US" w:eastAsia="zh-CN"/>
              </w:rPr>
              <w:t>合计</w:t>
            </w:r>
          </w:p>
        </w:tc>
        <w:tc>
          <w:tcPr>
            <w:tcW w:w="862" w:type="dxa"/>
            <w:tcBorders>
              <w:top w:val="single" w:color="000000" w:sz="6" w:space="0"/>
              <w:left w:val="single" w:color="000000" w:sz="6" w:space="0"/>
              <w:bottom w:val="single" w:color="000000" w:sz="6" w:space="0"/>
              <w:right w:val="single" w:color="000000" w:sz="6" w:space="0"/>
            </w:tcBorders>
            <w:vAlign w:val="center"/>
          </w:tcPr>
          <w:p w14:paraId="0409DE0D">
            <w:pPr>
              <w:spacing w:line="240" w:lineRule="exact"/>
              <w:jc w:val="center"/>
              <w:rPr>
                <w:rFonts w:hint="eastAsia" w:asciiTheme="majorEastAsia" w:hAnsiTheme="majorEastAsia" w:eastAsiaTheme="majorEastAsia"/>
                <w:b/>
                <w:bCs/>
                <w:color w:val="333333"/>
                <w:szCs w:val="21"/>
                <w:lang w:val="en-US" w:eastAsia="zh-CN"/>
              </w:rPr>
            </w:pPr>
            <w:r>
              <w:rPr>
                <w:rFonts w:hint="eastAsia" w:asciiTheme="majorEastAsia" w:hAnsiTheme="majorEastAsia" w:eastAsiaTheme="majorEastAsia"/>
                <w:b/>
                <w:bCs/>
                <w:color w:val="333333"/>
                <w:szCs w:val="21"/>
                <w:lang w:val="en-US" w:eastAsia="zh-CN"/>
              </w:rPr>
              <w:t>排序</w:t>
            </w:r>
          </w:p>
        </w:tc>
      </w:tr>
      <w:tr w14:paraId="6DE18D4C">
        <w:tblPrEx>
          <w:tblCellMar>
            <w:top w:w="15" w:type="dxa"/>
            <w:left w:w="15" w:type="dxa"/>
            <w:bottom w:w="15" w:type="dxa"/>
            <w:right w:w="15" w:type="dxa"/>
          </w:tblCellMar>
        </w:tblPrEx>
        <w:trPr>
          <w:trHeight w:val="533" w:hRule="atLeast"/>
          <w:tblCellSpacing w:w="15" w:type="dxa"/>
        </w:trPr>
        <w:tc>
          <w:tcPr>
            <w:tcW w:w="326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BAA78C">
            <w:pPr>
              <w:pStyle w:val="8"/>
              <w:snapToGrid w:val="0"/>
              <w:jc w:val="center"/>
              <w:rPr>
                <w:rFonts w:hint="eastAsia"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上海中联（重庆）律师事务所</w:t>
            </w:r>
          </w:p>
        </w:tc>
        <w:tc>
          <w:tcPr>
            <w:tcW w:w="1022" w:type="dxa"/>
            <w:tcBorders>
              <w:top w:val="single" w:color="000000" w:sz="6" w:space="0"/>
              <w:left w:val="single" w:color="000000" w:sz="6" w:space="0"/>
              <w:bottom w:val="single" w:color="000000" w:sz="6" w:space="0"/>
              <w:right w:val="single" w:color="000000" w:sz="6" w:space="0"/>
            </w:tcBorders>
            <w:vAlign w:val="center"/>
          </w:tcPr>
          <w:p w14:paraId="3D959971">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19.90</w:t>
            </w:r>
          </w:p>
        </w:tc>
        <w:tc>
          <w:tcPr>
            <w:tcW w:w="1022" w:type="dxa"/>
            <w:tcBorders>
              <w:top w:val="single" w:color="000000" w:sz="6" w:space="0"/>
              <w:left w:val="single" w:color="000000" w:sz="6" w:space="0"/>
              <w:bottom w:val="single" w:color="000000" w:sz="6" w:space="0"/>
              <w:right w:val="single" w:color="000000" w:sz="6" w:space="0"/>
            </w:tcBorders>
            <w:vAlign w:val="center"/>
          </w:tcPr>
          <w:p w14:paraId="3346594D">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40.67</w:t>
            </w:r>
          </w:p>
        </w:tc>
        <w:tc>
          <w:tcPr>
            <w:tcW w:w="1022" w:type="dxa"/>
            <w:tcBorders>
              <w:top w:val="single" w:color="000000" w:sz="6" w:space="0"/>
              <w:left w:val="single" w:color="000000" w:sz="6" w:space="0"/>
              <w:bottom w:val="single" w:color="000000" w:sz="6" w:space="0"/>
              <w:right w:val="single" w:color="000000" w:sz="6" w:space="0"/>
            </w:tcBorders>
            <w:vAlign w:val="center"/>
          </w:tcPr>
          <w:p w14:paraId="1D1980D2">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20</w:t>
            </w:r>
          </w:p>
        </w:tc>
        <w:tc>
          <w:tcPr>
            <w:tcW w:w="1022" w:type="dxa"/>
            <w:tcBorders>
              <w:top w:val="single" w:color="000000" w:sz="6" w:space="0"/>
              <w:left w:val="single" w:color="000000" w:sz="6" w:space="0"/>
              <w:bottom w:val="single" w:color="000000" w:sz="6" w:space="0"/>
              <w:right w:val="single" w:color="000000" w:sz="6" w:space="0"/>
            </w:tcBorders>
            <w:vAlign w:val="center"/>
          </w:tcPr>
          <w:p w14:paraId="68F7AFA3">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80.57</w:t>
            </w:r>
          </w:p>
        </w:tc>
        <w:tc>
          <w:tcPr>
            <w:tcW w:w="862" w:type="dxa"/>
            <w:tcBorders>
              <w:top w:val="single" w:color="000000" w:sz="6" w:space="0"/>
              <w:left w:val="single" w:color="000000" w:sz="6" w:space="0"/>
              <w:bottom w:val="single" w:color="000000" w:sz="6" w:space="0"/>
              <w:right w:val="single" w:color="000000" w:sz="6" w:space="0"/>
            </w:tcBorders>
            <w:vAlign w:val="center"/>
          </w:tcPr>
          <w:p w14:paraId="31860F8D">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1</w:t>
            </w:r>
          </w:p>
        </w:tc>
      </w:tr>
      <w:tr w14:paraId="1D76793A">
        <w:tblPrEx>
          <w:tblCellMar>
            <w:top w:w="15" w:type="dxa"/>
            <w:left w:w="15" w:type="dxa"/>
            <w:bottom w:w="15" w:type="dxa"/>
            <w:right w:w="15" w:type="dxa"/>
          </w:tblCellMar>
        </w:tblPrEx>
        <w:trPr>
          <w:trHeight w:val="533" w:hRule="atLeast"/>
          <w:tblCellSpacing w:w="15" w:type="dxa"/>
        </w:trPr>
        <w:tc>
          <w:tcPr>
            <w:tcW w:w="3260" w:type="dxa"/>
            <w:tcBorders>
              <w:top w:val="single" w:color="000000" w:sz="6" w:space="0"/>
              <w:left w:val="single" w:color="000000" w:sz="6" w:space="0"/>
              <w:bottom w:val="single" w:color="000000" w:sz="6" w:space="0"/>
              <w:right w:val="single" w:color="000000" w:sz="6" w:space="0"/>
            </w:tcBorders>
            <w:vAlign w:val="center"/>
          </w:tcPr>
          <w:p w14:paraId="63BE4317">
            <w:pPr>
              <w:pStyle w:val="8"/>
              <w:snapToGrid w:val="0"/>
              <w:jc w:val="center"/>
              <w:rPr>
                <w:rFonts w:hint="eastAsia"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北京大成（重庆）律师事务所</w:t>
            </w:r>
          </w:p>
        </w:tc>
        <w:tc>
          <w:tcPr>
            <w:tcW w:w="1022" w:type="dxa"/>
            <w:tcBorders>
              <w:top w:val="single" w:color="000000" w:sz="6" w:space="0"/>
              <w:left w:val="single" w:color="000000" w:sz="6" w:space="0"/>
              <w:bottom w:val="single" w:color="000000" w:sz="6" w:space="0"/>
              <w:right w:val="single" w:color="000000" w:sz="6" w:space="0"/>
            </w:tcBorders>
            <w:vAlign w:val="center"/>
          </w:tcPr>
          <w:p w14:paraId="00EBC48C">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19.26</w:t>
            </w:r>
          </w:p>
        </w:tc>
        <w:tc>
          <w:tcPr>
            <w:tcW w:w="1022" w:type="dxa"/>
            <w:tcBorders>
              <w:top w:val="single" w:color="000000" w:sz="6" w:space="0"/>
              <w:left w:val="single" w:color="000000" w:sz="6" w:space="0"/>
              <w:bottom w:val="single" w:color="000000" w:sz="6" w:space="0"/>
              <w:right w:val="single" w:color="000000" w:sz="6" w:space="0"/>
            </w:tcBorders>
            <w:vAlign w:val="center"/>
          </w:tcPr>
          <w:p w14:paraId="3A646B15">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42.67</w:t>
            </w:r>
          </w:p>
        </w:tc>
        <w:tc>
          <w:tcPr>
            <w:tcW w:w="1022" w:type="dxa"/>
            <w:tcBorders>
              <w:top w:val="single" w:color="000000" w:sz="6" w:space="0"/>
              <w:left w:val="single" w:color="000000" w:sz="6" w:space="0"/>
              <w:bottom w:val="single" w:color="000000" w:sz="6" w:space="0"/>
              <w:right w:val="single" w:color="000000" w:sz="6" w:space="0"/>
            </w:tcBorders>
            <w:vAlign w:val="center"/>
          </w:tcPr>
          <w:p w14:paraId="2F80A105">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14</w:t>
            </w:r>
          </w:p>
        </w:tc>
        <w:tc>
          <w:tcPr>
            <w:tcW w:w="1022" w:type="dxa"/>
            <w:tcBorders>
              <w:top w:val="single" w:color="000000" w:sz="6" w:space="0"/>
              <w:left w:val="single" w:color="000000" w:sz="6" w:space="0"/>
              <w:bottom w:val="single" w:color="000000" w:sz="6" w:space="0"/>
              <w:right w:val="single" w:color="000000" w:sz="6" w:space="0"/>
            </w:tcBorders>
            <w:vAlign w:val="center"/>
          </w:tcPr>
          <w:p w14:paraId="171D2C97">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75.93</w:t>
            </w:r>
          </w:p>
        </w:tc>
        <w:tc>
          <w:tcPr>
            <w:tcW w:w="862" w:type="dxa"/>
            <w:tcBorders>
              <w:top w:val="single" w:color="000000" w:sz="6" w:space="0"/>
              <w:left w:val="single" w:color="000000" w:sz="6" w:space="0"/>
              <w:bottom w:val="single" w:color="000000" w:sz="6" w:space="0"/>
              <w:right w:val="single" w:color="000000" w:sz="6" w:space="0"/>
            </w:tcBorders>
            <w:vAlign w:val="center"/>
          </w:tcPr>
          <w:p w14:paraId="71DE5D10">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2</w:t>
            </w:r>
          </w:p>
        </w:tc>
      </w:tr>
      <w:tr w14:paraId="2D3F31D0">
        <w:tblPrEx>
          <w:tblCellMar>
            <w:top w:w="15" w:type="dxa"/>
            <w:left w:w="15" w:type="dxa"/>
            <w:bottom w:w="15" w:type="dxa"/>
            <w:right w:w="15" w:type="dxa"/>
          </w:tblCellMar>
        </w:tblPrEx>
        <w:trPr>
          <w:trHeight w:val="533" w:hRule="atLeast"/>
          <w:tblCellSpacing w:w="15" w:type="dxa"/>
        </w:trPr>
        <w:tc>
          <w:tcPr>
            <w:tcW w:w="3260" w:type="dxa"/>
            <w:tcBorders>
              <w:top w:val="single" w:color="000000" w:sz="6" w:space="0"/>
              <w:left w:val="single" w:color="000000" w:sz="6" w:space="0"/>
              <w:bottom w:val="single" w:color="000000" w:sz="6" w:space="0"/>
              <w:right w:val="single" w:color="000000" w:sz="6" w:space="0"/>
            </w:tcBorders>
            <w:vAlign w:val="center"/>
          </w:tcPr>
          <w:p w14:paraId="2174B349">
            <w:pPr>
              <w:pStyle w:val="8"/>
              <w:snapToGrid w:val="0"/>
              <w:jc w:val="center"/>
              <w:rPr>
                <w:rFonts w:hint="eastAsia"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重庆海力律师事务所</w:t>
            </w:r>
          </w:p>
        </w:tc>
        <w:tc>
          <w:tcPr>
            <w:tcW w:w="1022" w:type="dxa"/>
            <w:tcBorders>
              <w:top w:val="single" w:color="000000" w:sz="6" w:space="0"/>
              <w:left w:val="single" w:color="000000" w:sz="6" w:space="0"/>
              <w:bottom w:val="single" w:color="000000" w:sz="6" w:space="0"/>
              <w:right w:val="single" w:color="000000" w:sz="6" w:space="0"/>
            </w:tcBorders>
            <w:vAlign w:val="center"/>
          </w:tcPr>
          <w:p w14:paraId="6454C6EA">
            <w:pPr>
              <w:spacing w:line="240" w:lineRule="exact"/>
              <w:jc w:val="center"/>
              <w:rPr>
                <w:rFonts w:hint="eastAsia"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30</w:t>
            </w:r>
          </w:p>
        </w:tc>
        <w:tc>
          <w:tcPr>
            <w:tcW w:w="1022" w:type="dxa"/>
            <w:tcBorders>
              <w:top w:val="single" w:color="000000" w:sz="6" w:space="0"/>
              <w:left w:val="single" w:color="000000" w:sz="6" w:space="0"/>
              <w:bottom w:val="single" w:color="000000" w:sz="6" w:space="0"/>
              <w:right w:val="single" w:color="000000" w:sz="6" w:space="0"/>
            </w:tcBorders>
            <w:vAlign w:val="center"/>
          </w:tcPr>
          <w:p w14:paraId="5939A6DE">
            <w:pPr>
              <w:spacing w:line="240" w:lineRule="exact"/>
              <w:jc w:val="center"/>
              <w:rPr>
                <w:rFonts w:hint="eastAsia"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24</w:t>
            </w:r>
          </w:p>
        </w:tc>
        <w:tc>
          <w:tcPr>
            <w:tcW w:w="1022" w:type="dxa"/>
            <w:tcBorders>
              <w:top w:val="single" w:color="000000" w:sz="6" w:space="0"/>
              <w:left w:val="single" w:color="000000" w:sz="6" w:space="0"/>
              <w:bottom w:val="single" w:color="000000" w:sz="6" w:space="0"/>
              <w:right w:val="single" w:color="000000" w:sz="6" w:space="0"/>
            </w:tcBorders>
            <w:vAlign w:val="center"/>
          </w:tcPr>
          <w:p w14:paraId="0E79E6C6">
            <w:pPr>
              <w:spacing w:line="240" w:lineRule="exact"/>
              <w:jc w:val="center"/>
              <w:rPr>
                <w:rFonts w:hint="eastAsia"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8</w:t>
            </w:r>
          </w:p>
        </w:tc>
        <w:tc>
          <w:tcPr>
            <w:tcW w:w="1022" w:type="dxa"/>
            <w:tcBorders>
              <w:top w:val="single" w:color="000000" w:sz="6" w:space="0"/>
              <w:left w:val="single" w:color="000000" w:sz="6" w:space="0"/>
              <w:bottom w:val="single" w:color="000000" w:sz="6" w:space="0"/>
              <w:right w:val="single" w:color="000000" w:sz="6" w:space="0"/>
            </w:tcBorders>
            <w:vAlign w:val="center"/>
          </w:tcPr>
          <w:p w14:paraId="2D1223FF">
            <w:pPr>
              <w:spacing w:line="240" w:lineRule="exact"/>
              <w:jc w:val="center"/>
              <w:rPr>
                <w:rFonts w:hint="eastAsia"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62</w:t>
            </w:r>
          </w:p>
        </w:tc>
        <w:tc>
          <w:tcPr>
            <w:tcW w:w="862" w:type="dxa"/>
            <w:tcBorders>
              <w:top w:val="single" w:color="000000" w:sz="6" w:space="0"/>
              <w:left w:val="single" w:color="000000" w:sz="6" w:space="0"/>
              <w:bottom w:val="single" w:color="000000" w:sz="6" w:space="0"/>
              <w:right w:val="single" w:color="000000" w:sz="6" w:space="0"/>
            </w:tcBorders>
            <w:vAlign w:val="center"/>
          </w:tcPr>
          <w:p w14:paraId="2E3086BC">
            <w:pPr>
              <w:spacing w:line="240" w:lineRule="exact"/>
              <w:jc w:val="center"/>
              <w:rPr>
                <w:rFonts w:hint="default" w:asciiTheme="majorEastAsia" w:hAnsiTheme="majorEastAsia" w:eastAsiaTheme="majorEastAsia" w:cstheme="minorBidi"/>
                <w:color w:val="333333"/>
                <w:kern w:val="2"/>
                <w:sz w:val="21"/>
                <w:szCs w:val="21"/>
                <w:lang w:val="en-US" w:eastAsia="zh-CN" w:bidi="ar-SA"/>
              </w:rPr>
            </w:pPr>
            <w:r>
              <w:rPr>
                <w:rFonts w:hint="eastAsia" w:asciiTheme="majorEastAsia" w:hAnsiTheme="majorEastAsia" w:eastAsiaTheme="majorEastAsia" w:cstheme="minorBidi"/>
                <w:color w:val="333333"/>
                <w:kern w:val="2"/>
                <w:sz w:val="21"/>
                <w:szCs w:val="21"/>
                <w:lang w:val="en-US" w:eastAsia="zh-CN" w:bidi="ar-SA"/>
              </w:rPr>
              <w:t>3</w:t>
            </w:r>
          </w:p>
        </w:tc>
      </w:tr>
    </w:tbl>
    <w:p w14:paraId="4F619BA4">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lang w:val="en-US" w:eastAsia="zh-CN"/>
        </w:rPr>
        <w:t>八</w:t>
      </w:r>
      <w:r>
        <w:rPr>
          <w:rFonts w:hint="eastAsia" w:asciiTheme="majorEastAsia" w:hAnsiTheme="majorEastAsia" w:eastAsiaTheme="majorEastAsia"/>
          <w:b/>
          <w:color w:val="333333"/>
          <w:szCs w:val="21"/>
        </w:rPr>
        <w:t>、磋商小组成员名单</w:t>
      </w:r>
    </w:p>
    <w:p w14:paraId="47FD4ADE">
      <w:pPr>
        <w:snapToGrid w:val="0"/>
        <w:spacing w:line="360" w:lineRule="auto"/>
        <w:ind w:firstLine="420" w:firstLineChars="200"/>
        <w:rPr>
          <w:rFonts w:hint="default" w:asciiTheme="majorEastAsia" w:hAnsiTheme="majorEastAsia" w:eastAsiaTheme="majorEastAsia"/>
          <w:color w:val="333333"/>
          <w:szCs w:val="21"/>
          <w:lang w:val="en-US"/>
        </w:rPr>
      </w:pPr>
      <w:r>
        <w:rPr>
          <w:rFonts w:hint="eastAsia" w:asciiTheme="majorEastAsia" w:hAnsiTheme="majorEastAsia" w:eastAsiaTheme="majorEastAsia"/>
          <w:color w:val="333333"/>
          <w:szCs w:val="21"/>
          <w:lang w:val="en-US" w:eastAsia="zh-CN"/>
        </w:rPr>
        <w:t>李思英、李常飞、苟林凤</w:t>
      </w:r>
    </w:p>
    <w:p w14:paraId="62E335C4">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lang w:val="en-US" w:eastAsia="zh-CN"/>
        </w:rPr>
        <w:t>九</w:t>
      </w:r>
      <w:r>
        <w:rPr>
          <w:rFonts w:hint="eastAsia" w:asciiTheme="majorEastAsia" w:hAnsiTheme="majorEastAsia" w:eastAsiaTheme="majorEastAsia"/>
          <w:b/>
          <w:color w:val="333333"/>
          <w:szCs w:val="21"/>
        </w:rPr>
        <w:t>、公告期限</w:t>
      </w:r>
    </w:p>
    <w:p w14:paraId="77BD1659">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公告期限：1个工作日</w:t>
      </w:r>
    </w:p>
    <w:p w14:paraId="61532103">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lang w:val="en-US" w:eastAsia="zh-CN"/>
        </w:rPr>
        <w:t>十</w:t>
      </w:r>
      <w:r>
        <w:rPr>
          <w:rFonts w:hint="eastAsia" w:asciiTheme="majorEastAsia" w:hAnsiTheme="majorEastAsia" w:eastAsiaTheme="majorEastAsia"/>
          <w:b/>
          <w:color w:val="333333"/>
          <w:szCs w:val="21"/>
        </w:rPr>
        <w:t>、联系人</w:t>
      </w:r>
    </w:p>
    <w:p w14:paraId="1718B46C">
      <w:pPr>
        <w:snapToGrid w:val="0"/>
        <w:spacing w:line="360" w:lineRule="auto"/>
        <w:ind w:firstLine="420" w:firstLineChars="200"/>
        <w:rPr>
          <w:rFonts w:hint="eastAsia" w:asciiTheme="majorEastAsia" w:hAnsiTheme="majorEastAsia" w:eastAsiaTheme="majorEastAsia"/>
          <w:color w:val="333333"/>
          <w:szCs w:val="21"/>
        </w:rPr>
      </w:pPr>
      <w:r>
        <w:rPr>
          <w:rFonts w:hint="eastAsia" w:asciiTheme="majorEastAsia" w:hAnsiTheme="majorEastAsia" w:eastAsiaTheme="majorEastAsia"/>
          <w:color w:val="333333"/>
          <w:szCs w:val="21"/>
        </w:rPr>
        <w:t>采购人：重庆市经济和信息化委员会</w:t>
      </w:r>
    </w:p>
    <w:p w14:paraId="4C01B62A">
      <w:pPr>
        <w:snapToGrid w:val="0"/>
        <w:spacing w:line="360" w:lineRule="auto"/>
        <w:ind w:firstLine="420" w:firstLineChars="200"/>
        <w:rPr>
          <w:rFonts w:hint="eastAsia" w:asciiTheme="majorEastAsia" w:hAnsiTheme="majorEastAsia" w:eastAsiaTheme="majorEastAsia"/>
          <w:color w:val="333333"/>
          <w:szCs w:val="21"/>
        </w:rPr>
      </w:pPr>
      <w:r>
        <w:rPr>
          <w:rFonts w:hint="eastAsia" w:asciiTheme="majorEastAsia" w:hAnsiTheme="majorEastAsia" w:eastAsiaTheme="majorEastAsia"/>
          <w:color w:val="333333"/>
          <w:szCs w:val="21"/>
        </w:rPr>
        <w:t>联系人：</w:t>
      </w:r>
      <w:r>
        <w:rPr>
          <w:rFonts w:hint="eastAsia" w:asciiTheme="majorEastAsia" w:hAnsiTheme="majorEastAsia" w:eastAsiaTheme="majorEastAsia"/>
          <w:color w:val="333333"/>
          <w:szCs w:val="21"/>
          <w:lang w:val="en-US" w:eastAsia="zh-CN"/>
        </w:rPr>
        <w:t>苟</w:t>
      </w:r>
      <w:r>
        <w:rPr>
          <w:rFonts w:hint="eastAsia" w:asciiTheme="majorEastAsia" w:hAnsiTheme="majorEastAsia" w:eastAsiaTheme="majorEastAsia"/>
          <w:color w:val="333333"/>
          <w:szCs w:val="21"/>
        </w:rPr>
        <w:t>老师</w:t>
      </w:r>
    </w:p>
    <w:p w14:paraId="2B9947E9">
      <w:pPr>
        <w:snapToGrid w:val="0"/>
        <w:spacing w:line="360" w:lineRule="auto"/>
        <w:ind w:firstLine="420" w:firstLineChars="200"/>
        <w:rPr>
          <w:rFonts w:hint="eastAsia" w:asciiTheme="majorEastAsia" w:hAnsiTheme="majorEastAsia" w:eastAsiaTheme="majorEastAsia"/>
          <w:color w:val="333333"/>
          <w:szCs w:val="21"/>
        </w:rPr>
      </w:pPr>
      <w:r>
        <w:rPr>
          <w:rFonts w:hint="eastAsia" w:asciiTheme="majorEastAsia" w:hAnsiTheme="majorEastAsia" w:eastAsiaTheme="majorEastAsia"/>
          <w:color w:val="333333"/>
          <w:szCs w:val="21"/>
        </w:rPr>
        <w:t>电  话：（023）63895545</w:t>
      </w:r>
    </w:p>
    <w:p w14:paraId="7D780A67">
      <w:pPr>
        <w:snapToGrid w:val="0"/>
        <w:spacing w:line="360" w:lineRule="auto"/>
        <w:ind w:firstLine="420" w:firstLineChars="200"/>
        <w:rPr>
          <w:rFonts w:hint="eastAsia" w:asciiTheme="majorEastAsia" w:hAnsiTheme="majorEastAsia" w:eastAsiaTheme="majorEastAsia"/>
          <w:color w:val="333333"/>
          <w:szCs w:val="21"/>
        </w:rPr>
      </w:pPr>
      <w:r>
        <w:rPr>
          <w:rFonts w:hint="eastAsia" w:asciiTheme="majorEastAsia" w:hAnsiTheme="majorEastAsia" w:eastAsiaTheme="majorEastAsia"/>
          <w:color w:val="333333"/>
          <w:szCs w:val="21"/>
        </w:rPr>
        <w:t>地  址：重庆市两江新区云杉南路12号</w:t>
      </w:r>
    </w:p>
    <w:p w14:paraId="5627ED9C">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代理机构：重庆市中基致信招标代理有限公司</w:t>
      </w:r>
    </w:p>
    <w:p w14:paraId="53C83F53">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代理机构经办人：</w:t>
      </w:r>
      <w:r>
        <w:rPr>
          <w:rFonts w:hint="eastAsia" w:asciiTheme="majorEastAsia" w:hAnsiTheme="majorEastAsia" w:eastAsiaTheme="majorEastAsia"/>
          <w:color w:val="333333"/>
          <w:szCs w:val="21"/>
          <w:lang w:val="en-US" w:eastAsia="zh-CN"/>
        </w:rPr>
        <w:t>周</w:t>
      </w:r>
      <w:r>
        <w:rPr>
          <w:rFonts w:hint="eastAsia" w:asciiTheme="majorEastAsia" w:hAnsiTheme="majorEastAsia" w:eastAsiaTheme="majorEastAsia"/>
          <w:color w:val="333333"/>
          <w:szCs w:val="21"/>
        </w:rPr>
        <w:t>老师</w:t>
      </w:r>
    </w:p>
    <w:p w14:paraId="04B33417">
      <w:pPr>
        <w:snapToGrid w:val="0"/>
        <w:spacing w:line="360" w:lineRule="auto"/>
        <w:ind w:firstLine="420" w:firstLineChars="200"/>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rPr>
        <w:t>代理机构电话：（023）88</w:t>
      </w:r>
      <w:r>
        <w:rPr>
          <w:rFonts w:hint="eastAsia" w:asciiTheme="majorEastAsia" w:hAnsiTheme="majorEastAsia" w:eastAsiaTheme="majorEastAsia"/>
          <w:color w:val="333333"/>
          <w:szCs w:val="21"/>
          <w:lang w:val="en-US" w:eastAsia="zh-CN"/>
        </w:rPr>
        <w:t>505900</w:t>
      </w:r>
    </w:p>
    <w:p w14:paraId="606FBFCB">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代理机构地址：重庆市</w:t>
      </w:r>
      <w:r>
        <w:rPr>
          <w:rFonts w:hint="eastAsia" w:asciiTheme="majorEastAsia" w:hAnsiTheme="majorEastAsia" w:eastAsiaTheme="majorEastAsia"/>
          <w:color w:val="333333"/>
          <w:szCs w:val="21"/>
          <w:lang w:val="en-US" w:eastAsia="zh-CN"/>
        </w:rPr>
        <w:t>两江新区</w:t>
      </w:r>
      <w:r>
        <w:rPr>
          <w:rFonts w:hint="eastAsia" w:asciiTheme="majorEastAsia" w:hAnsiTheme="majorEastAsia" w:eastAsiaTheme="majorEastAsia"/>
          <w:color w:val="333333"/>
          <w:szCs w:val="21"/>
        </w:rPr>
        <w:t>财富大道2号财富A座9楼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k0YTgwN2QwNmU0MDI5MDg5NTZkN2MwMmU3MjJjNjAifQ=="/>
  </w:docVars>
  <w:rsids>
    <w:rsidRoot w:val="0074372C"/>
    <w:rsid w:val="00002A9C"/>
    <w:rsid w:val="00005A43"/>
    <w:rsid w:val="000119BC"/>
    <w:rsid w:val="00023089"/>
    <w:rsid w:val="000370B6"/>
    <w:rsid w:val="000551E5"/>
    <w:rsid w:val="00055EFD"/>
    <w:rsid w:val="00061AA6"/>
    <w:rsid w:val="0009216D"/>
    <w:rsid w:val="000E0F5D"/>
    <w:rsid w:val="000F532C"/>
    <w:rsid w:val="00106AE1"/>
    <w:rsid w:val="00141565"/>
    <w:rsid w:val="0014290D"/>
    <w:rsid w:val="001455CB"/>
    <w:rsid w:val="001523E9"/>
    <w:rsid w:val="00153732"/>
    <w:rsid w:val="00156097"/>
    <w:rsid w:val="00156AA3"/>
    <w:rsid w:val="001624AF"/>
    <w:rsid w:val="00166793"/>
    <w:rsid w:val="00185D29"/>
    <w:rsid w:val="001B1BFE"/>
    <w:rsid w:val="001B28E1"/>
    <w:rsid w:val="001C66FD"/>
    <w:rsid w:val="001D3D60"/>
    <w:rsid w:val="001D5937"/>
    <w:rsid w:val="001F21FA"/>
    <w:rsid w:val="002105E0"/>
    <w:rsid w:val="00223835"/>
    <w:rsid w:val="00226760"/>
    <w:rsid w:val="002305D6"/>
    <w:rsid w:val="00237B0E"/>
    <w:rsid w:val="002469CE"/>
    <w:rsid w:val="002514A0"/>
    <w:rsid w:val="0025451E"/>
    <w:rsid w:val="00254D38"/>
    <w:rsid w:val="00287671"/>
    <w:rsid w:val="002C25CC"/>
    <w:rsid w:val="002D4CB9"/>
    <w:rsid w:val="002F45CE"/>
    <w:rsid w:val="00305CAE"/>
    <w:rsid w:val="00317D0E"/>
    <w:rsid w:val="00322E1B"/>
    <w:rsid w:val="00362F6A"/>
    <w:rsid w:val="00371C15"/>
    <w:rsid w:val="003820E6"/>
    <w:rsid w:val="003958C6"/>
    <w:rsid w:val="003A1F4B"/>
    <w:rsid w:val="003D2B37"/>
    <w:rsid w:val="003E037A"/>
    <w:rsid w:val="0041419D"/>
    <w:rsid w:val="004157C9"/>
    <w:rsid w:val="00423EEA"/>
    <w:rsid w:val="00431107"/>
    <w:rsid w:val="00455E05"/>
    <w:rsid w:val="00471C80"/>
    <w:rsid w:val="0047506D"/>
    <w:rsid w:val="004A0E3D"/>
    <w:rsid w:val="004E7CF5"/>
    <w:rsid w:val="004F1B07"/>
    <w:rsid w:val="00511394"/>
    <w:rsid w:val="00544EE3"/>
    <w:rsid w:val="00560742"/>
    <w:rsid w:val="0058552F"/>
    <w:rsid w:val="005B27B3"/>
    <w:rsid w:val="005D0ABD"/>
    <w:rsid w:val="005D284C"/>
    <w:rsid w:val="0060152F"/>
    <w:rsid w:val="00603C76"/>
    <w:rsid w:val="00610BF2"/>
    <w:rsid w:val="00613F97"/>
    <w:rsid w:val="006206EA"/>
    <w:rsid w:val="006208DA"/>
    <w:rsid w:val="00622520"/>
    <w:rsid w:val="006B1C62"/>
    <w:rsid w:val="006B6DE1"/>
    <w:rsid w:val="006F26A0"/>
    <w:rsid w:val="00705C10"/>
    <w:rsid w:val="00737F3F"/>
    <w:rsid w:val="0074372C"/>
    <w:rsid w:val="00747633"/>
    <w:rsid w:val="007701C5"/>
    <w:rsid w:val="0078122E"/>
    <w:rsid w:val="00781F47"/>
    <w:rsid w:val="007A25EA"/>
    <w:rsid w:val="007A7BCF"/>
    <w:rsid w:val="007B141D"/>
    <w:rsid w:val="007B2799"/>
    <w:rsid w:val="007C1F0B"/>
    <w:rsid w:val="00806D44"/>
    <w:rsid w:val="00811BFC"/>
    <w:rsid w:val="00832AB4"/>
    <w:rsid w:val="0084120C"/>
    <w:rsid w:val="008474E6"/>
    <w:rsid w:val="008613A7"/>
    <w:rsid w:val="00867DA9"/>
    <w:rsid w:val="00887938"/>
    <w:rsid w:val="008A0D4F"/>
    <w:rsid w:val="008A6F10"/>
    <w:rsid w:val="008D23BB"/>
    <w:rsid w:val="009120BE"/>
    <w:rsid w:val="00943FAA"/>
    <w:rsid w:val="00954D2F"/>
    <w:rsid w:val="00987064"/>
    <w:rsid w:val="0098714B"/>
    <w:rsid w:val="009C55DF"/>
    <w:rsid w:val="009C6BF3"/>
    <w:rsid w:val="009E3367"/>
    <w:rsid w:val="00A01232"/>
    <w:rsid w:val="00A14C6D"/>
    <w:rsid w:val="00A2600E"/>
    <w:rsid w:val="00A51757"/>
    <w:rsid w:val="00A811A7"/>
    <w:rsid w:val="00AA02AA"/>
    <w:rsid w:val="00AA10B7"/>
    <w:rsid w:val="00AA2DF1"/>
    <w:rsid w:val="00AB426C"/>
    <w:rsid w:val="00AD6151"/>
    <w:rsid w:val="00AE38F1"/>
    <w:rsid w:val="00B05B48"/>
    <w:rsid w:val="00B17127"/>
    <w:rsid w:val="00B30234"/>
    <w:rsid w:val="00B3545B"/>
    <w:rsid w:val="00B47209"/>
    <w:rsid w:val="00B64AA9"/>
    <w:rsid w:val="00B666B0"/>
    <w:rsid w:val="00B724DE"/>
    <w:rsid w:val="00B93CAA"/>
    <w:rsid w:val="00B95CD0"/>
    <w:rsid w:val="00BA03C1"/>
    <w:rsid w:val="00BA3EB1"/>
    <w:rsid w:val="00BB748A"/>
    <w:rsid w:val="00BC4225"/>
    <w:rsid w:val="00C22F00"/>
    <w:rsid w:val="00C361A4"/>
    <w:rsid w:val="00CD6087"/>
    <w:rsid w:val="00CD78E6"/>
    <w:rsid w:val="00CE6C27"/>
    <w:rsid w:val="00CF5581"/>
    <w:rsid w:val="00D0693D"/>
    <w:rsid w:val="00D106B5"/>
    <w:rsid w:val="00D16FAC"/>
    <w:rsid w:val="00D20D01"/>
    <w:rsid w:val="00D232B7"/>
    <w:rsid w:val="00D32FF2"/>
    <w:rsid w:val="00D41A33"/>
    <w:rsid w:val="00D55A39"/>
    <w:rsid w:val="00D66B10"/>
    <w:rsid w:val="00D74111"/>
    <w:rsid w:val="00D90A0C"/>
    <w:rsid w:val="00D9122D"/>
    <w:rsid w:val="00DC0E98"/>
    <w:rsid w:val="00DC387C"/>
    <w:rsid w:val="00E013F7"/>
    <w:rsid w:val="00E06779"/>
    <w:rsid w:val="00E31208"/>
    <w:rsid w:val="00E62D29"/>
    <w:rsid w:val="00EA4DDB"/>
    <w:rsid w:val="00EC3FF9"/>
    <w:rsid w:val="00ED0DA2"/>
    <w:rsid w:val="00EE4183"/>
    <w:rsid w:val="00EE570A"/>
    <w:rsid w:val="00F0123D"/>
    <w:rsid w:val="00F267B5"/>
    <w:rsid w:val="00F6068E"/>
    <w:rsid w:val="00F658C0"/>
    <w:rsid w:val="00F75558"/>
    <w:rsid w:val="00F843F7"/>
    <w:rsid w:val="00F92320"/>
    <w:rsid w:val="00FB2EDE"/>
    <w:rsid w:val="00FC1C25"/>
    <w:rsid w:val="00FD26EB"/>
    <w:rsid w:val="00FE0C5A"/>
    <w:rsid w:val="00FE7148"/>
    <w:rsid w:val="00FF27F8"/>
    <w:rsid w:val="05C92FA2"/>
    <w:rsid w:val="06056493"/>
    <w:rsid w:val="06D32B82"/>
    <w:rsid w:val="073562BB"/>
    <w:rsid w:val="08C11363"/>
    <w:rsid w:val="08DA7C1F"/>
    <w:rsid w:val="08EF5C6F"/>
    <w:rsid w:val="0A9F5692"/>
    <w:rsid w:val="0C2E7D0F"/>
    <w:rsid w:val="0D04379C"/>
    <w:rsid w:val="0F52189B"/>
    <w:rsid w:val="10FD1ACA"/>
    <w:rsid w:val="12DB4E21"/>
    <w:rsid w:val="141D45F8"/>
    <w:rsid w:val="14C52A4A"/>
    <w:rsid w:val="14CC3A06"/>
    <w:rsid w:val="159B31E4"/>
    <w:rsid w:val="16667955"/>
    <w:rsid w:val="193C11B5"/>
    <w:rsid w:val="1DE8432D"/>
    <w:rsid w:val="1F040613"/>
    <w:rsid w:val="224F7DF7"/>
    <w:rsid w:val="23EC5627"/>
    <w:rsid w:val="25751244"/>
    <w:rsid w:val="25754019"/>
    <w:rsid w:val="28564D75"/>
    <w:rsid w:val="28966C30"/>
    <w:rsid w:val="292B6A3A"/>
    <w:rsid w:val="2B766FE8"/>
    <w:rsid w:val="2B7A3236"/>
    <w:rsid w:val="2C0758FA"/>
    <w:rsid w:val="2C193E2C"/>
    <w:rsid w:val="2C4F2622"/>
    <w:rsid w:val="2D9E19EB"/>
    <w:rsid w:val="30A47041"/>
    <w:rsid w:val="310E6497"/>
    <w:rsid w:val="31906646"/>
    <w:rsid w:val="33E24057"/>
    <w:rsid w:val="33F77F81"/>
    <w:rsid w:val="34E64AA7"/>
    <w:rsid w:val="37706F63"/>
    <w:rsid w:val="385A15C8"/>
    <w:rsid w:val="388001CF"/>
    <w:rsid w:val="39AE6463"/>
    <w:rsid w:val="3A6F6E31"/>
    <w:rsid w:val="3AC704CF"/>
    <w:rsid w:val="3DAF3171"/>
    <w:rsid w:val="3F847EAD"/>
    <w:rsid w:val="3FD07291"/>
    <w:rsid w:val="40847D9B"/>
    <w:rsid w:val="40B80AD9"/>
    <w:rsid w:val="41314FBA"/>
    <w:rsid w:val="423E352B"/>
    <w:rsid w:val="43BC74DC"/>
    <w:rsid w:val="443D73A8"/>
    <w:rsid w:val="44ED5E27"/>
    <w:rsid w:val="46FC37FA"/>
    <w:rsid w:val="48021991"/>
    <w:rsid w:val="4A11787B"/>
    <w:rsid w:val="4A1369C1"/>
    <w:rsid w:val="4A376F74"/>
    <w:rsid w:val="4C46376A"/>
    <w:rsid w:val="4DEB661F"/>
    <w:rsid w:val="512E2831"/>
    <w:rsid w:val="517E4CA9"/>
    <w:rsid w:val="51B55C43"/>
    <w:rsid w:val="51F95D67"/>
    <w:rsid w:val="52C77543"/>
    <w:rsid w:val="53934AFB"/>
    <w:rsid w:val="53BE79AD"/>
    <w:rsid w:val="58BB7DD2"/>
    <w:rsid w:val="5B0171D9"/>
    <w:rsid w:val="5B2A2366"/>
    <w:rsid w:val="5BF1724E"/>
    <w:rsid w:val="5CE95C8B"/>
    <w:rsid w:val="5D136205"/>
    <w:rsid w:val="5E6906F4"/>
    <w:rsid w:val="612A4577"/>
    <w:rsid w:val="63D802FB"/>
    <w:rsid w:val="65843634"/>
    <w:rsid w:val="67E5371B"/>
    <w:rsid w:val="68C55A0F"/>
    <w:rsid w:val="6A152870"/>
    <w:rsid w:val="6A766262"/>
    <w:rsid w:val="6A9E6CBE"/>
    <w:rsid w:val="6BB35D83"/>
    <w:rsid w:val="6C5504EE"/>
    <w:rsid w:val="6E006136"/>
    <w:rsid w:val="6E8C4A5E"/>
    <w:rsid w:val="709A72B2"/>
    <w:rsid w:val="70D00971"/>
    <w:rsid w:val="73D2382E"/>
    <w:rsid w:val="74561014"/>
    <w:rsid w:val="751E3A9D"/>
    <w:rsid w:val="766111DA"/>
    <w:rsid w:val="769A411C"/>
    <w:rsid w:val="7A2F5A49"/>
    <w:rsid w:val="7A6113AD"/>
    <w:rsid w:val="7B4E7EFF"/>
    <w:rsid w:val="7C4C309C"/>
    <w:rsid w:val="7C4F72D9"/>
    <w:rsid w:val="7F6F66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table of authorities"/>
    <w:basedOn w:val="1"/>
    <w:next w:val="1"/>
    <w:qFormat/>
    <w:uiPriority w:val="0"/>
    <w:pPr>
      <w:spacing w:before="100" w:beforeAutospacing="1" w:after="100" w:afterAutospacing="1"/>
      <w:ind w:left="200" w:leftChars="200"/>
    </w:pPr>
    <w:rPr>
      <w:szCs w:val="21"/>
    </w:rPr>
  </w:style>
  <w:style w:type="paragraph" w:styleId="8">
    <w:name w:val="Plain Text"/>
    <w:basedOn w:val="1"/>
    <w:qFormat/>
    <w:uiPriority w:val="0"/>
    <w:rPr>
      <w:rFonts w:ascii="宋体" w:hAnsi="Courier New"/>
      <w:szCs w:val="21"/>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widowControl/>
      <w:spacing w:after="240" w:afterLines="0" w:afterAutospacing="0" w:line="360" w:lineRule="auto"/>
      <w:jc w:val="center"/>
    </w:pPr>
    <w:rPr>
      <w:rFonts w:ascii="Arial" w:hAnsi="Arial" w:eastAsia="宋体" w:cs="Times New Roman"/>
      <w:b/>
      <w:smallCaps/>
      <w:kern w:val="28"/>
      <w:sz w:val="36"/>
      <w:lang w:eastAsia="en-US"/>
    </w:rPr>
  </w:style>
  <w:style w:type="paragraph" w:styleId="13">
    <w:name w:val="Body Text First Indent"/>
    <w:basedOn w:val="2"/>
    <w:next w:val="1"/>
    <w:autoRedefine/>
    <w:qFormat/>
    <w:uiPriority w:val="0"/>
    <w:pPr>
      <w:ind w:firstLine="420" w:firstLineChars="100"/>
    </w:pPr>
  </w:style>
  <w:style w:type="paragraph" w:styleId="16">
    <w:name w:val="Quote"/>
    <w:basedOn w:val="1"/>
    <w:next w:val="1"/>
    <w:autoRedefine/>
    <w:qFormat/>
    <w:uiPriority w:val="0"/>
    <w:pPr>
      <w:wordWrap w:val="0"/>
      <w:spacing w:before="200" w:after="160"/>
      <w:ind w:left="864" w:right="864"/>
      <w:jc w:val="center"/>
    </w:pPr>
    <w:rPr>
      <w:i/>
      <w:sz w:val="21"/>
      <w:lang w:val="en-US" w:eastAsia="zh-CN" w:bidi="ar-SA"/>
    </w:rPr>
  </w:style>
  <w:style w:type="character" w:customStyle="1" w:styleId="17">
    <w:name w:val="页眉 Char"/>
    <w:basedOn w:val="15"/>
    <w:link w:val="10"/>
    <w:autoRedefine/>
    <w:qFormat/>
    <w:uiPriority w:val="99"/>
    <w:rPr>
      <w:sz w:val="18"/>
      <w:szCs w:val="18"/>
    </w:rPr>
  </w:style>
  <w:style w:type="character" w:customStyle="1" w:styleId="18">
    <w:name w:val="页脚 Char"/>
    <w:basedOn w:val="15"/>
    <w:link w:val="9"/>
    <w:autoRedefine/>
    <w:qFormat/>
    <w:uiPriority w:val="99"/>
    <w:rPr>
      <w:sz w:val="18"/>
      <w:szCs w:val="18"/>
    </w:rPr>
  </w:style>
  <w:style w:type="character" w:customStyle="1" w:styleId="19">
    <w:name w:val="标题 2 Char"/>
    <w:basedOn w:val="15"/>
    <w:link w:val="4"/>
    <w:autoRedefine/>
    <w:qFormat/>
    <w:uiPriority w:val="9"/>
    <w:rPr>
      <w:rFonts w:ascii="宋体" w:hAnsi="宋体" w:eastAsia="宋体" w:cs="宋体"/>
      <w:b/>
      <w:bCs/>
      <w:kern w:val="0"/>
      <w:sz w:val="36"/>
      <w:szCs w:val="36"/>
    </w:rPr>
  </w:style>
  <w:style w:type="paragraph" w:customStyle="1" w:styleId="20">
    <w:name w:val="style2"/>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apple-converted-space"/>
    <w:basedOn w:val="15"/>
    <w:autoRedefine/>
    <w:qFormat/>
    <w:uiPriority w:val="0"/>
  </w:style>
  <w:style w:type="paragraph" w:customStyle="1" w:styleId="22">
    <w:name w:val="style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标题 4 Char"/>
    <w:basedOn w:val="15"/>
    <w:link w:val="6"/>
    <w:autoRedefine/>
    <w:qFormat/>
    <w:uiPriority w:val="9"/>
    <w:rPr>
      <w:rFonts w:asciiTheme="majorHAnsi" w:hAnsiTheme="majorHAnsi" w:eastAsiaTheme="majorEastAsia" w:cstheme="majorBidi"/>
      <w:b/>
      <w:bCs/>
      <w:sz w:val="28"/>
      <w:szCs w:val="28"/>
    </w:rPr>
  </w:style>
  <w:style w:type="character" w:customStyle="1" w:styleId="24">
    <w:name w:val="标题 3 Char"/>
    <w:basedOn w:val="15"/>
    <w:link w:val="5"/>
    <w:autoRedefine/>
    <w:qFormat/>
    <w:uiPriority w:val="9"/>
    <w:rPr>
      <w:b/>
      <w:bCs/>
      <w:sz w:val="32"/>
      <w:szCs w:val="32"/>
    </w:rPr>
  </w:style>
  <w:style w:type="character" w:customStyle="1" w:styleId="25">
    <w:name w:val="title_emph1"/>
    <w:autoRedefine/>
    <w:qFormat/>
    <w:uiPriority w:val="0"/>
    <w:rPr>
      <w:rFonts w:hint="default" w:ascii="Arial" w:hAnsi="Arial"/>
      <w:b/>
      <w:sz w:val="20"/>
    </w:rPr>
  </w:style>
  <w:style w:type="character" w:customStyle="1" w:styleId="26">
    <w:name w:val="Table Text Char"/>
    <w:link w:val="27"/>
    <w:autoRedefine/>
    <w:qFormat/>
    <w:uiPriority w:val="0"/>
    <w:rPr>
      <w:rFonts w:ascii="Arial" w:hAnsi="Arial"/>
      <w:sz w:val="18"/>
    </w:rPr>
  </w:style>
  <w:style w:type="paragraph" w:customStyle="1" w:styleId="27">
    <w:name w:val="Table Text"/>
    <w:link w:val="26"/>
    <w:autoRedefine/>
    <w:qFormat/>
    <w:uiPriority w:val="0"/>
    <w:pPr>
      <w:snapToGrid w:val="0"/>
      <w:spacing w:before="80" w:after="80"/>
    </w:pPr>
    <w:rPr>
      <w:rFonts w:ascii="Arial" w:hAnsi="Arial" w:eastAsiaTheme="minorEastAsia" w:cstheme="minorBidi"/>
      <w:kern w:val="2"/>
      <w:sz w:val="1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440</Words>
  <Characters>517</Characters>
  <Lines>2</Lines>
  <Paragraphs>1</Paragraphs>
  <TotalTime>0</TotalTime>
  <ScaleCrop>false</ScaleCrop>
  <LinksUpToDate>false</LinksUpToDate>
  <CharactersWithSpaces>522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2017-03-14T01:58:00Z</dcterms:created>
  <dc:creator>Administrator</dc:creator>
  <cp:lastModifiedBy>周菲童</cp:lastModifiedBy>
  <dcterms:modified xsi:type="dcterms:W3CDTF">2026-04-28T08:43:50Z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17EB3221F8D2402AA776E8CD26735351_12</vt:lpwstr>
  </property>
  <property fmtid="{D5CDD505-2E9C-101B-9397-08002B2CF9AE}" pid="4" name="KSOTemplateDocerSaveRecord">
    <vt:lpwstr>eyJoZGlkIjoiMjk0YTgwN2QwNmU0MDI5MDg5NTZkN2MwMmU3MjJjNjAiLCJ1c2VySWQiOiI0MDcxOTkyMjQifQ==</vt:lpwstr>
  </property>
</Properties>
</file>