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7BE00">
      <w:pPr>
        <w:pStyle w:val="4"/>
        <w:shd w:val="clear" w:color="auto" w:fill="FFFFFF"/>
        <w:spacing w:line="400" w:lineRule="exact"/>
        <w:jc w:val="center"/>
        <w:rPr>
          <w:rFonts w:hint="eastAsia" w:asciiTheme="majorEastAsia" w:hAnsiTheme="majorEastAsia" w:eastAsiaTheme="majorEastAsia"/>
          <w:color w:val="333333"/>
          <w:sz w:val="36"/>
          <w:szCs w:val="36"/>
          <w:lang w:eastAsia="zh-CN"/>
        </w:rPr>
      </w:pPr>
      <w:r>
        <w:rPr>
          <w:rFonts w:hint="eastAsia" w:asciiTheme="majorEastAsia" w:hAnsiTheme="majorEastAsia" w:eastAsiaTheme="majorEastAsia"/>
          <w:color w:val="333333"/>
          <w:sz w:val="36"/>
          <w:szCs w:val="36"/>
          <w:lang w:eastAsia="zh-CN"/>
        </w:rPr>
        <w:t xml:space="preserve">重庆科技产业金融一体化项目路演暨新材料产业浙渝产融合作对接专场活动（第二次） </w:t>
      </w:r>
    </w:p>
    <w:p w14:paraId="0EFC4D7A">
      <w:pPr>
        <w:pStyle w:val="4"/>
        <w:shd w:val="clear" w:color="auto" w:fill="FFFFFF"/>
        <w:spacing w:line="400" w:lineRule="exact"/>
        <w:jc w:val="center"/>
        <w:rPr>
          <w:rFonts w:asciiTheme="majorEastAsia" w:hAnsiTheme="majorEastAsia" w:eastAsiaTheme="majorEastAsia"/>
          <w:color w:val="333333"/>
          <w:sz w:val="36"/>
          <w:szCs w:val="36"/>
        </w:rPr>
      </w:pPr>
      <w:r>
        <w:rPr>
          <w:rFonts w:hint="eastAsia" w:asciiTheme="majorEastAsia" w:hAnsiTheme="majorEastAsia" w:eastAsiaTheme="majorEastAsia"/>
          <w:color w:val="333333"/>
          <w:sz w:val="36"/>
          <w:szCs w:val="36"/>
        </w:rPr>
        <w:t>结果公示</w:t>
      </w:r>
    </w:p>
    <w:p w14:paraId="41367ED6">
      <w:pPr>
        <w:snapToGrid w:val="0"/>
        <w:spacing w:line="360" w:lineRule="auto"/>
        <w:ind w:firstLine="422" w:firstLineChars="200"/>
        <w:rPr>
          <w:rFonts w:hint="eastAsia" w:asciiTheme="majorEastAsia" w:hAnsiTheme="majorEastAsia" w:eastAsiaTheme="majorEastAsia"/>
          <w:b/>
          <w:color w:val="333333"/>
          <w:szCs w:val="21"/>
          <w:lang w:eastAsia="zh-CN"/>
        </w:rPr>
      </w:pPr>
      <w:r>
        <w:rPr>
          <w:rFonts w:hint="eastAsia" w:asciiTheme="majorEastAsia" w:hAnsiTheme="majorEastAsia" w:eastAsiaTheme="majorEastAsia"/>
          <w:b/>
          <w:color w:val="333333"/>
          <w:szCs w:val="21"/>
        </w:rPr>
        <w:t>一、项目号：</w:t>
      </w:r>
      <w:r>
        <w:rPr>
          <w:rFonts w:hint="eastAsia" w:asciiTheme="majorEastAsia" w:hAnsiTheme="majorEastAsia" w:eastAsiaTheme="majorEastAsia"/>
          <w:b/>
          <w:color w:val="333333"/>
          <w:szCs w:val="21"/>
          <w:lang w:eastAsia="zh-CN"/>
        </w:rPr>
        <w:t>CQCBJQ2511-515</w:t>
      </w:r>
    </w:p>
    <w:p w14:paraId="7BE14A41">
      <w:pPr>
        <w:snapToGrid w:val="0"/>
        <w:spacing w:line="360" w:lineRule="auto"/>
        <w:ind w:firstLine="422" w:firstLineChars="200"/>
        <w:rPr>
          <w:rFonts w:hint="eastAsia" w:asciiTheme="majorEastAsia" w:hAnsiTheme="majorEastAsia" w:eastAsiaTheme="majorEastAsia"/>
          <w:b/>
          <w:color w:val="333333"/>
          <w:szCs w:val="21"/>
          <w:lang w:eastAsia="zh-CN"/>
        </w:rPr>
      </w:pPr>
      <w:r>
        <w:rPr>
          <w:rFonts w:hint="eastAsia" w:asciiTheme="majorEastAsia" w:hAnsiTheme="majorEastAsia" w:eastAsiaTheme="majorEastAsia"/>
          <w:b/>
          <w:color w:val="333333"/>
          <w:szCs w:val="21"/>
        </w:rPr>
        <w:t>二、项目名称：</w:t>
      </w:r>
      <w:r>
        <w:rPr>
          <w:rFonts w:hint="eastAsia" w:asciiTheme="majorEastAsia" w:hAnsiTheme="majorEastAsia" w:eastAsiaTheme="majorEastAsia"/>
          <w:b/>
          <w:color w:val="333333"/>
          <w:szCs w:val="21"/>
          <w:lang w:eastAsia="zh-CN"/>
        </w:rPr>
        <w:t>重庆科技产业金融一体化项目路演暨新材料产业浙渝产融合作对接专场活动（第二次）</w:t>
      </w:r>
    </w:p>
    <w:p w14:paraId="6BE335FD">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三、采购方式：竞争性磋商</w:t>
      </w:r>
    </w:p>
    <w:p w14:paraId="24F9C3B9">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四、评审日期：202</w:t>
      </w:r>
      <w:r>
        <w:rPr>
          <w:rFonts w:hint="eastAsia" w:asciiTheme="majorEastAsia" w:hAnsiTheme="majorEastAsia" w:eastAsiaTheme="majorEastAsia"/>
          <w:b/>
          <w:color w:val="333333"/>
          <w:szCs w:val="21"/>
          <w:lang w:val="en-US" w:eastAsia="zh-CN"/>
        </w:rPr>
        <w:t>5</w:t>
      </w:r>
      <w:r>
        <w:rPr>
          <w:rFonts w:hint="eastAsia" w:asciiTheme="majorEastAsia" w:hAnsiTheme="majorEastAsia" w:eastAsiaTheme="majorEastAsia"/>
          <w:b/>
          <w:color w:val="333333"/>
          <w:szCs w:val="21"/>
        </w:rPr>
        <w:t>年</w:t>
      </w:r>
      <w:r>
        <w:rPr>
          <w:rFonts w:hint="eastAsia" w:asciiTheme="majorEastAsia" w:hAnsiTheme="majorEastAsia" w:eastAsiaTheme="majorEastAsia"/>
          <w:b/>
          <w:color w:val="333333"/>
          <w:szCs w:val="21"/>
          <w:lang w:val="en-US" w:eastAsia="zh-CN"/>
        </w:rPr>
        <w:t>12</w:t>
      </w:r>
      <w:r>
        <w:rPr>
          <w:rFonts w:hint="eastAsia" w:asciiTheme="majorEastAsia" w:hAnsiTheme="majorEastAsia" w:eastAsiaTheme="majorEastAsia"/>
          <w:b/>
          <w:color w:val="333333"/>
          <w:szCs w:val="21"/>
        </w:rPr>
        <w:t>月</w:t>
      </w:r>
      <w:r>
        <w:rPr>
          <w:rFonts w:hint="eastAsia" w:asciiTheme="majorEastAsia" w:hAnsiTheme="majorEastAsia" w:eastAsiaTheme="majorEastAsia"/>
          <w:b/>
          <w:color w:val="333333"/>
          <w:szCs w:val="21"/>
          <w:lang w:val="en-US" w:eastAsia="zh-CN"/>
        </w:rPr>
        <w:t>22</w:t>
      </w:r>
      <w:r>
        <w:rPr>
          <w:rFonts w:hint="eastAsia" w:asciiTheme="majorEastAsia" w:hAnsiTheme="majorEastAsia" w:eastAsiaTheme="majorEastAsia"/>
          <w:b/>
          <w:color w:val="333333"/>
          <w:szCs w:val="21"/>
        </w:rPr>
        <w:t>日</w:t>
      </w:r>
    </w:p>
    <w:p w14:paraId="2EA770C5">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五、公示日期：202</w:t>
      </w:r>
      <w:r>
        <w:rPr>
          <w:rFonts w:hint="eastAsia" w:asciiTheme="majorEastAsia" w:hAnsiTheme="majorEastAsia" w:eastAsiaTheme="majorEastAsia"/>
          <w:b/>
          <w:color w:val="333333"/>
          <w:szCs w:val="21"/>
          <w:lang w:val="en-US" w:eastAsia="zh-CN"/>
        </w:rPr>
        <w:t>5</w:t>
      </w:r>
      <w:r>
        <w:rPr>
          <w:rFonts w:hint="eastAsia" w:asciiTheme="majorEastAsia" w:hAnsiTheme="majorEastAsia" w:eastAsiaTheme="majorEastAsia"/>
          <w:b/>
          <w:color w:val="333333"/>
          <w:szCs w:val="21"/>
        </w:rPr>
        <w:t>年</w:t>
      </w:r>
      <w:r>
        <w:rPr>
          <w:rFonts w:hint="eastAsia" w:asciiTheme="majorEastAsia" w:hAnsiTheme="majorEastAsia" w:eastAsiaTheme="majorEastAsia"/>
          <w:b/>
          <w:color w:val="333333"/>
          <w:szCs w:val="21"/>
          <w:lang w:val="en-US" w:eastAsia="zh-CN"/>
        </w:rPr>
        <w:t>12</w:t>
      </w:r>
      <w:r>
        <w:rPr>
          <w:rFonts w:hint="eastAsia" w:asciiTheme="majorEastAsia" w:hAnsiTheme="majorEastAsia" w:eastAsiaTheme="majorEastAsia"/>
          <w:b/>
          <w:color w:val="333333"/>
          <w:szCs w:val="21"/>
        </w:rPr>
        <w:t>月</w:t>
      </w:r>
      <w:r>
        <w:rPr>
          <w:rFonts w:hint="eastAsia" w:asciiTheme="majorEastAsia" w:hAnsiTheme="majorEastAsia" w:eastAsiaTheme="majorEastAsia"/>
          <w:b/>
          <w:color w:val="333333"/>
          <w:szCs w:val="21"/>
          <w:lang w:val="en-US" w:eastAsia="zh-CN"/>
        </w:rPr>
        <w:t>22</w:t>
      </w:r>
      <w:r>
        <w:rPr>
          <w:rFonts w:hint="eastAsia" w:asciiTheme="majorEastAsia" w:hAnsiTheme="majorEastAsia" w:eastAsiaTheme="majorEastAsia"/>
          <w:b/>
          <w:color w:val="333333"/>
          <w:szCs w:val="21"/>
        </w:rPr>
        <w:t>日</w:t>
      </w:r>
      <w:bookmarkStart w:id="0" w:name="_GoBack"/>
      <w:bookmarkEnd w:id="0"/>
    </w:p>
    <w:p w14:paraId="3718865B">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rPr>
        <w:t>六、成交结果</w:t>
      </w:r>
    </w:p>
    <w:tbl>
      <w:tblPr>
        <w:tblStyle w:val="13"/>
        <w:tblW w:w="8364" w:type="dxa"/>
        <w:tblCellSpacing w:w="15" w:type="dxa"/>
        <w:tblInd w:w="60" w:type="dxa"/>
        <w:tblLayout w:type="fixed"/>
        <w:tblCellMar>
          <w:top w:w="15" w:type="dxa"/>
          <w:left w:w="15" w:type="dxa"/>
          <w:bottom w:w="15" w:type="dxa"/>
          <w:right w:w="15" w:type="dxa"/>
        </w:tblCellMar>
      </w:tblPr>
      <w:tblGrid>
        <w:gridCol w:w="3444"/>
        <w:gridCol w:w="1763"/>
        <w:gridCol w:w="3157"/>
      </w:tblGrid>
      <w:tr w14:paraId="44ADF6FD">
        <w:tblPrEx>
          <w:tblCellMar>
            <w:top w:w="15" w:type="dxa"/>
            <w:left w:w="15" w:type="dxa"/>
            <w:bottom w:w="15" w:type="dxa"/>
            <w:right w:w="15" w:type="dxa"/>
          </w:tblCellMar>
        </w:tblPrEx>
        <w:trPr>
          <w:trHeight w:val="276" w:hRule="atLeast"/>
          <w:tblCellSpacing w:w="15" w:type="dxa"/>
        </w:trPr>
        <w:tc>
          <w:tcPr>
            <w:tcW w:w="3399" w:type="dxa"/>
            <w:tcBorders>
              <w:top w:val="single" w:color="000000" w:sz="6" w:space="0"/>
              <w:left w:val="single" w:color="000000" w:sz="6" w:space="0"/>
              <w:bottom w:val="single" w:color="000000" w:sz="6" w:space="0"/>
              <w:right w:val="single" w:color="000000" w:sz="6" w:space="0"/>
            </w:tcBorders>
            <w:vAlign w:val="center"/>
          </w:tcPr>
          <w:p w14:paraId="59EEF9F3">
            <w:pPr>
              <w:spacing w:line="240" w:lineRule="exact"/>
              <w:jc w:val="center"/>
              <w:rPr>
                <w:rFonts w:hint="eastAsia" w:asciiTheme="majorEastAsia" w:hAnsiTheme="majorEastAsia" w:eastAsiaTheme="majorEastAsia"/>
                <w:color w:val="333333"/>
                <w:szCs w:val="21"/>
              </w:rPr>
            </w:pPr>
            <w:r>
              <w:rPr>
                <w:rFonts w:hint="eastAsia" w:asciiTheme="majorEastAsia" w:hAnsiTheme="majorEastAsia" w:eastAsiaTheme="majorEastAsia"/>
                <w:color w:val="333333"/>
                <w:szCs w:val="21"/>
              </w:rPr>
              <w:t>项目内容</w:t>
            </w:r>
          </w:p>
        </w:tc>
        <w:tc>
          <w:tcPr>
            <w:tcW w:w="1733" w:type="dxa"/>
            <w:tcBorders>
              <w:top w:val="single" w:color="000000" w:sz="6" w:space="0"/>
              <w:left w:val="single" w:color="000000" w:sz="6" w:space="0"/>
              <w:bottom w:val="single" w:color="000000" w:sz="6" w:space="0"/>
              <w:right w:val="single" w:color="000000" w:sz="6" w:space="0"/>
            </w:tcBorders>
            <w:vAlign w:val="center"/>
          </w:tcPr>
          <w:p w14:paraId="3C87ABBB">
            <w:pPr>
              <w:spacing w:line="240" w:lineRule="exact"/>
              <w:jc w:val="center"/>
              <w:rPr>
                <w:rFonts w:hint="eastAsia" w:asciiTheme="majorEastAsia" w:hAnsiTheme="majorEastAsia" w:eastAsiaTheme="majorEastAsia"/>
                <w:color w:val="333333"/>
                <w:szCs w:val="21"/>
              </w:rPr>
            </w:pPr>
            <w:r>
              <w:rPr>
                <w:rFonts w:hint="eastAsia" w:asciiTheme="majorEastAsia" w:hAnsiTheme="majorEastAsia" w:eastAsiaTheme="majorEastAsia"/>
                <w:color w:val="333333"/>
                <w:szCs w:val="21"/>
              </w:rPr>
              <w:t>金额（</w:t>
            </w:r>
            <w:r>
              <w:rPr>
                <w:rFonts w:hint="eastAsia" w:asciiTheme="majorEastAsia" w:hAnsiTheme="majorEastAsia" w:eastAsiaTheme="majorEastAsia"/>
                <w:color w:val="333333"/>
                <w:szCs w:val="21"/>
                <w:lang w:val="en-US" w:eastAsia="zh-CN"/>
              </w:rPr>
              <w:t>元</w:t>
            </w:r>
            <w:r>
              <w:rPr>
                <w:rFonts w:hint="eastAsia" w:asciiTheme="majorEastAsia" w:hAnsiTheme="majorEastAsia" w:eastAsiaTheme="majorEastAsia"/>
                <w:color w:val="333333"/>
                <w:szCs w:val="21"/>
              </w:rPr>
              <w:t>）</w:t>
            </w:r>
          </w:p>
        </w:tc>
        <w:tc>
          <w:tcPr>
            <w:tcW w:w="3112" w:type="dxa"/>
            <w:tcBorders>
              <w:top w:val="single" w:color="000000" w:sz="6" w:space="0"/>
              <w:left w:val="single" w:color="000000" w:sz="6" w:space="0"/>
              <w:bottom w:val="single" w:color="000000" w:sz="6" w:space="0"/>
              <w:right w:val="single" w:color="000000" w:sz="6" w:space="0"/>
            </w:tcBorders>
            <w:vAlign w:val="center"/>
          </w:tcPr>
          <w:p w14:paraId="7FA86EAB">
            <w:pPr>
              <w:spacing w:line="240" w:lineRule="exact"/>
              <w:jc w:val="center"/>
              <w:rPr>
                <w:rFonts w:hint="eastAsia" w:asciiTheme="majorEastAsia" w:hAnsiTheme="majorEastAsia" w:eastAsiaTheme="majorEastAsia"/>
                <w:color w:val="333333"/>
                <w:szCs w:val="21"/>
              </w:rPr>
            </w:pPr>
            <w:r>
              <w:rPr>
                <w:rFonts w:hint="eastAsia" w:asciiTheme="majorEastAsia" w:hAnsiTheme="majorEastAsia" w:eastAsiaTheme="majorEastAsia"/>
                <w:color w:val="333333"/>
                <w:szCs w:val="21"/>
              </w:rPr>
              <w:t>成交供应商</w:t>
            </w:r>
          </w:p>
        </w:tc>
      </w:tr>
      <w:tr w14:paraId="6AFB5654">
        <w:tblPrEx>
          <w:tblCellMar>
            <w:top w:w="15" w:type="dxa"/>
            <w:left w:w="15" w:type="dxa"/>
            <w:bottom w:w="15" w:type="dxa"/>
            <w:right w:w="15" w:type="dxa"/>
          </w:tblCellMar>
        </w:tblPrEx>
        <w:trPr>
          <w:trHeight w:val="533" w:hRule="atLeast"/>
          <w:tblCellSpacing w:w="15" w:type="dxa"/>
        </w:trPr>
        <w:tc>
          <w:tcPr>
            <w:tcW w:w="3399" w:type="dxa"/>
            <w:tcBorders>
              <w:top w:val="single" w:color="000000" w:sz="6" w:space="0"/>
              <w:left w:val="single" w:color="000000" w:sz="6" w:space="0"/>
              <w:bottom w:val="single" w:color="000000" w:sz="6" w:space="0"/>
              <w:right w:val="single" w:color="000000" w:sz="6" w:space="0"/>
            </w:tcBorders>
            <w:vAlign w:val="center"/>
          </w:tcPr>
          <w:p w14:paraId="2811DAC4">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eastAsia="zh-CN"/>
              </w:rPr>
              <w:t>重庆科技产业金融一体化项目路演暨新材料产业浙渝产融合作对接专场活动</w:t>
            </w:r>
          </w:p>
        </w:tc>
        <w:tc>
          <w:tcPr>
            <w:tcW w:w="1733" w:type="dxa"/>
            <w:tcBorders>
              <w:top w:val="single" w:color="000000" w:sz="6" w:space="0"/>
              <w:left w:val="single" w:color="000000" w:sz="6" w:space="0"/>
              <w:bottom w:val="single" w:color="000000" w:sz="6" w:space="0"/>
              <w:right w:val="single" w:color="000000" w:sz="6" w:space="0"/>
            </w:tcBorders>
            <w:vAlign w:val="center"/>
          </w:tcPr>
          <w:p w14:paraId="44547C2F">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195500.00</w:t>
            </w:r>
          </w:p>
        </w:tc>
        <w:tc>
          <w:tcPr>
            <w:tcW w:w="3112" w:type="dxa"/>
            <w:tcBorders>
              <w:top w:val="single" w:color="000000" w:sz="6" w:space="0"/>
              <w:left w:val="single" w:color="000000" w:sz="6" w:space="0"/>
              <w:bottom w:val="single" w:color="000000" w:sz="6" w:space="0"/>
              <w:right w:val="single" w:color="000000" w:sz="6" w:space="0"/>
            </w:tcBorders>
            <w:vAlign w:val="center"/>
          </w:tcPr>
          <w:p w14:paraId="19DB17F2">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eastAsia="zh-CN"/>
              </w:rPr>
              <w:t>重庆麒达仕文化传媒有限公司</w:t>
            </w:r>
          </w:p>
        </w:tc>
      </w:tr>
    </w:tbl>
    <w:p w14:paraId="1D8D3E81">
      <w:pPr>
        <w:keepNext w:val="0"/>
        <w:keepLines w:val="0"/>
        <w:pageBreakBefore w:val="0"/>
        <w:widowControl w:val="0"/>
        <w:kinsoku/>
        <w:wordWrap/>
        <w:overflowPunct/>
        <w:topLinePunct w:val="0"/>
        <w:autoSpaceDE/>
        <w:autoSpaceDN/>
        <w:bidi w:val="0"/>
        <w:adjustRightInd/>
        <w:snapToGrid w:val="0"/>
        <w:spacing w:line="240" w:lineRule="auto"/>
        <w:ind w:firstLine="422" w:firstLineChars="200"/>
        <w:textAlignment w:val="auto"/>
        <w:rPr>
          <w:rFonts w:hint="default" w:asciiTheme="majorEastAsia" w:hAnsiTheme="majorEastAsia" w:eastAsiaTheme="majorEastAsia"/>
          <w:b/>
          <w:color w:val="333333"/>
          <w:szCs w:val="21"/>
          <w:lang w:val="en-US" w:eastAsia="zh-CN"/>
        </w:rPr>
      </w:pPr>
      <w:r>
        <w:rPr>
          <w:rFonts w:hint="eastAsia" w:asciiTheme="majorEastAsia" w:hAnsiTheme="majorEastAsia" w:eastAsiaTheme="majorEastAsia"/>
          <w:b/>
          <w:color w:val="333333"/>
          <w:szCs w:val="21"/>
          <w:lang w:val="en-US" w:eastAsia="zh-CN"/>
        </w:rPr>
        <w:t>七、评审得分表</w:t>
      </w:r>
    </w:p>
    <w:tbl>
      <w:tblPr>
        <w:tblStyle w:val="13"/>
        <w:tblW w:w="8420" w:type="dxa"/>
        <w:tblCellSpacing w:w="15" w:type="dxa"/>
        <w:tblInd w:w="30" w:type="dxa"/>
        <w:tblLayout w:type="fixed"/>
        <w:tblCellMar>
          <w:top w:w="15" w:type="dxa"/>
          <w:left w:w="15" w:type="dxa"/>
          <w:bottom w:w="15" w:type="dxa"/>
          <w:right w:w="15" w:type="dxa"/>
        </w:tblCellMar>
      </w:tblPr>
      <w:tblGrid>
        <w:gridCol w:w="3049"/>
        <w:gridCol w:w="1116"/>
        <w:gridCol w:w="1116"/>
        <w:gridCol w:w="1116"/>
        <w:gridCol w:w="1116"/>
        <w:gridCol w:w="907"/>
      </w:tblGrid>
      <w:tr w14:paraId="0A80EF13">
        <w:tblPrEx>
          <w:tblCellMar>
            <w:top w:w="15" w:type="dxa"/>
            <w:left w:w="15" w:type="dxa"/>
            <w:bottom w:w="15" w:type="dxa"/>
            <w:right w:w="15" w:type="dxa"/>
          </w:tblCellMar>
        </w:tblPrEx>
        <w:trPr>
          <w:trHeight w:val="276" w:hRule="atLeast"/>
          <w:tblCellSpacing w:w="15" w:type="dxa"/>
        </w:trPr>
        <w:tc>
          <w:tcPr>
            <w:tcW w:w="3004" w:type="dxa"/>
            <w:tcBorders>
              <w:top w:val="single" w:color="000000" w:sz="6" w:space="0"/>
              <w:left w:val="single" w:color="000000" w:sz="6" w:space="0"/>
              <w:bottom w:val="single" w:color="000000" w:sz="6" w:space="0"/>
              <w:right w:val="single" w:color="000000" w:sz="6" w:space="0"/>
            </w:tcBorders>
            <w:vAlign w:val="center"/>
          </w:tcPr>
          <w:p w14:paraId="5997466C">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供应商名称</w:t>
            </w:r>
          </w:p>
        </w:tc>
        <w:tc>
          <w:tcPr>
            <w:tcW w:w="1086" w:type="dxa"/>
            <w:tcBorders>
              <w:top w:val="single" w:color="000000" w:sz="6" w:space="0"/>
              <w:left w:val="single" w:color="000000" w:sz="6" w:space="0"/>
              <w:bottom w:val="single" w:color="000000" w:sz="6" w:space="0"/>
              <w:right w:val="single" w:color="000000" w:sz="6" w:space="0"/>
            </w:tcBorders>
            <w:vAlign w:val="center"/>
          </w:tcPr>
          <w:p w14:paraId="72CEE324">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报价得分</w:t>
            </w:r>
          </w:p>
        </w:tc>
        <w:tc>
          <w:tcPr>
            <w:tcW w:w="1086" w:type="dxa"/>
            <w:tcBorders>
              <w:top w:val="single" w:color="000000" w:sz="6" w:space="0"/>
              <w:left w:val="single" w:color="000000" w:sz="6" w:space="0"/>
              <w:bottom w:val="single" w:color="000000" w:sz="6" w:space="0"/>
              <w:right w:val="single" w:color="000000" w:sz="6" w:space="0"/>
            </w:tcBorders>
            <w:vAlign w:val="center"/>
          </w:tcPr>
          <w:p w14:paraId="2C233BAE">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技术得分</w:t>
            </w:r>
          </w:p>
        </w:tc>
        <w:tc>
          <w:tcPr>
            <w:tcW w:w="1086" w:type="dxa"/>
            <w:tcBorders>
              <w:top w:val="single" w:color="000000" w:sz="6" w:space="0"/>
              <w:left w:val="single" w:color="000000" w:sz="6" w:space="0"/>
              <w:bottom w:val="single" w:color="000000" w:sz="6" w:space="0"/>
              <w:right w:val="single" w:color="000000" w:sz="6" w:space="0"/>
            </w:tcBorders>
            <w:vAlign w:val="center"/>
          </w:tcPr>
          <w:p w14:paraId="395AC8E1">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商务得分</w:t>
            </w:r>
          </w:p>
        </w:tc>
        <w:tc>
          <w:tcPr>
            <w:tcW w:w="1086" w:type="dxa"/>
            <w:tcBorders>
              <w:top w:val="single" w:color="000000" w:sz="6" w:space="0"/>
              <w:left w:val="single" w:color="000000" w:sz="6" w:space="0"/>
              <w:bottom w:val="single" w:color="000000" w:sz="6" w:space="0"/>
              <w:right w:val="single" w:color="000000" w:sz="6" w:space="0"/>
            </w:tcBorders>
            <w:vAlign w:val="center"/>
          </w:tcPr>
          <w:p w14:paraId="22234454">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合计</w:t>
            </w:r>
          </w:p>
        </w:tc>
        <w:tc>
          <w:tcPr>
            <w:tcW w:w="862" w:type="dxa"/>
            <w:tcBorders>
              <w:top w:val="single" w:color="000000" w:sz="6" w:space="0"/>
              <w:left w:val="single" w:color="000000" w:sz="6" w:space="0"/>
              <w:bottom w:val="single" w:color="000000" w:sz="6" w:space="0"/>
              <w:right w:val="single" w:color="000000" w:sz="6" w:space="0"/>
            </w:tcBorders>
            <w:vAlign w:val="center"/>
          </w:tcPr>
          <w:p w14:paraId="0409DE0D">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排序</w:t>
            </w:r>
          </w:p>
        </w:tc>
      </w:tr>
      <w:tr w14:paraId="6DE18D4C">
        <w:tblPrEx>
          <w:tblCellMar>
            <w:top w:w="15" w:type="dxa"/>
            <w:left w:w="15" w:type="dxa"/>
            <w:bottom w:w="15" w:type="dxa"/>
            <w:right w:w="15" w:type="dxa"/>
          </w:tblCellMar>
        </w:tblPrEx>
        <w:trPr>
          <w:trHeight w:val="533" w:hRule="atLeast"/>
          <w:tblCellSpacing w:w="15" w:type="dxa"/>
        </w:trPr>
        <w:tc>
          <w:tcPr>
            <w:tcW w:w="300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AA78C">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eastAsia="zh-CN"/>
              </w:rPr>
              <w:t>重庆麒达仕文化传媒有限公司</w:t>
            </w:r>
          </w:p>
        </w:tc>
        <w:tc>
          <w:tcPr>
            <w:tcW w:w="1086" w:type="dxa"/>
            <w:tcBorders>
              <w:top w:val="single" w:color="000000" w:sz="6" w:space="0"/>
              <w:left w:val="single" w:color="000000" w:sz="6" w:space="0"/>
              <w:bottom w:val="single" w:color="000000" w:sz="6" w:space="0"/>
              <w:right w:val="single" w:color="000000" w:sz="6" w:space="0"/>
            </w:tcBorders>
            <w:vAlign w:val="center"/>
          </w:tcPr>
          <w:p w14:paraId="3D959971">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30</w:t>
            </w:r>
          </w:p>
        </w:tc>
        <w:tc>
          <w:tcPr>
            <w:tcW w:w="1086" w:type="dxa"/>
            <w:tcBorders>
              <w:top w:val="single" w:color="000000" w:sz="6" w:space="0"/>
              <w:left w:val="single" w:color="000000" w:sz="6" w:space="0"/>
              <w:bottom w:val="single" w:color="000000" w:sz="6" w:space="0"/>
              <w:right w:val="single" w:color="000000" w:sz="6" w:space="0"/>
            </w:tcBorders>
            <w:vAlign w:val="center"/>
          </w:tcPr>
          <w:p w14:paraId="3346594D">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35</w:t>
            </w:r>
          </w:p>
        </w:tc>
        <w:tc>
          <w:tcPr>
            <w:tcW w:w="1086" w:type="dxa"/>
            <w:tcBorders>
              <w:top w:val="single" w:color="000000" w:sz="6" w:space="0"/>
              <w:left w:val="single" w:color="000000" w:sz="6" w:space="0"/>
              <w:bottom w:val="single" w:color="000000" w:sz="6" w:space="0"/>
              <w:right w:val="single" w:color="000000" w:sz="6" w:space="0"/>
            </w:tcBorders>
            <w:vAlign w:val="center"/>
          </w:tcPr>
          <w:p w14:paraId="1D1980D2">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10</w:t>
            </w:r>
          </w:p>
        </w:tc>
        <w:tc>
          <w:tcPr>
            <w:tcW w:w="1086" w:type="dxa"/>
            <w:tcBorders>
              <w:top w:val="single" w:color="000000" w:sz="6" w:space="0"/>
              <w:left w:val="single" w:color="000000" w:sz="6" w:space="0"/>
              <w:bottom w:val="single" w:color="000000" w:sz="6" w:space="0"/>
              <w:right w:val="single" w:color="000000" w:sz="6" w:space="0"/>
            </w:tcBorders>
            <w:vAlign w:val="center"/>
          </w:tcPr>
          <w:p w14:paraId="68F7AFA3">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75</w:t>
            </w:r>
          </w:p>
        </w:tc>
        <w:tc>
          <w:tcPr>
            <w:tcW w:w="862" w:type="dxa"/>
            <w:tcBorders>
              <w:top w:val="single" w:color="000000" w:sz="6" w:space="0"/>
              <w:left w:val="single" w:color="000000" w:sz="6" w:space="0"/>
              <w:bottom w:val="single" w:color="000000" w:sz="6" w:space="0"/>
              <w:right w:val="single" w:color="000000" w:sz="6" w:space="0"/>
            </w:tcBorders>
            <w:vAlign w:val="center"/>
          </w:tcPr>
          <w:p w14:paraId="31860F8D">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1</w:t>
            </w:r>
          </w:p>
        </w:tc>
      </w:tr>
      <w:tr w14:paraId="1D76793A">
        <w:tblPrEx>
          <w:tblCellMar>
            <w:top w:w="15" w:type="dxa"/>
            <w:left w:w="15" w:type="dxa"/>
            <w:bottom w:w="15" w:type="dxa"/>
            <w:right w:w="15" w:type="dxa"/>
          </w:tblCellMar>
        </w:tblPrEx>
        <w:trPr>
          <w:trHeight w:val="533" w:hRule="atLeast"/>
          <w:tblCellSpacing w:w="15" w:type="dxa"/>
        </w:trPr>
        <w:tc>
          <w:tcPr>
            <w:tcW w:w="3004" w:type="dxa"/>
            <w:tcBorders>
              <w:top w:val="single" w:color="000000" w:sz="6" w:space="0"/>
              <w:left w:val="single" w:color="000000" w:sz="6" w:space="0"/>
              <w:bottom w:val="single" w:color="000000" w:sz="6" w:space="0"/>
              <w:right w:val="single" w:color="000000" w:sz="6" w:space="0"/>
            </w:tcBorders>
            <w:vAlign w:val="center"/>
          </w:tcPr>
          <w:p w14:paraId="63BE4317">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eastAsia="zh-CN"/>
              </w:rPr>
              <w:t>重庆厚创广告有限公司</w:t>
            </w:r>
          </w:p>
        </w:tc>
        <w:tc>
          <w:tcPr>
            <w:tcW w:w="1086" w:type="dxa"/>
            <w:tcBorders>
              <w:top w:val="single" w:color="000000" w:sz="6" w:space="0"/>
              <w:left w:val="single" w:color="000000" w:sz="6" w:space="0"/>
              <w:bottom w:val="single" w:color="000000" w:sz="6" w:space="0"/>
              <w:right w:val="single" w:color="000000" w:sz="6" w:space="0"/>
            </w:tcBorders>
            <w:vAlign w:val="center"/>
          </w:tcPr>
          <w:p w14:paraId="00EBC48C">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29.40</w:t>
            </w:r>
          </w:p>
        </w:tc>
        <w:tc>
          <w:tcPr>
            <w:tcW w:w="1086" w:type="dxa"/>
            <w:tcBorders>
              <w:top w:val="single" w:color="000000" w:sz="6" w:space="0"/>
              <w:left w:val="single" w:color="000000" w:sz="6" w:space="0"/>
              <w:bottom w:val="single" w:color="000000" w:sz="6" w:space="0"/>
              <w:right w:val="single" w:color="000000" w:sz="6" w:space="0"/>
            </w:tcBorders>
            <w:vAlign w:val="center"/>
          </w:tcPr>
          <w:p w14:paraId="3A646B15">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29.33</w:t>
            </w:r>
          </w:p>
        </w:tc>
        <w:tc>
          <w:tcPr>
            <w:tcW w:w="1086" w:type="dxa"/>
            <w:tcBorders>
              <w:top w:val="single" w:color="000000" w:sz="6" w:space="0"/>
              <w:left w:val="single" w:color="000000" w:sz="6" w:space="0"/>
              <w:bottom w:val="single" w:color="000000" w:sz="6" w:space="0"/>
              <w:right w:val="single" w:color="000000" w:sz="6" w:space="0"/>
            </w:tcBorders>
            <w:vAlign w:val="center"/>
          </w:tcPr>
          <w:p w14:paraId="2F80A105">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4</w:t>
            </w:r>
          </w:p>
        </w:tc>
        <w:tc>
          <w:tcPr>
            <w:tcW w:w="1086" w:type="dxa"/>
            <w:tcBorders>
              <w:top w:val="single" w:color="000000" w:sz="6" w:space="0"/>
              <w:left w:val="single" w:color="000000" w:sz="6" w:space="0"/>
              <w:bottom w:val="single" w:color="000000" w:sz="6" w:space="0"/>
              <w:right w:val="single" w:color="000000" w:sz="6" w:space="0"/>
            </w:tcBorders>
            <w:vAlign w:val="center"/>
          </w:tcPr>
          <w:p w14:paraId="171D2C97">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62.73</w:t>
            </w:r>
          </w:p>
        </w:tc>
        <w:tc>
          <w:tcPr>
            <w:tcW w:w="862" w:type="dxa"/>
            <w:tcBorders>
              <w:top w:val="single" w:color="000000" w:sz="6" w:space="0"/>
              <w:left w:val="single" w:color="000000" w:sz="6" w:space="0"/>
              <w:bottom w:val="single" w:color="000000" w:sz="6" w:space="0"/>
              <w:right w:val="single" w:color="000000" w:sz="6" w:space="0"/>
            </w:tcBorders>
            <w:vAlign w:val="center"/>
          </w:tcPr>
          <w:p w14:paraId="71DE5D10">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2</w:t>
            </w:r>
          </w:p>
        </w:tc>
      </w:tr>
      <w:tr w14:paraId="27CBB10F">
        <w:tblPrEx>
          <w:tblCellMar>
            <w:top w:w="15" w:type="dxa"/>
            <w:left w:w="15" w:type="dxa"/>
            <w:bottom w:w="15" w:type="dxa"/>
            <w:right w:w="15" w:type="dxa"/>
          </w:tblCellMar>
        </w:tblPrEx>
        <w:trPr>
          <w:trHeight w:val="533" w:hRule="atLeast"/>
          <w:tblCellSpacing w:w="15" w:type="dxa"/>
        </w:trPr>
        <w:tc>
          <w:tcPr>
            <w:tcW w:w="3004" w:type="dxa"/>
            <w:tcBorders>
              <w:top w:val="single" w:color="000000" w:sz="6" w:space="0"/>
              <w:left w:val="single" w:color="000000" w:sz="6" w:space="0"/>
              <w:bottom w:val="single" w:color="000000" w:sz="6" w:space="0"/>
              <w:right w:val="single" w:color="000000" w:sz="6" w:space="0"/>
            </w:tcBorders>
            <w:vAlign w:val="center"/>
          </w:tcPr>
          <w:p w14:paraId="5C388C8F">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eastAsia="zh-CN"/>
              </w:rPr>
              <w:t>重庆帧格文化传媒有限公司</w:t>
            </w:r>
          </w:p>
        </w:tc>
        <w:tc>
          <w:tcPr>
            <w:tcW w:w="1086" w:type="dxa"/>
            <w:tcBorders>
              <w:top w:val="single" w:color="000000" w:sz="6" w:space="0"/>
              <w:left w:val="single" w:color="000000" w:sz="6" w:space="0"/>
              <w:bottom w:val="single" w:color="000000" w:sz="6" w:space="0"/>
              <w:right w:val="single" w:color="000000" w:sz="6" w:space="0"/>
            </w:tcBorders>
            <w:vAlign w:val="center"/>
          </w:tcPr>
          <w:p w14:paraId="6DBEFC16">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29.62</w:t>
            </w:r>
          </w:p>
        </w:tc>
        <w:tc>
          <w:tcPr>
            <w:tcW w:w="1086" w:type="dxa"/>
            <w:tcBorders>
              <w:top w:val="single" w:color="000000" w:sz="6" w:space="0"/>
              <w:left w:val="single" w:color="000000" w:sz="6" w:space="0"/>
              <w:bottom w:val="single" w:color="000000" w:sz="6" w:space="0"/>
              <w:right w:val="single" w:color="000000" w:sz="6" w:space="0"/>
            </w:tcBorders>
            <w:vAlign w:val="center"/>
          </w:tcPr>
          <w:p w14:paraId="62A5559C">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28.33</w:t>
            </w:r>
          </w:p>
        </w:tc>
        <w:tc>
          <w:tcPr>
            <w:tcW w:w="1086" w:type="dxa"/>
            <w:tcBorders>
              <w:top w:val="single" w:color="000000" w:sz="6" w:space="0"/>
              <w:left w:val="single" w:color="000000" w:sz="6" w:space="0"/>
              <w:bottom w:val="single" w:color="000000" w:sz="6" w:space="0"/>
              <w:right w:val="single" w:color="000000" w:sz="6" w:space="0"/>
            </w:tcBorders>
            <w:vAlign w:val="center"/>
          </w:tcPr>
          <w:p w14:paraId="58E68DD9">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0</w:t>
            </w:r>
          </w:p>
        </w:tc>
        <w:tc>
          <w:tcPr>
            <w:tcW w:w="1086" w:type="dxa"/>
            <w:tcBorders>
              <w:top w:val="single" w:color="000000" w:sz="6" w:space="0"/>
              <w:left w:val="single" w:color="000000" w:sz="6" w:space="0"/>
              <w:bottom w:val="single" w:color="000000" w:sz="6" w:space="0"/>
              <w:right w:val="single" w:color="000000" w:sz="6" w:space="0"/>
            </w:tcBorders>
            <w:vAlign w:val="center"/>
          </w:tcPr>
          <w:p w14:paraId="4CC7118D">
            <w:pPr>
              <w:spacing w:line="240" w:lineRule="exact"/>
              <w:jc w:val="center"/>
              <w:rPr>
                <w:rFonts w:hint="eastAsia"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57.95</w:t>
            </w:r>
          </w:p>
        </w:tc>
        <w:tc>
          <w:tcPr>
            <w:tcW w:w="862" w:type="dxa"/>
            <w:tcBorders>
              <w:top w:val="single" w:color="000000" w:sz="6" w:space="0"/>
              <w:left w:val="single" w:color="000000" w:sz="6" w:space="0"/>
              <w:bottom w:val="single" w:color="000000" w:sz="6" w:space="0"/>
              <w:right w:val="single" w:color="000000" w:sz="6" w:space="0"/>
            </w:tcBorders>
            <w:vAlign w:val="center"/>
          </w:tcPr>
          <w:p w14:paraId="35542254">
            <w:pPr>
              <w:spacing w:line="240" w:lineRule="exact"/>
              <w:jc w:val="center"/>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lang w:val="en-US" w:eastAsia="zh-CN"/>
              </w:rPr>
              <w:t>3</w:t>
            </w:r>
          </w:p>
        </w:tc>
      </w:tr>
    </w:tbl>
    <w:p w14:paraId="4F619BA4">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lang w:val="en-US" w:eastAsia="zh-CN"/>
        </w:rPr>
        <w:t>八</w:t>
      </w:r>
      <w:r>
        <w:rPr>
          <w:rFonts w:hint="eastAsia" w:asciiTheme="majorEastAsia" w:hAnsiTheme="majorEastAsia" w:eastAsiaTheme="majorEastAsia"/>
          <w:b/>
          <w:color w:val="333333"/>
          <w:szCs w:val="21"/>
        </w:rPr>
        <w:t>、磋商小组成员名单</w:t>
      </w:r>
    </w:p>
    <w:p w14:paraId="47FD4ADE">
      <w:pPr>
        <w:snapToGrid w:val="0"/>
        <w:spacing w:line="360" w:lineRule="auto"/>
        <w:ind w:firstLine="420" w:firstLineChars="200"/>
        <w:rPr>
          <w:rFonts w:hint="default" w:asciiTheme="majorEastAsia" w:hAnsiTheme="majorEastAsia" w:eastAsiaTheme="majorEastAsia"/>
          <w:color w:val="333333"/>
          <w:szCs w:val="21"/>
          <w:lang w:val="en-US"/>
        </w:rPr>
      </w:pPr>
      <w:r>
        <w:rPr>
          <w:rFonts w:hint="eastAsia" w:asciiTheme="majorEastAsia" w:hAnsiTheme="majorEastAsia" w:eastAsiaTheme="majorEastAsia"/>
          <w:color w:val="333333"/>
          <w:szCs w:val="21"/>
          <w:lang w:val="en-US" w:eastAsia="zh-CN"/>
        </w:rPr>
        <w:t>卜浩哲、池福怡、郑智为</w:t>
      </w:r>
    </w:p>
    <w:p w14:paraId="62E335C4">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lang w:val="en-US" w:eastAsia="zh-CN"/>
        </w:rPr>
        <w:t>九</w:t>
      </w:r>
      <w:r>
        <w:rPr>
          <w:rFonts w:hint="eastAsia" w:asciiTheme="majorEastAsia" w:hAnsiTheme="majorEastAsia" w:eastAsiaTheme="majorEastAsia"/>
          <w:b/>
          <w:color w:val="333333"/>
          <w:szCs w:val="21"/>
        </w:rPr>
        <w:t>、公告期限</w:t>
      </w:r>
    </w:p>
    <w:p w14:paraId="77BD1659">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公告期限：1个工作日</w:t>
      </w:r>
    </w:p>
    <w:p w14:paraId="61532103">
      <w:pPr>
        <w:snapToGrid w:val="0"/>
        <w:spacing w:line="360" w:lineRule="auto"/>
        <w:ind w:firstLine="422" w:firstLineChars="200"/>
        <w:rPr>
          <w:rFonts w:asciiTheme="majorEastAsia" w:hAnsiTheme="majorEastAsia" w:eastAsiaTheme="majorEastAsia"/>
          <w:b/>
          <w:color w:val="333333"/>
          <w:szCs w:val="21"/>
        </w:rPr>
      </w:pPr>
      <w:r>
        <w:rPr>
          <w:rFonts w:hint="eastAsia" w:asciiTheme="majorEastAsia" w:hAnsiTheme="majorEastAsia" w:eastAsiaTheme="majorEastAsia"/>
          <w:b/>
          <w:color w:val="333333"/>
          <w:szCs w:val="21"/>
          <w:lang w:val="en-US" w:eastAsia="zh-CN"/>
        </w:rPr>
        <w:t>十</w:t>
      </w:r>
      <w:r>
        <w:rPr>
          <w:rFonts w:hint="eastAsia" w:asciiTheme="majorEastAsia" w:hAnsiTheme="majorEastAsia" w:eastAsiaTheme="majorEastAsia"/>
          <w:b/>
          <w:color w:val="333333"/>
          <w:szCs w:val="21"/>
        </w:rPr>
        <w:t>、联系人</w:t>
      </w:r>
    </w:p>
    <w:p w14:paraId="182049DC">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采购人：重庆市经济和信息化委员会</w:t>
      </w:r>
    </w:p>
    <w:p w14:paraId="55527761">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采购经办人：</w:t>
      </w:r>
      <w:r>
        <w:rPr>
          <w:rFonts w:hint="eastAsia" w:asciiTheme="majorEastAsia" w:hAnsiTheme="majorEastAsia" w:eastAsiaTheme="majorEastAsia"/>
          <w:color w:val="333333"/>
          <w:szCs w:val="21"/>
          <w:lang w:val="en-US" w:eastAsia="zh-CN"/>
        </w:rPr>
        <w:t>郑</w:t>
      </w:r>
      <w:r>
        <w:rPr>
          <w:rFonts w:hint="eastAsia" w:asciiTheme="majorEastAsia" w:hAnsiTheme="majorEastAsia" w:eastAsiaTheme="majorEastAsia"/>
          <w:color w:val="333333"/>
          <w:szCs w:val="21"/>
        </w:rPr>
        <w:t>老师</w:t>
      </w:r>
    </w:p>
    <w:p w14:paraId="0CF65293">
      <w:pPr>
        <w:snapToGrid w:val="0"/>
        <w:spacing w:line="360" w:lineRule="auto"/>
        <w:ind w:firstLine="420" w:firstLineChars="200"/>
        <w:rPr>
          <w:rFonts w:asciiTheme="majorEastAsia" w:hAnsiTheme="majorEastAsia" w:eastAsiaTheme="majorEastAsia"/>
          <w:color w:val="333333"/>
          <w:szCs w:val="21"/>
        </w:rPr>
      </w:pPr>
      <w:r>
        <w:rPr>
          <w:rFonts w:asciiTheme="majorEastAsia" w:hAnsiTheme="majorEastAsia" w:eastAsiaTheme="majorEastAsia"/>
          <w:color w:val="333333"/>
          <w:szCs w:val="21"/>
        </w:rPr>
        <w:t>电  话：</w:t>
      </w:r>
      <w:r>
        <w:rPr>
          <w:rFonts w:hint="eastAsia" w:asciiTheme="majorEastAsia" w:hAnsiTheme="majorEastAsia" w:eastAsiaTheme="majorEastAsia"/>
          <w:color w:val="333333"/>
          <w:szCs w:val="21"/>
          <w:lang w:eastAsia="zh-CN"/>
        </w:rPr>
        <w:t>（</w:t>
      </w:r>
      <w:r>
        <w:rPr>
          <w:rFonts w:hint="eastAsia" w:asciiTheme="majorEastAsia" w:hAnsiTheme="majorEastAsia" w:eastAsiaTheme="majorEastAsia"/>
          <w:color w:val="333333"/>
          <w:szCs w:val="21"/>
          <w:lang w:val="en-US" w:eastAsia="zh-CN"/>
        </w:rPr>
        <w:t>023</w:t>
      </w:r>
      <w:r>
        <w:rPr>
          <w:rFonts w:hint="eastAsia" w:asciiTheme="majorEastAsia" w:hAnsiTheme="majorEastAsia" w:eastAsiaTheme="majorEastAsia"/>
          <w:color w:val="333333"/>
          <w:szCs w:val="21"/>
          <w:lang w:eastAsia="zh-CN"/>
        </w:rPr>
        <w:t>）63895383</w:t>
      </w:r>
    </w:p>
    <w:p w14:paraId="1C308648">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采购人地址：重庆市渝北区云杉南路12号</w:t>
      </w:r>
    </w:p>
    <w:p w14:paraId="5627ED9C">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代理机构：重庆市中基致信招标代理有限公司</w:t>
      </w:r>
    </w:p>
    <w:p w14:paraId="53C83F53">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代理机构经办人：</w:t>
      </w:r>
      <w:r>
        <w:rPr>
          <w:rFonts w:hint="eastAsia" w:asciiTheme="majorEastAsia" w:hAnsiTheme="majorEastAsia" w:eastAsiaTheme="majorEastAsia"/>
          <w:color w:val="333333"/>
          <w:szCs w:val="21"/>
          <w:lang w:val="en-US" w:eastAsia="zh-CN"/>
        </w:rPr>
        <w:t>周</w:t>
      </w:r>
      <w:r>
        <w:rPr>
          <w:rFonts w:hint="eastAsia" w:asciiTheme="majorEastAsia" w:hAnsiTheme="majorEastAsia" w:eastAsiaTheme="majorEastAsia"/>
          <w:color w:val="333333"/>
          <w:szCs w:val="21"/>
        </w:rPr>
        <w:t>老师</w:t>
      </w:r>
    </w:p>
    <w:p w14:paraId="04B33417">
      <w:pPr>
        <w:snapToGrid w:val="0"/>
        <w:spacing w:line="360" w:lineRule="auto"/>
        <w:ind w:firstLine="420" w:firstLineChars="200"/>
        <w:rPr>
          <w:rFonts w:hint="default" w:asciiTheme="majorEastAsia" w:hAnsiTheme="majorEastAsia" w:eastAsiaTheme="majorEastAsia"/>
          <w:color w:val="333333"/>
          <w:szCs w:val="21"/>
          <w:lang w:val="en-US" w:eastAsia="zh-CN"/>
        </w:rPr>
      </w:pPr>
      <w:r>
        <w:rPr>
          <w:rFonts w:hint="eastAsia" w:asciiTheme="majorEastAsia" w:hAnsiTheme="majorEastAsia" w:eastAsiaTheme="majorEastAsia"/>
          <w:color w:val="333333"/>
          <w:szCs w:val="21"/>
        </w:rPr>
        <w:t>代理机构电话：（023）88</w:t>
      </w:r>
      <w:r>
        <w:rPr>
          <w:rFonts w:hint="eastAsia" w:asciiTheme="majorEastAsia" w:hAnsiTheme="majorEastAsia" w:eastAsiaTheme="majorEastAsia"/>
          <w:color w:val="333333"/>
          <w:szCs w:val="21"/>
          <w:lang w:val="en-US" w:eastAsia="zh-CN"/>
        </w:rPr>
        <w:t>505900</w:t>
      </w:r>
    </w:p>
    <w:p w14:paraId="5970F2FE">
      <w:pPr>
        <w:snapToGrid w:val="0"/>
        <w:spacing w:line="360" w:lineRule="auto"/>
        <w:ind w:firstLine="420" w:firstLineChars="200"/>
        <w:rPr>
          <w:rFonts w:asciiTheme="majorEastAsia" w:hAnsiTheme="majorEastAsia" w:eastAsiaTheme="majorEastAsia"/>
          <w:color w:val="333333"/>
          <w:szCs w:val="21"/>
        </w:rPr>
      </w:pPr>
      <w:r>
        <w:rPr>
          <w:rFonts w:hint="eastAsia" w:asciiTheme="majorEastAsia" w:hAnsiTheme="majorEastAsia" w:eastAsiaTheme="majorEastAsia"/>
          <w:color w:val="333333"/>
          <w:szCs w:val="21"/>
        </w:rPr>
        <w:t>代理机构地址：重庆市渝北区财富大道2号财富A座9楼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0YTgwN2QwNmU0MDI5MDg5NTZkN2MwMmU3MjJjNjAifQ=="/>
  </w:docVars>
  <w:rsids>
    <w:rsidRoot w:val="0074372C"/>
    <w:rsid w:val="00002A9C"/>
    <w:rsid w:val="00005A43"/>
    <w:rsid w:val="000119BC"/>
    <w:rsid w:val="00023089"/>
    <w:rsid w:val="000370B6"/>
    <w:rsid w:val="000551E5"/>
    <w:rsid w:val="00055EFD"/>
    <w:rsid w:val="00061AA6"/>
    <w:rsid w:val="0009216D"/>
    <w:rsid w:val="000E0F5D"/>
    <w:rsid w:val="000F532C"/>
    <w:rsid w:val="00106AE1"/>
    <w:rsid w:val="00141565"/>
    <w:rsid w:val="0014290D"/>
    <w:rsid w:val="001455CB"/>
    <w:rsid w:val="001523E9"/>
    <w:rsid w:val="00153732"/>
    <w:rsid w:val="00156097"/>
    <w:rsid w:val="00156AA3"/>
    <w:rsid w:val="001624AF"/>
    <w:rsid w:val="00166793"/>
    <w:rsid w:val="00185D29"/>
    <w:rsid w:val="001B1BFE"/>
    <w:rsid w:val="001B28E1"/>
    <w:rsid w:val="001C66FD"/>
    <w:rsid w:val="001D3D60"/>
    <w:rsid w:val="001D5937"/>
    <w:rsid w:val="001F21FA"/>
    <w:rsid w:val="002105E0"/>
    <w:rsid w:val="00223835"/>
    <w:rsid w:val="00226760"/>
    <w:rsid w:val="002305D6"/>
    <w:rsid w:val="00237B0E"/>
    <w:rsid w:val="002469CE"/>
    <w:rsid w:val="002514A0"/>
    <w:rsid w:val="0025451E"/>
    <w:rsid w:val="00254D38"/>
    <w:rsid w:val="00287671"/>
    <w:rsid w:val="002C25CC"/>
    <w:rsid w:val="002D4CB9"/>
    <w:rsid w:val="002F45CE"/>
    <w:rsid w:val="00305CAE"/>
    <w:rsid w:val="00317D0E"/>
    <w:rsid w:val="00322E1B"/>
    <w:rsid w:val="00362F6A"/>
    <w:rsid w:val="00371C15"/>
    <w:rsid w:val="003820E6"/>
    <w:rsid w:val="003958C6"/>
    <w:rsid w:val="003A1F4B"/>
    <w:rsid w:val="003D2B37"/>
    <w:rsid w:val="003E037A"/>
    <w:rsid w:val="0041419D"/>
    <w:rsid w:val="004157C9"/>
    <w:rsid w:val="00423EEA"/>
    <w:rsid w:val="00431107"/>
    <w:rsid w:val="00455E05"/>
    <w:rsid w:val="00471C80"/>
    <w:rsid w:val="0047506D"/>
    <w:rsid w:val="004A0E3D"/>
    <w:rsid w:val="004E7CF5"/>
    <w:rsid w:val="004F1B07"/>
    <w:rsid w:val="00511394"/>
    <w:rsid w:val="00544EE3"/>
    <w:rsid w:val="00560742"/>
    <w:rsid w:val="0058552F"/>
    <w:rsid w:val="005B27B3"/>
    <w:rsid w:val="005D0ABD"/>
    <w:rsid w:val="005D284C"/>
    <w:rsid w:val="0060152F"/>
    <w:rsid w:val="00603C76"/>
    <w:rsid w:val="00610BF2"/>
    <w:rsid w:val="00613F97"/>
    <w:rsid w:val="006206EA"/>
    <w:rsid w:val="006208DA"/>
    <w:rsid w:val="00622520"/>
    <w:rsid w:val="006B1C62"/>
    <w:rsid w:val="006B6DE1"/>
    <w:rsid w:val="006F26A0"/>
    <w:rsid w:val="00705C10"/>
    <w:rsid w:val="00737F3F"/>
    <w:rsid w:val="0074372C"/>
    <w:rsid w:val="00747633"/>
    <w:rsid w:val="007701C5"/>
    <w:rsid w:val="0078122E"/>
    <w:rsid w:val="00781F47"/>
    <w:rsid w:val="007A25EA"/>
    <w:rsid w:val="007A7BCF"/>
    <w:rsid w:val="007B141D"/>
    <w:rsid w:val="007B2799"/>
    <w:rsid w:val="007C1F0B"/>
    <w:rsid w:val="00806D44"/>
    <w:rsid w:val="00811BFC"/>
    <w:rsid w:val="00832AB4"/>
    <w:rsid w:val="0084120C"/>
    <w:rsid w:val="008474E6"/>
    <w:rsid w:val="008613A7"/>
    <w:rsid w:val="00867DA9"/>
    <w:rsid w:val="00887938"/>
    <w:rsid w:val="008A0D4F"/>
    <w:rsid w:val="008A6F10"/>
    <w:rsid w:val="008D23BB"/>
    <w:rsid w:val="009120BE"/>
    <w:rsid w:val="00943FAA"/>
    <w:rsid w:val="00954D2F"/>
    <w:rsid w:val="00987064"/>
    <w:rsid w:val="0098714B"/>
    <w:rsid w:val="009C55DF"/>
    <w:rsid w:val="009C6BF3"/>
    <w:rsid w:val="009E3367"/>
    <w:rsid w:val="00A01232"/>
    <w:rsid w:val="00A14C6D"/>
    <w:rsid w:val="00A2600E"/>
    <w:rsid w:val="00A51757"/>
    <w:rsid w:val="00A811A7"/>
    <w:rsid w:val="00AA02AA"/>
    <w:rsid w:val="00AA10B7"/>
    <w:rsid w:val="00AA2DF1"/>
    <w:rsid w:val="00AB426C"/>
    <w:rsid w:val="00AD6151"/>
    <w:rsid w:val="00AE38F1"/>
    <w:rsid w:val="00B05B48"/>
    <w:rsid w:val="00B17127"/>
    <w:rsid w:val="00B30234"/>
    <w:rsid w:val="00B3545B"/>
    <w:rsid w:val="00B47209"/>
    <w:rsid w:val="00B64AA9"/>
    <w:rsid w:val="00B666B0"/>
    <w:rsid w:val="00B724DE"/>
    <w:rsid w:val="00B93CAA"/>
    <w:rsid w:val="00B95CD0"/>
    <w:rsid w:val="00BA03C1"/>
    <w:rsid w:val="00BA3EB1"/>
    <w:rsid w:val="00BB748A"/>
    <w:rsid w:val="00BC4225"/>
    <w:rsid w:val="00C22F00"/>
    <w:rsid w:val="00C361A4"/>
    <w:rsid w:val="00CD6087"/>
    <w:rsid w:val="00CD78E6"/>
    <w:rsid w:val="00CE6C27"/>
    <w:rsid w:val="00CF5581"/>
    <w:rsid w:val="00D0693D"/>
    <w:rsid w:val="00D106B5"/>
    <w:rsid w:val="00D16FAC"/>
    <w:rsid w:val="00D20D01"/>
    <w:rsid w:val="00D232B7"/>
    <w:rsid w:val="00D32FF2"/>
    <w:rsid w:val="00D41A33"/>
    <w:rsid w:val="00D55A39"/>
    <w:rsid w:val="00D66B10"/>
    <w:rsid w:val="00D74111"/>
    <w:rsid w:val="00D90A0C"/>
    <w:rsid w:val="00D9122D"/>
    <w:rsid w:val="00DC0E98"/>
    <w:rsid w:val="00DC387C"/>
    <w:rsid w:val="00E013F7"/>
    <w:rsid w:val="00E06779"/>
    <w:rsid w:val="00E31208"/>
    <w:rsid w:val="00E62D29"/>
    <w:rsid w:val="00EA4DDB"/>
    <w:rsid w:val="00EC3FF9"/>
    <w:rsid w:val="00ED0DA2"/>
    <w:rsid w:val="00EE4183"/>
    <w:rsid w:val="00EE570A"/>
    <w:rsid w:val="00F0123D"/>
    <w:rsid w:val="00F267B5"/>
    <w:rsid w:val="00F6068E"/>
    <w:rsid w:val="00F658C0"/>
    <w:rsid w:val="00F75558"/>
    <w:rsid w:val="00F843F7"/>
    <w:rsid w:val="00F92320"/>
    <w:rsid w:val="00FB2EDE"/>
    <w:rsid w:val="00FC1C25"/>
    <w:rsid w:val="00FD26EB"/>
    <w:rsid w:val="00FE0C5A"/>
    <w:rsid w:val="00FE7148"/>
    <w:rsid w:val="00FF27F8"/>
    <w:rsid w:val="05C92FA2"/>
    <w:rsid w:val="06056493"/>
    <w:rsid w:val="06D32B82"/>
    <w:rsid w:val="08C11363"/>
    <w:rsid w:val="08DA7C1F"/>
    <w:rsid w:val="08EF5C6F"/>
    <w:rsid w:val="0A9F5692"/>
    <w:rsid w:val="0C2E7D0F"/>
    <w:rsid w:val="0F52189B"/>
    <w:rsid w:val="10FD1ACA"/>
    <w:rsid w:val="12DB4E21"/>
    <w:rsid w:val="141D45F8"/>
    <w:rsid w:val="14CC3A06"/>
    <w:rsid w:val="159B31E4"/>
    <w:rsid w:val="1DE8432D"/>
    <w:rsid w:val="1F040613"/>
    <w:rsid w:val="21977012"/>
    <w:rsid w:val="23EC5627"/>
    <w:rsid w:val="252437BD"/>
    <w:rsid w:val="28564D75"/>
    <w:rsid w:val="292B6A3A"/>
    <w:rsid w:val="2B7A3236"/>
    <w:rsid w:val="2C0758FA"/>
    <w:rsid w:val="2D9E19EB"/>
    <w:rsid w:val="30A47041"/>
    <w:rsid w:val="310E6497"/>
    <w:rsid w:val="31906646"/>
    <w:rsid w:val="33E24057"/>
    <w:rsid w:val="33F77F81"/>
    <w:rsid w:val="34E64AA7"/>
    <w:rsid w:val="34E6641C"/>
    <w:rsid w:val="37706F63"/>
    <w:rsid w:val="385A15C8"/>
    <w:rsid w:val="388001CF"/>
    <w:rsid w:val="39AE6463"/>
    <w:rsid w:val="3A6F6E31"/>
    <w:rsid w:val="3AC704CF"/>
    <w:rsid w:val="3DAF3171"/>
    <w:rsid w:val="40847D9B"/>
    <w:rsid w:val="40B80AD9"/>
    <w:rsid w:val="423E352B"/>
    <w:rsid w:val="43BC74DC"/>
    <w:rsid w:val="443D73A8"/>
    <w:rsid w:val="44ED5E27"/>
    <w:rsid w:val="46FC37FA"/>
    <w:rsid w:val="48021991"/>
    <w:rsid w:val="4A11787B"/>
    <w:rsid w:val="4A376F74"/>
    <w:rsid w:val="4DEB661F"/>
    <w:rsid w:val="512E2831"/>
    <w:rsid w:val="517E4CA9"/>
    <w:rsid w:val="51B55C43"/>
    <w:rsid w:val="51F95D67"/>
    <w:rsid w:val="52C77543"/>
    <w:rsid w:val="53651A4F"/>
    <w:rsid w:val="53934AFB"/>
    <w:rsid w:val="53BE79AD"/>
    <w:rsid w:val="540F193D"/>
    <w:rsid w:val="58BB7DD2"/>
    <w:rsid w:val="5B0171D9"/>
    <w:rsid w:val="5B2A2366"/>
    <w:rsid w:val="5C214177"/>
    <w:rsid w:val="5CE95C8B"/>
    <w:rsid w:val="5D136205"/>
    <w:rsid w:val="5E6906F4"/>
    <w:rsid w:val="612A4577"/>
    <w:rsid w:val="63614E7E"/>
    <w:rsid w:val="63D802FB"/>
    <w:rsid w:val="65843634"/>
    <w:rsid w:val="68C55A0F"/>
    <w:rsid w:val="69455521"/>
    <w:rsid w:val="6A152870"/>
    <w:rsid w:val="6A9E6CBE"/>
    <w:rsid w:val="6BFD1C3F"/>
    <w:rsid w:val="6C5504EE"/>
    <w:rsid w:val="6E006136"/>
    <w:rsid w:val="6E8C4A5E"/>
    <w:rsid w:val="709A72B2"/>
    <w:rsid w:val="70D00971"/>
    <w:rsid w:val="73D2382E"/>
    <w:rsid w:val="751E3A9D"/>
    <w:rsid w:val="769A411C"/>
    <w:rsid w:val="7A2F5A49"/>
    <w:rsid w:val="7B4E7EFF"/>
    <w:rsid w:val="7C4C309C"/>
    <w:rsid w:val="7C4F72D9"/>
    <w:rsid w:val="7F6F6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Body Text"/>
    <w:basedOn w:val="1"/>
    <w:next w:val="8"/>
    <w:autoRedefine/>
    <w:qFormat/>
    <w:uiPriority w:val="0"/>
    <w:pPr>
      <w:spacing w:after="120"/>
    </w:pPr>
  </w:style>
  <w:style w:type="paragraph" w:styleId="8">
    <w:name w:val="Quote"/>
    <w:basedOn w:val="1"/>
    <w:next w:val="1"/>
    <w:autoRedefine/>
    <w:qFormat/>
    <w:uiPriority w:val="0"/>
    <w:pPr>
      <w:wordWrap w:val="0"/>
      <w:spacing w:before="200" w:after="160"/>
      <w:ind w:left="864" w:right="864"/>
      <w:jc w:val="center"/>
    </w:pPr>
    <w:rPr>
      <w:i/>
      <w:sz w:val="21"/>
      <w:lang w:val="en-US" w:eastAsia="zh-CN" w:bidi="ar-SA"/>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7"/>
    <w:next w:val="1"/>
    <w:autoRedefine/>
    <w:qFormat/>
    <w:uiPriority w:val="0"/>
    <w:pPr>
      <w:ind w:firstLine="420" w:firstLineChars="100"/>
    </w:p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character" w:customStyle="1" w:styleId="17">
    <w:name w:val="标题 2 Char"/>
    <w:basedOn w:val="14"/>
    <w:link w:val="3"/>
    <w:autoRedefine/>
    <w:qFormat/>
    <w:uiPriority w:val="9"/>
    <w:rPr>
      <w:rFonts w:ascii="宋体" w:hAnsi="宋体" w:eastAsia="宋体" w:cs="宋体"/>
      <w:b/>
      <w:bCs/>
      <w:kern w:val="0"/>
      <w:sz w:val="36"/>
      <w:szCs w:val="36"/>
    </w:rPr>
  </w:style>
  <w:style w:type="paragraph" w:customStyle="1" w:styleId="18">
    <w:name w:val="style2"/>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apple-converted-space"/>
    <w:basedOn w:val="14"/>
    <w:autoRedefine/>
    <w:qFormat/>
    <w:uiPriority w:val="0"/>
  </w:style>
  <w:style w:type="paragraph" w:customStyle="1" w:styleId="20">
    <w:name w:val="style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标题 4 Char"/>
    <w:basedOn w:val="14"/>
    <w:link w:val="5"/>
    <w:autoRedefine/>
    <w:qFormat/>
    <w:uiPriority w:val="9"/>
    <w:rPr>
      <w:rFonts w:asciiTheme="majorHAnsi" w:hAnsiTheme="majorHAnsi" w:eastAsiaTheme="majorEastAsia" w:cstheme="majorBidi"/>
      <w:b/>
      <w:bCs/>
      <w:sz w:val="28"/>
      <w:szCs w:val="28"/>
    </w:rPr>
  </w:style>
  <w:style w:type="character" w:customStyle="1" w:styleId="22">
    <w:name w:val="标题 3 Char"/>
    <w:basedOn w:val="14"/>
    <w:link w:val="4"/>
    <w:autoRedefine/>
    <w:qFormat/>
    <w:uiPriority w:val="9"/>
    <w:rPr>
      <w:b/>
      <w:bCs/>
      <w:sz w:val="32"/>
      <w:szCs w:val="32"/>
    </w:rPr>
  </w:style>
  <w:style w:type="character" w:customStyle="1" w:styleId="23">
    <w:name w:val="title_emph1"/>
    <w:autoRedefine/>
    <w:qFormat/>
    <w:uiPriority w:val="0"/>
    <w:rPr>
      <w:rFonts w:hint="default" w:ascii="Arial" w:hAnsi="Arial"/>
      <w:b/>
      <w:sz w:val="20"/>
    </w:rPr>
  </w:style>
  <w:style w:type="character" w:customStyle="1" w:styleId="24">
    <w:name w:val="Table Text Char"/>
    <w:link w:val="25"/>
    <w:autoRedefine/>
    <w:qFormat/>
    <w:uiPriority w:val="0"/>
    <w:rPr>
      <w:rFonts w:ascii="Arial" w:hAnsi="Arial"/>
      <w:sz w:val="18"/>
    </w:rPr>
  </w:style>
  <w:style w:type="paragraph" w:customStyle="1" w:styleId="25">
    <w:name w:val="Table Text"/>
    <w:link w:val="24"/>
    <w:autoRedefine/>
    <w:qFormat/>
    <w:uiPriority w:val="0"/>
    <w:pPr>
      <w:snapToGrid w:val="0"/>
      <w:spacing w:before="80" w:after="80"/>
    </w:pPr>
    <w:rPr>
      <w:rFonts w:ascii="Arial" w:hAnsi="Arial" w:eastAsiaTheme="minorEastAsia" w:cstheme="minorBidi"/>
      <w:kern w:val="2"/>
      <w:sz w:val="1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363</Words>
  <Characters>403</Characters>
  <Lines>2</Lines>
  <Paragraphs>1</Paragraphs>
  <TotalTime>0</TotalTime>
  <ScaleCrop>false</ScaleCrop>
  <LinksUpToDate>false</LinksUpToDate>
  <CharactersWithSpaces>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2017-03-14T01:58:00Z</dcterms:created>
  <dc:creator>Administrator</dc:creator>
  <cp:lastModifiedBy>周菲童</cp:lastModifiedBy>
  <dcterms:modified xsi:type="dcterms:W3CDTF">2025-12-22T03:02:32Z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17EB3221F8D2402AA776E8CD26735351_12</vt:lpwstr>
  </property>
  <property fmtid="{D5CDD505-2E9C-101B-9397-08002B2CF9AE}" pid="4" name="KSOTemplateDocerSaveRecord">
    <vt:lpwstr>eyJoZGlkIjoiMjk0YTgwN2QwNmU0MDI5MDg5NTZkN2MwMmU3MjJjNjAiLCJ1c2VySWQiOiI0MDcxOTkyMjQifQ==</vt:lpwstr>
  </property>
</Properties>
</file>