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520" w:lineRule="exact"/>
        <w:jc w:val="center"/>
        <w:rPr>
          <w:rFonts w:ascii="方正小标宋_GBK" w:eastAsia="方正小标宋_GBK"/>
          <w:color w:val="000000"/>
          <w:kern w:val="0"/>
          <w:sz w:val="44"/>
          <w:szCs w:val="44"/>
          <w:shd w:val="clear" w:color="auto" w:fill="FFFFFF"/>
        </w:rPr>
      </w:pPr>
      <w:r>
        <w:rPr>
          <w:rFonts w:hint="eastAsia" w:ascii="方正小标宋_GBK" w:eastAsia="方正小标宋_GBK"/>
          <w:color w:val="000000"/>
          <w:kern w:val="0"/>
          <w:sz w:val="44"/>
          <w:szCs w:val="44"/>
          <w:shd w:val="clear" w:color="auto" w:fill="FFFFFF"/>
        </w:rPr>
        <w:t>履约结果公告（模板）</w:t>
      </w:r>
    </w:p>
    <w:p>
      <w:pPr>
        <w:overflowPunct w:val="0"/>
        <w:spacing w:line="520" w:lineRule="exact"/>
        <w:rPr>
          <w:rFonts w:hint="eastAsia" w:ascii="方正黑体_GBK" w:hAnsi="黑体" w:eastAsia="方正黑体_GBK"/>
          <w:sz w:val="21"/>
          <w:szCs w:val="21"/>
        </w:rPr>
      </w:pPr>
      <w:r>
        <w:rPr>
          <w:rFonts w:hint="eastAsia" w:ascii="方正黑体_GBK" w:hAnsi="黑体" w:eastAsia="方正黑体_GBK"/>
          <w:sz w:val="21"/>
          <w:szCs w:val="21"/>
        </w:rPr>
        <w:t>一、合同编号：</w:t>
      </w:r>
      <w:r>
        <w:rPr>
          <w:rFonts w:hint="eastAsia" w:ascii="宋体" w:hAnsi="宋体"/>
          <w:sz w:val="21"/>
          <w:szCs w:val="21"/>
          <w:u w:val="single"/>
        </w:rPr>
        <w:t>CQCBJQ2502-065</w:t>
      </w:r>
      <w:r>
        <w:rPr>
          <w:rFonts w:hint="eastAsia" w:ascii="方正黑体_GBK" w:hAnsi="黑体" w:eastAsia="方正黑体_GBK"/>
          <w:sz w:val="21"/>
          <w:szCs w:val="21"/>
          <w:u w:val="single"/>
        </w:rPr>
        <w:t>　</w:t>
      </w:r>
    </w:p>
    <w:p>
      <w:pPr>
        <w:overflowPunct w:val="0"/>
        <w:spacing w:line="520" w:lineRule="exact"/>
        <w:rPr>
          <w:rFonts w:ascii="黑体" w:hAnsi="黑体" w:eastAsia="黑体"/>
          <w:sz w:val="21"/>
          <w:szCs w:val="21"/>
          <w:u w:val="single"/>
        </w:rPr>
      </w:pPr>
      <w:r>
        <w:rPr>
          <w:rFonts w:hint="eastAsia" w:ascii="方正黑体_GBK" w:hAnsi="黑体" w:eastAsia="方正黑体_GBK"/>
          <w:sz w:val="21"/>
          <w:szCs w:val="21"/>
        </w:rPr>
        <w:t>二、合同名称：</w:t>
      </w:r>
      <w:r>
        <w:rPr>
          <w:rFonts w:hint="eastAsia" w:ascii="仿宋" w:hAnsi="仿宋" w:eastAsia="仿宋"/>
          <w:sz w:val="21"/>
          <w:szCs w:val="21"/>
          <w:u w:val="single"/>
        </w:rPr>
        <w:t>　</w:t>
      </w:r>
      <w:r>
        <w:rPr>
          <w:rFonts w:hint="eastAsia" w:eastAsia="仿宋"/>
          <w:kern w:val="0"/>
          <w:sz w:val="21"/>
          <w:szCs w:val="21"/>
          <w:u w:val="single"/>
          <w:lang w:eastAsia="zh-CN"/>
        </w:rPr>
        <w:t>重庆市“招商工具包”编制项目</w:t>
      </w:r>
      <w:r>
        <w:rPr>
          <w:rFonts w:hint="eastAsia"/>
          <w:kern w:val="0"/>
          <w:sz w:val="21"/>
          <w:szCs w:val="21"/>
          <w:u w:val="single"/>
          <w:lang w:eastAsia="zh-CN"/>
        </w:rPr>
        <w:t>政府采购合同</w:t>
      </w:r>
      <w:r>
        <w:rPr>
          <w:rFonts w:hint="eastAsia" w:ascii="仿宋" w:hAnsi="仿宋" w:eastAsia="仿宋"/>
          <w:sz w:val="21"/>
          <w:szCs w:val="21"/>
          <w:u w:val="single"/>
        </w:rPr>
        <w:t>　</w:t>
      </w:r>
    </w:p>
    <w:p>
      <w:pPr>
        <w:overflowPunct w:val="0"/>
        <w:spacing w:line="520" w:lineRule="exact"/>
        <w:rPr>
          <w:rFonts w:hint="eastAsia" w:ascii="方正黑体_GBK" w:hAnsi="黑体" w:eastAsia="方正黑体_GBK"/>
          <w:sz w:val="21"/>
          <w:szCs w:val="21"/>
        </w:rPr>
      </w:pPr>
      <w:r>
        <w:rPr>
          <w:rFonts w:hint="eastAsia" w:ascii="方正黑体_GBK" w:hAnsi="黑体" w:eastAsia="方正黑体_GBK"/>
          <w:sz w:val="21"/>
          <w:szCs w:val="21"/>
        </w:rPr>
        <w:t>三、项目编号：</w:t>
      </w:r>
      <w:r>
        <w:rPr>
          <w:rFonts w:hint="eastAsia" w:ascii="宋体" w:hAnsi="宋体"/>
          <w:sz w:val="21"/>
          <w:szCs w:val="21"/>
          <w:u w:val="single"/>
        </w:rPr>
        <w:t>CQCBJQ2502-065</w:t>
      </w:r>
      <w:r>
        <w:rPr>
          <w:rFonts w:hint="eastAsia" w:ascii="方正黑体_GBK" w:hAnsi="黑体" w:eastAsia="方正黑体_GBK"/>
          <w:sz w:val="21"/>
          <w:szCs w:val="21"/>
          <w:u w:val="single"/>
        </w:rPr>
        <w:t>　</w:t>
      </w:r>
    </w:p>
    <w:p>
      <w:pPr>
        <w:spacing w:line="240" w:lineRule="atLeast"/>
        <w:jc w:val="both"/>
        <w:rPr>
          <w:rFonts w:hint="eastAsia" w:ascii="黑体" w:hAnsi="黑体" w:eastAsiaTheme="minorEastAsia"/>
          <w:sz w:val="21"/>
          <w:szCs w:val="21"/>
          <w:lang w:val="en-US" w:eastAsia="zh-CN"/>
        </w:rPr>
      </w:pPr>
      <w:r>
        <w:rPr>
          <w:rFonts w:hint="eastAsia" w:ascii="方正黑体_GBK" w:hAnsi="黑体" w:eastAsia="方正黑体_GBK"/>
          <w:sz w:val="21"/>
          <w:szCs w:val="21"/>
        </w:rPr>
        <w:t>四、项目名称：</w:t>
      </w:r>
      <w:r>
        <w:rPr>
          <w:rFonts w:hint="eastAsia" w:ascii="仿宋" w:hAnsi="仿宋" w:eastAsia="仿宋"/>
          <w:sz w:val="21"/>
          <w:szCs w:val="21"/>
          <w:u w:val="single"/>
        </w:rPr>
        <w:t>　</w:t>
      </w:r>
      <w:r>
        <w:rPr>
          <w:rFonts w:hint="eastAsia" w:ascii="宋体" w:hAnsi="宋体"/>
          <w:sz w:val="21"/>
          <w:szCs w:val="21"/>
          <w:u w:val="single"/>
        </w:rPr>
        <w:t>重庆市“招商工具包”编制项目</w:t>
      </w:r>
    </w:p>
    <w:p>
      <w:pPr>
        <w:overflowPunct w:val="0"/>
        <w:spacing w:line="520" w:lineRule="exact"/>
        <w:rPr>
          <w:rFonts w:ascii="方正黑体_GBK" w:hAnsi="黑体" w:eastAsia="方正黑体_GBK"/>
          <w:sz w:val="21"/>
          <w:szCs w:val="21"/>
        </w:rPr>
      </w:pPr>
      <w:r>
        <w:rPr>
          <w:rFonts w:hint="eastAsia" w:ascii="方正黑体_GBK" w:hAnsi="黑体" w:eastAsia="方正黑体_GBK"/>
          <w:sz w:val="21"/>
          <w:szCs w:val="21"/>
        </w:rPr>
        <w:t>五、合同主体</w:t>
      </w:r>
    </w:p>
    <w:p>
      <w:pPr>
        <w:overflowPunct w:val="0"/>
        <w:spacing w:line="520" w:lineRule="exact"/>
        <w:ind w:firstLine="420" w:firstLineChars="200"/>
        <w:rPr>
          <w:rFonts w:ascii="方正仿宋_GBK" w:hAnsi="方正仿宋_GBK" w:cs="方正仿宋_GBK"/>
          <w:sz w:val="21"/>
          <w:szCs w:val="21"/>
          <w:u w:val="single"/>
        </w:rPr>
      </w:pPr>
      <w:r>
        <w:rPr>
          <w:rFonts w:hint="eastAsia" w:ascii="方正仿宋_GBK" w:hAnsi="方正仿宋_GBK" w:cs="方正仿宋_GBK"/>
          <w:sz w:val="21"/>
          <w:szCs w:val="21"/>
        </w:rPr>
        <w:t>采购人（甲方）：</w:t>
      </w:r>
      <w:r>
        <w:rPr>
          <w:rFonts w:hint="eastAsia" w:ascii="方正仿宋_GBK" w:hAnsi="方正仿宋_GBK" w:cs="方正仿宋_GBK"/>
          <w:sz w:val="21"/>
          <w:szCs w:val="21"/>
          <w:u w:val="single"/>
        </w:rPr>
        <w:t>重庆市经济和信息化委员会</w:t>
      </w:r>
    </w:p>
    <w:p>
      <w:pPr>
        <w:overflowPunct w:val="0"/>
        <w:spacing w:line="520" w:lineRule="exact"/>
        <w:ind w:firstLine="420" w:firstLineChars="200"/>
        <w:rPr>
          <w:rFonts w:ascii="方正仿宋_GBK" w:hAnsi="方正仿宋_GBK" w:cs="方正仿宋_GBK"/>
          <w:sz w:val="21"/>
          <w:szCs w:val="21"/>
          <w:u w:val="single"/>
        </w:rPr>
      </w:pPr>
      <w:r>
        <w:rPr>
          <w:rFonts w:hint="eastAsia" w:ascii="方正仿宋_GBK" w:hAnsi="方正仿宋_GBK" w:cs="方正仿宋_GBK"/>
          <w:sz w:val="21"/>
          <w:szCs w:val="21"/>
        </w:rPr>
        <w:t>地址：</w:t>
      </w:r>
      <w:r>
        <w:rPr>
          <w:rFonts w:hint="eastAsia" w:ascii="方正仿宋_GBK" w:hAnsi="方正仿宋_GBK" w:cs="方正仿宋_GBK"/>
          <w:sz w:val="21"/>
          <w:szCs w:val="21"/>
          <w:u w:val="single"/>
        </w:rPr>
        <w:t>重庆市两江新区云杉南路12号</w:t>
      </w:r>
    </w:p>
    <w:p>
      <w:pPr>
        <w:overflowPunct w:val="0"/>
        <w:spacing w:line="520" w:lineRule="exact"/>
        <w:ind w:firstLine="420" w:firstLineChars="200"/>
        <w:rPr>
          <w:rFonts w:hint="default" w:ascii="方正仿宋_GBK" w:hAnsi="方正仿宋_GBK" w:cs="方正仿宋_GBK" w:eastAsiaTheme="minorEastAsia"/>
          <w:sz w:val="21"/>
          <w:szCs w:val="21"/>
          <w:u w:val="single"/>
          <w:lang w:val="en-US" w:eastAsia="zh-CN"/>
        </w:rPr>
      </w:pPr>
      <w:r>
        <w:rPr>
          <w:rFonts w:hint="eastAsia" w:ascii="方正仿宋_GBK" w:hAnsi="方正仿宋_GBK" w:cs="方正仿宋_GBK"/>
          <w:sz w:val="21"/>
          <w:szCs w:val="21"/>
        </w:rPr>
        <w:t>联系方式：</w:t>
      </w:r>
      <w:r>
        <w:rPr>
          <w:rFonts w:hint="eastAsia" w:ascii="方正仿宋_GBK" w:hAnsi="方正仿宋_GBK" w:cs="方正仿宋_GBK"/>
          <w:sz w:val="21"/>
          <w:szCs w:val="21"/>
          <w:u w:val="single"/>
        </w:rPr>
        <w:t>（023）6389</w:t>
      </w:r>
      <w:r>
        <w:rPr>
          <w:rFonts w:hint="eastAsia" w:ascii="方正仿宋_GBK" w:hAnsi="方正仿宋_GBK" w:cs="方正仿宋_GBK"/>
          <w:sz w:val="21"/>
          <w:szCs w:val="21"/>
          <w:u w:val="single"/>
          <w:lang w:val="en-US" w:eastAsia="zh-CN"/>
        </w:rPr>
        <w:t>6619</w:t>
      </w:r>
    </w:p>
    <w:p>
      <w:pPr>
        <w:overflowPunct w:val="0"/>
        <w:spacing w:line="520" w:lineRule="exact"/>
        <w:ind w:firstLine="420" w:firstLineChars="200"/>
        <w:rPr>
          <w:rFonts w:ascii="方正仿宋_GBK" w:hAnsi="方正仿宋_GBK" w:cs="方正仿宋_GBK"/>
          <w:sz w:val="21"/>
          <w:szCs w:val="21"/>
          <w:u w:val="single"/>
        </w:rPr>
      </w:pPr>
      <w:r>
        <w:rPr>
          <w:rFonts w:hint="eastAsia" w:ascii="方正仿宋_GBK" w:hAnsi="方正仿宋_GBK" w:cs="方正仿宋_GBK"/>
          <w:sz w:val="21"/>
          <w:szCs w:val="21"/>
        </w:rPr>
        <w:t>供应商（乙方）：</w:t>
      </w:r>
      <w:r>
        <w:rPr>
          <w:rFonts w:hint="eastAsia" w:ascii="宋体" w:hAnsi="宋体"/>
          <w:sz w:val="21"/>
          <w:szCs w:val="21"/>
          <w:u w:val="single"/>
        </w:rPr>
        <w:t>重庆市工业和信息化发展中心</w:t>
      </w:r>
      <w:r>
        <w:rPr>
          <w:rFonts w:hint="eastAsia" w:ascii="宋体" w:hAnsi="宋体"/>
          <w:sz w:val="21"/>
          <w:szCs w:val="21"/>
        </w:rPr>
        <w:t xml:space="preserve">  </w:t>
      </w:r>
    </w:p>
    <w:p>
      <w:pPr>
        <w:spacing w:line="240" w:lineRule="atLeast"/>
        <w:ind w:firstLine="420" w:firstLineChars="200"/>
        <w:rPr>
          <w:sz w:val="21"/>
          <w:szCs w:val="21"/>
          <w:u w:val="single"/>
        </w:rPr>
      </w:pPr>
      <w:r>
        <w:rPr>
          <w:sz w:val="21"/>
          <w:szCs w:val="21"/>
        </w:rPr>
        <w:t>地址：</w:t>
      </w:r>
      <w:r>
        <w:rPr>
          <w:rFonts w:hint="eastAsia" w:ascii="宋体" w:hAnsi="宋体"/>
          <w:sz w:val="21"/>
          <w:szCs w:val="21"/>
          <w:u w:val="single"/>
        </w:rPr>
        <w:t>重庆市两江新区云杉南路6号3幢涉外商务区二期B3栋5-6层</w:t>
      </w:r>
    </w:p>
    <w:p>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sz w:val="21"/>
          <w:szCs w:val="21"/>
        </w:rPr>
      </w:pPr>
      <w:r>
        <w:rPr>
          <w:rFonts w:hint="eastAsia"/>
          <w:sz w:val="21"/>
          <w:szCs w:val="21"/>
          <w:lang w:eastAsia="zh-CN"/>
        </w:rPr>
        <w:t>联系方式</w:t>
      </w:r>
      <w:r>
        <w:rPr>
          <w:sz w:val="21"/>
          <w:szCs w:val="21"/>
          <w:u w:val="single"/>
        </w:rPr>
        <w:t>：</w:t>
      </w:r>
      <w:r>
        <w:rPr>
          <w:rFonts w:hint="eastAsia" w:ascii="宋体" w:hAnsi="宋体"/>
          <w:sz w:val="21"/>
          <w:szCs w:val="21"/>
          <w:u w:val="single"/>
        </w:rPr>
        <w:t>023-88316900</w:t>
      </w:r>
    </w:p>
    <w:p>
      <w:pPr>
        <w:overflowPunct w:val="0"/>
        <w:spacing w:line="520" w:lineRule="exact"/>
        <w:rPr>
          <w:rFonts w:ascii="方正黑体_GBK" w:hAnsi="黑体" w:eastAsia="方正黑体_GBK"/>
          <w:szCs w:val="32"/>
        </w:rPr>
      </w:pPr>
      <w:r>
        <w:rPr>
          <w:rFonts w:hint="eastAsia" w:ascii="方正黑体_GBK" w:hAnsi="黑体" w:eastAsia="方正黑体_GBK"/>
          <w:szCs w:val="32"/>
        </w:rPr>
        <w:t>六、合同主要信息</w:t>
      </w:r>
    </w:p>
    <w:p>
      <w:pPr>
        <w:ind w:firstLine="420" w:firstLineChars="200"/>
        <w:rPr>
          <w:rFonts w:hint="eastAsia" w:ascii="方正仿宋_GBK" w:hAnsi="方正仿宋_GBK" w:cs="方正仿宋_GBK"/>
          <w:szCs w:val="32"/>
        </w:rPr>
      </w:pPr>
      <w:r>
        <w:rPr>
          <w:rFonts w:hint="eastAsia" w:ascii="方正仿宋_GBK" w:hAnsi="方正仿宋_GBK" w:cs="方正仿宋_GBK"/>
          <w:szCs w:val="32"/>
        </w:rPr>
        <w:t>服务内容：</w:t>
      </w:r>
    </w:p>
    <w:p>
      <w:pPr>
        <w:ind w:firstLine="420" w:firstLineChars="200"/>
        <w:rPr>
          <w:rFonts w:hint="eastAsia" w:ascii="宋体" w:hAnsi="宋体" w:cs="宋体"/>
          <w:sz w:val="21"/>
          <w:szCs w:val="21"/>
        </w:rPr>
      </w:pPr>
      <w:r>
        <w:rPr>
          <w:rFonts w:hint="eastAsia" w:ascii="宋体" w:hAnsi="宋体" w:cs="宋体"/>
          <w:sz w:val="21"/>
          <w:szCs w:val="21"/>
        </w:rPr>
        <w:t>（一）建立“七库”</w:t>
      </w:r>
    </w:p>
    <w:p>
      <w:pPr>
        <w:ind w:firstLine="420" w:firstLineChars="200"/>
        <w:rPr>
          <w:rFonts w:hint="eastAsia" w:ascii="宋体" w:hAnsi="宋体" w:cs="宋体"/>
          <w:sz w:val="21"/>
          <w:szCs w:val="21"/>
        </w:rPr>
      </w:pPr>
      <w:r>
        <w:rPr>
          <w:rFonts w:hint="eastAsia" w:ascii="宋体" w:hAnsi="宋体" w:cs="宋体"/>
          <w:sz w:val="21"/>
          <w:szCs w:val="21"/>
        </w:rPr>
        <w:t>1.乙方建立企业家资源库，收集并整理国内外各行业领域内的优秀企业家信息，包括但不限于企业基本信息、主营业务、发展历程、投资意向等。资源库需要定期更新，确保信息的时效性和准确性。</w:t>
      </w:r>
    </w:p>
    <w:p>
      <w:pPr>
        <w:ind w:firstLine="420" w:firstLineChars="200"/>
        <w:rPr>
          <w:rFonts w:hint="eastAsia" w:ascii="宋体" w:hAnsi="宋体" w:cs="宋体"/>
          <w:sz w:val="21"/>
          <w:szCs w:val="21"/>
        </w:rPr>
      </w:pPr>
      <w:r>
        <w:rPr>
          <w:rFonts w:hint="eastAsia" w:ascii="宋体" w:hAnsi="宋体" w:cs="宋体"/>
          <w:sz w:val="21"/>
          <w:szCs w:val="21"/>
        </w:rPr>
        <w:t>2.乙方建立高校校友资源库，建立与重庆市各高校及国内外知名高校的校友联系，收集校友的基本信息、职业背景、投资能力和意向等，协助甲方举办校友交流活动，挖掘潜在的投资机会。严格遵守信息保密原则，保护校友的隐私。</w:t>
      </w:r>
    </w:p>
    <w:p>
      <w:pPr>
        <w:ind w:firstLine="420" w:firstLineChars="200"/>
        <w:rPr>
          <w:rFonts w:hint="eastAsia" w:ascii="宋体" w:hAnsi="宋体" w:cs="宋体"/>
          <w:sz w:val="21"/>
          <w:szCs w:val="21"/>
        </w:rPr>
      </w:pPr>
      <w:r>
        <w:rPr>
          <w:rFonts w:hint="eastAsia" w:ascii="宋体" w:hAnsi="宋体" w:cs="宋体"/>
          <w:sz w:val="21"/>
          <w:szCs w:val="21"/>
        </w:rPr>
        <w:t>3.乙方建立驻外招商资源库，建立驻外招商机构、代表处及招商人员的信息库，包括联系方式、招商经验、成功案例等。协助甲方加强驻外招商机构与市内相关部门的沟通与协作，形成合力。协助甲方组织招商人员的培训和学习，提升招商能力和水平。</w:t>
      </w:r>
    </w:p>
    <w:p>
      <w:pPr>
        <w:ind w:firstLine="420" w:firstLineChars="200"/>
        <w:rPr>
          <w:rFonts w:hint="eastAsia" w:ascii="宋体" w:hAnsi="宋体" w:cs="宋体"/>
          <w:sz w:val="21"/>
          <w:szCs w:val="21"/>
        </w:rPr>
      </w:pPr>
      <w:r>
        <w:rPr>
          <w:rFonts w:hint="eastAsia" w:ascii="宋体" w:hAnsi="宋体" w:cs="宋体"/>
          <w:sz w:val="21"/>
          <w:szCs w:val="21"/>
        </w:rPr>
        <w:t>4.乙方建立招商知识库，收集并整理招商相关的政策法规、行业动态、投资环境分析、成功案例等。实时跟踪招商领域的最新动态，确保知识的时效性和准确性。建立知识共享平台，供甲方招商人员随时查阅和学习。</w:t>
      </w:r>
    </w:p>
    <w:p>
      <w:pPr>
        <w:ind w:firstLine="420" w:firstLineChars="200"/>
        <w:rPr>
          <w:rFonts w:hint="eastAsia" w:ascii="宋体" w:hAnsi="宋体" w:cs="宋体"/>
          <w:sz w:val="21"/>
          <w:szCs w:val="21"/>
        </w:rPr>
      </w:pPr>
      <w:r>
        <w:rPr>
          <w:rFonts w:hint="eastAsia" w:ascii="宋体" w:hAnsi="宋体" w:cs="宋体"/>
          <w:sz w:val="21"/>
          <w:szCs w:val="21"/>
        </w:rPr>
        <w:t>5.乙方建立招商项目资金需求库，整理并分析各类招商项目的资金需求情况，包括项目名称、投资规模、资金需求、投资回报期等。</w:t>
      </w:r>
    </w:p>
    <w:p>
      <w:pPr>
        <w:ind w:firstLine="420" w:firstLineChars="200"/>
        <w:rPr>
          <w:rFonts w:hint="eastAsia" w:ascii="宋体" w:hAnsi="宋体" w:cs="宋体"/>
          <w:sz w:val="21"/>
          <w:szCs w:val="21"/>
        </w:rPr>
      </w:pPr>
      <w:r>
        <w:rPr>
          <w:rFonts w:hint="eastAsia" w:ascii="宋体" w:hAnsi="宋体" w:cs="宋体"/>
          <w:sz w:val="21"/>
          <w:szCs w:val="21"/>
        </w:rPr>
        <w:t>6.乙方建立可招商土地库，收集并整理全市可招商土地的详细信息，包括土地位置、面积、用途、规划条件等。加强土地管理，确保土地的合理利用和高效开发。定期发布土地推介信息，吸引投资者关注。</w:t>
      </w:r>
    </w:p>
    <w:p>
      <w:pPr>
        <w:rPr>
          <w:rFonts w:hint="eastAsia" w:ascii="宋体" w:hAnsi="宋体" w:cs="宋体"/>
          <w:sz w:val="21"/>
          <w:szCs w:val="21"/>
        </w:rPr>
      </w:pPr>
      <w:r>
        <w:rPr>
          <w:rFonts w:hint="eastAsia" w:ascii="宋体" w:hAnsi="宋体" w:cs="宋体"/>
          <w:sz w:val="21"/>
          <w:szCs w:val="21"/>
        </w:rPr>
        <w:t>7.乙方建立招商专家库，建立由行业专家、学者、投资顾问等组成的招商专家团队，为招商工作提供智力支持。按需组织专家咨询会议，对招引项目进行评估，为招商决策提供依据。</w:t>
      </w:r>
    </w:p>
    <w:p>
      <w:pPr>
        <w:ind w:firstLine="420" w:firstLineChars="200"/>
        <w:rPr>
          <w:rFonts w:hint="eastAsia" w:ascii="宋体" w:hAnsi="宋体" w:cs="宋体"/>
          <w:sz w:val="21"/>
          <w:szCs w:val="21"/>
        </w:rPr>
      </w:pPr>
      <w:r>
        <w:rPr>
          <w:rFonts w:hint="eastAsia" w:ascii="宋体" w:hAnsi="宋体" w:cs="宋体"/>
          <w:sz w:val="21"/>
          <w:szCs w:val="21"/>
        </w:rPr>
        <w:t>（二）“两册”编制</w:t>
      </w:r>
    </w:p>
    <w:p>
      <w:pPr>
        <w:ind w:firstLine="420" w:firstLineChars="200"/>
        <w:rPr>
          <w:rFonts w:hint="eastAsia" w:ascii="宋体" w:hAnsi="宋体" w:cs="宋体"/>
          <w:sz w:val="21"/>
          <w:szCs w:val="21"/>
        </w:rPr>
      </w:pPr>
      <w:r>
        <w:rPr>
          <w:rFonts w:hint="eastAsia" w:ascii="宋体" w:hAnsi="宋体" w:cs="宋体"/>
          <w:sz w:val="21"/>
          <w:szCs w:val="21"/>
        </w:rPr>
        <w:t>乙方编制《产业链招商手册》及《招商网络手册》。编制整理重庆市各产业链</w:t>
      </w:r>
      <w:bookmarkStart w:id="0" w:name="_GoBack"/>
      <w:bookmarkEnd w:id="0"/>
      <w:r>
        <w:rPr>
          <w:rFonts w:hint="eastAsia" w:ascii="宋体" w:hAnsi="宋体" w:cs="宋体"/>
          <w:sz w:val="21"/>
          <w:szCs w:val="21"/>
        </w:rPr>
        <w:t>及链上重点企业基本情况及发展趋势，引导投资者关注并投资；整理全市招商系统相关联系人的详细信息，以便于内部沟通和外部投资者快速找到对应的招商负责人。</w:t>
      </w:r>
    </w:p>
    <w:p>
      <w:pPr>
        <w:ind w:firstLine="420" w:firstLineChars="200"/>
        <w:rPr>
          <w:rFonts w:hint="eastAsia" w:ascii="宋体" w:hAnsi="宋体" w:cs="宋体"/>
          <w:sz w:val="21"/>
          <w:szCs w:val="21"/>
        </w:rPr>
      </w:pPr>
      <w:r>
        <w:rPr>
          <w:rFonts w:hint="eastAsia" w:ascii="宋体" w:hAnsi="宋体" w:cs="宋体"/>
          <w:sz w:val="21"/>
          <w:szCs w:val="21"/>
        </w:rPr>
        <w:t>（三）“两清单”编制</w:t>
      </w:r>
    </w:p>
    <w:p>
      <w:pPr>
        <w:ind w:firstLine="420" w:firstLineChars="200"/>
        <w:rPr>
          <w:rFonts w:hint="eastAsia" w:ascii="宋体" w:hAnsi="宋体" w:cs="宋体"/>
          <w:sz w:val="21"/>
          <w:szCs w:val="21"/>
        </w:rPr>
      </w:pPr>
      <w:r>
        <w:rPr>
          <w:rFonts w:hint="eastAsia" w:ascii="宋体" w:hAnsi="宋体" w:cs="宋体"/>
          <w:sz w:val="21"/>
          <w:szCs w:val="21"/>
        </w:rPr>
        <w:t>乙方编制《应用场景清单》及《产业高质量发展机会清单》。联系相关市级部门及区县，围绕“33618”现代制造业集群体系梳理并展示重庆应用场景及投资机会，吸引企业及投资者来渝投资展业。</w:t>
      </w:r>
    </w:p>
    <w:p>
      <w:pPr>
        <w:ind w:firstLine="420" w:firstLineChars="200"/>
        <w:rPr>
          <w:rFonts w:hint="eastAsia" w:ascii="宋体" w:hAnsi="宋体" w:cs="宋体"/>
          <w:sz w:val="21"/>
          <w:szCs w:val="21"/>
        </w:rPr>
      </w:pPr>
      <w:r>
        <w:rPr>
          <w:rFonts w:hint="eastAsia" w:ascii="宋体" w:hAnsi="宋体" w:cs="宋体"/>
          <w:sz w:val="21"/>
          <w:szCs w:val="21"/>
        </w:rPr>
        <w:t>（四）“一图”编制</w:t>
      </w:r>
    </w:p>
    <w:p>
      <w:pPr>
        <w:ind w:firstLine="420" w:firstLineChars="200"/>
        <w:rPr>
          <w:rFonts w:ascii="方正仿宋_GBK" w:hAnsi="方正仿宋_GBK" w:cs="方正仿宋_GBK"/>
          <w:szCs w:val="32"/>
        </w:rPr>
      </w:pPr>
      <w:r>
        <w:rPr>
          <w:rFonts w:hint="eastAsia" w:ascii="宋体" w:hAnsi="宋体" w:cs="宋体"/>
          <w:sz w:val="21"/>
          <w:szCs w:val="21"/>
        </w:rPr>
        <w:t>乙方编制《产业链招商图谱》。通过图谱形式直观展示重庆市各重点产业链上中下游各环节的连接关系并标出重点企业的位置及其与产业链其他环节关联情况。突出产业链中的关键环节和瓶颈环节，便于招商工作者直观学习了解产业链的结构和特点，引导投资者关注并投资。</w:t>
      </w:r>
      <w:r>
        <w:rPr>
          <w:rFonts w:hint="eastAsia" w:ascii="方正仿宋_GBK" w:hAnsi="方正仿宋_GBK" w:cs="方正仿宋_GBK"/>
          <w:szCs w:val="32"/>
        </w:rPr>
        <w:t>　　　　　　</w:t>
      </w:r>
    </w:p>
    <w:p>
      <w:pPr>
        <w:overflowPunct w:val="0"/>
        <w:spacing w:line="520" w:lineRule="exact"/>
        <w:ind w:firstLine="420" w:firstLineChars="200"/>
        <w:rPr>
          <w:rFonts w:hint="eastAsia" w:ascii="方正仿宋_GBK" w:hAnsi="方正仿宋_GBK" w:cs="方正仿宋_GBK"/>
          <w:szCs w:val="32"/>
        </w:rPr>
      </w:pPr>
      <w:r>
        <w:rPr>
          <w:rFonts w:hint="eastAsia" w:ascii="方正仿宋_GBK" w:hAnsi="方正仿宋_GBK" w:cs="方正仿宋_GBK"/>
          <w:szCs w:val="32"/>
        </w:rPr>
        <w:t>服务要求：</w:t>
      </w:r>
    </w:p>
    <w:p>
      <w:pPr>
        <w:ind w:firstLine="420" w:firstLineChars="200"/>
        <w:rPr>
          <w:rFonts w:hint="eastAsia" w:ascii="宋体" w:hAnsi="宋体" w:cs="宋体"/>
          <w:sz w:val="21"/>
          <w:szCs w:val="21"/>
        </w:rPr>
      </w:pPr>
      <w:r>
        <w:rPr>
          <w:rFonts w:hint="eastAsia" w:ascii="宋体" w:hAnsi="宋体" w:cs="宋体"/>
          <w:sz w:val="21"/>
          <w:szCs w:val="21"/>
        </w:rPr>
        <w:t>（一）乙方应根据本项目的内容和要求，制定完成本次采购相关服务的总体需求理解、实施方案、服务保障方案、进度安排计划。</w:t>
      </w:r>
    </w:p>
    <w:p>
      <w:pPr>
        <w:ind w:firstLine="420" w:firstLineChars="200"/>
        <w:rPr>
          <w:rFonts w:hint="eastAsia" w:ascii="宋体" w:hAnsi="宋体" w:cs="宋体"/>
          <w:sz w:val="21"/>
          <w:szCs w:val="21"/>
        </w:rPr>
      </w:pPr>
      <w:r>
        <w:rPr>
          <w:rFonts w:hint="eastAsia" w:ascii="宋体" w:hAnsi="宋体" w:cs="宋体"/>
          <w:sz w:val="21"/>
          <w:szCs w:val="21"/>
        </w:rPr>
        <w:t>（二）人员配置</w:t>
      </w:r>
    </w:p>
    <w:p>
      <w:pPr>
        <w:ind w:firstLine="420" w:firstLineChars="200"/>
        <w:rPr>
          <w:rFonts w:hint="eastAsia" w:ascii="宋体" w:hAnsi="宋体" w:cs="宋体"/>
          <w:sz w:val="21"/>
          <w:szCs w:val="21"/>
        </w:rPr>
      </w:pPr>
      <w:r>
        <w:rPr>
          <w:rFonts w:hint="eastAsia" w:ascii="宋体" w:hAnsi="宋体" w:cs="宋体"/>
          <w:sz w:val="21"/>
          <w:szCs w:val="21"/>
        </w:rPr>
        <w:t>乙方须构建由不少于5人（至少包括项目负责人1名和主要人员4名）的专业服务人员组成的项目服务团队为本项目服务，项目负责人（1人）和主要成员（4人）未经甲方同意不得更换。</w:t>
      </w:r>
    </w:p>
    <w:p>
      <w:pPr>
        <w:pStyle w:val="2"/>
        <w:spacing w:line="240" w:lineRule="auto"/>
        <w:rPr>
          <w:rFonts w:ascii="方正仿宋_GBK" w:hAnsi="方正仿宋_GBK" w:cs="方正仿宋_GBK"/>
          <w:szCs w:val="32"/>
        </w:rPr>
      </w:pPr>
      <w:r>
        <w:rPr>
          <w:rFonts w:hint="eastAsia" w:eastAsia="宋体" w:cs="宋体"/>
          <w:sz w:val="21"/>
          <w:szCs w:val="21"/>
        </w:rPr>
        <w:t>（三）乙方已综合考虑本项目相关工作所产生所有费用，已充分衡量和估计本项目履行中可能发生的其他潜在导致价格变动风险因素，合同签订后视为就本项目所有所需服务及所需相应设施、设备、材料、人员、耗材等已经包含在该价格中，且不做任何调整。服务要求中所产生的一切费用均由乙方支付，活动期间如因对项目理解及活动规模不充足导致活动延期或出现服务停滞情况所产生的一切损失均由乙方负责。</w:t>
      </w:r>
      <w:r>
        <w:rPr>
          <w:rFonts w:hint="eastAsia" w:ascii="Times New Roman" w:hAnsi="Times New Roman" w:eastAsia="宋体" w:cstheme="minorBidi"/>
          <w:kern w:val="2"/>
          <w:sz w:val="21"/>
          <w:szCs w:val="21"/>
          <w:lang w:val="en-US" w:eastAsia="zh-CN" w:bidi="ar-SA"/>
        </w:rPr>
        <w:t>　</w:t>
      </w:r>
      <w:r>
        <w:rPr>
          <w:rFonts w:hint="eastAsia" w:ascii="方正仿宋_GBK" w:hAnsi="方正仿宋_GBK" w:cs="方正仿宋_GBK"/>
          <w:szCs w:val="32"/>
        </w:rPr>
        <w:t>　　　　　</w:t>
      </w:r>
    </w:p>
    <w:p>
      <w:pPr>
        <w:overflowPunct w:val="0"/>
        <w:spacing w:line="520" w:lineRule="exact"/>
        <w:ind w:firstLine="420" w:firstLineChars="200"/>
        <w:rPr>
          <w:rFonts w:ascii="方正仿宋_GBK" w:hAnsi="方正仿宋_GBK" w:cs="方正仿宋_GBK"/>
          <w:szCs w:val="32"/>
        </w:rPr>
      </w:pPr>
      <w:r>
        <w:rPr>
          <w:rFonts w:hint="eastAsia" w:ascii="方正仿宋_GBK" w:hAnsi="方正仿宋_GBK" w:cs="方正仿宋_GBK"/>
          <w:szCs w:val="32"/>
        </w:rPr>
        <w:t>服务期限：</w:t>
      </w:r>
      <w:r>
        <w:rPr>
          <w:rFonts w:hint="eastAsia" w:ascii="宋体" w:hAnsi="宋体"/>
          <w:sz w:val="21"/>
          <w:szCs w:val="21"/>
        </w:rPr>
        <w:t>合同签订之日起至所有工作内容完成之日止（合同签订之日起一年内完成）</w:t>
      </w:r>
      <w:r>
        <w:rPr>
          <w:rFonts w:hint="eastAsia" w:ascii="方正仿宋_GBK" w:hAnsi="方正仿宋_GBK" w:cs="方正仿宋_GBK"/>
          <w:szCs w:val="32"/>
        </w:rPr>
        <w:t>　　　　　　　　　　</w:t>
      </w:r>
    </w:p>
    <w:p>
      <w:pPr>
        <w:overflowPunct w:val="0"/>
        <w:spacing w:line="520" w:lineRule="exact"/>
        <w:ind w:firstLine="420" w:firstLineChars="200"/>
        <w:rPr>
          <w:rFonts w:ascii="方正仿宋_GBK" w:hAnsi="方正仿宋_GBK" w:cs="方正仿宋_GBK"/>
          <w:szCs w:val="32"/>
        </w:rPr>
      </w:pPr>
      <w:r>
        <w:rPr>
          <w:rFonts w:hint="eastAsia" w:ascii="方正仿宋_GBK" w:hAnsi="方正仿宋_GBK" w:cs="方正仿宋_GBK"/>
          <w:szCs w:val="32"/>
        </w:rPr>
        <w:t>服务地点：</w:t>
      </w:r>
      <w:r>
        <w:rPr>
          <w:rFonts w:hint="eastAsia" w:ascii="宋体" w:hAnsi="宋体"/>
          <w:sz w:val="21"/>
          <w:szCs w:val="21"/>
        </w:rPr>
        <w:t>甲方指定或同意地点</w:t>
      </w:r>
      <w:r>
        <w:rPr>
          <w:rFonts w:hint="eastAsia" w:ascii="方正仿宋_GBK" w:hAnsi="方正仿宋_GBK" w:cs="方正仿宋_GBK"/>
          <w:szCs w:val="32"/>
        </w:rPr>
        <w:t>　　　　　　　　　　</w:t>
      </w:r>
    </w:p>
    <w:p>
      <w:pPr>
        <w:overflowPunct w:val="0"/>
        <w:spacing w:line="520" w:lineRule="exact"/>
        <w:rPr>
          <w:rFonts w:ascii="黑体" w:hAnsi="黑体" w:eastAsia="黑体"/>
          <w:szCs w:val="32"/>
        </w:rPr>
      </w:pPr>
      <w:r>
        <w:rPr>
          <w:rFonts w:hint="eastAsia" w:ascii="方正黑体_GBK" w:hAnsi="黑体" w:eastAsia="方正黑体_GBK"/>
          <w:szCs w:val="32"/>
        </w:rPr>
        <w:t>七、验收（或终止）日期：</w:t>
      </w:r>
      <w:r>
        <w:rPr>
          <w:rFonts w:hint="eastAsia" w:ascii="仿宋" w:hAnsi="仿宋" w:eastAsia="仿宋"/>
          <w:szCs w:val="32"/>
          <w:u w:val="single"/>
        </w:rPr>
        <w:t>　</w:t>
      </w:r>
      <w:r>
        <w:rPr>
          <w:rFonts w:hint="eastAsia" w:ascii="仿宋" w:hAnsi="仿宋" w:eastAsia="仿宋"/>
          <w:szCs w:val="32"/>
          <w:u w:val="single"/>
          <w:lang w:val="en-US" w:eastAsia="zh-CN"/>
        </w:rPr>
        <w:t>2025年12月2日</w:t>
      </w:r>
      <w:r>
        <w:rPr>
          <w:rFonts w:hint="eastAsia" w:ascii="仿宋" w:hAnsi="仿宋" w:eastAsia="仿宋"/>
          <w:szCs w:val="32"/>
          <w:u w:val="single"/>
        </w:rPr>
        <w:t>　　　　</w:t>
      </w:r>
    </w:p>
    <w:p>
      <w:pPr>
        <w:overflowPunct w:val="0"/>
        <w:spacing w:line="520" w:lineRule="exact"/>
        <w:rPr>
          <w:rFonts w:ascii="黑体" w:hAnsi="黑体" w:eastAsia="黑体"/>
          <w:szCs w:val="32"/>
        </w:rPr>
      </w:pPr>
      <w:r>
        <w:rPr>
          <w:rFonts w:hint="eastAsia" w:ascii="方正黑体_GBK" w:hAnsi="黑体" w:eastAsia="方正黑体_GBK"/>
          <w:szCs w:val="32"/>
        </w:rPr>
        <w:t>八、验收组成员：</w:t>
      </w:r>
      <w:r>
        <w:rPr>
          <w:rFonts w:hint="eastAsia" w:ascii="仿宋" w:hAnsi="仿宋" w:eastAsia="仿宋"/>
          <w:szCs w:val="32"/>
          <w:u w:val="single"/>
        </w:rPr>
        <w:t>　</w:t>
      </w:r>
      <w:r>
        <w:rPr>
          <w:rFonts w:hint="eastAsia" w:ascii="仿宋" w:hAnsi="仿宋" w:eastAsia="仿宋"/>
          <w:szCs w:val="32"/>
          <w:u w:val="single"/>
          <w:lang w:eastAsia="zh-CN"/>
        </w:rPr>
        <w:t>招商统筹处</w:t>
      </w:r>
      <w:r>
        <w:rPr>
          <w:rFonts w:hint="eastAsia" w:ascii="仿宋" w:hAnsi="仿宋" w:eastAsia="仿宋"/>
          <w:szCs w:val="32"/>
          <w:u w:val="single"/>
        </w:rPr>
        <w:t>　　</w:t>
      </w:r>
    </w:p>
    <w:p>
      <w:pPr>
        <w:overflowPunct w:val="0"/>
        <w:spacing w:line="520" w:lineRule="exact"/>
        <w:rPr>
          <w:rFonts w:ascii="仿宋" w:hAnsi="仿宋" w:eastAsia="仿宋"/>
          <w:szCs w:val="32"/>
          <w:u w:val="single"/>
        </w:rPr>
      </w:pPr>
      <w:r>
        <w:rPr>
          <w:rFonts w:hint="eastAsia" w:ascii="方正黑体_GBK" w:hAnsi="黑体" w:eastAsia="方正黑体_GBK"/>
          <w:szCs w:val="32"/>
        </w:rPr>
        <w:t>九、验收（或终止）意见：</w:t>
      </w:r>
      <w:r>
        <w:rPr>
          <w:rFonts w:hint="eastAsia" w:ascii="仿宋" w:hAnsi="仿宋" w:eastAsia="仿宋"/>
          <w:szCs w:val="32"/>
          <w:u w:val="single"/>
        </w:rPr>
        <w:t>　</w:t>
      </w:r>
      <w:r>
        <w:rPr>
          <w:rFonts w:hint="eastAsia" w:ascii="仿宋" w:hAnsi="仿宋" w:eastAsia="仿宋"/>
          <w:szCs w:val="32"/>
          <w:u w:val="single"/>
          <w:lang w:eastAsia="zh-CN"/>
        </w:rPr>
        <w:t>验收通过</w:t>
      </w:r>
      <w:r>
        <w:rPr>
          <w:rFonts w:hint="eastAsia" w:ascii="仿宋" w:hAnsi="仿宋" w:eastAsia="仿宋"/>
          <w:szCs w:val="32"/>
          <w:u w:val="single"/>
        </w:rPr>
        <w:t>　　</w:t>
      </w:r>
    </w:p>
    <w:p>
      <w:pPr>
        <w:overflowPunct w:val="0"/>
        <w:spacing w:line="520" w:lineRule="exact"/>
        <w:rPr>
          <w:rFonts w:ascii="方正黑体_GBK" w:hAnsi="黑体" w:eastAsia="方正黑体_GBK"/>
          <w:szCs w:val="32"/>
        </w:rPr>
      </w:pPr>
      <w:r>
        <w:rPr>
          <w:rFonts w:hint="eastAsia" w:ascii="方正黑体_GBK" w:hAnsi="黑体" w:eastAsia="方正黑体_GBK"/>
          <w:szCs w:val="32"/>
        </w:rPr>
        <w:t>十、公告期限</w:t>
      </w:r>
    </w:p>
    <w:p>
      <w:pPr>
        <w:overflowPunct w:val="0"/>
        <w:spacing w:line="520" w:lineRule="exact"/>
        <w:ind w:firstLine="420" w:firstLineChars="200"/>
        <w:rPr>
          <w:rFonts w:ascii="仿宋" w:hAnsi="仿宋" w:eastAsia="仿宋"/>
          <w:szCs w:val="32"/>
          <w:u w:val="single"/>
        </w:rPr>
      </w:pPr>
      <w:r>
        <w:rPr>
          <w:rFonts w:hint="eastAsia"/>
          <w:color w:val="000000"/>
          <w:szCs w:val="32"/>
          <w:shd w:val="clear" w:color="auto" w:fill="FFFFFF"/>
        </w:rPr>
        <w:t>自本公告发布之日起2个工作日。</w:t>
      </w:r>
    </w:p>
    <w:p>
      <w:pPr>
        <w:overflowPunct w:val="0"/>
        <w:spacing w:line="520" w:lineRule="exact"/>
        <w:rPr>
          <w:rFonts w:ascii="仿宋" w:hAnsi="仿宋" w:eastAsia="仿宋"/>
          <w:szCs w:val="32"/>
          <w:u w:val="single"/>
        </w:rPr>
        <w:sectPr>
          <w:footerReference r:id="rId3" w:type="default"/>
          <w:footerReference r:id="rId4" w:type="even"/>
          <w:pgSz w:w="11906" w:h="16838"/>
          <w:pgMar w:top="2098" w:right="1531" w:bottom="1984" w:left="1531" w:header="850" w:footer="283" w:gutter="0"/>
          <w:cols w:space="720" w:num="1"/>
          <w:docGrid w:type="lines" w:linePitch="435" w:charSpace="0"/>
        </w:sectPr>
      </w:pPr>
      <w:r>
        <w:rPr>
          <w:rFonts w:hint="eastAsia" w:ascii="方正黑体_GBK" w:hAnsi="黑体" w:eastAsia="方正黑体_GBK"/>
          <w:szCs w:val="32"/>
        </w:rPr>
        <w:t>十一、</w:t>
      </w:r>
      <w:r>
        <w:rPr>
          <w:rFonts w:ascii="方正黑体_GBK" w:hAnsi="黑体" w:eastAsia="方正黑体_GBK"/>
          <w:szCs w:val="32"/>
        </w:rPr>
        <w:t>其他</w:t>
      </w:r>
      <w:r>
        <w:rPr>
          <w:rFonts w:hint="eastAsia" w:ascii="方正黑体_GBK" w:hAnsi="黑体" w:eastAsia="方正黑体_GBK"/>
          <w:szCs w:val="32"/>
        </w:rPr>
        <w:t>补充事宜：</w:t>
      </w:r>
      <w:r>
        <w:rPr>
          <w:rFonts w:hint="eastAsia" w:ascii="仿宋" w:hAnsi="仿宋" w:eastAsia="仿宋"/>
          <w:szCs w:val="32"/>
          <w:u w:val="single"/>
        </w:rPr>
        <w:t>　　　　　　　</w:t>
      </w:r>
    </w:p>
    <w:p>
      <w:pPr>
        <w:spacing w:line="578" w:lineRule="exact"/>
        <w:rPr>
          <w:rFonts w:ascii="方正仿宋_GBK" w:hAnsi="方正仿宋_GBK" w:eastAsia="方正仿宋_GBK" w:cs="方正仿宋_GBK"/>
          <w:sz w:val="32"/>
          <w:szCs w:val="32"/>
        </w:rPr>
      </w:pPr>
    </w:p>
    <w:sectPr>
      <w:headerReference r:id="rId5" w:type="default"/>
      <w:footerReference r:id="rId6" w:type="default"/>
      <w:pgSz w:w="11906" w:h="16838"/>
      <w:pgMar w:top="1962" w:right="1474" w:bottom="1962"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wordWrap w:val="0"/>
      <w:ind w:left="4788" w:leftChars="2280" w:firstLine="5621" w:firstLineChars="2000"/>
      <w:jc w:val="right"/>
      <w:rPr>
        <w:rFonts w:hint="eastAsia" w:ascii="宋体" w:hAnsi="宋体" w:eastAsia="宋体" w:cs="宋体"/>
        <w:b/>
        <w:bCs/>
        <w:color w:val="005192"/>
        <w:sz w:val="28"/>
        <w:szCs w:val="4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sz w:val="28"/>
        <w:szCs w:val="28"/>
      </w:rPr>
    </w:pP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8</w:t>
    </w:r>
    <w:r>
      <w:rPr>
        <w:sz w:val="28"/>
        <w:szCs w:val="28"/>
      </w:rPr>
      <w:fldChar w:fldCharType="end"/>
    </w:r>
    <w:r>
      <w:rPr>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4788" w:leftChars="2280" w:firstLine="6400" w:firstLineChars="2000"/>
      <w:rPr>
        <w:rFonts w:eastAsia="仿宋"/>
        <w:sz w:val="32"/>
        <w:szCs w:val="48"/>
      </w:rPr>
    </w:pPr>
    <w:r>
      <w:rPr>
        <w:rFonts w:hint="eastAsia" w:eastAsia="仿宋"/>
        <w:sz w:val="32"/>
        <w:szCs w:val="48"/>
      </w:rPr>
      <w:t xml:space="preserve">  </w:t>
    </w:r>
  </w:p>
  <w:p>
    <w:pPr>
      <w:pStyle w:val="9"/>
      <w:wordWrap w:val="0"/>
      <w:ind w:left="3786" w:leftChars="1803" w:firstLine="7398" w:firstLineChars="2312"/>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59264;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color w:val="FAFAFA"/>
        <w:sz w:val="32"/>
      </w:rPr>
      <w:t xml:space="preserve"> </w:t>
    </w:r>
    <w:r>
      <w:rPr>
        <w:rFonts w:hint="eastAsia" w:ascii="宋体" w:hAnsi="宋体" w:eastAsia="宋体" w:cs="宋体"/>
        <w:b/>
        <w:bCs/>
        <w:color w:val="005192"/>
        <w:sz w:val="28"/>
        <w:szCs w:val="44"/>
        <w:lang w:eastAsia="zh-Hans"/>
      </w:rPr>
      <w:t>重庆市财政局</w:t>
    </w:r>
    <w:r>
      <w:rPr>
        <w:rFonts w:hint="eastAsia" w:ascii="宋体" w:hAnsi="宋体" w:eastAsia="宋体" w:cs="宋体"/>
        <w:b/>
        <w:bCs/>
        <w:color w:val="005192"/>
        <w:sz w:val="28"/>
        <w:szCs w:val="44"/>
      </w:rPr>
      <w:t xml:space="preserve">发布     </w:t>
    </w:r>
  </w:p>
  <w:p>
    <w:pPr>
      <w:pStyle w:val="9"/>
      <w:wordWrap w:val="0"/>
      <w:ind w:left="4788" w:leftChars="2280" w:firstLine="5621"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extAlignment w:val="center"/>
      <w:rPr>
        <w:rFonts w:ascii="宋体" w:hAnsi="宋体" w:eastAsia="宋体" w:cs="宋体"/>
        <w:b/>
        <w:bCs/>
        <w:color w:val="005192"/>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jYmY0MjIxZTE1Mzk1NjMzMjFkZjQxOGVhZTIzNGQifQ=="/>
  </w:docVars>
  <w:rsids>
    <w:rsidRoot w:val="00172A27"/>
    <w:rsid w:val="0001734A"/>
    <w:rsid w:val="000374CD"/>
    <w:rsid w:val="0011491C"/>
    <w:rsid w:val="00172A27"/>
    <w:rsid w:val="001B1863"/>
    <w:rsid w:val="00294238"/>
    <w:rsid w:val="00634972"/>
    <w:rsid w:val="00641A06"/>
    <w:rsid w:val="00687E85"/>
    <w:rsid w:val="006D2048"/>
    <w:rsid w:val="00820EF8"/>
    <w:rsid w:val="008449CD"/>
    <w:rsid w:val="009B75DA"/>
    <w:rsid w:val="00A6446A"/>
    <w:rsid w:val="00D709D9"/>
    <w:rsid w:val="00DF1A25"/>
    <w:rsid w:val="00E27E21"/>
    <w:rsid w:val="00E6412E"/>
    <w:rsid w:val="00E71355"/>
    <w:rsid w:val="00F36C28"/>
    <w:rsid w:val="00F9797F"/>
    <w:rsid w:val="00FB69E8"/>
    <w:rsid w:val="019E71BD"/>
    <w:rsid w:val="041C42DA"/>
    <w:rsid w:val="04B679C3"/>
    <w:rsid w:val="05F07036"/>
    <w:rsid w:val="06E00104"/>
    <w:rsid w:val="080F63D8"/>
    <w:rsid w:val="09104908"/>
    <w:rsid w:val="09341458"/>
    <w:rsid w:val="098254C2"/>
    <w:rsid w:val="0A766EDE"/>
    <w:rsid w:val="0AD64BE8"/>
    <w:rsid w:val="0AF344E1"/>
    <w:rsid w:val="0B0912D7"/>
    <w:rsid w:val="0C533B59"/>
    <w:rsid w:val="0E025194"/>
    <w:rsid w:val="10CE177B"/>
    <w:rsid w:val="14ED62FD"/>
    <w:rsid w:val="152D2DCA"/>
    <w:rsid w:val="1542409B"/>
    <w:rsid w:val="17740CDB"/>
    <w:rsid w:val="187168EA"/>
    <w:rsid w:val="196673CA"/>
    <w:rsid w:val="1A7E2D2E"/>
    <w:rsid w:val="1B2F4AEE"/>
    <w:rsid w:val="1B6E65E0"/>
    <w:rsid w:val="1CF20EDD"/>
    <w:rsid w:val="1CF734C9"/>
    <w:rsid w:val="1DEC284C"/>
    <w:rsid w:val="1E6523AC"/>
    <w:rsid w:val="1F5B2374"/>
    <w:rsid w:val="20CD6572"/>
    <w:rsid w:val="22440422"/>
    <w:rsid w:val="22BB4BBB"/>
    <w:rsid w:val="2AEB3417"/>
    <w:rsid w:val="2AFC5A4D"/>
    <w:rsid w:val="2BE47802"/>
    <w:rsid w:val="31A15F24"/>
    <w:rsid w:val="324A1681"/>
    <w:rsid w:val="36FB1DF0"/>
    <w:rsid w:val="37F934E9"/>
    <w:rsid w:val="395347B5"/>
    <w:rsid w:val="39A232A0"/>
    <w:rsid w:val="39E745AA"/>
    <w:rsid w:val="3B5A6BBB"/>
    <w:rsid w:val="3EDA13A6"/>
    <w:rsid w:val="417B75E9"/>
    <w:rsid w:val="42F058B7"/>
    <w:rsid w:val="436109F6"/>
    <w:rsid w:val="440F6F8F"/>
    <w:rsid w:val="441A38D4"/>
    <w:rsid w:val="4504239D"/>
    <w:rsid w:val="45DB7FCA"/>
    <w:rsid w:val="46306ED8"/>
    <w:rsid w:val="4BC77339"/>
    <w:rsid w:val="4C9236C5"/>
    <w:rsid w:val="4E250A85"/>
    <w:rsid w:val="4FDFB6FE"/>
    <w:rsid w:val="4FFD4925"/>
    <w:rsid w:val="50556F0A"/>
    <w:rsid w:val="505C172E"/>
    <w:rsid w:val="506405EA"/>
    <w:rsid w:val="52F46F0B"/>
    <w:rsid w:val="532B6A10"/>
    <w:rsid w:val="53D8014D"/>
    <w:rsid w:val="55E064E0"/>
    <w:rsid w:val="56F45D33"/>
    <w:rsid w:val="572C6D10"/>
    <w:rsid w:val="5DC34279"/>
    <w:rsid w:val="5FCD688E"/>
    <w:rsid w:val="5FF9BDAA"/>
    <w:rsid w:val="5FFE5333"/>
    <w:rsid w:val="608816D1"/>
    <w:rsid w:val="60E16CF5"/>
    <w:rsid w:val="60EF4E7F"/>
    <w:rsid w:val="640B7E04"/>
    <w:rsid w:val="648B0A32"/>
    <w:rsid w:val="665233C1"/>
    <w:rsid w:val="69AC0D42"/>
    <w:rsid w:val="6AD9688B"/>
    <w:rsid w:val="6ADB59E8"/>
    <w:rsid w:val="6D0E3F22"/>
    <w:rsid w:val="744E4660"/>
    <w:rsid w:val="753355A2"/>
    <w:rsid w:val="759F1C61"/>
    <w:rsid w:val="769F2DE8"/>
    <w:rsid w:val="76FDEB7C"/>
    <w:rsid w:val="77A34459"/>
    <w:rsid w:val="79C65162"/>
    <w:rsid w:val="7C22076C"/>
    <w:rsid w:val="7C9011D9"/>
    <w:rsid w:val="7DC651C5"/>
    <w:rsid w:val="7DF350ED"/>
    <w:rsid w:val="7F33383F"/>
    <w:rsid w:val="7F9DA0E8"/>
    <w:rsid w:val="7FCC2834"/>
    <w:rsid w:val="7FF6A4EF"/>
    <w:rsid w:val="7FF7782A"/>
    <w:rsid w:val="92DD1CEF"/>
    <w:rsid w:val="CF3FFC8E"/>
    <w:rsid w:val="F05B4F69"/>
    <w:rsid w:val="F97D9566"/>
    <w:rsid w:val="FAB947D2"/>
    <w:rsid w:val="FDFF411C"/>
    <w:rsid w:val="FFBFF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spacing w:line="360" w:lineRule="auto"/>
      <w:ind w:firstLine="420"/>
    </w:pPr>
    <w:rPr>
      <w:rFonts w:ascii="宋体" w:hAnsi="宋体"/>
      <w:sz w:val="24"/>
    </w:rPr>
  </w:style>
  <w:style w:type="paragraph" w:styleId="3">
    <w:name w:val="Body Text"/>
    <w:basedOn w:val="1"/>
    <w:next w:val="4"/>
    <w:qFormat/>
    <w:uiPriority w:val="0"/>
    <w:rPr>
      <w:rFonts w:ascii="仿宋_GB2312" w:eastAsia="仿宋_GB2312"/>
      <w:sz w:val="32"/>
    </w:rPr>
  </w:style>
  <w:style w:type="paragraph" w:styleId="4">
    <w:name w:val="Quote"/>
    <w:basedOn w:val="1"/>
    <w:next w:val="1"/>
    <w:qFormat/>
    <w:uiPriority w:val="0"/>
    <w:pPr>
      <w:wordWrap w:val="0"/>
      <w:spacing w:before="200" w:after="160"/>
      <w:ind w:left="864" w:right="864"/>
      <w:jc w:val="center"/>
    </w:pPr>
    <w:rPr>
      <w:i/>
      <w:sz w:val="21"/>
    </w:rPr>
  </w:style>
  <w:style w:type="paragraph" w:styleId="6">
    <w:name w:val="annotation text"/>
    <w:basedOn w:val="1"/>
    <w:qFormat/>
    <w:uiPriority w:val="0"/>
    <w:pPr>
      <w:jc w:val="left"/>
    </w:pPr>
  </w:style>
  <w:style w:type="paragraph" w:styleId="7">
    <w:name w:val="Body Text Indent"/>
    <w:basedOn w:val="1"/>
    <w:link w:val="15"/>
    <w:unhideWhenUsed/>
    <w:qFormat/>
    <w:uiPriority w:val="99"/>
    <w:pPr>
      <w:spacing w:after="120"/>
      <w:ind w:left="420" w:leftChars="200"/>
    </w:pPr>
    <w:rPr>
      <w:rFonts w:ascii="Calibri" w:hAnsi="Calibri" w:eastAsia="宋体" w:cs="宋体"/>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pPr>
      <w:spacing w:beforeAutospacing="1" w:afterAutospacing="1"/>
      <w:jc w:val="left"/>
    </w:pPr>
    <w:rPr>
      <w:rFonts w:cs="Times New Roman"/>
      <w:kern w:val="0"/>
      <w:sz w:val="24"/>
    </w:rPr>
  </w:style>
  <w:style w:type="character" w:styleId="13">
    <w:name w:val="Strong"/>
    <w:basedOn w:val="12"/>
    <w:qFormat/>
    <w:uiPriority w:val="0"/>
    <w:rPr>
      <w:b/>
      <w:bCs/>
    </w:rPr>
  </w:style>
  <w:style w:type="paragraph" w:customStyle="1" w:styleId="14">
    <w:name w:val="p0"/>
    <w:basedOn w:val="1"/>
    <w:qFormat/>
    <w:uiPriority w:val="0"/>
    <w:pPr>
      <w:widowControl/>
    </w:pPr>
    <w:rPr>
      <w:rFonts w:ascii="Calibri" w:hAnsi="Calibri" w:eastAsia="宋体" w:cs="宋体"/>
      <w:kern w:val="0"/>
      <w:szCs w:val="32"/>
    </w:rPr>
  </w:style>
  <w:style w:type="character" w:customStyle="1" w:styleId="15">
    <w:name w:val="正文文本缩进 字符"/>
    <w:basedOn w:val="12"/>
    <w:link w:val="7"/>
    <w:qFormat/>
    <w:uiPriority w:val="99"/>
    <w:rPr>
      <w:rFonts w:ascii="Calibri" w:hAnsi="Calibri" w:cs="宋体"/>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4</Pages>
  <Words>2084</Words>
  <Characters>2132</Characters>
  <Lines>5</Lines>
  <Paragraphs>1</Paragraphs>
  <TotalTime>0</TotalTime>
  <ScaleCrop>false</ScaleCrop>
  <LinksUpToDate>false</LinksUpToDate>
  <CharactersWithSpaces>2616</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2021-09-12T18:41:00Z</dcterms:created>
  <dc:creator>t</dc:creator>
  <cp:lastModifiedBy>thtf</cp:lastModifiedBy>
  <cp:lastPrinted>2022-05-13T16:46:00Z</cp:lastPrinted>
  <dcterms:modified xsi:type="dcterms:W3CDTF">2025-12-04T16:23:29Z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D788A0CCEF21F19E45863668813CD02B_43</vt:lpwstr>
  </property>
</Properties>
</file>