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32A93"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 w14:paraId="03FD2CFE">
      <w:pPr>
        <w:overflowPunct w:val="0"/>
        <w:spacing w:line="520" w:lineRule="exact"/>
        <w:rPr>
          <w:rFonts w:hint="default" w:ascii="方正黑体_GBK" w:hAnsi="黑体" w:eastAsia="方正黑体_GBK"/>
          <w:szCs w:val="32"/>
          <w:u w:val="none"/>
          <w:lang w:val="en-US" w:eastAsia="zh-CN"/>
        </w:rPr>
      </w:pPr>
      <w:r>
        <w:rPr>
          <w:rFonts w:hint="eastAsia" w:ascii="方正黑体_GBK" w:hAnsi="黑体" w:eastAsia="方正黑体_GBK"/>
          <w:szCs w:val="32"/>
          <w:u w:val="none"/>
        </w:rPr>
        <w:t>一、合同编号：</w:t>
      </w:r>
    </w:p>
    <w:p w14:paraId="5EAE7C1D">
      <w:pPr>
        <w:overflowPunct w:val="0"/>
        <w:spacing w:line="520" w:lineRule="exact"/>
        <w:rPr>
          <w:rFonts w:hint="default" w:ascii="黑体" w:hAnsi="黑体" w:eastAsia="仿宋"/>
          <w:szCs w:val="32"/>
          <w:u w:val="none"/>
          <w:lang w:val="en-US" w:eastAsia="zh-CN"/>
        </w:rPr>
      </w:pPr>
      <w:r>
        <w:rPr>
          <w:rFonts w:hint="eastAsia" w:ascii="方正黑体_GBK" w:hAnsi="黑体" w:eastAsia="方正黑体_GBK"/>
          <w:szCs w:val="32"/>
          <w:u w:val="none"/>
        </w:rPr>
        <w:t>二、合同名称：</w:t>
      </w:r>
      <w:r>
        <w:rPr>
          <w:rFonts w:hint="eastAsia" w:ascii="仿宋" w:hAnsi="仿宋" w:eastAsia="仿宋"/>
          <w:szCs w:val="32"/>
          <w:u w:val="none"/>
          <w:lang w:val="en-US" w:eastAsia="zh-CN"/>
        </w:rPr>
        <w:t>2025年川渝节能环保人才技能大赛活动决赛组织实施服务项目合同</w:t>
      </w:r>
    </w:p>
    <w:p w14:paraId="32831599">
      <w:pPr>
        <w:overflowPunct w:val="0"/>
        <w:spacing w:line="520" w:lineRule="exact"/>
        <w:rPr>
          <w:rFonts w:ascii="仿宋" w:hAnsi="仿宋" w:eastAsia="仿宋"/>
          <w:szCs w:val="32"/>
          <w:u w:val="none"/>
        </w:rPr>
      </w:pPr>
      <w:r>
        <w:rPr>
          <w:rFonts w:hint="eastAsia" w:ascii="方正黑体_GBK" w:hAnsi="黑体" w:eastAsia="方正黑体_GBK"/>
          <w:szCs w:val="32"/>
          <w:u w:val="none"/>
        </w:rPr>
        <w:t>三、项目编号：</w:t>
      </w:r>
      <w:r>
        <w:rPr>
          <w:rFonts w:hint="eastAsia" w:ascii="方正黑体_GBK" w:hAnsi="仿宋" w:eastAsia="方正黑体_GBK"/>
          <w:szCs w:val="32"/>
          <w:u w:val="none"/>
          <w:lang w:val="en-US" w:eastAsia="zh-CN"/>
        </w:rPr>
        <w:t>CQCBJQ2509-426</w:t>
      </w:r>
    </w:p>
    <w:p w14:paraId="1A3831E5">
      <w:pPr>
        <w:overflowPunct w:val="0"/>
        <w:spacing w:line="520" w:lineRule="exact"/>
        <w:rPr>
          <w:rFonts w:ascii="黑体" w:hAnsi="黑体" w:eastAsia="黑体"/>
          <w:szCs w:val="32"/>
          <w:u w:val="none"/>
        </w:rPr>
      </w:pPr>
      <w:r>
        <w:rPr>
          <w:rFonts w:hint="eastAsia" w:ascii="方正黑体_GBK" w:hAnsi="黑体" w:eastAsia="方正黑体_GBK"/>
          <w:szCs w:val="32"/>
          <w:u w:val="none"/>
        </w:rPr>
        <w:t>四、项目名称：</w:t>
      </w:r>
      <w:r>
        <w:rPr>
          <w:rFonts w:hint="eastAsia" w:ascii="仿宋" w:hAnsi="仿宋" w:eastAsia="仿宋"/>
          <w:szCs w:val="32"/>
          <w:u w:val="none"/>
          <w:lang w:val="en-US" w:eastAsia="zh-CN"/>
        </w:rPr>
        <w:t>2025年川渝节能环保人才技能大赛活动决赛组织实施服务项目</w:t>
      </w:r>
    </w:p>
    <w:p w14:paraId="0970C891">
      <w:pPr>
        <w:overflowPunct w:val="0"/>
        <w:spacing w:line="520" w:lineRule="exact"/>
        <w:rPr>
          <w:rFonts w:ascii="方正黑体_GBK" w:hAnsi="黑体" w:eastAsia="方正黑体_GBK"/>
          <w:szCs w:val="32"/>
          <w:u w:val="none"/>
        </w:rPr>
      </w:pPr>
      <w:r>
        <w:rPr>
          <w:rFonts w:hint="eastAsia" w:ascii="方正黑体_GBK" w:hAnsi="黑体" w:eastAsia="方正黑体_GBK"/>
          <w:szCs w:val="32"/>
          <w:u w:val="none"/>
        </w:rPr>
        <w:t>五、合同主体</w:t>
      </w:r>
    </w:p>
    <w:p w14:paraId="2A8090D5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 w:eastAsiaTheme="minorEastAsia"/>
          <w:szCs w:val="32"/>
          <w:u w:val="none"/>
          <w:lang w:eastAsia="zh-CN"/>
        </w:rPr>
      </w:pPr>
      <w:r>
        <w:rPr>
          <w:rFonts w:hint="eastAsia" w:ascii="方正仿宋_GBK" w:hAnsi="方正仿宋_GBK" w:cs="方正仿宋_GBK"/>
          <w:szCs w:val="32"/>
          <w:u w:val="none"/>
        </w:rPr>
        <w:t>采购人（甲方）：</w:t>
      </w:r>
      <w:r>
        <w:rPr>
          <w:rFonts w:hint="eastAsia" w:ascii="方正仿宋_GBK" w:hAnsi="方正仿宋_GBK" w:cs="方正仿宋_GBK"/>
          <w:szCs w:val="32"/>
          <w:u w:val="none"/>
          <w:lang w:eastAsia="zh-CN"/>
        </w:rPr>
        <w:t>重庆市经济和信息化委员会</w:t>
      </w:r>
    </w:p>
    <w:p w14:paraId="67E750B8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none"/>
        </w:rPr>
      </w:pPr>
      <w:r>
        <w:rPr>
          <w:rFonts w:hint="eastAsia" w:ascii="方正仿宋_GBK" w:hAnsi="方正仿宋_GBK" w:cs="方正仿宋_GBK"/>
          <w:szCs w:val="32"/>
          <w:u w:val="none"/>
        </w:rPr>
        <w:t>地址：</w:t>
      </w:r>
      <w:r>
        <w:rPr>
          <w:rFonts w:hint="default" w:ascii="Times New Roman" w:hAnsi="Times New Roman" w:cs="Times New Roman" w:eastAsiaTheme="minorEastAsia"/>
          <w:szCs w:val="32"/>
          <w:u w:val="none"/>
          <w:lang w:val="en-US" w:eastAsia="zh-CN"/>
        </w:rPr>
        <w:t>重庆市两江新区云杉南路12号</w:t>
      </w:r>
    </w:p>
    <w:p w14:paraId="0CEAEA86"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Cs w:val="32"/>
          <w:u w:val="none"/>
          <w:lang w:val="en-US" w:eastAsia="zh-CN"/>
        </w:rPr>
      </w:pPr>
      <w:r>
        <w:rPr>
          <w:rFonts w:hint="eastAsia" w:ascii="方正仿宋_GBK" w:hAnsi="方正仿宋_GBK" w:cs="方正仿宋_GBK"/>
          <w:szCs w:val="32"/>
          <w:u w:val="none"/>
        </w:rPr>
        <w:t>联系方式：</w:t>
      </w:r>
      <w:r>
        <w:rPr>
          <w:rFonts w:hint="eastAsia" w:ascii="方正仿宋_GBK" w:hAnsi="方正仿宋_GBK" w:cs="方正仿宋_GBK"/>
          <w:szCs w:val="32"/>
          <w:u w:val="none"/>
          <w:lang w:val="en-US" w:eastAsia="zh-CN"/>
        </w:rPr>
        <w:t>63896088</w:t>
      </w:r>
    </w:p>
    <w:p w14:paraId="32D356C1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none"/>
        </w:rPr>
      </w:pPr>
      <w:r>
        <w:rPr>
          <w:rFonts w:hint="eastAsia" w:ascii="方正仿宋_GBK" w:hAnsi="方正仿宋_GBK" w:cs="方正仿宋_GBK"/>
          <w:szCs w:val="32"/>
          <w:u w:val="none"/>
        </w:rPr>
        <w:t>供应商（乙方）：重庆市能源利用监测中心（重庆市节能技术服务中心）</w:t>
      </w:r>
    </w:p>
    <w:p w14:paraId="78777B91"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Cs w:val="32"/>
          <w:u w:val="none"/>
          <w:lang w:val="en-US" w:eastAsia="zh-CN"/>
        </w:rPr>
      </w:pPr>
      <w:r>
        <w:rPr>
          <w:rFonts w:hint="eastAsia" w:ascii="方正仿宋_GBK" w:hAnsi="方正仿宋_GBK" w:cs="方正仿宋_GBK"/>
          <w:szCs w:val="32"/>
          <w:u w:val="none"/>
        </w:rPr>
        <w:t>地址：</w:t>
      </w:r>
      <w:r>
        <w:rPr>
          <w:rFonts w:hint="eastAsia" w:ascii="方正仿宋_GBK" w:hAnsi="方正仿宋_GBK" w:cs="方正仿宋_GBK"/>
          <w:szCs w:val="32"/>
          <w:u w:val="none"/>
          <w:lang w:eastAsia="zh-CN"/>
        </w:rPr>
        <w:t>重庆市江北区建新北路三支路21号</w:t>
      </w:r>
    </w:p>
    <w:p w14:paraId="345FC18E"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Cs w:val="32"/>
          <w:u w:val="none"/>
          <w:lang w:val="en-US" w:eastAsia="zh-CN"/>
        </w:rPr>
      </w:pPr>
      <w:r>
        <w:rPr>
          <w:rFonts w:hint="eastAsia" w:ascii="方正仿宋_GBK" w:hAnsi="方正仿宋_GBK" w:cs="方正仿宋_GBK"/>
          <w:szCs w:val="32"/>
          <w:u w:val="none"/>
        </w:rPr>
        <w:t>联系方式：</w:t>
      </w:r>
      <w:r>
        <w:rPr>
          <w:rFonts w:hint="eastAsia" w:ascii="方正仿宋_GBK" w:hAnsi="方正仿宋_GBK" w:cs="方正仿宋_GBK"/>
          <w:szCs w:val="32"/>
          <w:u w:val="none"/>
          <w:lang w:val="en-US" w:eastAsia="zh-CN"/>
        </w:rPr>
        <w:t>67757181</w:t>
      </w:r>
    </w:p>
    <w:p w14:paraId="6254D4D8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 w14:paraId="7D70A6D7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服务内容：</w:t>
      </w:r>
    </w:p>
    <w:p w14:paraId="0C58F2B3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2025年川渝节能环保人才技能大赛活动决赛组织实施服务，（活动时间：2025年10月21—10月22日，最终时间以甲方确认为准），以下为乙方应负责的服务内容：</w:t>
      </w:r>
    </w:p>
    <w:p w14:paraId="50502FC7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lang w:eastAsia="zh-CN"/>
        </w:rPr>
      </w:pPr>
      <w:r>
        <w:rPr>
          <w:rFonts w:hint="eastAsia" w:ascii="方正仿宋_GBK" w:hAnsi="方正仿宋_GBK" w:cs="方正仿宋_GBK"/>
          <w:szCs w:val="32"/>
          <w:lang w:eastAsia="zh-CN"/>
        </w:rPr>
        <w:t>（一）场地搭建。包括但不限于现场展位桁架搭建双面（2*2米喷绘布展位搭建、包含人工搬运和搭建和撤展（实操项目结束后现场化学废品专业清理、物料打包、器械搬运等））。</w:t>
      </w:r>
    </w:p>
    <w:p w14:paraId="21891722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lang w:eastAsia="zh-CN"/>
        </w:rPr>
      </w:pPr>
      <w:r>
        <w:rPr>
          <w:rFonts w:hint="eastAsia" w:ascii="方正仿宋_GBK" w:hAnsi="方正仿宋_GBK" w:cs="方正仿宋_GBK"/>
          <w:szCs w:val="32"/>
          <w:lang w:eastAsia="zh-CN"/>
        </w:rPr>
        <w:t>（二）大赛仪器设备及耗材准备。包括但不限于赛事过程中需要使用的设备和耗材（详细内容见“附件1合同价格明细表”）。</w:t>
      </w:r>
    </w:p>
    <w:p w14:paraId="10F94CA1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lang w:eastAsia="zh-CN"/>
        </w:rPr>
      </w:pPr>
      <w:r>
        <w:rPr>
          <w:rFonts w:hint="eastAsia" w:ascii="方正仿宋_GBK" w:hAnsi="方正仿宋_GBK" w:cs="方正仿宋_GBK"/>
          <w:szCs w:val="32"/>
          <w:lang w:eastAsia="zh-CN"/>
        </w:rPr>
        <w:t>（三）评审专家和裁判员。包括出题专家、阅卷专家、裁判员和赛前集训专家等人员的邀请准备。</w:t>
      </w:r>
    </w:p>
    <w:p w14:paraId="26B3DAF1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lang w:eastAsia="zh-CN"/>
        </w:rPr>
      </w:pPr>
      <w:r>
        <w:rPr>
          <w:rFonts w:hint="eastAsia" w:ascii="方正仿宋_GBK" w:hAnsi="方正仿宋_GBK" w:cs="方正仿宋_GBK"/>
          <w:szCs w:val="32"/>
          <w:lang w:eastAsia="zh-CN"/>
        </w:rPr>
        <w:t>（四）参赛选手、嘉宾及工作人员的相关保障服务。包括嘉宾住宿、往返用车、用餐服务和全程引导服务等。</w:t>
      </w:r>
    </w:p>
    <w:p w14:paraId="003BACFE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lang w:eastAsia="zh-CN"/>
        </w:rPr>
      </w:pPr>
      <w:r>
        <w:rPr>
          <w:rFonts w:hint="eastAsia" w:ascii="方正仿宋_GBK" w:hAnsi="方正仿宋_GBK" w:cs="方正仿宋_GBK"/>
          <w:szCs w:val="32"/>
          <w:lang w:eastAsia="zh-CN"/>
        </w:rPr>
        <w:t>（五）媒体宣传。工作内容包括重点内容深度采写、宣传视频特效剪辑制作、赛前预热精品电子海报制作、全媒体推广、专栏展示制作、大赛成效宣传视频拍摄、图文直播（现场配备速记人员1名、摄影记者1名、摄像记者1名、图片及视频编辑1名、现场文字编辑1名、审核编辑1名、后方补位编辑1名）。</w:t>
      </w:r>
    </w:p>
    <w:p w14:paraId="067F1D24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服务要求：　　　　　　　　　　　</w:t>
      </w:r>
    </w:p>
    <w:p w14:paraId="2E9099B2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 w:eastAsiaTheme="minorEastAsia"/>
          <w:szCs w:val="32"/>
          <w:lang w:eastAsia="zh-CN"/>
        </w:rPr>
      </w:pPr>
      <w:r>
        <w:rPr>
          <w:rFonts w:hint="eastAsia" w:ascii="方正仿宋_GBK" w:hAnsi="方正仿宋_GBK" w:cs="方正仿宋_GBK"/>
          <w:szCs w:val="32"/>
        </w:rPr>
        <w:t>服务期限：2025年10月21</w:t>
      </w:r>
      <w:r>
        <w:rPr>
          <w:rFonts w:hint="eastAsia" w:ascii="方正仿宋_GBK" w:hAnsi="方正仿宋_GBK" w:cs="方正仿宋_GBK"/>
          <w:szCs w:val="32"/>
          <w:lang w:eastAsia="zh-CN"/>
        </w:rPr>
        <w:t>（星期二）</w:t>
      </w:r>
      <w:r>
        <w:rPr>
          <w:rFonts w:hint="eastAsia" w:ascii="方正仿宋_GBK" w:hAnsi="方正仿宋_GBK" w:cs="方正仿宋_GBK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szCs w:val="32"/>
        </w:rPr>
        <w:t>—10月22日</w:t>
      </w:r>
      <w:r>
        <w:rPr>
          <w:rFonts w:hint="eastAsia" w:ascii="方正仿宋_GBK" w:hAnsi="方正仿宋_GBK" w:cs="方正仿宋_GBK"/>
          <w:szCs w:val="32"/>
          <w:lang w:eastAsia="zh-CN"/>
        </w:rPr>
        <w:t>（星期三）</w:t>
      </w:r>
    </w:p>
    <w:p w14:paraId="2100E898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hint="eastAsia" w:ascii="宋体" w:hAnsi="宋体"/>
          <w:sz w:val="24"/>
          <w:szCs w:val="24"/>
        </w:rPr>
        <w:t>四川省成都市都江堰市</w:t>
      </w:r>
    </w:p>
    <w:p w14:paraId="4776CE9C">
      <w:pPr>
        <w:overflowPunct w:val="0"/>
        <w:spacing w:line="520" w:lineRule="exact"/>
        <w:rPr>
          <w:rFonts w:hint="default" w:ascii="黑体" w:hAnsi="黑体" w:eastAsia="方正黑体_GBK"/>
          <w:szCs w:val="32"/>
          <w:lang w:val="en-US" w:eastAsia="zh-CN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方正黑体_GBK" w:hAnsi="黑体" w:eastAsia="方正黑体_GBK"/>
          <w:szCs w:val="32"/>
          <w:u w:val="single"/>
          <w:lang w:val="en-US" w:eastAsia="zh-CN"/>
        </w:rPr>
        <w:t>2025年10月24日</w:t>
      </w:r>
    </w:p>
    <w:p w14:paraId="4F4D90D2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方正黑体_GBK" w:hAnsi="黑体" w:eastAsia="方正黑体_GBK"/>
          <w:szCs w:val="32"/>
          <w:u w:val="single"/>
          <w:lang w:eastAsia="zh-CN"/>
        </w:rPr>
        <w:t>秦雪娇</w:t>
      </w:r>
    </w:p>
    <w:p w14:paraId="43CF4B3E">
      <w:pPr>
        <w:overflowPunct w:val="0"/>
        <w:spacing w:line="520" w:lineRule="exact"/>
        <w:rPr>
          <w:rFonts w:hint="eastAsia" w:ascii="仿宋" w:hAnsi="仿宋" w:eastAsia="方正黑体_GBK"/>
          <w:szCs w:val="32"/>
          <w:u w:val="single"/>
          <w:lang w:eastAsia="zh-CN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方正黑体_GBK" w:hAnsi="黑体" w:eastAsia="方正黑体_GBK"/>
          <w:szCs w:val="32"/>
          <w:u w:val="single"/>
          <w:lang w:eastAsia="zh-CN"/>
        </w:rPr>
        <w:t>合格</w:t>
      </w:r>
    </w:p>
    <w:p w14:paraId="481FE8E2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 w14:paraId="2FD841B0"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 w14:paraId="6A98FB22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　　　　　</w:t>
      </w:r>
      <w:bookmarkStart w:id="0" w:name="_GoBack"/>
      <w:bookmarkEnd w:id="0"/>
    </w:p>
    <w:p w14:paraId="0326AAF9"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971F7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EBEDB">
    <w:pPr>
      <w:pStyle w:val="5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3164">
    <w:pPr>
      <w:pStyle w:val="6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62119687">
    <w:pPr>
      <w:pStyle w:val="6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3987A3D0">
    <w:pPr>
      <w:pStyle w:val="6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1D4D"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AEB3417"/>
    <w:rsid w:val="2AFC5A4D"/>
    <w:rsid w:val="2BE47802"/>
    <w:rsid w:val="31A15F24"/>
    <w:rsid w:val="324A1681"/>
    <w:rsid w:val="36FB1DF0"/>
    <w:rsid w:val="395347B5"/>
    <w:rsid w:val="39A232A0"/>
    <w:rsid w:val="39E745AA"/>
    <w:rsid w:val="3B5A6BBB"/>
    <w:rsid w:val="3C9D8184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8F1674F"/>
    <w:rsid w:val="79C65162"/>
    <w:rsid w:val="7C22076C"/>
    <w:rsid w:val="7C9011D9"/>
    <w:rsid w:val="7DC651C5"/>
    <w:rsid w:val="7DF350ED"/>
    <w:rsid w:val="7EC73686"/>
    <w:rsid w:val="7F9DA0E8"/>
    <w:rsid w:val="7FCC2834"/>
    <w:rsid w:val="7FF6A4EF"/>
    <w:rsid w:val="7FF7782A"/>
    <w:rsid w:val="92DD1CEF"/>
    <w:rsid w:val="EBBED32A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link w:val="12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正文文本缩进 字符"/>
    <w:basedOn w:val="9"/>
    <w:link w:val="4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2084</Words>
  <Characters>2132</Characters>
  <Lines>5</Lines>
  <Paragraphs>1</Paragraphs>
  <TotalTime>31</TotalTime>
  <ScaleCrop>false</ScaleCrop>
  <LinksUpToDate>false</LinksUpToDate>
  <CharactersWithSpaces>2616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2021-09-12T02:41:00Z</dcterms:created>
  <dc:creator>t</dc:creator>
  <cp:lastModifiedBy>明宸</cp:lastModifiedBy>
  <cp:lastPrinted>2024-11-26T18:09:00Z</cp:lastPrinted>
  <dcterms:modified xsi:type="dcterms:W3CDTF">2025-11-11T14:51:05Z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8F538D627C1A438FA2B412698E74ED89_43</vt:lpwstr>
  </property>
</Properties>
</file>