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履约结果公告（模板）</w:t>
      </w:r>
    </w:p>
    <w:p>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eastAsia" w:ascii="方正黑体_GBK" w:hAnsi="仿宋" w:eastAsia="方正黑体_GBK"/>
          <w:szCs w:val="32"/>
          <w:u w:val="single"/>
        </w:rPr>
        <w:t>　</w:t>
      </w:r>
      <w:r>
        <w:rPr>
          <w:rFonts w:hint="eastAsia" w:ascii="方正黑体_GBK" w:hAnsi="仿宋" w:eastAsia="方正黑体_GBK"/>
          <w:szCs w:val="32"/>
          <w:u w:val="single"/>
          <w:lang w:val="en-US" w:eastAsia="zh-CN"/>
        </w:rPr>
        <w:t xml:space="preserve">CQCBJQ2508-332 </w:t>
      </w:r>
      <w:r>
        <w:rPr>
          <w:rFonts w:hint="eastAsia" w:ascii="方正黑体_GBK" w:hAnsi="黑体" w:eastAsia="方正黑体_GBK"/>
          <w:szCs w:val="32"/>
        </w:rPr>
        <w:t>　</w:t>
      </w:r>
    </w:p>
    <w:p>
      <w:pPr>
        <w:overflowPunct w:val="0"/>
        <w:spacing w:line="520" w:lineRule="exact"/>
        <w:rPr>
          <w:rFonts w:ascii="黑体" w:hAnsi="黑体" w:eastAsia="黑体"/>
          <w:szCs w:val="32"/>
          <w:u w:val="single"/>
        </w:rPr>
      </w:pPr>
      <w:r>
        <w:rPr>
          <w:rFonts w:hint="eastAsia" w:ascii="方正黑体_GBK" w:hAnsi="黑体" w:eastAsia="方正黑体_GBK"/>
          <w:szCs w:val="32"/>
        </w:rPr>
        <w:t>二、合同名称：</w:t>
      </w:r>
      <w:r>
        <w:rPr>
          <w:rFonts w:hint="eastAsia" w:ascii="仿宋" w:hAnsi="仿宋" w:eastAsia="仿宋"/>
          <w:szCs w:val="32"/>
          <w:u w:val="single"/>
        </w:rPr>
        <w:t>　</w:t>
      </w:r>
      <w:r>
        <w:rPr>
          <w:rFonts w:hint="eastAsia"/>
          <w:kern w:val="0"/>
          <w:sz w:val="21"/>
          <w:szCs w:val="21"/>
          <w:u w:val="single"/>
        </w:rPr>
        <w:t>成渝地区双城经济圈产业对接活动组织实施服务</w:t>
      </w:r>
      <w:r>
        <w:rPr>
          <w:rFonts w:hint="eastAsia"/>
          <w:kern w:val="0"/>
          <w:sz w:val="21"/>
          <w:szCs w:val="21"/>
          <w:u w:val="single"/>
          <w:lang w:eastAsia="zh-CN"/>
        </w:rPr>
        <w:t>政府采购合同</w:t>
      </w:r>
      <w:r>
        <w:rPr>
          <w:rFonts w:hint="eastAsia" w:ascii="仿宋" w:hAnsi="仿宋" w:eastAsia="仿宋"/>
          <w:szCs w:val="32"/>
          <w:u w:val="single"/>
        </w:rPr>
        <w:t>　</w:t>
      </w:r>
    </w:p>
    <w:p>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三、项目编号：</w:t>
      </w:r>
      <w:r>
        <w:rPr>
          <w:rFonts w:hint="eastAsia" w:ascii="方正黑体_GBK" w:hAnsi="仿宋" w:eastAsia="方正黑体_GBK"/>
          <w:szCs w:val="32"/>
          <w:u w:val="single"/>
        </w:rPr>
        <w:t>　</w:t>
      </w:r>
      <w:r>
        <w:rPr>
          <w:rFonts w:hint="eastAsia" w:ascii="方正黑体_GBK" w:hAnsi="仿宋" w:eastAsia="方正黑体_GBK"/>
          <w:szCs w:val="32"/>
          <w:u w:val="single"/>
          <w:lang w:val="en-US" w:eastAsia="zh-CN"/>
        </w:rPr>
        <w:t xml:space="preserve">CQCBJQ2508-332 </w:t>
      </w:r>
      <w:r>
        <w:rPr>
          <w:rFonts w:hint="eastAsia" w:ascii="方正黑体_GBK" w:hAnsi="黑体" w:eastAsia="方正黑体_GBK"/>
          <w:szCs w:val="32"/>
        </w:rPr>
        <w:t>　</w:t>
      </w:r>
    </w:p>
    <w:p>
      <w:pPr>
        <w:overflowPunct w:val="0"/>
        <w:spacing w:line="520" w:lineRule="exact"/>
        <w:rPr>
          <w:rFonts w:hint="eastAsia" w:ascii="黑体" w:hAnsi="黑体" w:eastAsiaTheme="minorEastAsia"/>
          <w:szCs w:val="32"/>
          <w:lang w:val="en-US" w:eastAsia="zh-CN"/>
        </w:rPr>
      </w:pPr>
      <w:r>
        <w:rPr>
          <w:rFonts w:hint="eastAsia" w:ascii="方正黑体_GBK" w:hAnsi="黑体" w:eastAsia="方正黑体_GBK"/>
          <w:szCs w:val="32"/>
        </w:rPr>
        <w:t>四、项目名称：</w:t>
      </w:r>
      <w:r>
        <w:rPr>
          <w:rFonts w:hint="eastAsia" w:ascii="仿宋" w:hAnsi="仿宋" w:eastAsia="仿宋"/>
          <w:szCs w:val="32"/>
          <w:u w:val="single"/>
        </w:rPr>
        <w:t>　</w:t>
      </w:r>
      <w:r>
        <w:rPr>
          <w:rFonts w:hint="eastAsia"/>
          <w:kern w:val="0"/>
          <w:sz w:val="21"/>
          <w:szCs w:val="21"/>
          <w:u w:val="single"/>
        </w:rPr>
        <w:t>成渝地区双城经济圈产业对接活动组织实施服务</w:t>
      </w:r>
      <w:r>
        <w:rPr>
          <w:kern w:val="0"/>
          <w:sz w:val="21"/>
          <w:szCs w:val="21"/>
          <w:u w:val="single"/>
        </w:rPr>
        <w:t>项目</w:t>
      </w:r>
      <w:r>
        <w:rPr>
          <w:rFonts w:hint="eastAsia"/>
          <w:kern w:val="0"/>
          <w:sz w:val="21"/>
          <w:szCs w:val="21"/>
          <w:u w:val="single"/>
          <w:lang w:val="en-US" w:eastAsia="zh-CN"/>
        </w:rPr>
        <w:t xml:space="preserve">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采购人（甲方）：</w:t>
      </w:r>
      <w:r>
        <w:rPr>
          <w:rFonts w:hint="eastAsia" w:ascii="方正仿宋_GBK" w:hAnsi="方正仿宋_GBK" w:cs="方正仿宋_GBK"/>
          <w:szCs w:val="32"/>
          <w:u w:val="single"/>
        </w:rPr>
        <w:t>重庆市经济和信息化委员会</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地址：</w:t>
      </w:r>
      <w:r>
        <w:rPr>
          <w:rFonts w:hint="eastAsia" w:ascii="方正仿宋_GBK" w:hAnsi="方正仿宋_GBK" w:cs="方正仿宋_GBK"/>
          <w:szCs w:val="32"/>
          <w:u w:val="single"/>
        </w:rPr>
        <w:t>重庆市两江新区云杉南路12号</w:t>
      </w:r>
    </w:p>
    <w:p>
      <w:pPr>
        <w:overflowPunct w:val="0"/>
        <w:spacing w:line="520" w:lineRule="exact"/>
        <w:ind w:firstLine="420" w:firstLineChars="200"/>
        <w:rPr>
          <w:rFonts w:hint="default" w:ascii="方正仿宋_GBK" w:hAnsi="方正仿宋_GBK" w:cs="方正仿宋_GBK" w:eastAsiaTheme="minorEastAsia"/>
          <w:szCs w:val="32"/>
          <w:u w:val="single"/>
          <w:lang w:val="en-US" w:eastAsia="zh-CN"/>
        </w:rPr>
      </w:pPr>
      <w:r>
        <w:rPr>
          <w:rFonts w:hint="eastAsia" w:ascii="方正仿宋_GBK" w:hAnsi="方正仿宋_GBK" w:cs="方正仿宋_GBK"/>
          <w:szCs w:val="32"/>
        </w:rPr>
        <w:t>联系方式：</w:t>
      </w:r>
      <w:r>
        <w:rPr>
          <w:rFonts w:hint="eastAsia" w:ascii="方正仿宋_GBK" w:hAnsi="方正仿宋_GBK" w:cs="方正仿宋_GBK"/>
          <w:szCs w:val="32"/>
          <w:u w:val="single"/>
        </w:rPr>
        <w:t>（023）6389</w:t>
      </w:r>
      <w:r>
        <w:rPr>
          <w:rFonts w:hint="eastAsia" w:ascii="方正仿宋_GBK" w:hAnsi="方正仿宋_GBK" w:cs="方正仿宋_GBK"/>
          <w:szCs w:val="32"/>
          <w:u w:val="single"/>
          <w:lang w:val="en-US" w:eastAsia="zh-CN"/>
        </w:rPr>
        <w:t>6619</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供应商（乙方）：</w:t>
      </w:r>
      <w:r>
        <w:rPr>
          <w:rFonts w:hint="eastAsia" w:ascii="方正仿宋_GBK" w:hAnsi="方正仿宋_GBK" w:cs="方正仿宋_GBK"/>
          <w:szCs w:val="32"/>
          <w:u w:val="single"/>
        </w:rPr>
        <w:t>　</w:t>
      </w:r>
      <w:r>
        <w:rPr>
          <w:rFonts w:hint="eastAsia" w:ascii="方正仿宋_GBK" w:hAnsi="方正仿宋_GBK" w:eastAsia="方正仿宋_GBK" w:cs="方正仿宋_GBK"/>
          <w:sz w:val="24"/>
          <w:u w:val="single"/>
        </w:rPr>
        <w:t>重庆</w:t>
      </w:r>
      <w:r>
        <w:rPr>
          <w:rFonts w:hint="eastAsia" w:ascii="方正仿宋_GBK" w:hAnsi="方正仿宋_GBK" w:eastAsia="方正仿宋_GBK" w:cs="方正仿宋_GBK"/>
          <w:sz w:val="24"/>
          <w:u w:val="single"/>
          <w:lang w:val="en-US" w:eastAsia="zh-CN"/>
        </w:rPr>
        <w:t>圆硕文化传播</w:t>
      </w:r>
      <w:r>
        <w:rPr>
          <w:rFonts w:hint="eastAsia" w:ascii="方正仿宋_GBK" w:hAnsi="方正仿宋_GBK" w:eastAsia="方正仿宋_GBK" w:cs="方正仿宋_GBK"/>
          <w:sz w:val="24"/>
          <w:u w:val="single"/>
        </w:rPr>
        <w:t>有限公司</w:t>
      </w:r>
    </w:p>
    <w:p>
      <w:pPr>
        <w:spacing w:line="240" w:lineRule="atLeast"/>
        <w:ind w:firstLine="420" w:firstLineChars="200"/>
        <w:rPr>
          <w:sz w:val="21"/>
          <w:szCs w:val="21"/>
          <w:u w:val="single"/>
        </w:rPr>
      </w:pPr>
      <w:r>
        <w:rPr>
          <w:sz w:val="21"/>
          <w:szCs w:val="21"/>
        </w:rPr>
        <w:t>地址：</w:t>
      </w:r>
      <w:r>
        <w:rPr>
          <w:rFonts w:hint="eastAsia"/>
          <w:sz w:val="21"/>
          <w:szCs w:val="21"/>
          <w:u w:val="single"/>
        </w:rPr>
        <w:t>重庆市九龙坡区经纬大道1099号附43号</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sz w:val="21"/>
          <w:szCs w:val="21"/>
        </w:rPr>
      </w:pPr>
      <w:r>
        <w:rPr>
          <w:rFonts w:hint="eastAsia"/>
          <w:sz w:val="21"/>
          <w:szCs w:val="21"/>
          <w:lang w:eastAsia="zh-CN"/>
        </w:rPr>
        <w:t>联系方式</w:t>
      </w:r>
      <w:r>
        <w:rPr>
          <w:sz w:val="21"/>
          <w:szCs w:val="21"/>
        </w:rPr>
        <w:t>：</w:t>
      </w:r>
      <w:r>
        <w:rPr>
          <w:rFonts w:hint="eastAsia" w:ascii="方正仿宋_GBK" w:hAnsi="方正仿宋_GBK" w:eastAsia="方正仿宋_GBK" w:cs="方正仿宋_GBK"/>
          <w:sz w:val="21"/>
          <w:szCs w:val="21"/>
          <w:u w:val="single"/>
        </w:rPr>
        <w:t>13372638139</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pPr>
        <w:ind w:firstLine="420" w:firstLineChars="200"/>
        <w:rPr>
          <w:rFonts w:hint="eastAsia" w:ascii="方正仿宋_GBK" w:hAnsi="方正仿宋_GBK" w:cs="方正仿宋_GBK"/>
          <w:szCs w:val="32"/>
        </w:rPr>
      </w:pPr>
      <w:r>
        <w:rPr>
          <w:rFonts w:hint="eastAsia" w:ascii="方正仿宋_GBK" w:hAnsi="方正仿宋_GBK" w:cs="方正仿宋_GBK"/>
          <w:szCs w:val="32"/>
        </w:rPr>
        <w:t>服务内容：</w:t>
      </w:r>
    </w:p>
    <w:p>
      <w:pPr>
        <w:ind w:firstLine="420" w:firstLineChars="200"/>
        <w:rPr>
          <w:rFonts w:hint="eastAsia"/>
          <w:sz w:val="21"/>
          <w:szCs w:val="21"/>
        </w:rPr>
      </w:pPr>
      <w:r>
        <w:rPr>
          <w:rFonts w:hint="eastAsia"/>
          <w:sz w:val="21"/>
          <w:szCs w:val="21"/>
        </w:rPr>
        <w:t>本项目服务内容主要包括场地租赁、活动总体策划和设计、氛围设计、会场搭建、媒体宣传、摄影摄像、活动物料准备、活动交通食宿等。主要包括：</w:t>
      </w:r>
    </w:p>
    <w:p>
      <w:pPr>
        <w:ind w:firstLine="420" w:firstLineChars="200"/>
        <w:rPr>
          <w:rFonts w:hint="eastAsia"/>
          <w:sz w:val="21"/>
          <w:szCs w:val="21"/>
        </w:rPr>
      </w:pPr>
      <w:r>
        <w:rPr>
          <w:rFonts w:hint="eastAsia"/>
          <w:sz w:val="21"/>
          <w:szCs w:val="21"/>
        </w:rPr>
        <w:t>1.场地租赁。在采购人指定的地点租赁活动场地，能够容纳不低于500人。</w:t>
      </w:r>
    </w:p>
    <w:p>
      <w:pPr>
        <w:ind w:firstLine="420" w:firstLineChars="200"/>
        <w:rPr>
          <w:rFonts w:hint="eastAsia"/>
          <w:sz w:val="21"/>
          <w:szCs w:val="21"/>
        </w:rPr>
      </w:pPr>
      <w:r>
        <w:rPr>
          <w:rFonts w:hint="eastAsia"/>
          <w:sz w:val="21"/>
          <w:szCs w:val="21"/>
        </w:rPr>
        <w:t>2.活动内容策划和设计。包括但不限于总体活动策划、整体视觉设计、三审三校、活动执行统筹、嘉宾工作统筹及资源协同与沟通等。</w:t>
      </w:r>
    </w:p>
    <w:p>
      <w:pPr>
        <w:ind w:firstLine="420" w:firstLineChars="200"/>
        <w:rPr>
          <w:rFonts w:hint="eastAsia"/>
          <w:sz w:val="21"/>
          <w:szCs w:val="21"/>
        </w:rPr>
      </w:pPr>
      <w:r>
        <w:rPr>
          <w:rFonts w:hint="eastAsia"/>
          <w:sz w:val="21"/>
          <w:szCs w:val="21"/>
        </w:rPr>
        <w:t>3.氛围设计。包括但不限于活动场地的布置签到处及主背景墙和路线导视等。</w:t>
      </w:r>
    </w:p>
    <w:p>
      <w:pPr>
        <w:ind w:firstLine="420" w:firstLineChars="200"/>
        <w:rPr>
          <w:rFonts w:hint="eastAsia"/>
          <w:sz w:val="21"/>
          <w:szCs w:val="21"/>
        </w:rPr>
      </w:pPr>
      <w:r>
        <w:rPr>
          <w:rFonts w:hint="eastAsia"/>
          <w:sz w:val="21"/>
          <w:szCs w:val="21"/>
        </w:rPr>
        <w:t>4.会场搭建。包括但不限于舞台搭建、多媒体影音系统、灯光系统以及所需的配套电子设备等。</w:t>
      </w:r>
    </w:p>
    <w:p>
      <w:pPr>
        <w:ind w:firstLine="420" w:firstLineChars="200"/>
        <w:rPr>
          <w:rFonts w:hint="eastAsia"/>
          <w:sz w:val="21"/>
          <w:szCs w:val="21"/>
        </w:rPr>
      </w:pPr>
      <w:r>
        <w:rPr>
          <w:rFonts w:hint="eastAsia"/>
          <w:sz w:val="21"/>
          <w:szCs w:val="21"/>
        </w:rPr>
        <w:t>5.媒体宣传。包括在主流媒体的宣传和推广。</w:t>
      </w:r>
    </w:p>
    <w:p>
      <w:pPr>
        <w:ind w:firstLine="420" w:firstLineChars="200"/>
        <w:rPr>
          <w:rFonts w:hint="eastAsia"/>
          <w:sz w:val="21"/>
          <w:szCs w:val="21"/>
        </w:rPr>
      </w:pPr>
      <w:r>
        <w:rPr>
          <w:rFonts w:hint="eastAsia"/>
          <w:sz w:val="21"/>
          <w:szCs w:val="21"/>
        </w:rPr>
        <w:t>6.摄影摄像。摄影和摄像人员至少各1名。</w:t>
      </w:r>
    </w:p>
    <w:p>
      <w:pPr>
        <w:ind w:firstLine="420" w:firstLineChars="200"/>
        <w:rPr>
          <w:rFonts w:hint="eastAsia"/>
          <w:sz w:val="21"/>
          <w:szCs w:val="21"/>
        </w:rPr>
      </w:pPr>
      <w:r>
        <w:rPr>
          <w:rFonts w:hint="eastAsia"/>
          <w:sz w:val="21"/>
          <w:szCs w:val="21"/>
        </w:rPr>
        <w:t>7.活动物料准备。包括但不限于会议物料、签约道具、沙发及茶几等。</w:t>
      </w:r>
    </w:p>
    <w:p>
      <w:pPr>
        <w:ind w:firstLine="420" w:firstLineChars="200"/>
        <w:rPr>
          <w:rFonts w:hint="eastAsia"/>
          <w:sz w:val="21"/>
          <w:szCs w:val="21"/>
        </w:rPr>
      </w:pPr>
      <w:r>
        <w:rPr>
          <w:rFonts w:hint="eastAsia"/>
          <w:sz w:val="21"/>
          <w:szCs w:val="21"/>
        </w:rPr>
        <w:t>8.交通食宿。负责人员接待、交通食宿、物料运输等。</w:t>
      </w:r>
    </w:p>
    <w:p>
      <w:pPr>
        <w:ind w:firstLine="420" w:firstLineChars="200"/>
        <w:rPr>
          <w:rFonts w:ascii="方正仿宋_GBK" w:hAnsi="方正仿宋_GBK" w:cs="方正仿宋_GBK"/>
          <w:szCs w:val="32"/>
        </w:rPr>
      </w:pPr>
      <w:r>
        <w:rPr>
          <w:rFonts w:hint="eastAsia"/>
          <w:sz w:val="21"/>
          <w:szCs w:val="21"/>
        </w:rPr>
        <w:t>9.其他完成本项目所需要的工作。</w:t>
      </w:r>
      <w:r>
        <w:rPr>
          <w:rFonts w:hint="eastAsia" w:ascii="方正仿宋_GBK" w:hAnsi="方正仿宋_GBK" w:cs="方正仿宋_GBK"/>
          <w:szCs w:val="32"/>
        </w:rPr>
        <w:t>　　　　　　　　　　</w:t>
      </w:r>
    </w:p>
    <w:p>
      <w:pPr>
        <w:overflowPunct w:val="0"/>
        <w:spacing w:line="520" w:lineRule="exact"/>
        <w:ind w:firstLine="420" w:firstLineChars="200"/>
        <w:rPr>
          <w:rFonts w:hint="eastAsia" w:ascii="方正仿宋_GBK" w:hAnsi="方正仿宋_GBK" w:cs="方正仿宋_GBK"/>
          <w:szCs w:val="32"/>
        </w:rPr>
      </w:pPr>
      <w:r>
        <w:rPr>
          <w:rFonts w:hint="eastAsia" w:ascii="方正仿宋_GBK" w:hAnsi="方正仿宋_GBK" w:cs="方正仿宋_GBK"/>
          <w:szCs w:val="32"/>
        </w:rPr>
        <w:t>服务要求：</w:t>
      </w:r>
    </w:p>
    <w:p>
      <w:pPr>
        <w:pStyle w:val="10"/>
        <w:spacing w:line="240" w:lineRule="auto"/>
        <w:ind w:firstLineChars="200"/>
        <w:rPr>
          <w:rFonts w:hint="eastAsia" w:ascii="Times New Roman" w:hAnsi="Times New Roman" w:eastAsia="宋体"/>
          <w:sz w:val="21"/>
          <w:szCs w:val="21"/>
        </w:rPr>
      </w:pPr>
      <w:r>
        <w:rPr>
          <w:rFonts w:hint="eastAsia" w:ascii="Times New Roman" w:hAnsi="Times New Roman" w:eastAsia="宋体"/>
          <w:sz w:val="21"/>
          <w:szCs w:val="21"/>
        </w:rPr>
        <w:t>（一）具体要求</w:t>
      </w:r>
    </w:p>
    <w:p>
      <w:pPr>
        <w:pStyle w:val="10"/>
        <w:spacing w:line="240" w:lineRule="auto"/>
        <w:ind w:firstLineChars="200"/>
        <w:rPr>
          <w:rFonts w:hint="eastAsia" w:ascii="Times New Roman" w:hAnsi="Times New Roman" w:eastAsia="宋体"/>
          <w:sz w:val="21"/>
          <w:szCs w:val="21"/>
        </w:rPr>
      </w:pPr>
      <w:r>
        <w:rPr>
          <w:rFonts w:hint="eastAsia" w:ascii="Times New Roman" w:hAnsi="Times New Roman" w:eastAsia="宋体"/>
          <w:sz w:val="21"/>
          <w:szCs w:val="21"/>
        </w:rPr>
        <w:t>1.活动整体策划方案要充分体现“成渝联动·智创共赢”主题内容，活动门头标识清晰，造型大方醒目，要具有成渝双城的元素。</w:t>
      </w:r>
    </w:p>
    <w:p>
      <w:pPr>
        <w:pStyle w:val="10"/>
        <w:spacing w:line="240" w:lineRule="auto"/>
        <w:ind w:firstLineChars="200"/>
        <w:rPr>
          <w:rFonts w:hint="eastAsia" w:ascii="Times New Roman" w:hAnsi="Times New Roman" w:eastAsia="宋体"/>
          <w:sz w:val="21"/>
          <w:szCs w:val="21"/>
        </w:rPr>
      </w:pPr>
      <w:r>
        <w:rPr>
          <w:rFonts w:hint="eastAsia" w:ascii="Times New Roman" w:hAnsi="Times New Roman" w:eastAsia="宋体"/>
          <w:sz w:val="21"/>
          <w:szCs w:val="21"/>
        </w:rPr>
        <w:t>2.活动的环节设置要切合本活动主题，人员安排调度适当。</w:t>
      </w:r>
    </w:p>
    <w:p>
      <w:pPr>
        <w:pStyle w:val="10"/>
        <w:spacing w:line="240" w:lineRule="auto"/>
        <w:ind w:firstLineChars="200"/>
        <w:rPr>
          <w:rFonts w:hint="eastAsia" w:ascii="Times New Roman" w:hAnsi="Times New Roman" w:eastAsia="宋体"/>
          <w:sz w:val="21"/>
          <w:szCs w:val="21"/>
        </w:rPr>
      </w:pPr>
      <w:r>
        <w:rPr>
          <w:rFonts w:hint="eastAsia" w:ascii="Times New Roman" w:hAnsi="Times New Roman" w:eastAsia="宋体"/>
          <w:sz w:val="21"/>
          <w:szCs w:val="21"/>
        </w:rPr>
        <w:t>3.应急预案制定完善，利于操作，能及时应对突发事件，承诺突发事件在30分钟内作出解决。</w:t>
      </w:r>
    </w:p>
    <w:p>
      <w:pPr>
        <w:pStyle w:val="10"/>
        <w:spacing w:line="240" w:lineRule="auto"/>
        <w:ind w:firstLineChars="200"/>
        <w:rPr>
          <w:rFonts w:hint="eastAsia" w:ascii="Times New Roman" w:hAnsi="Times New Roman" w:eastAsia="宋体"/>
          <w:sz w:val="21"/>
          <w:szCs w:val="21"/>
        </w:rPr>
      </w:pPr>
      <w:r>
        <w:rPr>
          <w:rFonts w:hint="eastAsia" w:ascii="Times New Roman" w:hAnsi="Times New Roman" w:eastAsia="宋体"/>
          <w:sz w:val="21"/>
          <w:szCs w:val="21"/>
        </w:rPr>
        <w:t>（二）执行方面</w:t>
      </w:r>
    </w:p>
    <w:p>
      <w:pPr>
        <w:pStyle w:val="10"/>
        <w:spacing w:line="240" w:lineRule="auto"/>
        <w:ind w:firstLineChars="200"/>
        <w:rPr>
          <w:rFonts w:hint="eastAsia" w:ascii="Times New Roman" w:hAnsi="Times New Roman" w:eastAsia="宋体"/>
          <w:sz w:val="21"/>
          <w:szCs w:val="21"/>
        </w:rPr>
      </w:pPr>
      <w:r>
        <w:rPr>
          <w:rFonts w:hint="eastAsia" w:ascii="Times New Roman" w:hAnsi="Times New Roman" w:eastAsia="宋体"/>
          <w:sz w:val="21"/>
          <w:szCs w:val="21"/>
        </w:rPr>
        <w:t>1.所有设计搭建必须按照绿色设计、绿色选材和绿色安全施工要求推进实施。</w:t>
      </w:r>
    </w:p>
    <w:p>
      <w:pPr>
        <w:pStyle w:val="10"/>
        <w:spacing w:line="240" w:lineRule="auto"/>
        <w:ind w:firstLineChars="200"/>
        <w:rPr>
          <w:rFonts w:hint="eastAsia" w:ascii="Times New Roman" w:hAnsi="Times New Roman" w:eastAsia="宋体"/>
          <w:sz w:val="21"/>
          <w:szCs w:val="21"/>
        </w:rPr>
      </w:pPr>
      <w:r>
        <w:rPr>
          <w:rFonts w:hint="eastAsia" w:ascii="Times New Roman" w:hAnsi="Times New Roman" w:eastAsia="宋体"/>
          <w:sz w:val="21"/>
          <w:szCs w:val="21"/>
        </w:rPr>
        <w:t>2.执行中，能良好沟通协调活动中涉及的相关部门，对各类事情都反应迅速。</w:t>
      </w:r>
    </w:p>
    <w:p>
      <w:pPr>
        <w:pStyle w:val="10"/>
        <w:spacing w:line="240" w:lineRule="auto"/>
        <w:ind w:firstLineChars="200"/>
        <w:rPr>
          <w:rFonts w:hint="eastAsia" w:ascii="Times New Roman" w:hAnsi="Times New Roman" w:eastAsia="宋体"/>
          <w:sz w:val="21"/>
          <w:szCs w:val="21"/>
        </w:rPr>
      </w:pPr>
      <w:r>
        <w:rPr>
          <w:rFonts w:hint="eastAsia" w:ascii="Times New Roman" w:hAnsi="Times New Roman" w:eastAsia="宋体"/>
          <w:sz w:val="21"/>
          <w:szCs w:val="21"/>
        </w:rPr>
        <w:t>3.按照相关安全要求执行对接各项任务，确保执行过程的安全，无事故、无隐患。如果在执行过程中出现安全事故，策划执行方承担一切后果。</w:t>
      </w:r>
    </w:p>
    <w:p>
      <w:pPr>
        <w:pStyle w:val="10"/>
        <w:spacing w:line="240" w:lineRule="auto"/>
        <w:ind w:firstLineChars="200"/>
        <w:rPr>
          <w:rFonts w:ascii="Times New Roman" w:hAnsi="Times New Roman" w:eastAsia="宋体"/>
          <w:sz w:val="21"/>
          <w:szCs w:val="21"/>
        </w:rPr>
      </w:pPr>
      <w:r>
        <w:rPr>
          <w:rFonts w:hint="eastAsia" w:ascii="Times New Roman" w:hAnsi="Times New Roman" w:eastAsia="宋体"/>
          <w:sz w:val="21"/>
          <w:szCs w:val="21"/>
        </w:rPr>
        <w:t>4.能随时按采购人要求无条件修改策划、设计方案和变更执行，并能提出合理的建议，不得增加价格。</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5.要按照采购人要求的时间保质保量完成活动场地搭建及撤除工作。</w:t>
      </w:r>
    </w:p>
    <w:p>
      <w:pPr>
        <w:pStyle w:val="10"/>
        <w:spacing w:line="240" w:lineRule="auto"/>
        <w:ind w:firstLineChars="200"/>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（三）其他要求</w:t>
      </w:r>
    </w:p>
    <w:p>
      <w:pPr>
        <w:pStyle w:val="10"/>
        <w:spacing w:line="240" w:lineRule="auto"/>
        <w:ind w:firstLineChars="200"/>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1.乙方须承诺活动现场相关负责人员须保证24小时活动支持服务，提供现场服务人员名单、有效通讯等信息，并保证信息的准确性。</w:t>
      </w:r>
    </w:p>
    <w:p>
      <w:pPr>
        <w:pStyle w:val="10"/>
        <w:spacing w:line="240" w:lineRule="auto"/>
        <w:ind w:firstLineChars="200"/>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2.乙方须综合考虑本项目相关活动流程所产生的所有费用，应充分衡量和估计本项目履行中可能发生的其他潜在导致价格变动的风险因素，报价接受后视为就本项目所有所需服务及所需相应设施、设备、材料、人员、耗材及各类检验报告等已经包含在该价格中，且不做任何调整。服务要求中所产生的一切费用均由乙方支付，活动期间如因对项目理解及活动规模不充足导致活动延期或出现服务停滞情况所产生的一切损失均由乙方负责。</w:t>
      </w:r>
    </w:p>
    <w:p>
      <w:pPr>
        <w:pStyle w:val="10"/>
        <w:spacing w:line="240" w:lineRule="auto"/>
        <w:ind w:firstLineChars="200"/>
        <w:rPr>
          <w:rFonts w:ascii="方正仿宋_GBK" w:hAnsi="方正仿宋_GBK" w:cs="方正仿宋_GBK"/>
          <w:szCs w:val="32"/>
        </w:rPr>
      </w:pPr>
      <w:r>
        <w:rPr>
          <w:rFonts w:hint="eastAsia" w:ascii="Times New Roman" w:hAnsi="Times New Roman" w:eastAsia="宋体" w:cstheme="minorBidi"/>
          <w:kern w:val="2"/>
          <w:sz w:val="21"/>
          <w:szCs w:val="21"/>
          <w:lang w:val="en-US" w:eastAsia="zh-CN" w:bidi="ar-SA"/>
        </w:rPr>
        <w:t>3.乙方应根据本项目的内容和要求，制定完成本次采购相关服务的总体需求理解及策划方案、实施方案、安全管理及应急方案、综合协调方案等。　　</w:t>
      </w:r>
      <w:r>
        <w:rPr>
          <w:rFonts w:hint="eastAsia" w:ascii="方正仿宋_GBK" w:hAnsi="方正仿宋_GBK" w:cs="方正仿宋_GBK"/>
          <w:szCs w:val="32"/>
        </w:rPr>
        <w:t>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服务期限：2025年9月25日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服务地点：成都武侯渝江皇冠假日酒店　　　　　　　　　　</w:t>
      </w:r>
    </w:p>
    <w:p>
      <w:pPr>
        <w:overflowPunct w:val="0"/>
        <w:spacing w:line="520" w:lineRule="exact"/>
        <w:rPr>
          <w:rFonts w:ascii="黑体" w:hAnsi="黑体" w:eastAsia="黑体"/>
          <w:szCs w:val="32"/>
        </w:rPr>
      </w:pPr>
      <w:r>
        <w:rPr>
          <w:rFonts w:hint="eastAsia" w:ascii="方正黑体_GBK" w:hAnsi="黑体" w:eastAsia="方正黑体_GBK"/>
          <w:szCs w:val="32"/>
        </w:rPr>
        <w:t>七、验收（或终止）日期：</w:t>
      </w:r>
      <w:r>
        <w:rPr>
          <w:rFonts w:hint="eastAsia" w:ascii="仿宋" w:hAnsi="仿宋" w:eastAsia="仿宋"/>
          <w:szCs w:val="32"/>
          <w:u w:val="single"/>
        </w:rPr>
        <w:t>　</w:t>
      </w:r>
      <w:r>
        <w:rPr>
          <w:rFonts w:hint="eastAsia" w:ascii="仿宋" w:hAnsi="仿宋" w:eastAsia="仿宋"/>
          <w:szCs w:val="32"/>
          <w:u w:val="single"/>
          <w:lang w:val="en-US" w:eastAsia="zh-CN"/>
        </w:rPr>
        <w:t>2025年9月30日</w:t>
      </w:r>
      <w:r>
        <w:rPr>
          <w:rFonts w:hint="eastAsia" w:ascii="仿宋" w:hAnsi="仿宋" w:eastAsia="仿宋"/>
          <w:szCs w:val="32"/>
          <w:u w:val="single"/>
        </w:rPr>
        <w:t>　　　　</w:t>
      </w:r>
    </w:p>
    <w:p>
      <w:pPr>
        <w:overflowPunct w:val="0"/>
        <w:spacing w:line="520" w:lineRule="exact"/>
        <w:rPr>
          <w:rFonts w:ascii="黑体" w:hAnsi="黑体" w:eastAsia="黑体"/>
          <w:szCs w:val="32"/>
        </w:rPr>
      </w:pPr>
      <w:r>
        <w:rPr>
          <w:rFonts w:hint="eastAsia" w:ascii="方正黑体_GBK" w:hAnsi="黑体" w:eastAsia="方正黑体_GBK"/>
          <w:szCs w:val="32"/>
        </w:rPr>
        <w:t>八、验收组成员：</w:t>
      </w:r>
      <w:r>
        <w:rPr>
          <w:rFonts w:hint="eastAsia" w:ascii="仿宋" w:hAnsi="仿宋" w:eastAsia="仿宋"/>
          <w:szCs w:val="32"/>
          <w:u w:val="single"/>
        </w:rPr>
        <w:t>　</w:t>
      </w:r>
      <w:r>
        <w:rPr>
          <w:rFonts w:hint="eastAsia" w:ascii="仿宋" w:hAnsi="仿宋" w:eastAsia="仿宋"/>
          <w:szCs w:val="32"/>
          <w:u w:val="single"/>
          <w:lang w:eastAsia="zh-CN"/>
        </w:rPr>
        <w:t>招商统筹处</w:t>
      </w:r>
      <w:r>
        <w:rPr>
          <w:rFonts w:hint="eastAsia" w:ascii="仿宋" w:hAnsi="仿宋" w:eastAsia="仿宋"/>
          <w:szCs w:val="32"/>
          <w:u w:val="single"/>
        </w:rPr>
        <w:t>　　</w:t>
      </w:r>
    </w:p>
    <w:p>
      <w:pPr>
        <w:overflowPunct w:val="0"/>
        <w:spacing w:line="520" w:lineRule="exact"/>
        <w:rPr>
          <w:rFonts w:ascii="仿宋" w:hAnsi="仿宋" w:eastAsia="仿宋"/>
          <w:szCs w:val="32"/>
          <w:u w:val="single"/>
        </w:rPr>
      </w:pPr>
      <w:r>
        <w:rPr>
          <w:rFonts w:hint="eastAsia" w:ascii="方正黑体_GBK" w:hAnsi="黑体" w:eastAsia="方正黑体_GBK"/>
          <w:szCs w:val="32"/>
        </w:rPr>
        <w:t>九、验收（或终止）意见：</w:t>
      </w:r>
      <w:r>
        <w:rPr>
          <w:rFonts w:hint="eastAsia" w:ascii="仿宋" w:hAnsi="仿宋" w:eastAsia="仿宋"/>
          <w:szCs w:val="32"/>
          <w:u w:val="single"/>
        </w:rPr>
        <w:t>　</w:t>
      </w:r>
      <w:r>
        <w:rPr>
          <w:rFonts w:hint="eastAsia" w:ascii="仿宋" w:hAnsi="仿宋" w:eastAsia="仿宋"/>
          <w:szCs w:val="32"/>
          <w:u w:val="single"/>
          <w:lang w:eastAsia="zh-CN"/>
        </w:rPr>
        <w:t>验收通过</w:t>
      </w:r>
      <w:r>
        <w:rPr>
          <w:rFonts w:hint="eastAsia" w:ascii="仿宋" w:hAnsi="仿宋" w:eastAsia="仿宋"/>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自本公告发布之日起2个工作日。</w:t>
      </w:r>
    </w:p>
    <w:p>
      <w:pPr>
        <w:overflowPunct w:val="0"/>
        <w:spacing w:line="520" w:lineRule="exact"/>
        <w:rPr>
          <w:rFonts w:ascii="仿宋" w:hAnsi="仿宋" w:eastAsia="仿宋"/>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bookmarkStart w:id="0" w:name="_GoBack"/>
      <w:bookmarkEnd w:id="0"/>
    </w:p>
    <w:p>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left="4788" w:leftChars="2280" w:firstLine="5621" w:firstLineChars="2000"/>
      <w:jc w:val="right"/>
      <w:rPr>
        <w:rFonts w:hint="eastAsia"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rFonts w:hint="eastAsia" w:eastAsia="仿宋"/>
        <w:sz w:val="32"/>
        <w:szCs w:val="48"/>
      </w:rPr>
      <w:t xml:space="preserve">  </w:t>
    </w:r>
  </w:p>
  <w:p>
    <w:pPr>
      <w:pStyle w:val="8"/>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8"/>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DFB6FE"/>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7A34459"/>
    <w:rsid w:val="79C65162"/>
    <w:rsid w:val="7C22076C"/>
    <w:rsid w:val="7C9011D9"/>
    <w:rsid w:val="7DC651C5"/>
    <w:rsid w:val="7DF350ED"/>
    <w:rsid w:val="7F33383F"/>
    <w:rsid w:val="7F9DA0E8"/>
    <w:rsid w:val="7FCC2834"/>
    <w:rsid w:val="7FF6A4EF"/>
    <w:rsid w:val="7FF7782A"/>
    <w:rsid w:val="92DD1CEF"/>
    <w:rsid w:val="F05B4F69"/>
    <w:rsid w:val="F97D9566"/>
    <w:rsid w:val="FAB947D2"/>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rPr>
      <w:rFonts w:ascii="仿宋_GB2312" w:eastAsia="仿宋_GB2312"/>
      <w:sz w:val="32"/>
    </w:rPr>
  </w:style>
  <w:style w:type="paragraph" w:styleId="5">
    <w:name w:val="Quote"/>
    <w:basedOn w:val="1"/>
    <w:next w:val="1"/>
    <w:qFormat/>
    <w:uiPriority w:val="0"/>
    <w:pPr>
      <w:wordWrap w:val="0"/>
      <w:spacing w:before="200" w:after="160"/>
      <w:ind w:left="864" w:right="864"/>
      <w:jc w:val="center"/>
    </w:pPr>
    <w:rPr>
      <w:i/>
      <w:sz w:val="21"/>
    </w:rPr>
  </w:style>
  <w:style w:type="paragraph" w:styleId="6">
    <w:name w:val="Body Text Indent"/>
    <w:basedOn w:val="1"/>
    <w:link w:val="15"/>
    <w:unhideWhenUsed/>
    <w:qFormat/>
    <w:uiPriority w:val="99"/>
    <w:pPr>
      <w:spacing w:after="120"/>
      <w:ind w:left="420" w:leftChars="200"/>
    </w:pPr>
    <w:rPr>
      <w:rFonts w:ascii="Calibri" w:hAnsi="Calibri" w:eastAsia="宋体" w:cs="宋体"/>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4"/>
    <w:next w:val="1"/>
    <w:qFormat/>
    <w:uiPriority w:val="0"/>
    <w:pPr>
      <w:spacing w:line="360" w:lineRule="auto"/>
      <w:ind w:firstLine="420"/>
    </w:pPr>
    <w:rPr>
      <w:rFonts w:ascii="宋体" w:hAnsi="宋体"/>
      <w:sz w:val="24"/>
    </w:rPr>
  </w:style>
  <w:style w:type="character" w:styleId="13">
    <w:name w:val="Strong"/>
    <w:basedOn w:val="12"/>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正文文本缩进 字符"/>
    <w:basedOn w:val="12"/>
    <w:link w:val="6"/>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2084</Words>
  <Characters>2132</Characters>
  <Lines>5</Lines>
  <Paragraphs>1</Paragraphs>
  <TotalTime>0</TotalTime>
  <ScaleCrop>false</ScaleCrop>
  <LinksUpToDate>false</LinksUpToDate>
  <CharactersWithSpaces>2616</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guest</cp:lastModifiedBy>
  <cp:lastPrinted>2022-05-13T00:46:00Z</cp:lastPrinted>
  <dcterms:modified xsi:type="dcterms:W3CDTF">2025-10-21T14:20:42Z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D788A0CCEF21F19E45863668813CD02B_43</vt:lpwstr>
  </property>
</Properties>
</file>