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EDF2C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>重庆市与京津冀地区产业对接活动</w:t>
      </w:r>
    </w:p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组织实施服务项目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CQCBJQ2509-429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重庆市与京津冀地区产业对接活动组织实施服务项目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  <w:bookmarkStart w:id="0" w:name="_GoBack"/>
      <w:bookmarkEnd w:id="0"/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重庆市与京津冀地区产业对接活动组织实施服务项目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490000.00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天津大时广告传媒有限公司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1179"/>
        <w:gridCol w:w="1179"/>
        <w:gridCol w:w="1179"/>
        <w:gridCol w:w="1180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天津大时广告传媒有限公司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42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17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89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玖峰（天津）展览有限公司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16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32.67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29.97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78.64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海口美兰环时文化科技中心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24.67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29.88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63.55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王麒越、杜楠竹、谢智明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谢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）63896619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166C35D4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8564D75"/>
    <w:rsid w:val="2B7A3236"/>
    <w:rsid w:val="2C0758FA"/>
    <w:rsid w:val="2D9E19EB"/>
    <w:rsid w:val="30A47041"/>
    <w:rsid w:val="310E6497"/>
    <w:rsid w:val="31906646"/>
    <w:rsid w:val="33E24057"/>
    <w:rsid w:val="33F77F81"/>
    <w:rsid w:val="37706F63"/>
    <w:rsid w:val="385A15C8"/>
    <w:rsid w:val="388001CF"/>
    <w:rsid w:val="39AE6463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478</Characters>
  <Lines>2</Lines>
  <Paragraphs>1</Paragraphs>
  <TotalTime>0</TotalTime>
  <ScaleCrop>false</ScaleCrop>
  <LinksUpToDate>false</LinksUpToDate>
  <CharactersWithSpaces>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2025-10-15T07:36:39Z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