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履约结果公告（模板）</w:t>
      </w:r>
    </w:p>
    <w:p>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一、合同编号：</w:t>
      </w:r>
      <w:r>
        <w:rPr>
          <w:rFonts w:hint="eastAsia" w:ascii="方正黑体_GBK" w:hAnsi="仿宋" w:eastAsia="方正黑体_GBK"/>
          <w:szCs w:val="32"/>
          <w:u w:val="single"/>
        </w:rPr>
        <w:t>　</w:t>
      </w:r>
      <w:r>
        <w:rPr>
          <w:rFonts w:hint="eastAsia" w:ascii="方正黑体_GBK" w:hAnsi="仿宋" w:eastAsia="方正黑体_GBK"/>
          <w:szCs w:val="32"/>
          <w:u w:val="single"/>
          <w:lang w:val="en-US" w:eastAsia="zh-CN"/>
        </w:rPr>
        <w:t xml:space="preserve">CQCBJQ2503-111 </w:t>
      </w:r>
      <w:r>
        <w:rPr>
          <w:rFonts w:hint="eastAsia" w:ascii="方正黑体_GBK" w:hAnsi="黑体" w:eastAsia="方正黑体_GBK"/>
          <w:szCs w:val="32"/>
        </w:rPr>
        <w:t>　</w:t>
      </w:r>
    </w:p>
    <w:p>
      <w:pPr>
        <w:overflowPunct w:val="0"/>
        <w:spacing w:line="520" w:lineRule="exact"/>
        <w:rPr>
          <w:rFonts w:ascii="黑体" w:hAnsi="黑体" w:eastAsia="黑体"/>
          <w:szCs w:val="32"/>
          <w:u w:val="single"/>
        </w:rPr>
      </w:pPr>
      <w:r>
        <w:rPr>
          <w:rFonts w:hint="eastAsia" w:ascii="方正黑体_GBK" w:hAnsi="黑体" w:eastAsia="方正黑体_GBK"/>
          <w:szCs w:val="32"/>
        </w:rPr>
        <w:t>二、合同名称：</w:t>
      </w:r>
      <w:r>
        <w:rPr>
          <w:rFonts w:hint="eastAsia" w:ascii="仿宋" w:hAnsi="仿宋" w:eastAsia="仿宋"/>
          <w:szCs w:val="32"/>
          <w:u w:val="single"/>
        </w:rPr>
        <w:t>　</w:t>
      </w:r>
      <w:r>
        <w:rPr>
          <w:rFonts w:hint="eastAsia" w:eastAsia="仿宋"/>
          <w:kern w:val="0"/>
          <w:sz w:val="21"/>
          <w:szCs w:val="21"/>
          <w:u w:val="single"/>
          <w:lang w:eastAsia="zh-CN"/>
        </w:rPr>
        <w:t>“投行投重庆”系列活动——重点招引企业与重庆市产业合作圆桌交流</w:t>
      </w:r>
      <w:r>
        <w:rPr>
          <w:kern w:val="0"/>
          <w:sz w:val="21"/>
          <w:szCs w:val="21"/>
          <w:u w:val="single"/>
        </w:rPr>
        <w:t>活动组织实施服务项目</w:t>
      </w:r>
      <w:r>
        <w:rPr>
          <w:rFonts w:hint="eastAsia"/>
          <w:kern w:val="0"/>
          <w:sz w:val="21"/>
          <w:szCs w:val="21"/>
          <w:u w:val="single"/>
          <w:lang w:eastAsia="zh-CN"/>
        </w:rPr>
        <w:t>政府采购合同</w:t>
      </w:r>
      <w:r>
        <w:rPr>
          <w:rFonts w:hint="eastAsia" w:ascii="仿宋" w:hAnsi="仿宋" w:eastAsia="仿宋"/>
          <w:szCs w:val="32"/>
          <w:u w:val="single"/>
        </w:rPr>
        <w:t>　</w:t>
      </w:r>
    </w:p>
    <w:p>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三、项目编号：</w:t>
      </w:r>
      <w:r>
        <w:rPr>
          <w:rFonts w:hint="eastAsia" w:ascii="方正黑体_GBK" w:hAnsi="仿宋" w:eastAsia="方正黑体_GBK"/>
          <w:szCs w:val="32"/>
          <w:u w:val="single"/>
        </w:rPr>
        <w:t>　</w:t>
      </w:r>
      <w:r>
        <w:rPr>
          <w:rFonts w:hint="eastAsia" w:ascii="方正黑体_GBK" w:hAnsi="仿宋" w:eastAsia="方正黑体_GBK"/>
          <w:szCs w:val="32"/>
          <w:u w:val="single"/>
          <w:lang w:val="en-US" w:eastAsia="zh-CN"/>
        </w:rPr>
        <w:t xml:space="preserve">CQCBJQ2503-111 </w:t>
      </w:r>
      <w:r>
        <w:rPr>
          <w:rFonts w:hint="eastAsia" w:ascii="方正黑体_GBK" w:hAnsi="黑体" w:eastAsia="方正黑体_GBK"/>
          <w:szCs w:val="32"/>
        </w:rPr>
        <w:t>　</w:t>
      </w:r>
    </w:p>
    <w:p>
      <w:pPr>
        <w:overflowPunct w:val="0"/>
        <w:spacing w:line="520" w:lineRule="exact"/>
        <w:rPr>
          <w:rFonts w:ascii="黑体" w:hAnsi="黑体" w:eastAsia="黑体"/>
          <w:szCs w:val="32"/>
        </w:rPr>
      </w:pPr>
      <w:r>
        <w:rPr>
          <w:rFonts w:hint="eastAsia" w:ascii="方正黑体_GBK" w:hAnsi="黑体" w:eastAsia="方正黑体_GBK"/>
          <w:szCs w:val="32"/>
        </w:rPr>
        <w:t>四、项目名称：</w:t>
      </w:r>
      <w:r>
        <w:rPr>
          <w:rFonts w:hint="eastAsia" w:ascii="仿宋" w:hAnsi="仿宋" w:eastAsia="仿宋"/>
          <w:szCs w:val="32"/>
          <w:u w:val="single"/>
        </w:rPr>
        <w:t>　</w:t>
      </w:r>
      <w:r>
        <w:rPr>
          <w:rFonts w:hint="eastAsia" w:eastAsia="仿宋"/>
          <w:kern w:val="0"/>
          <w:sz w:val="21"/>
          <w:szCs w:val="21"/>
          <w:u w:val="single"/>
          <w:lang w:eastAsia="zh-CN"/>
        </w:rPr>
        <w:t>“投行投重庆”系列活动——重点招引企业与重庆市产业合作圆桌交流</w:t>
      </w:r>
      <w:r>
        <w:rPr>
          <w:kern w:val="0"/>
          <w:sz w:val="21"/>
          <w:szCs w:val="21"/>
          <w:u w:val="single"/>
        </w:rPr>
        <w:t>活动组织实施服务项目</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采购人（甲方）：</w:t>
      </w:r>
      <w:r>
        <w:rPr>
          <w:rFonts w:hint="eastAsia" w:ascii="方正仿宋_GBK" w:hAnsi="方正仿宋_GBK" w:cs="方正仿宋_GBK"/>
          <w:szCs w:val="32"/>
          <w:u w:val="single"/>
        </w:rPr>
        <w:t>重庆市经济和信息化委员会</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重庆市两江新区云杉南路12号</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rPr>
        <w:t>（023）63895</w:t>
      </w:r>
      <w:r>
        <w:rPr>
          <w:rFonts w:hint="eastAsia" w:ascii="方正仿宋_GBK" w:hAnsi="方正仿宋_GBK" w:cs="方正仿宋_GBK"/>
          <w:szCs w:val="32"/>
          <w:u w:val="single"/>
          <w:lang w:val="en-US" w:eastAsia="zh-CN"/>
        </w:rPr>
        <w:t>77</w:t>
      </w:r>
      <w:r>
        <w:rPr>
          <w:rFonts w:hint="eastAsia" w:ascii="方正仿宋_GBK" w:hAnsi="方正仿宋_GBK" w:cs="方正仿宋_GBK"/>
          <w:szCs w:val="32"/>
          <w:u w:val="single"/>
        </w:rPr>
        <w:t>3</w:t>
      </w:r>
    </w:p>
    <w:p>
      <w:pPr>
        <w:overflowPunct w:val="0"/>
        <w:spacing w:line="520" w:lineRule="exact"/>
        <w:ind w:firstLine="420" w:firstLineChars="200"/>
        <w:rPr>
          <w:rFonts w:hint="eastAsia" w:ascii="方正仿宋_GBK" w:hAnsi="方正仿宋_GBK" w:cs="方正仿宋_GBK" w:eastAsiaTheme="minorEastAsia"/>
          <w:szCs w:val="32"/>
          <w:u w:val="single"/>
          <w:lang w:eastAsia="zh-CN"/>
        </w:rPr>
      </w:pPr>
      <w:r>
        <w:rPr>
          <w:rFonts w:hint="eastAsia" w:ascii="方正仿宋_GBK" w:hAnsi="方正仿宋_GBK" w:cs="方正仿宋_GBK"/>
          <w:szCs w:val="32"/>
        </w:rPr>
        <w:t>供应商（乙方）：</w:t>
      </w:r>
      <w:r>
        <w:rPr>
          <w:rFonts w:hint="eastAsia" w:ascii="方正仿宋_GBK" w:hAnsi="方正仿宋_GBK" w:cs="方正仿宋_GBK"/>
          <w:szCs w:val="32"/>
          <w:u w:val="single"/>
        </w:rPr>
        <w:t>　</w:t>
      </w:r>
      <w:r>
        <w:rPr>
          <w:sz w:val="21"/>
          <w:szCs w:val="21"/>
          <w:u w:val="single"/>
        </w:rPr>
        <w:t>重庆市</w:t>
      </w:r>
      <w:r>
        <w:rPr>
          <w:rFonts w:hint="eastAsia"/>
          <w:sz w:val="21"/>
          <w:szCs w:val="21"/>
          <w:u w:val="single"/>
          <w:lang w:eastAsia="zh-CN"/>
        </w:rPr>
        <w:t>赛斯企业管理有限公司</w:t>
      </w:r>
    </w:p>
    <w:p>
      <w:pPr>
        <w:spacing w:line="240" w:lineRule="atLeast"/>
        <w:ind w:firstLine="420" w:firstLineChars="200"/>
        <w:rPr>
          <w:rFonts w:hint="default" w:eastAsiaTheme="minorEastAsia"/>
          <w:sz w:val="21"/>
          <w:szCs w:val="21"/>
          <w:lang w:val="en-US" w:eastAsia="zh-CN"/>
        </w:rPr>
      </w:pPr>
      <w:r>
        <w:rPr>
          <w:sz w:val="21"/>
          <w:szCs w:val="21"/>
        </w:rPr>
        <w:t>地址：重庆市</w:t>
      </w:r>
      <w:r>
        <w:rPr>
          <w:rFonts w:hint="eastAsia"/>
          <w:sz w:val="21"/>
          <w:szCs w:val="21"/>
          <w:lang w:eastAsia="zh-CN"/>
        </w:rPr>
        <w:t>江北</w:t>
      </w:r>
      <w:r>
        <w:rPr>
          <w:sz w:val="21"/>
          <w:szCs w:val="21"/>
        </w:rPr>
        <w:t>区</w:t>
      </w:r>
      <w:r>
        <w:rPr>
          <w:rFonts w:hint="eastAsia"/>
          <w:sz w:val="21"/>
          <w:szCs w:val="21"/>
          <w:lang w:eastAsia="zh-CN"/>
        </w:rPr>
        <w:t>红黄路</w:t>
      </w:r>
      <w:r>
        <w:rPr>
          <w:sz w:val="21"/>
          <w:szCs w:val="21"/>
        </w:rPr>
        <w:t>6号</w:t>
      </w:r>
      <w:r>
        <w:rPr>
          <w:rFonts w:hint="eastAsia"/>
          <w:sz w:val="21"/>
          <w:szCs w:val="21"/>
          <w:lang w:eastAsia="zh-CN"/>
        </w:rPr>
        <w:t>帝豪丽都</w:t>
      </w:r>
      <w:r>
        <w:rPr>
          <w:rFonts w:hint="eastAsia"/>
          <w:sz w:val="21"/>
          <w:szCs w:val="21"/>
          <w:lang w:val="en-US" w:eastAsia="zh-CN"/>
        </w:rPr>
        <w:t>1号1-1B18</w:t>
      </w:r>
    </w:p>
    <w:p>
      <w:pPr>
        <w:spacing w:line="240" w:lineRule="atLeast"/>
        <w:ind w:firstLine="420" w:firstLineChars="200"/>
        <w:rPr>
          <w:rFonts w:hint="default" w:eastAsiaTheme="minorEastAsia"/>
          <w:sz w:val="21"/>
          <w:szCs w:val="21"/>
          <w:lang w:val="en-US" w:eastAsia="zh-CN"/>
        </w:rPr>
      </w:pPr>
      <w:r>
        <w:rPr>
          <w:rFonts w:hint="eastAsia"/>
          <w:sz w:val="21"/>
          <w:szCs w:val="21"/>
          <w:lang w:eastAsia="zh-CN"/>
        </w:rPr>
        <w:t>联系方式</w:t>
      </w:r>
      <w:r>
        <w:rPr>
          <w:sz w:val="21"/>
          <w:szCs w:val="21"/>
        </w:rPr>
        <w:t>：</w:t>
      </w:r>
      <w:r>
        <w:rPr>
          <w:rFonts w:hint="eastAsia"/>
          <w:sz w:val="21"/>
          <w:szCs w:val="21"/>
          <w:lang w:val="en-US" w:eastAsia="zh-CN"/>
        </w:rPr>
        <w:t>13983276986</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pPr>
        <w:ind w:firstLine="420" w:firstLineChars="200"/>
        <w:rPr>
          <w:rFonts w:hint="eastAsia" w:asciiTheme="minorEastAsia" w:hAnsiTheme="minorEastAsia" w:eastAsiaTheme="minorEastAsia" w:cstheme="minorEastAsia"/>
          <w:sz w:val="21"/>
          <w:szCs w:val="21"/>
        </w:rPr>
      </w:pPr>
      <w:r>
        <w:rPr>
          <w:rFonts w:hint="eastAsia" w:ascii="方正仿宋_GBK" w:hAnsi="方正仿宋_GBK" w:cs="方正仿宋_GBK"/>
          <w:sz w:val="21"/>
          <w:szCs w:val="21"/>
        </w:rPr>
        <w:t>服务内容：</w:t>
      </w:r>
      <w:r>
        <w:rPr>
          <w:rFonts w:hint="eastAsia" w:asciiTheme="minorEastAsia" w:hAnsiTheme="minorEastAsia" w:eastAsiaTheme="minorEastAsia" w:cstheme="minorEastAsia"/>
          <w:sz w:val="21"/>
          <w:szCs w:val="21"/>
        </w:rPr>
        <w:t>乙方应负责重点招引企业与重庆市产业合作圆桌交流活动组织实施服务。具体事项及要求：</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（一）负责活动整体策划。</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1.负责本次活动方案整体策划；</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2.负责本次活动流程设计及编排；</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3.负责本次活动主视觉设计、会场效果制作及延展设计；</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（二）负责活动氛围设计和营造以及现场搭建工作。</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1.根据甲方需求，负责会场设计，搭建布置及拆除；</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2.负责在会场内进行氛围设计和营造（包括但不限于主视觉VI以及各阶段海报宣传设计、延展电子画面、活动现场物料设计延展、串场电子画面等），包括配置标识指引等，会议结束后负责拆除；</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3.负责配备符合会议现场执行方要求的音频系统、视频系统，会议结束后负责拆除；</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4.会场的相关设计、布局、构造及搭建材料应积极倡导并充分体现绿色环保、循环利用的理念；</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5.负责会场搭建的人员管理、资源调度及安全保障，购买相关工作人员保险。</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（三）负责活动物料设计与制作。</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1.负责会场搭建相关平面设计，提供完整的设计方案（含场地和物料的效果图）；</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活动相关物料的设计、采购、制作、运输与交接，包括但不限于：沙发区桌牌亚克力T形立牌、嘉宾桌卡、坐序图、手卡、站位贴、会场宣传资料、《重庆投资指南》、现场签约道具、工作证件、导视牌、“投资重庆”徽章等大会所需要的物料。</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（四）负责本次活动会务统筹执行。</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1.整体统筹：执行方案制定、分工统筹，制定整体工作执行方案，成立工作小组，明确小组任务分工，按天调度各小组工作开展情况；</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2.分项统筹：</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（1）资源协调与沟通：负责市经济信息委处室、各市级部门、区县经信部门、区县意向考察龙头企业、各执行单位的协调与沟通等；</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（2）统筹嘉宾邀请工作：统筹邀请参会领导与嘉宾，并统筹安排现场接待工作；</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（3）路演嘉宾管理：负责对接10家投融资机构代表、10家企业代表，明确演讲主题方向，做好路演嘉宾管理工作；</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（4）支撑统筹参会人员组织工作：统筹汇总来渝企业、投融资机构、区县代表等参会单位信息，并做好现场人员分布工作；</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（5）会务协调统筹：对活动会务需求和物料明细进行统筹管理；</w:t>
      </w:r>
    </w:p>
    <w:p>
      <w:pPr>
        <w:widowControl/>
        <w:snapToGrid w:val="0"/>
        <w:spacing w:line="400" w:lineRule="exact"/>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（6）统筹现场彩排：统筹活动全流程彩排；</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（7）活动所需要的其他统筹协调工作。</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（五）负责活动嘉宾接待和考察用车保障。</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负责参会嘉宾车辆保障和安排，要求50座及以上大巴，并且不少于4辆。</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（六）媒体宣传</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1.视频制作和快剪：包括视频制作约4分钟、主题宣传片约3分钟、预热视频30-60s</w:t>
      </w:r>
      <w:r>
        <w:rPr>
          <w:rFonts w:hint="eastAsia" w:ascii="方正仿宋_GBK" w:hAnsi="方正仿宋_GBK" w:cs="方正仿宋_GBK"/>
          <w:sz w:val="21"/>
          <w:szCs w:val="21"/>
        </w:rPr>
        <w:t>　</w:t>
      </w:r>
      <w:r>
        <w:rPr>
          <w:rFonts w:hint="eastAsia" w:asciiTheme="minorEastAsia" w:hAnsiTheme="minorEastAsia" w:eastAsiaTheme="minorEastAsia" w:cstheme="minorEastAsia"/>
          <w:sz w:val="21"/>
          <w:szCs w:val="21"/>
        </w:rPr>
        <w:t>及1分钟的视频快剪；</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2.媒体报道：包括新闻通稿撰写、主流媒体和境外媒体的编辑与发布；</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3.摄影摄像：考察及会议现场摄影拍照、考察及会议现场活动花絮拍摄。</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（七）餐饮</w:t>
      </w:r>
    </w:p>
    <w:p>
      <w:pPr>
        <w:widowControl/>
        <w:snapToGri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包括欢迎宴、嘉宾用餐和工作人员用餐。</w:t>
      </w:r>
    </w:p>
    <w:p>
      <w:pPr>
        <w:ind w:firstLine="420" w:firstLineChars="200"/>
        <w:rPr>
          <w:rFonts w:hint="eastAsia" w:ascii="方正仿宋_GBK" w:hAnsi="方正仿宋_GBK" w:cs="方正仿宋_GBK" w:eastAsiaTheme="minorEastAsia"/>
          <w:sz w:val="21"/>
          <w:szCs w:val="21"/>
          <w:lang w:eastAsia="zh-CN"/>
        </w:rPr>
      </w:pPr>
      <w:r>
        <w:rPr>
          <w:rFonts w:hint="eastAsia" w:asciiTheme="minorEastAsia" w:hAnsiTheme="minorEastAsia" w:eastAsiaTheme="minorEastAsia" w:cstheme="minorEastAsia"/>
          <w:sz w:val="21"/>
          <w:szCs w:val="21"/>
        </w:rPr>
        <w:t>（八）完成甲方要求的与本项目相关的其他工作</w:t>
      </w:r>
      <w:r>
        <w:rPr>
          <w:rFonts w:hint="eastAsia" w:asciiTheme="minorEastAsia" w:hAnsiTheme="minorEastAsia" w:cstheme="minorEastAsia"/>
          <w:sz w:val="21"/>
          <w:szCs w:val="21"/>
          <w:lang w:eastAsia="zh-CN"/>
        </w:rPr>
        <w:t>。</w:t>
      </w:r>
    </w:p>
    <w:p>
      <w:pPr>
        <w:overflowPunct w:val="0"/>
        <w:spacing w:line="520" w:lineRule="exact"/>
        <w:ind w:firstLine="420" w:firstLineChars="200"/>
        <w:rPr>
          <w:rFonts w:hint="eastAsia" w:ascii="方正仿宋_GBK" w:hAnsi="方正仿宋_GBK" w:cs="方正仿宋_GBK"/>
          <w:sz w:val="21"/>
          <w:szCs w:val="21"/>
        </w:rPr>
      </w:pPr>
      <w:r>
        <w:rPr>
          <w:rFonts w:hint="eastAsia" w:ascii="方正仿宋_GBK" w:hAnsi="方正仿宋_GBK" w:cs="方正仿宋_GBK"/>
          <w:sz w:val="21"/>
          <w:szCs w:val="21"/>
        </w:rPr>
        <w:t>服务要求：</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乙方负责组建不少于4人的专业服务团队为本项目服务。专业服务团队应该同时满足以下条件：</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（一）服务团队应熟悉掌握国家有关政府接待相关要求，保证本次活动服务工作符合甲方相关要求。</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（二）合同签订后，项目服务团队成员未经甲方同意不得更换。</w:t>
      </w:r>
    </w:p>
    <w:p>
      <w:pPr>
        <w:widowControl/>
        <w:numPr>
          <w:ilvl w:val="255"/>
          <w:numId w:val="0"/>
        </w:numPr>
        <w:snapToGrid w:val="0"/>
        <w:spacing w:line="400" w:lineRule="exact"/>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四、其他要求</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（一）乙方须承诺本项目负责人须保证24小时支持服务，提供项目负责人有效通讯等信息，并保证信息的准确性。</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已综合考虑本项目相关活动流程所产生所有费用，已充分衡量和估计本项目履行中可能发生的其他潜在导致价格变动风险因素，合同签订后视为就本项目所有所需服务及所需相应设备、材料、人员、耗材等已经包含在该价格中，且不做任何调整。服务要求中所产生的一切费用均由乙方支付，工作期间如因对项目理解及活动规模不充足导致活动延期或出现服务停滞情况所产生的一切损失均由乙方负责。</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（三）乙方须在正式合同签订后至正式搭建前，随时按甲方要求进行修改，不收取任何费用。</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（四）乙方使用的所有建材必须是环保材料，必须满足中华人民共和国住房和城乡建设部《民用建筑工程室内环境污染控制标准》（GB</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50325-2020）标准。</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搭建后甲方将组织第三方专业检测机构对建材进行检验（检验费由乙方支付），若检验成果不满足相关规范及标准要求的，乙方必须立即进行整改，若整改后还达不到要求的，甲方有权终止合同，并追究相关法律责任。</w:t>
      </w:r>
    </w:p>
    <w:p>
      <w:pPr>
        <w:widowControl/>
        <w:numPr>
          <w:ilvl w:val="255"/>
          <w:numId w:val="0"/>
        </w:numPr>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（五）乙方在搭建、安装和拆卸会场过程中，造成的人员人身伤害或财产损害，由乙方自行承担全部责任及相关赔偿。</w:t>
      </w:r>
    </w:p>
    <w:p>
      <w:pPr>
        <w:overflowPunct w:val="0"/>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（六）乙方在搭建、安装和拆卸会场过程中，出现违反场地方及法律法规规定的相关行为，由乙方自行承担全部责任及相关赔偿。</w:t>
      </w:r>
    </w:p>
    <w:p>
      <w:pPr>
        <w:overflowPunct w:val="0"/>
        <w:spacing w:line="520" w:lineRule="exact"/>
        <w:ind w:firstLine="420" w:firstLineChars="200"/>
        <w:rPr>
          <w:rFonts w:ascii="方正仿宋_GBK" w:hAnsi="方正仿宋_GBK" w:cs="方正仿宋_GBK"/>
          <w:sz w:val="21"/>
          <w:szCs w:val="21"/>
        </w:rPr>
      </w:pPr>
      <w:r>
        <w:rPr>
          <w:rFonts w:hint="eastAsia" w:ascii="方正仿宋_GBK" w:hAnsi="方正仿宋_GBK" w:cs="方正仿宋_GBK"/>
          <w:sz w:val="21"/>
          <w:szCs w:val="21"/>
        </w:rPr>
        <w:t>服务期限：　</w:t>
      </w:r>
      <w:r>
        <w:rPr>
          <w:rFonts w:hint="eastAsia"/>
          <w:sz w:val="21"/>
          <w:szCs w:val="21"/>
        </w:rPr>
        <w:t>2025年</w:t>
      </w:r>
      <w:r>
        <w:rPr>
          <w:rFonts w:hint="eastAsia"/>
          <w:sz w:val="21"/>
          <w:szCs w:val="21"/>
          <w:lang w:val="en-US" w:eastAsia="zh-CN"/>
        </w:rPr>
        <w:t>4</w:t>
      </w:r>
      <w:r>
        <w:rPr>
          <w:rFonts w:hint="eastAsia"/>
          <w:sz w:val="21"/>
          <w:szCs w:val="21"/>
        </w:rPr>
        <w:t>月</w:t>
      </w:r>
      <w:r>
        <w:rPr>
          <w:rFonts w:hint="eastAsia"/>
          <w:sz w:val="21"/>
          <w:szCs w:val="21"/>
          <w:lang w:val="en-US" w:eastAsia="zh-CN"/>
        </w:rPr>
        <w:t>28</w:t>
      </w:r>
      <w:r>
        <w:rPr>
          <w:rFonts w:hint="eastAsia"/>
          <w:sz w:val="21"/>
          <w:szCs w:val="21"/>
        </w:rPr>
        <w:t>日</w:t>
      </w:r>
      <w:r>
        <w:rPr>
          <w:rFonts w:hint="eastAsia" w:ascii="方正仿宋_GBK" w:hAnsi="方正仿宋_GBK" w:cs="方正仿宋_GBK"/>
          <w:sz w:val="21"/>
          <w:szCs w:val="21"/>
        </w:rPr>
        <w:t>　　　　　　　　　　</w:t>
      </w:r>
    </w:p>
    <w:p>
      <w:pPr>
        <w:overflowPunct w:val="0"/>
        <w:spacing w:line="520" w:lineRule="exact"/>
        <w:ind w:firstLine="420" w:firstLineChars="200"/>
        <w:rPr>
          <w:rFonts w:ascii="方正仿宋_GBK" w:hAnsi="方正仿宋_GBK" w:cs="方正仿宋_GBK"/>
          <w:sz w:val="21"/>
          <w:szCs w:val="21"/>
        </w:rPr>
      </w:pPr>
      <w:r>
        <w:rPr>
          <w:rFonts w:hint="eastAsia" w:ascii="方正仿宋_GBK" w:hAnsi="方正仿宋_GBK" w:cs="方正仿宋_GBK"/>
          <w:sz w:val="21"/>
          <w:szCs w:val="21"/>
        </w:rPr>
        <w:t>服务地点：　</w:t>
      </w:r>
      <w:r>
        <w:rPr>
          <w:rFonts w:hint="eastAsia" w:ascii="方正仿宋_GBK" w:hAnsi="方正仿宋_GBK" w:cs="方正仿宋_GBK"/>
          <w:sz w:val="21"/>
          <w:szCs w:val="21"/>
          <w:lang w:eastAsia="zh-CN"/>
        </w:rPr>
        <w:t>重庆</w:t>
      </w:r>
      <w:r>
        <w:rPr>
          <w:rFonts w:hint="eastAsia" w:asciiTheme="minorEastAsia" w:hAnsiTheme="minorEastAsia" w:eastAsiaTheme="minorEastAsia" w:cstheme="minorEastAsia"/>
          <w:sz w:val="21"/>
          <w:szCs w:val="21"/>
        </w:rPr>
        <w:t>高科希尔顿二楼两江厅</w:t>
      </w:r>
      <w:r>
        <w:rPr>
          <w:rFonts w:hint="eastAsia" w:ascii="方正仿宋_GBK" w:hAnsi="方正仿宋_GBK" w:cs="方正仿宋_GBK"/>
          <w:sz w:val="21"/>
          <w:szCs w:val="21"/>
        </w:rPr>
        <w:t>　　　　　　　　　　</w:t>
      </w:r>
    </w:p>
    <w:p>
      <w:pPr>
        <w:overflowPunct w:val="0"/>
        <w:spacing w:line="520" w:lineRule="exact"/>
        <w:rPr>
          <w:rFonts w:ascii="黑体" w:hAnsi="黑体" w:eastAsia="黑体"/>
          <w:sz w:val="21"/>
          <w:szCs w:val="21"/>
        </w:rPr>
      </w:pPr>
      <w:r>
        <w:rPr>
          <w:rFonts w:hint="eastAsia" w:ascii="方正黑体_GBK" w:hAnsi="黑体" w:eastAsia="方正黑体_GBK"/>
          <w:sz w:val="21"/>
          <w:szCs w:val="21"/>
        </w:rPr>
        <w:t>七、验收（或终止）日期：</w:t>
      </w:r>
      <w:r>
        <w:rPr>
          <w:rFonts w:hint="eastAsia" w:ascii="仿宋" w:hAnsi="仿宋" w:eastAsia="仿宋"/>
          <w:sz w:val="21"/>
          <w:szCs w:val="21"/>
          <w:u w:val="single"/>
        </w:rPr>
        <w:t>　</w:t>
      </w:r>
      <w:r>
        <w:rPr>
          <w:rFonts w:hint="eastAsia" w:ascii="仿宋" w:hAnsi="仿宋" w:eastAsia="仿宋"/>
          <w:sz w:val="21"/>
          <w:szCs w:val="21"/>
          <w:u w:val="single"/>
          <w:lang w:val="en-US" w:eastAsia="zh-CN"/>
        </w:rPr>
        <w:t>2025年5月9</w:t>
      </w:r>
      <w:bookmarkStart w:id="0" w:name="_GoBack"/>
      <w:bookmarkEnd w:id="0"/>
      <w:r>
        <w:rPr>
          <w:rFonts w:hint="eastAsia" w:ascii="仿宋" w:hAnsi="仿宋" w:eastAsia="仿宋"/>
          <w:sz w:val="21"/>
          <w:szCs w:val="21"/>
          <w:u w:val="single"/>
          <w:lang w:val="en-US" w:eastAsia="zh-CN"/>
        </w:rPr>
        <w:t>日</w:t>
      </w:r>
      <w:r>
        <w:rPr>
          <w:rFonts w:hint="eastAsia" w:ascii="仿宋" w:hAnsi="仿宋" w:eastAsia="仿宋"/>
          <w:sz w:val="21"/>
          <w:szCs w:val="21"/>
          <w:u w:val="single"/>
        </w:rPr>
        <w:t>　　　　</w:t>
      </w:r>
    </w:p>
    <w:p>
      <w:pPr>
        <w:overflowPunct w:val="0"/>
        <w:spacing w:line="520" w:lineRule="exact"/>
        <w:rPr>
          <w:rFonts w:ascii="黑体" w:hAnsi="黑体" w:eastAsia="黑体"/>
          <w:sz w:val="21"/>
          <w:szCs w:val="21"/>
        </w:rPr>
      </w:pPr>
      <w:r>
        <w:rPr>
          <w:rFonts w:hint="eastAsia" w:ascii="方正黑体_GBK" w:hAnsi="黑体" w:eastAsia="方正黑体_GBK"/>
          <w:sz w:val="21"/>
          <w:szCs w:val="21"/>
        </w:rPr>
        <w:t>八、验收组成员：</w:t>
      </w:r>
      <w:r>
        <w:rPr>
          <w:rFonts w:hint="eastAsia" w:ascii="仿宋" w:hAnsi="仿宋" w:eastAsia="仿宋"/>
          <w:sz w:val="21"/>
          <w:szCs w:val="21"/>
          <w:u w:val="single"/>
        </w:rPr>
        <w:t>　　　　　　　　　　　</w:t>
      </w:r>
    </w:p>
    <w:p>
      <w:pPr>
        <w:overflowPunct w:val="0"/>
        <w:spacing w:line="520" w:lineRule="exact"/>
        <w:rPr>
          <w:rFonts w:ascii="仿宋" w:hAnsi="仿宋" w:eastAsia="仿宋"/>
          <w:sz w:val="21"/>
          <w:szCs w:val="21"/>
          <w:u w:val="single"/>
        </w:rPr>
      </w:pPr>
      <w:r>
        <w:rPr>
          <w:rFonts w:hint="eastAsia" w:ascii="方正黑体_GBK" w:hAnsi="黑体" w:eastAsia="方正黑体_GBK"/>
          <w:sz w:val="21"/>
          <w:szCs w:val="21"/>
        </w:rPr>
        <w:t>九、验收（或终止）意见：</w:t>
      </w:r>
      <w:r>
        <w:rPr>
          <w:rFonts w:hint="eastAsia" w:ascii="仿宋" w:hAnsi="仿宋" w:eastAsia="仿宋"/>
          <w:sz w:val="21"/>
          <w:szCs w:val="21"/>
          <w:u w:val="single"/>
        </w:rPr>
        <w:t>　</w:t>
      </w:r>
      <w:r>
        <w:rPr>
          <w:rFonts w:hint="eastAsia" w:ascii="仿宋" w:hAnsi="仿宋" w:eastAsia="仿宋"/>
          <w:sz w:val="21"/>
          <w:szCs w:val="21"/>
          <w:u w:val="single"/>
          <w:lang w:eastAsia="zh-CN"/>
        </w:rPr>
        <w:t>验收通过</w:t>
      </w:r>
      <w:r>
        <w:rPr>
          <w:rFonts w:hint="eastAsia" w:ascii="仿宋" w:hAnsi="仿宋" w:eastAsia="仿宋"/>
          <w:sz w:val="21"/>
          <w:szCs w:val="21"/>
          <w:u w:val="single"/>
        </w:rPr>
        <w:t>　　</w:t>
      </w:r>
    </w:p>
    <w:p>
      <w:pPr>
        <w:overflowPunct w:val="0"/>
        <w:spacing w:line="520" w:lineRule="exact"/>
        <w:rPr>
          <w:rFonts w:ascii="方正黑体_GBK" w:hAnsi="黑体" w:eastAsia="方正黑体_GBK"/>
          <w:sz w:val="21"/>
          <w:szCs w:val="21"/>
        </w:rPr>
      </w:pPr>
      <w:r>
        <w:rPr>
          <w:rFonts w:hint="eastAsia" w:ascii="方正黑体_GBK" w:hAnsi="黑体" w:eastAsia="方正黑体_GBK"/>
          <w:sz w:val="21"/>
          <w:szCs w:val="21"/>
        </w:rPr>
        <w:t>十、公告期限</w:t>
      </w:r>
    </w:p>
    <w:p>
      <w:pPr>
        <w:overflowPunct w:val="0"/>
        <w:spacing w:line="520" w:lineRule="exact"/>
        <w:ind w:firstLine="420" w:firstLineChars="200"/>
        <w:rPr>
          <w:rFonts w:ascii="仿宋" w:hAnsi="仿宋" w:eastAsia="仿宋"/>
          <w:sz w:val="21"/>
          <w:szCs w:val="21"/>
          <w:u w:val="single"/>
        </w:rPr>
      </w:pPr>
      <w:r>
        <w:rPr>
          <w:rFonts w:hint="eastAsia"/>
          <w:color w:val="000000"/>
          <w:sz w:val="21"/>
          <w:szCs w:val="21"/>
          <w:shd w:val="clear" w:color="auto" w:fill="FFFFFF"/>
        </w:rPr>
        <w:t>自本公告发布之日起2个工作日。</w:t>
      </w:r>
    </w:p>
    <w:p>
      <w:pPr>
        <w:overflowPunct w:val="0"/>
        <w:spacing w:line="520" w:lineRule="exact"/>
        <w:rPr>
          <w:rFonts w:ascii="仿宋" w:hAnsi="仿宋" w:eastAsia="仿宋"/>
          <w:sz w:val="21"/>
          <w:szCs w:val="21"/>
          <w:u w:val="single"/>
        </w:rPr>
        <w:sectPr>
          <w:footerReference r:id="rId3" w:type="default"/>
          <w:footerReference r:id="rId4" w:type="even"/>
          <w:pgSz w:w="11906" w:h="16838"/>
          <w:pgMar w:top="2098" w:right="1531" w:bottom="1984" w:left="1531" w:header="850" w:footer="283" w:gutter="0"/>
          <w:cols w:space="720" w:num="1"/>
          <w:docGrid w:type="lines" w:linePitch="435" w:charSpace="0"/>
        </w:sectPr>
      </w:pPr>
      <w:r>
        <w:rPr>
          <w:rFonts w:hint="eastAsia" w:ascii="方正黑体_GBK" w:hAnsi="黑体" w:eastAsia="方正黑体_GBK"/>
          <w:sz w:val="21"/>
          <w:szCs w:val="21"/>
        </w:rPr>
        <w:t>十一、</w:t>
      </w:r>
      <w:r>
        <w:rPr>
          <w:rFonts w:ascii="方正黑体_GBK" w:hAnsi="黑体" w:eastAsia="方正黑体_GBK"/>
          <w:sz w:val="21"/>
          <w:szCs w:val="21"/>
        </w:rPr>
        <w:t>其他</w:t>
      </w:r>
      <w:r>
        <w:rPr>
          <w:rFonts w:hint="eastAsia" w:ascii="方正黑体_GBK" w:hAnsi="黑体" w:eastAsia="方正黑体_GBK"/>
          <w:sz w:val="21"/>
          <w:szCs w:val="21"/>
        </w:rPr>
        <w:t>补充事宜：</w:t>
      </w:r>
      <w:r>
        <w:rPr>
          <w:rFonts w:hint="eastAsia" w:ascii="仿宋" w:hAnsi="仿宋" w:eastAsia="仿宋"/>
          <w:sz w:val="21"/>
          <w:szCs w:val="21"/>
          <w:u w:val="single"/>
        </w:rPr>
        <w:t>　　　　　　　　　</w:t>
      </w:r>
    </w:p>
    <w:p>
      <w:pPr>
        <w:spacing w:line="578" w:lineRule="exact"/>
        <w:rPr>
          <w:rFonts w:ascii="方正仿宋_GBK" w:hAnsi="方正仿宋_GBK" w:eastAsia="方正仿宋_GBK" w:cs="方正仿宋_GBK"/>
          <w:sz w:val="32"/>
          <w:szCs w:val="32"/>
        </w:rPr>
      </w:pPr>
    </w:p>
    <w:sectPr>
      <w:headerReference r:id="rId5" w:type="default"/>
      <w:footerReference r:id="rId6"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4788" w:leftChars="2280" w:firstLine="5621" w:firstLineChars="2000"/>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7FFFCF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DFB6FE"/>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7A34459"/>
    <w:rsid w:val="78DF4930"/>
    <w:rsid w:val="79C65162"/>
    <w:rsid w:val="7C22076C"/>
    <w:rsid w:val="7C9011D9"/>
    <w:rsid w:val="7DC651C5"/>
    <w:rsid w:val="7DF350ED"/>
    <w:rsid w:val="7F9DA0E8"/>
    <w:rsid w:val="7FCC2834"/>
    <w:rsid w:val="7FF6A4EF"/>
    <w:rsid w:val="7FF7782A"/>
    <w:rsid w:val="92DD1CEF"/>
    <w:rsid w:val="DBB918AD"/>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eastAsia="仿宋_GB2312"/>
      <w:sz w:val="32"/>
    </w:rPr>
  </w:style>
  <w:style w:type="paragraph" w:styleId="5">
    <w:name w:val="Quote"/>
    <w:basedOn w:val="1"/>
    <w:next w:val="1"/>
    <w:qFormat/>
    <w:uiPriority w:val="0"/>
    <w:pPr>
      <w:wordWrap w:val="0"/>
      <w:spacing w:before="200" w:after="160"/>
      <w:ind w:left="864" w:right="864"/>
      <w:jc w:val="center"/>
    </w:pPr>
    <w:rPr>
      <w:i/>
      <w:sz w:val="21"/>
    </w:rPr>
  </w:style>
  <w:style w:type="paragraph" w:styleId="6">
    <w:name w:val="Body Text Indent"/>
    <w:basedOn w:val="1"/>
    <w:link w:val="15"/>
    <w:unhideWhenUsed/>
    <w:qFormat/>
    <w:uiPriority w:val="99"/>
    <w:pPr>
      <w:spacing w:after="120"/>
      <w:ind w:left="420" w:leftChars="200"/>
    </w:pPr>
    <w:rPr>
      <w:rFonts w:ascii="Calibri" w:hAnsi="Calibri" w:eastAsia="宋体"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4"/>
    <w:next w:val="1"/>
    <w:qFormat/>
    <w:uiPriority w:val="0"/>
    <w:pPr>
      <w:spacing w:line="360" w:lineRule="auto"/>
      <w:ind w:firstLine="420"/>
    </w:pPr>
    <w:rPr>
      <w:rFonts w:ascii="宋体" w:hAnsi="宋体"/>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正文文本缩进 字符"/>
    <w:basedOn w:val="12"/>
    <w:link w:val="6"/>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2084</Words>
  <Characters>2132</Characters>
  <Lines>5</Lines>
  <Paragraphs>1</Paragraphs>
  <TotalTime>1</TotalTime>
  <ScaleCrop>false</ScaleCrop>
  <LinksUpToDate>false</LinksUpToDate>
  <CharactersWithSpaces>2616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guest</cp:lastModifiedBy>
  <cp:lastPrinted>2022-05-13T00:46:00Z</cp:lastPrinted>
  <dcterms:modified xsi:type="dcterms:W3CDTF">2025-06-30T10:25:16Z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3933C851293C36B4A2F16168F1496D7B_43</vt:lpwstr>
  </property>
</Properties>
</file>