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2024年度全市经济信息领域行政处罚案件评查服务政府采购项目（第二次）</w:t>
      </w:r>
    </w:p>
    <w:p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一、项目号：CQCBJQ2501-013</w:t>
      </w:r>
    </w:p>
    <w:p>
      <w:pPr>
        <w:snapToGrid w:val="0"/>
        <w:spacing w:line="360" w:lineRule="auto"/>
        <w:ind w:firstLine="421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2024年度全市经济信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息领域行政处罚案件评查服务政府采购项目（第二次）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2024年度全市经济信息领域行政处罚案件评查服务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93000.00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北京市京师（重庆）律师事务所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1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968"/>
        <w:gridCol w:w="1168"/>
        <w:gridCol w:w="1290"/>
        <w:gridCol w:w="1291"/>
        <w:gridCol w:w="9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北京市京师（重庆）律师事务所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12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65.33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重庆美通律师事务所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28.8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15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49.8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重庆军航律师事务所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27.9</w:t>
            </w:r>
          </w:p>
        </w:tc>
        <w:tc>
          <w:tcPr>
            <w:tcW w:w="1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15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48.9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肖  兵、王麒越、李  波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陈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）63896044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8564D75"/>
    <w:rsid w:val="31906646"/>
    <w:rsid w:val="33F77F81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5EE64D2C"/>
    <w:rsid w:val="6A152870"/>
    <w:rsid w:val="6A9E6CB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  <w:rsid w:val="FCBBC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styleId="8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qFormat/>
    <w:uiPriority w:val="0"/>
  </w:style>
  <w:style w:type="paragraph" w:customStyle="1" w:styleId="20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qFormat/>
    <w:uiPriority w:val="9"/>
    <w:rPr>
      <w:b/>
      <w:bCs/>
      <w:sz w:val="32"/>
      <w:szCs w:val="32"/>
    </w:rPr>
  </w:style>
  <w:style w:type="character" w:customStyle="1" w:styleId="23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392</Words>
  <Characters>482</Characters>
  <Lines>2</Lines>
  <Paragraphs>1</Paragraphs>
  <TotalTime>2</TotalTime>
  <ScaleCrop>false</ScaleCrop>
  <LinksUpToDate>false</LinksUpToDate>
  <CharactersWithSpaces>487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2017-03-14T09:58:00Z</dcterms:created>
  <dc:creator>Administrator</dc:creator>
  <cp:lastModifiedBy>thtf</cp:lastModifiedBy>
  <dcterms:modified xsi:type="dcterms:W3CDTF">2025-03-21T23:39:10Z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