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rPr>
          <w:rFonts w:ascii="宋体"/>
          <w:color w:val="auto"/>
          <w:sz w:val="44"/>
          <w:szCs w:val="44"/>
          <w:highlight w:val="none"/>
        </w:rPr>
      </w:pPr>
    </w:p>
    <w:p>
      <w:pPr>
        <w:outlineLvl w:val="9"/>
        <w:rPr>
          <w:color w:val="auto"/>
          <w:highlight w:val="none"/>
        </w:rPr>
      </w:pPr>
    </w:p>
    <w:p>
      <w:pPr>
        <w:pStyle w:val="2"/>
        <w:rPr>
          <w:color w:val="auto"/>
          <w:sz w:val="44"/>
          <w:szCs w:val="44"/>
          <w:highlight w:val="none"/>
        </w:rPr>
      </w:pPr>
    </w:p>
    <w:p>
      <w:pPr>
        <w:pStyle w:val="2"/>
        <w:rPr>
          <w:color w:val="auto"/>
          <w:sz w:val="44"/>
          <w:szCs w:val="44"/>
          <w:highlight w:val="none"/>
        </w:rPr>
      </w:pPr>
    </w:p>
    <w:p>
      <w:pPr>
        <w:spacing w:line="1600" w:lineRule="exact"/>
        <w:jc w:val="center"/>
        <w:outlineLvl w:val="0"/>
        <w:rPr>
          <w:rFonts w:ascii="宋体" w:hAnsi="宋体" w:cs="宋体"/>
          <w:color w:val="auto"/>
          <w:sz w:val="112"/>
          <w:szCs w:val="112"/>
          <w:highlight w:val="none"/>
        </w:rPr>
      </w:pPr>
      <w:bookmarkStart w:id="0" w:name="_Toc27782"/>
      <w:r>
        <w:rPr>
          <w:rFonts w:hint="eastAsia" w:ascii="宋体" w:hAnsi="宋体" w:cs="宋体"/>
          <w:color w:val="auto"/>
          <w:sz w:val="112"/>
          <w:szCs w:val="112"/>
          <w:highlight w:val="none"/>
        </w:rPr>
        <w:t>竞争性磋商文件</w:t>
      </w:r>
      <w:bookmarkEnd w:id="0"/>
    </w:p>
    <w:p>
      <w:pPr>
        <w:spacing w:line="700" w:lineRule="exact"/>
        <w:jc w:val="center"/>
        <w:rPr>
          <w:color w:val="auto"/>
          <w:sz w:val="36"/>
          <w:szCs w:val="30"/>
          <w:highlight w:val="none"/>
        </w:rPr>
      </w:pPr>
      <w:r>
        <w:rPr>
          <w:rFonts w:hint="eastAsia" w:ascii="宋体"/>
          <w:color w:val="auto"/>
          <w:sz w:val="36"/>
          <w:szCs w:val="30"/>
          <w:highlight w:val="none"/>
        </w:rPr>
        <w:t xml:space="preserve">  </w:t>
      </w:r>
    </w:p>
    <w:p>
      <w:pPr>
        <w:spacing w:line="700" w:lineRule="exact"/>
        <w:ind w:firstLine="2700" w:firstLineChars="750"/>
        <w:rPr>
          <w:rFonts w:ascii="宋体"/>
          <w:color w:val="auto"/>
          <w:sz w:val="36"/>
          <w:szCs w:val="30"/>
          <w:highlight w:val="none"/>
        </w:rPr>
      </w:pPr>
    </w:p>
    <w:p>
      <w:pPr>
        <w:pStyle w:val="6"/>
        <w:rPr>
          <w:color w:val="auto"/>
          <w:highlight w:val="none"/>
        </w:rPr>
      </w:pPr>
    </w:p>
    <w:p>
      <w:pPr>
        <w:spacing w:line="800" w:lineRule="exact"/>
        <w:ind w:firstLine="320" w:firstLineChars="100"/>
        <w:outlineLvl w:val="0"/>
        <w:rPr>
          <w:rFonts w:hint="default" w:ascii="宋体" w:hAnsi="宋体" w:eastAsia="宋体" w:cs="宋体"/>
          <w:color w:val="auto"/>
          <w:sz w:val="32"/>
          <w:szCs w:val="32"/>
          <w:highlight w:val="none"/>
          <w:lang w:val="en-US" w:eastAsia="zh-CN"/>
        </w:rPr>
      </w:pPr>
      <w:bookmarkStart w:id="1" w:name="_Toc22799"/>
      <w:r>
        <w:rPr>
          <w:rFonts w:hint="eastAsia" w:ascii="宋体" w:hAnsi="宋体" w:cs="宋体"/>
          <w:color w:val="auto"/>
          <w:sz w:val="32"/>
          <w:szCs w:val="32"/>
          <w:highlight w:val="none"/>
        </w:rPr>
        <w:t>项   目   号：PG-WXDZ202</w:t>
      </w:r>
      <w:r>
        <w:rPr>
          <w:rFonts w:hint="eastAsia" w:ascii="宋体" w:hAnsi="宋体" w:cs="宋体"/>
          <w:color w:val="auto"/>
          <w:sz w:val="32"/>
          <w:szCs w:val="32"/>
          <w:highlight w:val="none"/>
          <w:lang w:val="en-US" w:eastAsia="zh-CN"/>
        </w:rPr>
        <w:t>5</w:t>
      </w:r>
      <w:r>
        <w:rPr>
          <w:rFonts w:hint="eastAsia" w:ascii="宋体" w:hAnsi="宋体" w:cs="宋体"/>
          <w:color w:val="auto"/>
          <w:sz w:val="32"/>
          <w:szCs w:val="32"/>
          <w:highlight w:val="none"/>
        </w:rPr>
        <w:t>-0</w:t>
      </w:r>
      <w:bookmarkEnd w:id="1"/>
      <w:r>
        <w:rPr>
          <w:rFonts w:hint="eastAsia" w:ascii="宋体" w:hAnsi="宋体" w:cs="宋体"/>
          <w:color w:val="auto"/>
          <w:sz w:val="32"/>
          <w:szCs w:val="32"/>
          <w:highlight w:val="none"/>
          <w:lang w:val="en-US" w:eastAsia="zh-CN"/>
        </w:rPr>
        <w:t>01</w:t>
      </w:r>
    </w:p>
    <w:p>
      <w:pPr>
        <w:spacing w:line="800" w:lineRule="exact"/>
        <w:ind w:left="2559" w:leftChars="114" w:hanging="2240" w:hangingChars="700"/>
        <w:jc w:val="left"/>
        <w:outlineLvl w:val="0"/>
        <w:rPr>
          <w:rFonts w:hint="eastAsia" w:ascii="宋体" w:hAnsi="宋体" w:eastAsia="宋体" w:cs="宋体"/>
          <w:color w:val="auto"/>
          <w:sz w:val="32"/>
          <w:szCs w:val="32"/>
          <w:highlight w:val="none"/>
          <w:lang w:eastAsia="zh-CN"/>
        </w:rPr>
      </w:pPr>
      <w:bookmarkStart w:id="2" w:name="_Toc20265"/>
      <w:r>
        <w:rPr>
          <w:rFonts w:hint="eastAsia" w:ascii="宋体" w:hAnsi="宋体" w:cs="宋体"/>
          <w:color w:val="auto"/>
          <w:sz w:val="32"/>
          <w:szCs w:val="32"/>
          <w:highlight w:val="none"/>
        </w:rPr>
        <w:t>磋商项目名称：</w:t>
      </w:r>
      <w:bookmarkEnd w:id="2"/>
      <w:r>
        <w:rPr>
          <w:rFonts w:hint="eastAsia" w:ascii="宋体" w:hAnsi="宋体" w:cs="宋体"/>
          <w:color w:val="auto"/>
          <w:sz w:val="32"/>
          <w:szCs w:val="32"/>
          <w:highlight w:val="none"/>
          <w:lang w:eastAsia="zh-CN"/>
        </w:rPr>
        <w:t>2025年重庆市无线电专用设备运维</w:t>
      </w:r>
    </w:p>
    <w:p>
      <w:pPr>
        <w:spacing w:line="600" w:lineRule="exact"/>
        <w:jc w:val="left"/>
        <w:rPr>
          <w:rFonts w:ascii="宋体" w:hAnsi="宋体" w:cs="宋体"/>
          <w:color w:val="auto"/>
          <w:sz w:val="32"/>
          <w:szCs w:val="32"/>
          <w:highlight w:val="none"/>
        </w:rPr>
      </w:pPr>
    </w:p>
    <w:p>
      <w:pPr>
        <w:spacing w:line="600" w:lineRule="exact"/>
        <w:rPr>
          <w:rFonts w:ascii="宋体" w:hAnsi="宋体" w:cs="宋体"/>
          <w:b/>
          <w:color w:val="auto"/>
          <w:sz w:val="32"/>
          <w:szCs w:val="32"/>
          <w:highlight w:val="none"/>
        </w:rPr>
      </w:pPr>
    </w:p>
    <w:p>
      <w:pPr>
        <w:pStyle w:val="6"/>
        <w:spacing w:line="600" w:lineRule="exact"/>
        <w:rPr>
          <w:rFonts w:ascii="宋体" w:hAnsi="宋体" w:eastAsia="宋体" w:cs="宋体"/>
          <w:b/>
          <w:color w:val="auto"/>
          <w:szCs w:val="32"/>
          <w:highlight w:val="none"/>
        </w:rPr>
      </w:pPr>
    </w:p>
    <w:p>
      <w:pPr>
        <w:spacing w:line="800" w:lineRule="exact"/>
        <w:ind w:firstLine="320" w:firstLineChars="100"/>
        <w:outlineLvl w:val="0"/>
        <w:rPr>
          <w:rFonts w:ascii="宋体" w:hAnsi="宋体" w:cs="宋体"/>
          <w:color w:val="auto"/>
          <w:sz w:val="32"/>
          <w:szCs w:val="32"/>
          <w:highlight w:val="none"/>
        </w:rPr>
      </w:pPr>
      <w:bookmarkStart w:id="3" w:name="_Toc1837"/>
      <w:r>
        <w:rPr>
          <w:rFonts w:hint="eastAsia" w:ascii="宋体" w:hAnsi="宋体" w:cs="宋体"/>
          <w:color w:val="auto"/>
          <w:sz w:val="32"/>
          <w:szCs w:val="32"/>
          <w:highlight w:val="none"/>
        </w:rPr>
        <w:t>采   购   人：重庆市无线电监测站</w:t>
      </w:r>
      <w:bookmarkEnd w:id="3"/>
      <w:r>
        <w:rPr>
          <w:rFonts w:hint="eastAsia" w:ascii="宋体" w:hAnsi="宋体" w:cs="宋体"/>
          <w:color w:val="auto"/>
          <w:sz w:val="32"/>
          <w:szCs w:val="32"/>
          <w:highlight w:val="none"/>
        </w:rPr>
        <w:t xml:space="preserve"> </w:t>
      </w:r>
    </w:p>
    <w:p>
      <w:pPr>
        <w:spacing w:line="800" w:lineRule="exact"/>
        <w:ind w:firstLine="320" w:firstLineChars="100"/>
        <w:outlineLvl w:val="0"/>
        <w:rPr>
          <w:rFonts w:ascii="宋体" w:hAnsi="宋体" w:cs="宋体"/>
          <w:color w:val="auto"/>
          <w:sz w:val="32"/>
          <w:szCs w:val="32"/>
          <w:highlight w:val="none"/>
        </w:rPr>
      </w:pPr>
      <w:bookmarkStart w:id="4" w:name="_Toc26587"/>
      <w:r>
        <w:rPr>
          <w:rFonts w:hint="eastAsia" w:ascii="宋体" w:hAnsi="宋体" w:cs="宋体"/>
          <w:color w:val="auto"/>
          <w:sz w:val="32"/>
          <w:szCs w:val="32"/>
          <w:highlight w:val="none"/>
        </w:rPr>
        <w:t>采购代理机构：攀钢集团工科工程咨询有限公司</w:t>
      </w:r>
      <w:bookmarkEnd w:id="4"/>
    </w:p>
    <w:p>
      <w:pPr>
        <w:spacing w:line="700" w:lineRule="exact"/>
        <w:rPr>
          <w:rFonts w:ascii="宋体"/>
          <w:b/>
          <w:color w:val="auto"/>
          <w:sz w:val="30"/>
          <w:szCs w:val="30"/>
          <w:highlight w:val="none"/>
        </w:rPr>
      </w:pPr>
    </w:p>
    <w:p>
      <w:pPr>
        <w:spacing w:line="800" w:lineRule="exact"/>
        <w:jc w:val="center"/>
        <w:outlineLvl w:val="0"/>
        <w:rPr>
          <w:rFonts w:ascii="宋体"/>
          <w:b/>
          <w:color w:val="auto"/>
          <w:sz w:val="30"/>
          <w:szCs w:val="30"/>
          <w:highlight w:val="none"/>
        </w:rPr>
      </w:pPr>
      <w:bookmarkStart w:id="5" w:name="_Toc25746"/>
      <w:r>
        <w:rPr>
          <w:rFonts w:hint="eastAsia" w:ascii="宋体" w:hAnsi="宋体" w:cs="宋体"/>
          <w:color w:val="auto"/>
          <w:sz w:val="32"/>
          <w:szCs w:val="32"/>
          <w:highlight w:val="none"/>
        </w:rPr>
        <w:t>二〇二</w:t>
      </w:r>
      <w:r>
        <w:rPr>
          <w:rFonts w:hint="eastAsia" w:ascii="宋体" w:hAnsi="宋体" w:cs="宋体"/>
          <w:color w:val="auto"/>
          <w:sz w:val="32"/>
          <w:szCs w:val="32"/>
          <w:highlight w:val="none"/>
          <w:lang w:val="en-US" w:eastAsia="zh-CN"/>
        </w:rPr>
        <w:t>五</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三</w:t>
      </w:r>
      <w:r>
        <w:rPr>
          <w:rFonts w:hint="eastAsia" w:ascii="宋体" w:hAnsi="宋体" w:cs="宋体"/>
          <w:color w:val="auto"/>
          <w:sz w:val="32"/>
          <w:szCs w:val="32"/>
          <w:highlight w:val="none"/>
        </w:rPr>
        <w:t>月</w:t>
      </w:r>
      <w:bookmarkEnd w:id="5"/>
    </w:p>
    <w:p>
      <w:pPr>
        <w:pageBreakBefore/>
        <w:spacing w:line="480" w:lineRule="exact"/>
        <w:jc w:val="center"/>
        <w:outlineLvl w:val="0"/>
        <w:rPr>
          <w:rFonts w:ascii="宋体" w:hAnsi="宋体" w:cs="宋体"/>
          <w:color w:val="auto"/>
          <w:sz w:val="44"/>
          <w:szCs w:val="44"/>
          <w:highlight w:val="none"/>
        </w:rPr>
      </w:pPr>
      <w:bookmarkStart w:id="6" w:name="_Toc10067"/>
      <w:r>
        <w:rPr>
          <w:rFonts w:hint="eastAsia" w:ascii="宋体" w:hAnsi="宋体" w:cs="宋体"/>
          <w:color w:val="auto"/>
          <w:sz w:val="44"/>
          <w:szCs w:val="44"/>
          <w:highlight w:val="none"/>
        </w:rPr>
        <w:t>目   录</w:t>
      </w:r>
      <w:bookmarkEnd w:id="6"/>
    </w:p>
    <w:p>
      <w:pPr>
        <w:pStyle w:val="2"/>
        <w:rPr>
          <w:rFonts w:hAnsi="宋体" w:cs="宋体"/>
          <w:color w:val="auto"/>
          <w:sz w:val="30"/>
          <w:szCs w:val="30"/>
          <w:highlight w:val="none"/>
        </w:rPr>
      </w:pPr>
    </w:p>
    <w:p>
      <w:pPr>
        <w:pStyle w:val="14"/>
        <w:tabs>
          <w:tab w:val="right" w:leader="dot" w:pos="9525"/>
        </w:tabs>
        <w:spacing w:line="600" w:lineRule="exact"/>
        <w:ind w:left="560"/>
        <w:rPr>
          <w:color w:val="auto"/>
          <w:highlight w:val="none"/>
        </w:rPr>
      </w:pPr>
      <w:bookmarkStart w:id="7" w:name="_Toc13521"/>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TOC \o "1-3" \h \z </w:instrText>
      </w:r>
      <w:r>
        <w:rPr>
          <w:rFonts w:hint="eastAsia" w:ascii="宋体" w:hAnsi="宋体" w:cs="宋体"/>
          <w:color w:val="auto"/>
          <w:sz w:val="30"/>
          <w:szCs w:val="30"/>
          <w:highlight w:val="none"/>
        </w:rPr>
        <w:fldChar w:fldCharType="separate"/>
      </w:r>
      <w:bookmarkEnd w:id="7"/>
      <w:r>
        <w:rPr>
          <w:rFonts w:hint="eastAsia" w:ascii="宋体" w:hAnsi="宋体" w:cs="宋体"/>
          <w:color w:val="auto"/>
          <w:szCs w:val="30"/>
          <w:highlight w:val="none"/>
        </w:rPr>
        <w:fldChar w:fldCharType="begin"/>
      </w:r>
      <w:r>
        <w:rPr>
          <w:rFonts w:hint="eastAsia" w:ascii="宋体" w:hAnsi="宋体" w:cs="宋体"/>
          <w:color w:val="auto"/>
          <w:szCs w:val="30"/>
          <w:highlight w:val="none"/>
        </w:rPr>
        <w:instrText xml:space="preserve"> HYPERLINK \l _Toc26429 </w:instrText>
      </w:r>
      <w:r>
        <w:rPr>
          <w:rFonts w:hint="eastAsia" w:ascii="宋体" w:hAnsi="宋体" w:cs="宋体"/>
          <w:color w:val="auto"/>
          <w:szCs w:val="30"/>
          <w:highlight w:val="none"/>
        </w:rPr>
        <w:fldChar w:fldCharType="separate"/>
      </w:r>
      <w:r>
        <w:rPr>
          <w:rFonts w:hint="eastAsia" w:ascii="宋体"/>
          <w:color w:val="auto"/>
          <w:szCs w:val="30"/>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_Toc26429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cs="宋体"/>
          <w:color w:val="auto"/>
          <w:szCs w:val="30"/>
          <w:highlight w:val="none"/>
        </w:rPr>
        <w:fldChar w:fldCharType="end"/>
      </w:r>
    </w:p>
    <w:p>
      <w:pPr>
        <w:pStyle w:val="14"/>
        <w:tabs>
          <w:tab w:val="right" w:leader="dot" w:pos="9525"/>
        </w:tabs>
        <w:spacing w:line="600" w:lineRule="exact"/>
        <w:ind w:left="560"/>
        <w:rPr>
          <w:color w:val="auto"/>
          <w:highlight w:val="none"/>
        </w:rPr>
      </w:pPr>
      <w:r>
        <w:rPr>
          <w:color w:val="auto"/>
          <w:highlight w:val="none"/>
        </w:rPr>
        <w:fldChar w:fldCharType="begin"/>
      </w:r>
      <w:r>
        <w:rPr>
          <w:color w:val="auto"/>
          <w:highlight w:val="none"/>
        </w:rPr>
        <w:instrText xml:space="preserve"> HYPERLINK \l "_Toc6973" </w:instrText>
      </w:r>
      <w:r>
        <w:rPr>
          <w:color w:val="auto"/>
          <w:highlight w:val="none"/>
        </w:rPr>
        <w:fldChar w:fldCharType="separate"/>
      </w:r>
      <w:r>
        <w:rPr>
          <w:rFonts w:hint="eastAsia" w:ascii="宋体"/>
          <w:bCs/>
          <w:color w:val="auto"/>
          <w:szCs w:val="30"/>
          <w:highlight w:val="none"/>
        </w:rPr>
        <w:t>第二篇  项目技术需求</w:t>
      </w:r>
      <w:bookmarkStart w:id="261" w:name="_GoBack"/>
      <w:bookmarkEnd w:id="261"/>
      <w:r>
        <w:rPr>
          <w:color w:val="auto"/>
          <w:highlight w:val="none"/>
        </w:rPr>
        <w:tab/>
      </w:r>
      <w:r>
        <w:rPr>
          <w:color w:val="auto"/>
          <w:highlight w:val="none"/>
        </w:rPr>
        <w:fldChar w:fldCharType="begin"/>
      </w:r>
      <w:r>
        <w:rPr>
          <w:color w:val="auto"/>
          <w:highlight w:val="none"/>
        </w:rPr>
        <w:instrText xml:space="preserve"> PAGEREF _Toc6973 \h </w:instrText>
      </w:r>
      <w:r>
        <w:rPr>
          <w:color w:val="auto"/>
          <w:highlight w:val="none"/>
        </w:rPr>
        <w:fldChar w:fldCharType="separate"/>
      </w:r>
      <w:r>
        <w:rPr>
          <w:color w:val="auto"/>
          <w:highlight w:val="none"/>
        </w:rPr>
        <w:t>- 7 -</w:t>
      </w:r>
      <w:r>
        <w:rPr>
          <w:color w:val="auto"/>
          <w:highlight w:val="none"/>
        </w:rPr>
        <w:fldChar w:fldCharType="end"/>
      </w:r>
      <w:r>
        <w:rPr>
          <w:color w:val="auto"/>
          <w:highlight w:val="none"/>
        </w:rPr>
        <w:fldChar w:fldCharType="end"/>
      </w:r>
    </w:p>
    <w:p>
      <w:pPr>
        <w:pStyle w:val="14"/>
        <w:tabs>
          <w:tab w:val="right" w:leader="dot" w:pos="9525"/>
        </w:tabs>
        <w:spacing w:line="600" w:lineRule="exact"/>
        <w:ind w:left="560"/>
        <w:rPr>
          <w:color w:val="auto"/>
          <w:highlight w:val="none"/>
        </w:rPr>
      </w:pPr>
      <w:r>
        <w:rPr>
          <w:color w:val="auto"/>
          <w:highlight w:val="none"/>
        </w:rPr>
        <w:fldChar w:fldCharType="begin"/>
      </w:r>
      <w:r>
        <w:rPr>
          <w:color w:val="auto"/>
          <w:highlight w:val="none"/>
        </w:rPr>
        <w:instrText xml:space="preserve"> HYPERLINK \l "_Toc16422" </w:instrText>
      </w:r>
      <w:r>
        <w:rPr>
          <w:color w:val="auto"/>
          <w:highlight w:val="none"/>
        </w:rPr>
        <w:fldChar w:fldCharType="separate"/>
      </w:r>
      <w:r>
        <w:rPr>
          <w:rFonts w:hint="eastAsia" w:ascii="宋体"/>
          <w:bCs/>
          <w:color w:val="auto"/>
          <w:szCs w:val="30"/>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_Toc16422 \h </w:instrText>
      </w:r>
      <w:r>
        <w:rPr>
          <w:color w:val="auto"/>
          <w:highlight w:val="none"/>
        </w:rPr>
        <w:fldChar w:fldCharType="separate"/>
      </w:r>
      <w:r>
        <w:rPr>
          <w:color w:val="auto"/>
          <w:highlight w:val="none"/>
        </w:rPr>
        <w:t>- 23 -</w:t>
      </w:r>
      <w:r>
        <w:rPr>
          <w:color w:val="auto"/>
          <w:highlight w:val="none"/>
        </w:rPr>
        <w:fldChar w:fldCharType="end"/>
      </w:r>
      <w:r>
        <w:rPr>
          <w:color w:val="auto"/>
          <w:highlight w:val="none"/>
        </w:rPr>
        <w:fldChar w:fldCharType="end"/>
      </w:r>
    </w:p>
    <w:p>
      <w:pPr>
        <w:pStyle w:val="14"/>
        <w:tabs>
          <w:tab w:val="right" w:leader="dot" w:pos="9525"/>
        </w:tabs>
        <w:spacing w:line="600" w:lineRule="exact"/>
        <w:ind w:left="560"/>
        <w:rPr>
          <w:color w:val="auto"/>
          <w:highlight w:val="none"/>
        </w:rPr>
      </w:pPr>
      <w:r>
        <w:rPr>
          <w:color w:val="auto"/>
          <w:highlight w:val="none"/>
        </w:rPr>
        <w:fldChar w:fldCharType="begin"/>
      </w:r>
      <w:r>
        <w:rPr>
          <w:color w:val="auto"/>
          <w:highlight w:val="none"/>
        </w:rPr>
        <w:instrText xml:space="preserve"> HYPERLINK \l "_Toc28773" </w:instrText>
      </w:r>
      <w:r>
        <w:rPr>
          <w:color w:val="auto"/>
          <w:highlight w:val="none"/>
        </w:rPr>
        <w:fldChar w:fldCharType="separate"/>
      </w:r>
      <w:r>
        <w:rPr>
          <w:rFonts w:hint="eastAsia" w:ascii="宋体"/>
          <w:bCs/>
          <w:color w:val="auto"/>
          <w:szCs w:val="30"/>
          <w:highlight w:val="none"/>
        </w:rPr>
        <w:t>第四篇  磋商程序及方法、评审标准、无效响应和采购终止</w:t>
      </w:r>
      <w:r>
        <w:rPr>
          <w:color w:val="auto"/>
          <w:highlight w:val="none"/>
        </w:rPr>
        <w:tab/>
      </w:r>
      <w:r>
        <w:rPr>
          <w:color w:val="auto"/>
          <w:highlight w:val="none"/>
        </w:rPr>
        <w:fldChar w:fldCharType="begin"/>
      </w:r>
      <w:r>
        <w:rPr>
          <w:color w:val="auto"/>
          <w:highlight w:val="none"/>
        </w:rPr>
        <w:instrText xml:space="preserve"> PAGEREF _Toc28773 \h </w:instrText>
      </w:r>
      <w:r>
        <w:rPr>
          <w:color w:val="auto"/>
          <w:highlight w:val="none"/>
        </w:rPr>
        <w:fldChar w:fldCharType="separate"/>
      </w:r>
      <w:r>
        <w:rPr>
          <w:color w:val="auto"/>
          <w:highlight w:val="none"/>
        </w:rPr>
        <w:t>- 24 -</w:t>
      </w:r>
      <w:r>
        <w:rPr>
          <w:color w:val="auto"/>
          <w:highlight w:val="none"/>
        </w:rPr>
        <w:fldChar w:fldCharType="end"/>
      </w:r>
      <w:r>
        <w:rPr>
          <w:color w:val="auto"/>
          <w:highlight w:val="none"/>
        </w:rPr>
        <w:fldChar w:fldCharType="end"/>
      </w:r>
    </w:p>
    <w:p>
      <w:pPr>
        <w:pStyle w:val="14"/>
        <w:tabs>
          <w:tab w:val="right" w:leader="dot" w:pos="9525"/>
        </w:tabs>
        <w:spacing w:line="600" w:lineRule="exact"/>
        <w:ind w:left="560"/>
        <w:rPr>
          <w:color w:val="auto"/>
          <w:highlight w:val="none"/>
        </w:rPr>
      </w:pPr>
      <w:r>
        <w:rPr>
          <w:color w:val="auto"/>
          <w:highlight w:val="none"/>
        </w:rPr>
        <w:fldChar w:fldCharType="begin"/>
      </w:r>
      <w:r>
        <w:rPr>
          <w:color w:val="auto"/>
          <w:highlight w:val="none"/>
        </w:rPr>
        <w:instrText xml:space="preserve"> HYPERLINK \l "_Toc32678" </w:instrText>
      </w:r>
      <w:r>
        <w:rPr>
          <w:color w:val="auto"/>
          <w:highlight w:val="none"/>
        </w:rPr>
        <w:fldChar w:fldCharType="separate"/>
      </w:r>
      <w:r>
        <w:rPr>
          <w:rFonts w:hint="eastAsia" w:ascii="宋体" w:hAnsi="宋体" w:cs="宋体"/>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_Toc32678 \h </w:instrText>
      </w:r>
      <w:r>
        <w:rPr>
          <w:color w:val="auto"/>
          <w:highlight w:val="none"/>
        </w:rPr>
        <w:fldChar w:fldCharType="separate"/>
      </w:r>
      <w:r>
        <w:rPr>
          <w:color w:val="auto"/>
          <w:highlight w:val="none"/>
        </w:rPr>
        <w:t>- 31 -</w:t>
      </w:r>
      <w:r>
        <w:rPr>
          <w:color w:val="auto"/>
          <w:highlight w:val="none"/>
        </w:rPr>
        <w:fldChar w:fldCharType="end"/>
      </w:r>
      <w:r>
        <w:rPr>
          <w:color w:val="auto"/>
          <w:highlight w:val="none"/>
        </w:rPr>
        <w:fldChar w:fldCharType="end"/>
      </w:r>
    </w:p>
    <w:p>
      <w:pPr>
        <w:pStyle w:val="14"/>
        <w:tabs>
          <w:tab w:val="right" w:leader="dot" w:pos="9525"/>
        </w:tabs>
        <w:spacing w:line="600" w:lineRule="exact"/>
        <w:ind w:left="560"/>
        <w:rPr>
          <w:color w:val="auto"/>
          <w:highlight w:val="none"/>
        </w:rPr>
      </w:pPr>
      <w:r>
        <w:rPr>
          <w:color w:val="auto"/>
          <w:highlight w:val="none"/>
        </w:rPr>
        <w:fldChar w:fldCharType="begin"/>
      </w:r>
      <w:r>
        <w:rPr>
          <w:color w:val="auto"/>
          <w:highlight w:val="none"/>
        </w:rPr>
        <w:instrText xml:space="preserve"> HYPERLINK \l "_Toc8292" </w:instrText>
      </w:r>
      <w:r>
        <w:rPr>
          <w:color w:val="auto"/>
          <w:highlight w:val="none"/>
        </w:rPr>
        <w:fldChar w:fldCharType="separate"/>
      </w:r>
      <w:r>
        <w:rPr>
          <w:rFonts w:hint="eastAsia" w:ascii="宋体"/>
          <w:color w:val="auto"/>
          <w:szCs w:val="30"/>
          <w:highlight w:val="none"/>
        </w:rPr>
        <w:t>第六篇  合同草案条款</w:t>
      </w:r>
      <w:r>
        <w:rPr>
          <w:color w:val="auto"/>
          <w:highlight w:val="none"/>
        </w:rPr>
        <w:tab/>
      </w:r>
      <w:r>
        <w:rPr>
          <w:color w:val="auto"/>
          <w:highlight w:val="none"/>
        </w:rPr>
        <w:fldChar w:fldCharType="begin"/>
      </w:r>
      <w:r>
        <w:rPr>
          <w:color w:val="auto"/>
          <w:highlight w:val="none"/>
        </w:rPr>
        <w:instrText xml:space="preserve"> PAGEREF _Toc8292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4"/>
        <w:tabs>
          <w:tab w:val="right" w:leader="dot" w:pos="9525"/>
        </w:tabs>
        <w:spacing w:line="600" w:lineRule="exact"/>
        <w:ind w:left="560"/>
        <w:rPr>
          <w:color w:val="auto"/>
          <w:highlight w:val="none"/>
        </w:rPr>
      </w:pPr>
      <w:r>
        <w:rPr>
          <w:color w:val="auto"/>
          <w:highlight w:val="none"/>
        </w:rPr>
        <w:fldChar w:fldCharType="begin"/>
      </w:r>
      <w:r>
        <w:rPr>
          <w:color w:val="auto"/>
          <w:highlight w:val="none"/>
        </w:rPr>
        <w:instrText xml:space="preserve"> HYPERLINK \l "_Toc14130" </w:instrText>
      </w:r>
      <w:r>
        <w:rPr>
          <w:color w:val="auto"/>
          <w:highlight w:val="none"/>
        </w:rPr>
        <w:fldChar w:fldCharType="separate"/>
      </w:r>
      <w:r>
        <w:rPr>
          <w:rFonts w:ascii="宋体"/>
          <w:bCs/>
          <w:color w:val="auto"/>
          <w:szCs w:val="30"/>
          <w:highlight w:val="none"/>
        </w:rPr>
        <w:t>第七篇  响应文件编制要求</w:t>
      </w:r>
      <w:r>
        <w:rPr>
          <w:color w:val="auto"/>
          <w:highlight w:val="none"/>
        </w:rPr>
        <w:tab/>
      </w:r>
      <w:r>
        <w:rPr>
          <w:color w:val="auto"/>
          <w:highlight w:val="none"/>
        </w:rPr>
        <w:fldChar w:fldCharType="begin"/>
      </w:r>
      <w:r>
        <w:rPr>
          <w:color w:val="auto"/>
          <w:highlight w:val="none"/>
        </w:rPr>
        <w:instrText xml:space="preserve"> PAGEREF _Toc14130 \h </w:instrText>
      </w:r>
      <w:r>
        <w:rPr>
          <w:color w:val="auto"/>
          <w:highlight w:val="none"/>
        </w:rPr>
        <w:fldChar w:fldCharType="separate"/>
      </w:r>
      <w:r>
        <w:rPr>
          <w:color w:val="auto"/>
          <w:highlight w:val="none"/>
        </w:rPr>
        <w:t>- 40 -</w:t>
      </w:r>
      <w:r>
        <w:rPr>
          <w:color w:val="auto"/>
          <w:highlight w:val="none"/>
        </w:rPr>
        <w:fldChar w:fldCharType="end"/>
      </w:r>
      <w:r>
        <w:rPr>
          <w:color w:val="auto"/>
          <w:highlight w:val="none"/>
        </w:rPr>
        <w:fldChar w:fldCharType="end"/>
      </w:r>
    </w:p>
    <w:p>
      <w:pPr>
        <w:pStyle w:val="14"/>
        <w:tabs>
          <w:tab w:val="right" w:leader="dot" w:pos="9525"/>
        </w:tabs>
        <w:spacing w:line="600" w:lineRule="exact"/>
        <w:ind w:left="560"/>
        <w:rPr>
          <w:color w:val="auto"/>
          <w:highlight w:val="none"/>
        </w:rPr>
      </w:pPr>
    </w:p>
    <w:p>
      <w:pPr>
        <w:pStyle w:val="14"/>
        <w:tabs>
          <w:tab w:val="right" w:leader="dot" w:pos="9402"/>
        </w:tabs>
        <w:spacing w:line="600" w:lineRule="exact"/>
        <w:ind w:left="560"/>
        <w:jc w:val="center"/>
        <w:outlineLvl w:val="0"/>
        <w:rPr>
          <w:rFonts w:ascii="宋体"/>
          <w:color w:val="auto"/>
          <w:sz w:val="24"/>
          <w:szCs w:val="24"/>
          <w:highlight w:val="none"/>
        </w:rPr>
        <w:sectPr>
          <w:headerReference r:id="rId3" w:type="default"/>
          <w:footerReference r:id="rId4" w:type="default"/>
          <w:pgSz w:w="11907" w:h="16840"/>
          <w:pgMar w:top="1417" w:right="1417" w:bottom="1417" w:left="1417" w:header="850" w:footer="992" w:gutter="0"/>
          <w:pgBorders>
            <w:top w:val="none" w:sz="0" w:space="0"/>
            <w:left w:val="none" w:sz="0" w:space="0"/>
            <w:bottom w:val="none" w:sz="0" w:space="0"/>
            <w:right w:val="none" w:sz="0" w:space="0"/>
          </w:pgBorders>
          <w:pgNumType w:fmt="numberInDash" w:start="1"/>
          <w:cols w:space="0" w:num="1"/>
          <w:rtlGutter w:val="0"/>
          <w:docGrid w:linePitch="380" w:charSpace="0"/>
        </w:sectPr>
      </w:pPr>
      <w:r>
        <w:rPr>
          <w:rFonts w:hint="eastAsia" w:ascii="宋体" w:hAnsi="宋体" w:cs="宋体"/>
          <w:color w:val="auto"/>
          <w:szCs w:val="30"/>
          <w:highlight w:val="none"/>
        </w:rPr>
        <w:fldChar w:fldCharType="end"/>
      </w:r>
    </w:p>
    <w:p>
      <w:pPr>
        <w:pStyle w:val="4"/>
        <w:spacing w:line="360" w:lineRule="auto"/>
        <w:jc w:val="center"/>
        <w:rPr>
          <w:rFonts w:ascii="宋体" w:eastAsia="宋体"/>
          <w:color w:val="auto"/>
          <w:sz w:val="32"/>
          <w:szCs w:val="28"/>
          <w:highlight w:val="none"/>
        </w:rPr>
      </w:pPr>
      <w:bookmarkStart w:id="8" w:name="_Toc12789052"/>
      <w:bookmarkStart w:id="9" w:name="_Toc26429"/>
      <w:bookmarkStart w:id="10" w:name="_Toc11641050"/>
      <w:bookmarkStart w:id="11" w:name="_Toc6835"/>
      <w:r>
        <w:rPr>
          <w:rFonts w:hint="eastAsia" w:ascii="宋体" w:eastAsia="宋体"/>
          <w:color w:val="auto"/>
          <w:sz w:val="32"/>
          <w:szCs w:val="28"/>
          <w:highlight w:val="none"/>
        </w:rPr>
        <w:t>第一篇  采购邀请书</w:t>
      </w:r>
      <w:bookmarkEnd w:id="8"/>
      <w:bookmarkEnd w:id="9"/>
      <w:bookmarkEnd w:id="10"/>
      <w:bookmarkEnd w:id="11"/>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u w:val="single"/>
        </w:rPr>
        <w:t>攀钢集团工科工程咨询有限公司</w:t>
      </w:r>
      <w:r>
        <w:rPr>
          <w:rFonts w:hint="eastAsia" w:ascii="宋体"/>
          <w:color w:val="auto"/>
          <w:sz w:val="24"/>
          <w:szCs w:val="24"/>
          <w:highlight w:val="none"/>
        </w:rPr>
        <w:t>接受</w:t>
      </w:r>
      <w:r>
        <w:rPr>
          <w:rFonts w:hint="eastAsia" w:ascii="宋体"/>
          <w:color w:val="auto"/>
          <w:sz w:val="24"/>
          <w:szCs w:val="24"/>
          <w:highlight w:val="none"/>
          <w:u w:val="single"/>
        </w:rPr>
        <w:t>重庆市无线电监测站</w:t>
      </w:r>
      <w:r>
        <w:rPr>
          <w:rFonts w:hint="eastAsia" w:ascii="宋体"/>
          <w:color w:val="auto"/>
          <w:sz w:val="24"/>
          <w:szCs w:val="24"/>
          <w:highlight w:val="none"/>
        </w:rPr>
        <w:t>的委托，对</w:t>
      </w:r>
      <w:r>
        <w:rPr>
          <w:rFonts w:hint="eastAsia" w:ascii="宋体"/>
          <w:color w:val="auto"/>
          <w:sz w:val="24"/>
          <w:szCs w:val="24"/>
          <w:highlight w:val="none"/>
          <w:u w:val="single"/>
          <w:lang w:eastAsia="zh-CN"/>
        </w:rPr>
        <w:t>2025年重庆市无线电专用设备运维</w:t>
      </w:r>
      <w:r>
        <w:rPr>
          <w:rFonts w:hint="eastAsia" w:ascii="宋体"/>
          <w:color w:val="auto"/>
          <w:sz w:val="24"/>
          <w:szCs w:val="24"/>
          <w:highlight w:val="none"/>
          <w:u w:val="none"/>
          <w:lang w:val="en-US" w:eastAsia="zh-CN"/>
        </w:rPr>
        <w:t>项目</w:t>
      </w:r>
      <w:r>
        <w:rPr>
          <w:rFonts w:hint="eastAsia" w:ascii="宋体"/>
          <w:color w:val="auto"/>
          <w:sz w:val="24"/>
          <w:szCs w:val="24"/>
          <w:highlight w:val="none"/>
        </w:rPr>
        <w:t>进行竞争性磋商采购。欢迎有资格的供应商前来参与磋商。</w:t>
      </w:r>
    </w:p>
    <w:p>
      <w:pPr>
        <w:pStyle w:val="5"/>
        <w:spacing w:before="0" w:after="0" w:line="360" w:lineRule="auto"/>
        <w:ind w:firstLine="482" w:firstLineChars="200"/>
        <w:rPr>
          <w:rFonts w:ascii="宋体"/>
          <w:color w:val="auto"/>
          <w:sz w:val="24"/>
          <w:szCs w:val="24"/>
          <w:highlight w:val="none"/>
        </w:rPr>
      </w:pPr>
      <w:bookmarkStart w:id="12" w:name="_Toc31535"/>
      <w:bookmarkStart w:id="13" w:name="_Toc317775175"/>
      <w:bookmarkStart w:id="14" w:name="_Toc1014"/>
      <w:bookmarkStart w:id="15" w:name="_Toc313893526"/>
      <w:bookmarkStart w:id="16" w:name="_Toc32725"/>
      <w:bookmarkStart w:id="17" w:name="_Toc15073"/>
      <w:r>
        <w:rPr>
          <w:rFonts w:hint="eastAsia" w:ascii="宋体"/>
          <w:color w:val="auto"/>
          <w:sz w:val="24"/>
          <w:szCs w:val="24"/>
          <w:highlight w:val="none"/>
        </w:rPr>
        <w:t>一、竞争性磋商内容</w:t>
      </w:r>
      <w:bookmarkEnd w:id="12"/>
      <w:bookmarkEnd w:id="13"/>
      <w:bookmarkEnd w:id="14"/>
      <w:bookmarkEnd w:id="15"/>
      <w:bookmarkEnd w:id="16"/>
      <w:bookmarkEnd w:id="17"/>
    </w:p>
    <w:tbl>
      <w:tblPr>
        <w:tblStyle w:val="1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347"/>
        <w:gridCol w:w="1347"/>
        <w:gridCol w:w="1701"/>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835"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4"/>
                <w:highlight w:val="none"/>
              </w:rPr>
            </w:pPr>
            <w:bookmarkStart w:id="18" w:name="_Toc317775178"/>
            <w:bookmarkStart w:id="19" w:name="_Toc373860293"/>
            <w:r>
              <w:rPr>
                <w:rFonts w:hint="eastAsia" w:ascii="宋体" w:cs="宋体"/>
                <w:b/>
                <w:bCs/>
                <w:color w:val="auto"/>
                <w:kern w:val="0"/>
                <w:sz w:val="21"/>
                <w:szCs w:val="24"/>
                <w:highlight w:val="none"/>
              </w:rPr>
              <w:t>项目内容</w:t>
            </w:r>
          </w:p>
        </w:tc>
        <w:tc>
          <w:tcPr>
            <w:tcW w:w="1347"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4"/>
                <w:highlight w:val="none"/>
              </w:rPr>
            </w:pPr>
            <w:r>
              <w:rPr>
                <w:rFonts w:hint="eastAsia" w:ascii="宋体" w:cs="宋体"/>
                <w:b/>
                <w:bCs/>
                <w:color w:val="auto"/>
                <w:kern w:val="0"/>
                <w:sz w:val="21"/>
                <w:szCs w:val="24"/>
                <w:highlight w:val="none"/>
              </w:rPr>
              <w:t>最高限价</w:t>
            </w:r>
          </w:p>
          <w:p>
            <w:pPr>
              <w:widowControl/>
              <w:jc w:val="center"/>
              <w:rPr>
                <w:rFonts w:ascii="宋体" w:cs="宋体"/>
                <w:b/>
                <w:bCs/>
                <w:color w:val="auto"/>
                <w:kern w:val="0"/>
                <w:sz w:val="21"/>
                <w:szCs w:val="24"/>
                <w:highlight w:val="none"/>
              </w:rPr>
            </w:pPr>
            <w:r>
              <w:rPr>
                <w:rFonts w:hint="eastAsia" w:ascii="宋体" w:cs="宋体"/>
                <w:b/>
                <w:bCs/>
                <w:color w:val="auto"/>
                <w:kern w:val="0"/>
                <w:sz w:val="21"/>
                <w:szCs w:val="24"/>
                <w:highlight w:val="none"/>
              </w:rPr>
              <w:t>（万元）</w:t>
            </w:r>
          </w:p>
        </w:tc>
        <w:tc>
          <w:tcPr>
            <w:tcW w:w="1347"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4"/>
                <w:highlight w:val="none"/>
              </w:rPr>
            </w:pPr>
            <w:r>
              <w:rPr>
                <w:rFonts w:hint="eastAsia" w:ascii="宋体" w:cs="宋体"/>
                <w:b/>
                <w:bCs/>
                <w:color w:val="auto"/>
                <w:kern w:val="0"/>
                <w:sz w:val="21"/>
                <w:szCs w:val="24"/>
                <w:highlight w:val="none"/>
              </w:rPr>
              <w:t>磋商保证金</w:t>
            </w:r>
          </w:p>
          <w:p>
            <w:pPr>
              <w:widowControl/>
              <w:jc w:val="center"/>
              <w:rPr>
                <w:rFonts w:ascii="宋体" w:cs="宋体"/>
                <w:b/>
                <w:bCs/>
                <w:color w:val="auto"/>
                <w:kern w:val="0"/>
                <w:sz w:val="21"/>
                <w:szCs w:val="24"/>
                <w:highlight w:val="none"/>
              </w:rPr>
            </w:pPr>
            <w:r>
              <w:rPr>
                <w:rFonts w:hint="eastAsia" w:ascii="宋体" w:cs="宋体"/>
                <w:b/>
                <w:bCs/>
                <w:color w:val="auto"/>
                <w:kern w:val="0"/>
                <w:sz w:val="21"/>
                <w:szCs w:val="24"/>
                <w:highlight w:val="none"/>
              </w:rPr>
              <w:t>（</w:t>
            </w:r>
            <w:r>
              <w:rPr>
                <w:rFonts w:hint="eastAsia" w:ascii="宋体" w:cs="宋体"/>
                <w:b/>
                <w:bCs/>
                <w:color w:val="auto"/>
                <w:kern w:val="0"/>
                <w:sz w:val="21"/>
                <w:szCs w:val="24"/>
                <w:highlight w:val="none"/>
                <w:lang w:val="en-US" w:eastAsia="zh-CN"/>
              </w:rPr>
              <w:t>万</w:t>
            </w:r>
            <w:r>
              <w:rPr>
                <w:rFonts w:hint="eastAsia" w:ascii="宋体" w:cs="宋体"/>
                <w:b/>
                <w:bCs/>
                <w:color w:val="auto"/>
                <w:kern w:val="0"/>
                <w:sz w:val="21"/>
                <w:szCs w:val="24"/>
                <w:highlight w:val="none"/>
              </w:rPr>
              <w:t>元）</w:t>
            </w:r>
          </w:p>
        </w:tc>
        <w:tc>
          <w:tcPr>
            <w:tcW w:w="1701"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4"/>
                <w:highlight w:val="none"/>
              </w:rPr>
            </w:pPr>
            <w:r>
              <w:rPr>
                <w:rFonts w:hint="eastAsia" w:ascii="宋体" w:cs="宋体"/>
                <w:b/>
                <w:bCs/>
                <w:color w:val="auto"/>
                <w:kern w:val="0"/>
                <w:sz w:val="21"/>
                <w:szCs w:val="24"/>
                <w:highlight w:val="none"/>
              </w:rPr>
              <w:t>成交供应商数量（名）</w:t>
            </w:r>
          </w:p>
        </w:tc>
        <w:tc>
          <w:tcPr>
            <w:tcW w:w="2409" w:type="dxa"/>
            <w:tcBorders>
              <w:top w:val="single" w:color="auto" w:sz="4" w:space="0"/>
              <w:left w:val="single" w:color="auto" w:sz="4" w:space="0"/>
              <w:right w:val="single" w:color="auto" w:sz="4" w:space="0"/>
            </w:tcBorders>
            <w:vAlign w:val="center"/>
          </w:tcPr>
          <w:p>
            <w:pPr>
              <w:widowControl/>
              <w:jc w:val="center"/>
              <w:rPr>
                <w:rFonts w:ascii="宋体" w:cs="宋体"/>
                <w:b/>
                <w:bCs/>
                <w:color w:val="auto"/>
                <w:kern w:val="0"/>
                <w:sz w:val="21"/>
                <w:szCs w:val="24"/>
                <w:highlight w:val="none"/>
              </w:rPr>
            </w:pPr>
            <w:r>
              <w:rPr>
                <w:rFonts w:hint="eastAsia" w:ascii="宋体" w:cs="宋体"/>
                <w:b/>
                <w:bCs/>
                <w:color w:val="auto"/>
                <w:kern w:val="0"/>
                <w:sz w:val="21"/>
                <w:szCs w:val="21"/>
                <w:highlight w:val="none"/>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835" w:type="dxa"/>
            <w:tcBorders>
              <w:top w:val="single" w:color="auto" w:sz="4" w:space="0"/>
              <w:left w:val="single" w:color="auto" w:sz="4" w:space="0"/>
              <w:right w:val="single" w:color="auto" w:sz="4" w:space="0"/>
            </w:tcBorders>
            <w:vAlign w:val="center"/>
          </w:tcPr>
          <w:p>
            <w:pPr>
              <w:pStyle w:val="8"/>
              <w:spacing w:line="240" w:lineRule="atLeast"/>
              <w:ind w:left="0"/>
              <w:jc w:val="center"/>
              <w:outlineLvl w:val="0"/>
              <w:rPr>
                <w:rFonts w:hint="eastAsia" w:ascii="宋体" w:eastAsia="宋体"/>
                <w:color w:val="auto"/>
                <w:sz w:val="21"/>
                <w:szCs w:val="21"/>
                <w:highlight w:val="none"/>
                <w:lang w:eastAsia="zh-CN"/>
              </w:rPr>
            </w:pPr>
            <w:bookmarkStart w:id="20" w:name="_Hlk344477914"/>
            <w:r>
              <w:rPr>
                <w:rFonts w:hint="eastAsia" w:ascii="宋体"/>
                <w:color w:val="auto"/>
                <w:sz w:val="21"/>
                <w:szCs w:val="21"/>
                <w:highlight w:val="none"/>
                <w:lang w:eastAsia="zh-CN"/>
              </w:rPr>
              <w:t>2025年重庆市无线电专用设备运维</w:t>
            </w:r>
          </w:p>
        </w:tc>
        <w:tc>
          <w:tcPr>
            <w:tcW w:w="1347" w:type="dxa"/>
            <w:tcBorders>
              <w:top w:val="single" w:color="auto" w:sz="4" w:space="0"/>
              <w:left w:val="single" w:color="auto" w:sz="4" w:space="0"/>
              <w:right w:val="single" w:color="auto" w:sz="4" w:space="0"/>
            </w:tcBorders>
            <w:vAlign w:val="center"/>
          </w:tcPr>
          <w:p>
            <w:pPr>
              <w:pStyle w:val="8"/>
              <w:spacing w:line="240" w:lineRule="atLeast"/>
              <w:ind w:left="0"/>
              <w:jc w:val="center"/>
              <w:outlineLvl w:val="0"/>
              <w:rPr>
                <w:rFonts w:hint="default" w:ascii="宋体" w:eastAsia="宋体"/>
                <w:color w:val="auto"/>
                <w:sz w:val="21"/>
                <w:szCs w:val="21"/>
                <w:highlight w:val="none"/>
                <w:lang w:val="en-US" w:eastAsia="zh-CN"/>
              </w:rPr>
            </w:pPr>
            <w:r>
              <w:rPr>
                <w:rFonts w:hint="eastAsia" w:ascii="宋体" w:hAnsi="宋体" w:eastAsia="宋体" w:cs="宋体"/>
                <w:color w:val="auto"/>
                <w:kern w:val="0"/>
                <w:sz w:val="21"/>
                <w:szCs w:val="24"/>
                <w:highlight w:val="none"/>
                <w:lang w:val="en-US" w:eastAsia="zh-CN"/>
              </w:rPr>
              <w:t>47.78</w:t>
            </w:r>
          </w:p>
        </w:tc>
        <w:tc>
          <w:tcPr>
            <w:tcW w:w="1347" w:type="dxa"/>
            <w:tcBorders>
              <w:top w:val="single" w:color="auto" w:sz="4" w:space="0"/>
              <w:left w:val="single" w:color="auto" w:sz="4" w:space="0"/>
              <w:right w:val="single" w:color="auto" w:sz="4" w:space="0"/>
            </w:tcBorders>
            <w:vAlign w:val="center"/>
          </w:tcPr>
          <w:p>
            <w:pPr>
              <w:pStyle w:val="8"/>
              <w:spacing w:line="240" w:lineRule="atLeast"/>
              <w:ind w:left="0"/>
              <w:jc w:val="center"/>
              <w:outlineLvl w:val="0"/>
              <w:rPr>
                <w:rFonts w:hint="default" w:ascii="宋体" w:eastAsia="宋体"/>
                <w:color w:val="auto"/>
                <w:sz w:val="21"/>
                <w:szCs w:val="21"/>
                <w:highlight w:val="none"/>
                <w:lang w:val="en-US" w:eastAsia="zh-CN"/>
              </w:rPr>
            </w:pPr>
            <w:r>
              <w:rPr>
                <w:rFonts w:hint="eastAsia" w:ascii="宋体"/>
                <w:color w:val="auto"/>
                <w:sz w:val="21"/>
                <w:szCs w:val="21"/>
                <w:highlight w:val="none"/>
                <w:lang w:val="en-US" w:eastAsia="zh-CN"/>
              </w:rPr>
              <w:t>0.8</w:t>
            </w:r>
          </w:p>
        </w:tc>
        <w:tc>
          <w:tcPr>
            <w:tcW w:w="1701" w:type="dxa"/>
            <w:tcBorders>
              <w:top w:val="single" w:color="auto" w:sz="4" w:space="0"/>
              <w:left w:val="single" w:color="auto" w:sz="4" w:space="0"/>
              <w:right w:val="single" w:color="auto" w:sz="4" w:space="0"/>
            </w:tcBorders>
            <w:vAlign w:val="center"/>
          </w:tcPr>
          <w:p>
            <w:pPr>
              <w:pStyle w:val="8"/>
              <w:spacing w:line="240" w:lineRule="atLeast"/>
              <w:ind w:left="0"/>
              <w:jc w:val="center"/>
              <w:outlineLvl w:val="0"/>
              <w:rPr>
                <w:rFonts w:ascii="宋体"/>
                <w:color w:val="auto"/>
                <w:sz w:val="21"/>
                <w:szCs w:val="21"/>
                <w:highlight w:val="none"/>
              </w:rPr>
            </w:pPr>
            <w:bookmarkStart w:id="21" w:name="_Toc17229"/>
            <w:r>
              <w:rPr>
                <w:rFonts w:ascii="宋体"/>
                <w:color w:val="auto"/>
                <w:sz w:val="21"/>
                <w:szCs w:val="21"/>
                <w:highlight w:val="none"/>
              </w:rPr>
              <w:t>1</w:t>
            </w:r>
            <w:bookmarkEnd w:id="21"/>
          </w:p>
        </w:tc>
        <w:tc>
          <w:tcPr>
            <w:tcW w:w="2409" w:type="dxa"/>
            <w:tcBorders>
              <w:top w:val="single" w:color="auto" w:sz="4" w:space="0"/>
              <w:left w:val="single" w:color="auto" w:sz="4" w:space="0"/>
              <w:right w:val="single" w:color="auto" w:sz="4" w:space="0"/>
            </w:tcBorders>
            <w:vAlign w:val="center"/>
          </w:tcPr>
          <w:p>
            <w:pPr>
              <w:pStyle w:val="8"/>
              <w:spacing w:line="240" w:lineRule="atLeast"/>
              <w:ind w:left="0"/>
              <w:jc w:val="center"/>
              <w:outlineLvl w:val="0"/>
              <w:rPr>
                <w:rFonts w:hint="default" w:ascii="宋体" w:eastAsia="宋体"/>
                <w:color w:val="auto"/>
                <w:sz w:val="21"/>
                <w:szCs w:val="21"/>
                <w:highlight w:val="none"/>
                <w:lang w:val="en-US" w:eastAsia="zh-CN"/>
              </w:rPr>
            </w:pPr>
            <w:r>
              <w:rPr>
                <w:rFonts w:hint="eastAsia" w:ascii="宋体"/>
                <w:color w:val="auto"/>
                <w:sz w:val="21"/>
                <w:szCs w:val="21"/>
                <w:highlight w:val="none"/>
                <w:lang w:val="en-US" w:eastAsia="zh-CN"/>
              </w:rPr>
              <w:t>其他</w:t>
            </w:r>
          </w:p>
        </w:tc>
      </w:tr>
      <w:bookmarkEnd w:id="20"/>
    </w:tbl>
    <w:p>
      <w:pPr>
        <w:pStyle w:val="5"/>
        <w:spacing w:before="0" w:after="0" w:line="540" w:lineRule="exact"/>
        <w:ind w:firstLine="482" w:firstLineChars="200"/>
        <w:rPr>
          <w:rFonts w:ascii="宋体"/>
          <w:color w:val="auto"/>
          <w:sz w:val="24"/>
          <w:szCs w:val="24"/>
          <w:highlight w:val="none"/>
        </w:rPr>
      </w:pPr>
      <w:bookmarkStart w:id="22" w:name="_Toc8941"/>
      <w:bookmarkStart w:id="23" w:name="_Toc3637"/>
      <w:bookmarkStart w:id="24" w:name="_Toc2073"/>
      <w:bookmarkStart w:id="25" w:name="_Toc9910"/>
      <w:r>
        <w:rPr>
          <w:rFonts w:hint="eastAsia" w:ascii="宋体"/>
          <w:color w:val="auto"/>
          <w:sz w:val="24"/>
          <w:szCs w:val="24"/>
          <w:highlight w:val="none"/>
        </w:rPr>
        <w:t>二、资金来源</w:t>
      </w:r>
      <w:bookmarkEnd w:id="22"/>
      <w:bookmarkEnd w:id="23"/>
      <w:bookmarkEnd w:id="24"/>
      <w:bookmarkEnd w:id="25"/>
    </w:p>
    <w:p>
      <w:pPr>
        <w:spacing w:line="540" w:lineRule="exact"/>
        <w:ind w:firstLine="480" w:firstLineChars="200"/>
        <w:rPr>
          <w:rFonts w:ascii="宋体"/>
          <w:color w:val="auto"/>
          <w:sz w:val="24"/>
          <w:szCs w:val="24"/>
          <w:highlight w:val="none"/>
        </w:rPr>
      </w:pPr>
      <w:r>
        <w:rPr>
          <w:rFonts w:hint="eastAsia" w:ascii="宋体"/>
          <w:color w:val="auto"/>
          <w:sz w:val="24"/>
          <w:szCs w:val="24"/>
          <w:highlight w:val="none"/>
        </w:rPr>
        <w:t>财政预算资金,预算金额为</w:t>
      </w:r>
      <w:r>
        <w:rPr>
          <w:rFonts w:hint="eastAsia" w:ascii="宋体"/>
          <w:color w:val="auto"/>
          <w:sz w:val="24"/>
          <w:szCs w:val="24"/>
          <w:highlight w:val="none"/>
          <w:lang w:val="en-US" w:eastAsia="zh-CN"/>
        </w:rPr>
        <w:t>47.78</w:t>
      </w:r>
      <w:r>
        <w:rPr>
          <w:rFonts w:hint="eastAsia" w:ascii="宋体"/>
          <w:color w:val="auto"/>
          <w:sz w:val="24"/>
          <w:szCs w:val="24"/>
          <w:highlight w:val="none"/>
        </w:rPr>
        <w:t>万元。</w:t>
      </w:r>
    </w:p>
    <w:bookmarkEnd w:id="18"/>
    <w:bookmarkEnd w:id="19"/>
    <w:p>
      <w:pPr>
        <w:pStyle w:val="5"/>
        <w:spacing w:before="0" w:after="0" w:line="540" w:lineRule="exact"/>
        <w:ind w:firstLine="482" w:firstLineChars="200"/>
        <w:rPr>
          <w:rFonts w:ascii="宋体"/>
          <w:color w:val="auto"/>
          <w:sz w:val="24"/>
          <w:szCs w:val="24"/>
          <w:highlight w:val="none"/>
        </w:rPr>
      </w:pPr>
      <w:bookmarkStart w:id="26" w:name="_Toc15242"/>
      <w:bookmarkStart w:id="27" w:name="_Toc75258773"/>
      <w:bookmarkStart w:id="28" w:name="_Toc7572"/>
      <w:bookmarkStart w:id="29" w:name="_Toc5187"/>
      <w:bookmarkStart w:id="30" w:name="_Toc27034"/>
      <w:r>
        <w:rPr>
          <w:rFonts w:hint="eastAsia" w:ascii="宋体"/>
          <w:color w:val="auto"/>
          <w:sz w:val="24"/>
          <w:szCs w:val="24"/>
          <w:highlight w:val="none"/>
        </w:rPr>
        <w:t>三、供应商资格条件</w:t>
      </w:r>
      <w:bookmarkEnd w:id="26"/>
      <w:bookmarkEnd w:id="27"/>
      <w:bookmarkEnd w:id="28"/>
      <w:bookmarkEnd w:id="29"/>
      <w:bookmarkEnd w:id="30"/>
    </w:p>
    <w:p>
      <w:pPr>
        <w:spacing w:line="540" w:lineRule="exact"/>
        <w:ind w:firstLine="480" w:firstLineChars="200"/>
        <w:rPr>
          <w:rFonts w:ascii="宋体" w:hAnsi="宋体" w:cs="宋体"/>
          <w:color w:val="auto"/>
          <w:sz w:val="24"/>
          <w:szCs w:val="24"/>
          <w:highlight w:val="none"/>
        </w:rPr>
      </w:pPr>
      <w:bookmarkStart w:id="31" w:name="_Toc75258774"/>
      <w:r>
        <w:rPr>
          <w:rFonts w:hint="eastAsia" w:ascii="宋体"/>
          <w:color w:val="auto"/>
          <w:sz w:val="24"/>
          <w:szCs w:val="24"/>
          <w:highlight w:val="none"/>
        </w:rPr>
        <w:t>（一）</w:t>
      </w:r>
      <w:r>
        <w:rPr>
          <w:rFonts w:hint="eastAsia" w:ascii="宋体" w:hAnsi="宋体" w:cs="宋体"/>
          <w:color w:val="auto"/>
          <w:sz w:val="24"/>
          <w:szCs w:val="24"/>
          <w:highlight w:val="none"/>
        </w:rPr>
        <w:t>满足《中华人民共和国政府采购法》第二十二条规定；</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（二）落实政府采购政策需满足的资格要求：</w:t>
      </w:r>
      <w:r>
        <w:rPr>
          <w:rFonts w:hint="eastAsia" w:ascii="宋体" w:hAnsi="宋体" w:eastAsia="宋体" w:cs="宋体"/>
          <w:color w:val="auto"/>
          <w:sz w:val="24"/>
          <w:szCs w:val="24"/>
          <w:highlight w:val="none"/>
          <w:lang w:val="en-US" w:eastAsia="zh-CN"/>
        </w:rPr>
        <w:t>专门面向中小企业采购项目,承建单位应为中小微企业、监狱企业、残疾人福利性单位</w:t>
      </w:r>
      <w:r>
        <w:rPr>
          <w:rFonts w:hint="eastAsia" w:ascii="宋体" w:hAnsi="宋体" w:cs="宋体"/>
          <w:color w:val="auto"/>
          <w:sz w:val="24"/>
          <w:szCs w:val="24"/>
          <w:highlight w:val="none"/>
        </w:rPr>
        <w:t>。</w:t>
      </w:r>
    </w:p>
    <w:p>
      <w:pPr>
        <w:spacing w:line="5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（三）本项目的特定资格要求：</w:t>
      </w:r>
      <w:r>
        <w:rPr>
          <w:rFonts w:hint="eastAsia" w:ascii="宋体" w:hAnsi="宋体" w:eastAsia="宋体" w:cs="宋体"/>
          <w:color w:val="auto"/>
          <w:sz w:val="24"/>
          <w:szCs w:val="24"/>
          <w:highlight w:val="none"/>
          <w:lang w:val="en-US" w:eastAsia="zh-CN"/>
        </w:rPr>
        <w:t>供应商须具有</w:t>
      </w:r>
      <w:bookmarkStart w:id="32" w:name="OLE_LINK3"/>
      <w:r>
        <w:rPr>
          <w:rFonts w:hint="eastAsia" w:ascii="宋体" w:hAnsi="宋体" w:eastAsia="宋体" w:cs="宋体"/>
          <w:color w:val="auto"/>
          <w:sz w:val="24"/>
          <w:szCs w:val="24"/>
          <w:highlight w:val="none"/>
          <w:lang w:val="en-US" w:eastAsia="zh-CN"/>
        </w:rPr>
        <w:t>ITSS信息技术服务运行维护标准符合性证书</w:t>
      </w:r>
      <w:bookmarkEnd w:id="32"/>
      <w:r>
        <w:rPr>
          <w:rFonts w:hint="eastAsia" w:ascii="宋体" w:hAnsi="宋体" w:eastAsia="宋体" w:cs="宋体"/>
          <w:color w:val="auto"/>
          <w:sz w:val="24"/>
          <w:szCs w:val="24"/>
          <w:highlight w:val="none"/>
          <w:lang w:val="en-US" w:eastAsia="zh-CN"/>
        </w:rPr>
        <w:t>成熟度三级及以上</w:t>
      </w:r>
      <w:r>
        <w:rPr>
          <w:rFonts w:hint="eastAsia" w:ascii="宋体" w:hAnsi="宋体" w:cs="宋体"/>
          <w:color w:val="auto"/>
          <w:sz w:val="24"/>
          <w:szCs w:val="24"/>
          <w:highlight w:val="none"/>
          <w:lang w:val="en-US" w:eastAsia="zh-CN"/>
        </w:rPr>
        <w:t>（供应商须提供相关证书复印件，加盖供应商公章）。</w:t>
      </w:r>
    </w:p>
    <w:p>
      <w:pPr>
        <w:pStyle w:val="5"/>
        <w:spacing w:before="0" w:after="0" w:line="540" w:lineRule="exact"/>
        <w:ind w:firstLine="482" w:firstLineChars="200"/>
        <w:rPr>
          <w:rFonts w:ascii="宋体"/>
          <w:color w:val="auto"/>
          <w:sz w:val="24"/>
          <w:szCs w:val="24"/>
          <w:highlight w:val="none"/>
        </w:rPr>
      </w:pPr>
      <w:bookmarkStart w:id="33" w:name="_Toc12907"/>
      <w:bookmarkStart w:id="34" w:name="_Toc17395"/>
      <w:bookmarkStart w:id="35" w:name="_Toc23007"/>
      <w:bookmarkStart w:id="36" w:name="_Toc16937"/>
      <w:r>
        <w:rPr>
          <w:rFonts w:hint="eastAsia" w:ascii="宋体"/>
          <w:color w:val="auto"/>
          <w:sz w:val="24"/>
          <w:szCs w:val="24"/>
          <w:highlight w:val="none"/>
        </w:rPr>
        <w:t>四、磋商有关说明</w:t>
      </w:r>
      <w:bookmarkEnd w:id="31"/>
      <w:bookmarkEnd w:id="33"/>
      <w:bookmarkEnd w:id="34"/>
      <w:bookmarkEnd w:id="35"/>
      <w:bookmarkEnd w:id="36"/>
    </w:p>
    <w:p>
      <w:pPr>
        <w:spacing w:line="540" w:lineRule="exact"/>
        <w:ind w:firstLine="480" w:firstLineChars="200"/>
        <w:rPr>
          <w:rFonts w:ascii="宋体"/>
          <w:color w:val="auto"/>
          <w:sz w:val="24"/>
          <w:szCs w:val="24"/>
          <w:highlight w:val="none"/>
        </w:rPr>
      </w:pPr>
      <w:r>
        <w:rPr>
          <w:rFonts w:hint="eastAsia" w:ascii="宋体"/>
          <w:color w:val="auto"/>
          <w:sz w:val="24"/>
          <w:szCs w:val="24"/>
          <w:highlight w:val="none"/>
        </w:rPr>
        <w:t>（一）凡有意参加磋商的供应商，</w:t>
      </w:r>
      <w:r>
        <w:rPr>
          <w:rFonts w:hint="eastAsia" w:ascii="宋体" w:cs="宋体"/>
          <w:color w:val="auto"/>
          <w:sz w:val="24"/>
          <w:szCs w:val="24"/>
          <w:highlight w:val="none"/>
        </w:rPr>
        <w:t>请到重庆市经济和信息化委员会网上（https://jjxxw.cq.gov.cn/）下载本项目磋商文件以及图纸、澄清等开标前公布的所有项目资料，无论供应商领取或下载与否，均视为已知晓所有招标内容。</w:t>
      </w:r>
    </w:p>
    <w:p>
      <w:pPr>
        <w:spacing w:line="540" w:lineRule="exact"/>
        <w:ind w:firstLine="480" w:firstLineChars="200"/>
        <w:rPr>
          <w:rFonts w:ascii="宋体"/>
          <w:color w:val="auto"/>
          <w:sz w:val="24"/>
          <w:szCs w:val="24"/>
          <w:highlight w:val="none"/>
        </w:rPr>
      </w:pPr>
      <w:r>
        <w:rPr>
          <w:rFonts w:hint="eastAsia" w:ascii="宋体"/>
          <w:color w:val="auto"/>
          <w:sz w:val="24"/>
          <w:szCs w:val="24"/>
          <w:highlight w:val="none"/>
        </w:rPr>
        <w:t>（二）竞争性磋商文件报名期限：</w:t>
      </w:r>
      <w:r>
        <w:rPr>
          <w:rFonts w:hint="eastAsia" w:ascii="宋体" w:hAnsi="宋体" w:cs="宋体"/>
          <w:color w:val="auto"/>
          <w:sz w:val="24"/>
          <w:szCs w:val="24"/>
          <w:highlight w:val="none"/>
        </w:rPr>
        <w:t>自采购公告发布之日起三个工作日。</w:t>
      </w:r>
    </w:p>
    <w:p>
      <w:pPr>
        <w:spacing w:line="540" w:lineRule="exact"/>
        <w:ind w:firstLine="480" w:firstLineChars="200"/>
        <w:rPr>
          <w:rFonts w:ascii="宋体"/>
          <w:color w:val="auto"/>
          <w:sz w:val="24"/>
          <w:szCs w:val="24"/>
          <w:highlight w:val="none"/>
        </w:rPr>
      </w:pPr>
      <w:r>
        <w:rPr>
          <w:rFonts w:hint="eastAsia" w:ascii="宋体"/>
          <w:color w:val="auto"/>
          <w:sz w:val="24"/>
          <w:szCs w:val="24"/>
          <w:highlight w:val="none"/>
        </w:rPr>
        <w:t>（三）竞争性磋商文件发售</w:t>
      </w:r>
    </w:p>
    <w:p>
      <w:pPr>
        <w:spacing w:line="54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1.竞争性磋商文件发售期：202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日至202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日</w:t>
      </w:r>
    </w:p>
    <w:p>
      <w:pPr>
        <w:spacing w:line="54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2.报名方式：供应商在202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cs="宋体"/>
          <w:color w:val="auto"/>
          <w:sz w:val="24"/>
          <w:szCs w:val="24"/>
          <w:highlight w:val="none"/>
        </w:rPr>
        <w:t>日17:00时前将《磋商文件发售登记表》（加盖供应商公章）扫描后发送至电子邮箱273243138@qq.com ，视为具备报名资格，否则视为无效。</w:t>
      </w:r>
    </w:p>
    <w:p>
      <w:pPr>
        <w:spacing w:line="540" w:lineRule="exact"/>
        <w:ind w:firstLine="480" w:firstLineChars="200"/>
        <w:rPr>
          <w:rFonts w:ascii="宋体"/>
          <w:color w:val="auto"/>
          <w:sz w:val="24"/>
          <w:szCs w:val="24"/>
          <w:highlight w:val="none"/>
        </w:rPr>
      </w:pPr>
      <w:r>
        <w:rPr>
          <w:rFonts w:hint="eastAsia" w:ascii="宋体"/>
          <w:color w:val="auto"/>
          <w:sz w:val="24"/>
          <w:szCs w:val="24"/>
          <w:highlight w:val="none"/>
        </w:rPr>
        <w:t>3.</w:t>
      </w:r>
      <w:r>
        <w:rPr>
          <w:rFonts w:hint="eastAsia" w:ascii="宋体" w:hAnsi="宋体" w:cs="宋体"/>
          <w:color w:val="auto"/>
          <w:sz w:val="24"/>
          <w:szCs w:val="24"/>
          <w:highlight w:val="none"/>
        </w:rPr>
        <w:t>竞争性磋商文件售价：人民币300元/包（售后不退）。</w:t>
      </w:r>
    </w:p>
    <w:p>
      <w:pPr>
        <w:spacing w:line="54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4.磋商文件费缴纳方式：报名时缴纳。</w:t>
      </w:r>
    </w:p>
    <w:p>
      <w:pPr>
        <w:spacing w:line="540" w:lineRule="exact"/>
        <w:ind w:firstLine="480" w:firstLineChars="200"/>
        <w:rPr>
          <w:rFonts w:ascii="宋体"/>
          <w:color w:val="auto"/>
          <w:sz w:val="24"/>
          <w:szCs w:val="24"/>
          <w:highlight w:val="none"/>
        </w:rPr>
      </w:pPr>
      <w:r>
        <w:rPr>
          <w:rFonts w:hint="eastAsia" w:ascii="宋体"/>
          <w:color w:val="auto"/>
          <w:sz w:val="24"/>
          <w:szCs w:val="24"/>
          <w:highlight w:val="none"/>
        </w:rPr>
        <w:t>（四）供应商须满足以下三种要件，其响应文件才被接受：</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1.完成报名并按时缴纳了报名费；</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2.按时递交了响应文件；</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3.按时签到。</w:t>
      </w:r>
    </w:p>
    <w:p>
      <w:pPr>
        <w:spacing w:line="540" w:lineRule="exact"/>
        <w:ind w:firstLine="480" w:firstLineChars="200"/>
        <w:rPr>
          <w:rFonts w:ascii="宋体" w:hAnsi="宋体" w:cs="宋体"/>
          <w:color w:val="auto"/>
          <w:sz w:val="24"/>
          <w:szCs w:val="24"/>
          <w:highlight w:val="none"/>
        </w:rPr>
      </w:pPr>
      <w:bookmarkStart w:id="37" w:name="_Toc75258775"/>
      <w:bookmarkStart w:id="38" w:name="_Toc15855"/>
      <w:bookmarkStart w:id="39" w:name="_Toc373860294"/>
      <w:r>
        <w:rPr>
          <w:rFonts w:hint="eastAsia" w:ascii="宋体" w:hAnsi="宋体" w:cs="宋体"/>
          <w:color w:val="auto"/>
          <w:sz w:val="24"/>
          <w:szCs w:val="24"/>
          <w:highlight w:val="none"/>
        </w:rPr>
        <w:t>（五）递交响应文件地点：攀钢集团工科工程咨询有限公司会议室（重庆市渝北区青枫北路12号双子座B座13楼）</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（六）响应文件递交截止时间：202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日北京时间14:30</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（七）磋商开始时间：202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日北京时间14:30</w:t>
      </w:r>
    </w:p>
    <w:p>
      <w:pPr>
        <w:pStyle w:val="5"/>
        <w:spacing w:before="0" w:after="0" w:line="540" w:lineRule="exact"/>
        <w:ind w:firstLine="482" w:firstLineChars="200"/>
        <w:rPr>
          <w:rFonts w:ascii="宋体"/>
          <w:color w:val="auto"/>
          <w:sz w:val="24"/>
          <w:szCs w:val="24"/>
          <w:highlight w:val="none"/>
        </w:rPr>
      </w:pPr>
      <w:bookmarkStart w:id="40" w:name="_Toc26111"/>
      <w:bookmarkStart w:id="41" w:name="_Toc32679"/>
      <w:bookmarkStart w:id="42" w:name="_Toc1342"/>
      <w:r>
        <w:rPr>
          <w:rFonts w:hint="eastAsia" w:ascii="宋体"/>
          <w:color w:val="auto"/>
          <w:sz w:val="24"/>
          <w:szCs w:val="24"/>
          <w:highlight w:val="none"/>
        </w:rPr>
        <w:t>五、磋商保证金</w:t>
      </w:r>
      <w:bookmarkEnd w:id="37"/>
      <w:bookmarkEnd w:id="38"/>
      <w:bookmarkEnd w:id="39"/>
      <w:bookmarkEnd w:id="40"/>
      <w:bookmarkEnd w:id="41"/>
      <w:bookmarkEnd w:id="42"/>
    </w:p>
    <w:p>
      <w:pPr>
        <w:spacing w:line="540" w:lineRule="exact"/>
        <w:ind w:firstLine="480" w:firstLineChars="200"/>
        <w:rPr>
          <w:rFonts w:ascii="宋体" w:hAnsi="宋体" w:cs="宋体"/>
          <w:color w:val="auto"/>
          <w:sz w:val="24"/>
          <w:szCs w:val="24"/>
          <w:highlight w:val="none"/>
        </w:rPr>
      </w:pPr>
      <w:bookmarkStart w:id="43" w:name="_Toc530038692"/>
      <w:r>
        <w:rPr>
          <w:rFonts w:hint="eastAsia" w:ascii="宋体" w:hAnsi="宋体" w:cs="宋体"/>
          <w:color w:val="auto"/>
          <w:sz w:val="24"/>
          <w:szCs w:val="24"/>
          <w:highlight w:val="none"/>
        </w:rPr>
        <w:t>（一）磋商保证金递交</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供应商须按本项目规定的磋商保证金金额进行缴纳（保证金金额详见本篇，一、竞争性磋商内容），由供应商从其单位账户将磋商保证金汇至以下账户，磋商保证金的到账截止时间为</w:t>
      </w:r>
      <w:r>
        <w:rPr>
          <w:rFonts w:hint="eastAsia" w:ascii="宋体" w:hAnsi="宋体" w:cs="宋体"/>
          <w:color w:val="auto"/>
          <w:sz w:val="24"/>
          <w:szCs w:val="24"/>
          <w:highlight w:val="none"/>
          <w:lang w:val="en-US" w:eastAsia="zh-CN"/>
        </w:rPr>
        <w:t>开标当日</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:00。缴纳保证金时付款凭证备注栏必须备注项目名称（可简写）。</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磋商保证金账户：</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户  名：攀钢集团工科工程咨询有限公司重庆分公司</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开户行：中国农业银行重庆巴南马王坪支行 </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账  号：31101201040002679</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（二）保证金退还方式</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1.非成交供应商的保证金，在成交通知书发放后，由采购代理机构在五个工作日内按来款渠道直接退还。</w:t>
      </w:r>
    </w:p>
    <w:p>
      <w:pPr>
        <w:spacing w:line="54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2.成交供应商的投标保证金，在成交供应商与采购人签订合同后，由采购代理机构扣除中标服务费后在五个工作日内按资金来款渠道直接退还。</w:t>
      </w:r>
    </w:p>
    <w:p>
      <w:pPr>
        <w:pStyle w:val="5"/>
        <w:spacing w:before="0" w:after="0" w:line="540" w:lineRule="exact"/>
        <w:ind w:firstLine="482" w:firstLineChars="200"/>
        <w:rPr>
          <w:rFonts w:ascii="宋体"/>
          <w:color w:val="auto"/>
          <w:sz w:val="24"/>
          <w:szCs w:val="24"/>
          <w:highlight w:val="none"/>
        </w:rPr>
      </w:pPr>
      <w:bookmarkStart w:id="44" w:name="_Toc24119"/>
      <w:bookmarkStart w:id="45" w:name="_Toc19386"/>
      <w:bookmarkStart w:id="46" w:name="_Toc7727"/>
      <w:bookmarkStart w:id="47" w:name="_Toc75258776"/>
      <w:bookmarkStart w:id="48" w:name="_Toc17564"/>
      <w:r>
        <w:rPr>
          <w:rFonts w:hint="eastAsia" w:ascii="宋体"/>
          <w:color w:val="auto"/>
          <w:sz w:val="24"/>
          <w:szCs w:val="24"/>
          <w:highlight w:val="none"/>
        </w:rPr>
        <w:t>六、采购项目需落实的政府采购政策</w:t>
      </w:r>
      <w:bookmarkEnd w:id="43"/>
      <w:bookmarkEnd w:id="44"/>
      <w:bookmarkEnd w:id="45"/>
      <w:bookmarkEnd w:id="46"/>
      <w:bookmarkEnd w:id="47"/>
      <w:bookmarkEnd w:id="48"/>
    </w:p>
    <w:p>
      <w:pPr>
        <w:snapToGrid w:val="0"/>
        <w:spacing w:line="540" w:lineRule="exact"/>
        <w:ind w:firstLine="480" w:firstLineChars="200"/>
        <w:rPr>
          <w:rFonts w:ascii="宋体" w:hAnsi="宋体" w:cs="宋体"/>
          <w:color w:val="auto"/>
          <w:sz w:val="24"/>
          <w:szCs w:val="24"/>
          <w:highlight w:val="none"/>
        </w:rPr>
      </w:pPr>
      <w:bookmarkStart w:id="49" w:name="_Toc75258777"/>
      <w:bookmarkStart w:id="50" w:name="_Toc25434"/>
      <w:r>
        <w:rPr>
          <w:rFonts w:hint="eastAsia" w:ascii="宋体" w:hAnsi="宋体" w:cs="宋体"/>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（二）按照财政部、工业和信息化部关于印发《政府采购促进中小企业发展管理办法》的通知（财库〔2020〕46号）的规定，落实促进中小企业发展政策。</w:t>
      </w:r>
    </w:p>
    <w:p>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（三）按照《财政部、司法部关于政府采购支持监狱企业发展有关问题的通知》（财库〔2014〕68号）的规定，落实支持监狱企业发展政策。</w:t>
      </w:r>
    </w:p>
    <w:p>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（四）按照《三部门联合发布关于促进残疾人就业政府采购政策的通知》（财库〔2017〕 141号）的规定，落实支持残疾人福利性单位发展政策。</w:t>
      </w:r>
    </w:p>
    <w:bookmarkEnd w:id="49"/>
    <w:bookmarkEnd w:id="50"/>
    <w:p>
      <w:pPr>
        <w:pStyle w:val="5"/>
        <w:spacing w:before="0" w:after="0" w:line="540" w:lineRule="exact"/>
        <w:ind w:firstLine="482" w:firstLineChars="200"/>
        <w:rPr>
          <w:rFonts w:ascii="宋体" w:hAnsi="宋体" w:cs="宋体"/>
          <w:color w:val="auto"/>
          <w:sz w:val="24"/>
          <w:szCs w:val="24"/>
          <w:highlight w:val="none"/>
        </w:rPr>
      </w:pPr>
      <w:bookmarkStart w:id="51" w:name="_Toc3773"/>
      <w:bookmarkStart w:id="52" w:name="_Toc20130536"/>
      <w:bookmarkStart w:id="53" w:name="_Toc27112"/>
      <w:bookmarkStart w:id="54" w:name="_Toc2987"/>
      <w:r>
        <w:rPr>
          <w:rFonts w:hint="eastAsia" w:ascii="宋体" w:hAnsi="宋体" w:cs="宋体"/>
          <w:color w:val="auto"/>
          <w:sz w:val="24"/>
          <w:szCs w:val="24"/>
          <w:highlight w:val="none"/>
        </w:rPr>
        <w:t>七、其它有关规定</w:t>
      </w:r>
      <w:bookmarkEnd w:id="51"/>
      <w:bookmarkEnd w:id="52"/>
      <w:bookmarkEnd w:id="53"/>
      <w:bookmarkEnd w:id="54"/>
    </w:p>
    <w:p>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（一）单位负责人为同一人或者存在直接控股、管理关系的不同供应商，不得参加同一合同项（包）下的政府采购活动，否则均为无效响应。</w:t>
      </w:r>
    </w:p>
    <w:p>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w:t>
      </w:r>
    </w:p>
    <w:p>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本项目的澄清文件（如果有）一律在“重庆市经济和信息化委员会网”（https://jjxxw.cq.gov.cn/）上发布，请各供应商注意下载或到采购代理机构处领取；无论供应商下载或领取与否，均视同供应商已知晓本项目澄清文件（如果有）的内容。</w:t>
      </w:r>
    </w:p>
    <w:p>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（四）超过响应文件截止时间递交的响应文件，恕不接收。</w:t>
      </w:r>
    </w:p>
    <w:p>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（五）磋商费用：无论磋商结果如何，供应商参与本项目磋商的所有费用均应由供应商自行承担。</w:t>
      </w:r>
    </w:p>
    <w:p>
      <w:pPr>
        <w:snapToGrid w:val="0"/>
        <w:spacing w:line="5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（六）本项目不接受联合体参与磋商，否则按无效处理。</w:t>
      </w:r>
    </w:p>
    <w:p>
      <w:pPr>
        <w:snapToGrid w:val="0"/>
        <w:spacing w:line="540" w:lineRule="exact"/>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七</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本项目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等保测评”部分可分包，其余部分不可分包或转包。</w:t>
      </w:r>
    </w:p>
    <w:p>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八</w:t>
      </w:r>
      <w:r>
        <w:rPr>
          <w:rFonts w:hint="eastAsia" w:ascii="宋体" w:hAnsi="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500" w:lineRule="exact"/>
        <w:ind w:firstLine="480" w:firstLineChars="200"/>
        <w:rPr>
          <w:rFonts w:ascii="宋体"/>
          <w:color w:val="auto"/>
          <w:sz w:val="24"/>
          <w:szCs w:val="24"/>
          <w:highlight w:val="none"/>
        </w:rPr>
      </w:pPr>
    </w:p>
    <w:p>
      <w:pPr>
        <w:pStyle w:val="5"/>
        <w:spacing w:before="0" w:after="0" w:line="500" w:lineRule="exact"/>
        <w:ind w:firstLine="482" w:firstLineChars="200"/>
        <w:rPr>
          <w:rFonts w:ascii="宋体"/>
          <w:color w:val="auto"/>
          <w:sz w:val="24"/>
          <w:szCs w:val="24"/>
          <w:highlight w:val="none"/>
        </w:rPr>
      </w:pPr>
      <w:bookmarkStart w:id="55" w:name="_Toc9088"/>
      <w:bookmarkStart w:id="56" w:name="_Toc2568"/>
      <w:bookmarkStart w:id="57" w:name="_Toc31612"/>
      <w:bookmarkStart w:id="58" w:name="_Toc9505"/>
      <w:r>
        <w:rPr>
          <w:rFonts w:hint="eastAsia" w:ascii="宋体"/>
          <w:color w:val="auto"/>
          <w:sz w:val="24"/>
          <w:szCs w:val="24"/>
          <w:highlight w:val="none"/>
        </w:rPr>
        <w:t>八、联系方式</w:t>
      </w:r>
      <w:bookmarkEnd w:id="55"/>
      <w:bookmarkEnd w:id="56"/>
      <w:bookmarkEnd w:id="57"/>
      <w:bookmarkEnd w:id="58"/>
    </w:p>
    <w:p>
      <w:pPr>
        <w:snapToGrid w:val="0"/>
        <w:spacing w:line="500" w:lineRule="exact"/>
        <w:ind w:firstLine="480" w:firstLineChars="200"/>
        <w:rPr>
          <w:rFonts w:ascii="宋体"/>
          <w:color w:val="auto"/>
          <w:sz w:val="24"/>
          <w:szCs w:val="24"/>
          <w:highlight w:val="none"/>
        </w:rPr>
      </w:pPr>
      <w:r>
        <w:rPr>
          <w:rFonts w:hint="eastAsia" w:ascii="宋体"/>
          <w:color w:val="auto"/>
          <w:sz w:val="24"/>
          <w:szCs w:val="24"/>
          <w:highlight w:val="none"/>
        </w:rPr>
        <w:t>（一）采购人：</w:t>
      </w:r>
      <w:r>
        <w:rPr>
          <w:rFonts w:ascii="宋体"/>
          <w:color w:val="auto"/>
          <w:sz w:val="24"/>
          <w:szCs w:val="24"/>
          <w:highlight w:val="none"/>
        </w:rPr>
        <w:t>重庆市无线电监测站</w:t>
      </w:r>
    </w:p>
    <w:p>
      <w:pPr>
        <w:snapToGrid w:val="0"/>
        <w:spacing w:line="500" w:lineRule="exact"/>
        <w:ind w:firstLine="1200" w:firstLineChars="500"/>
        <w:rPr>
          <w:rFonts w:ascii="宋体"/>
          <w:color w:val="auto"/>
          <w:sz w:val="24"/>
          <w:szCs w:val="24"/>
          <w:highlight w:val="none"/>
        </w:rPr>
      </w:pPr>
      <w:r>
        <w:rPr>
          <w:rFonts w:hint="eastAsia" w:ascii="宋体"/>
          <w:color w:val="auto"/>
          <w:sz w:val="24"/>
          <w:szCs w:val="24"/>
          <w:highlight w:val="none"/>
        </w:rPr>
        <w:t>联系人：罗老师</w:t>
      </w:r>
    </w:p>
    <w:p>
      <w:pPr>
        <w:snapToGrid w:val="0"/>
        <w:spacing w:line="500" w:lineRule="exact"/>
        <w:ind w:firstLine="1200" w:firstLineChars="500"/>
        <w:rPr>
          <w:rFonts w:ascii="宋体"/>
          <w:color w:val="auto"/>
          <w:sz w:val="24"/>
          <w:szCs w:val="24"/>
          <w:highlight w:val="none"/>
        </w:rPr>
      </w:pPr>
      <w:r>
        <w:rPr>
          <w:rFonts w:hint="eastAsia" w:ascii="宋体"/>
          <w:color w:val="auto"/>
          <w:sz w:val="24"/>
          <w:szCs w:val="24"/>
          <w:highlight w:val="none"/>
        </w:rPr>
        <w:t>电  话：023-67710873</w:t>
      </w:r>
    </w:p>
    <w:p>
      <w:pPr>
        <w:snapToGrid w:val="0"/>
        <w:spacing w:line="500" w:lineRule="exact"/>
        <w:ind w:firstLine="1200" w:firstLineChars="500"/>
        <w:rPr>
          <w:rFonts w:ascii="宋体"/>
          <w:color w:val="auto"/>
          <w:sz w:val="24"/>
          <w:szCs w:val="24"/>
          <w:highlight w:val="none"/>
        </w:rPr>
      </w:pPr>
      <w:r>
        <w:rPr>
          <w:rFonts w:hint="eastAsia" w:ascii="宋体"/>
          <w:color w:val="auto"/>
          <w:sz w:val="24"/>
          <w:szCs w:val="24"/>
          <w:highlight w:val="none"/>
        </w:rPr>
        <w:t>地  址：重庆市江北区兴隆路26号数码大厦16楼</w:t>
      </w:r>
    </w:p>
    <w:p>
      <w:pPr>
        <w:pStyle w:val="2"/>
        <w:rPr>
          <w:color w:val="auto"/>
          <w:szCs w:val="24"/>
          <w:highlight w:val="none"/>
        </w:rPr>
      </w:pPr>
    </w:p>
    <w:p>
      <w:pPr>
        <w:pStyle w:val="2"/>
        <w:rPr>
          <w:color w:val="auto"/>
          <w:szCs w:val="24"/>
          <w:highlight w:val="none"/>
        </w:rPr>
      </w:pPr>
    </w:p>
    <w:p>
      <w:pPr>
        <w:pStyle w:val="2"/>
        <w:rPr>
          <w:color w:val="auto"/>
          <w:szCs w:val="24"/>
          <w:highlight w:val="none"/>
        </w:rPr>
      </w:pPr>
    </w:p>
    <w:p>
      <w:pPr>
        <w:snapToGrid w:val="0"/>
        <w:spacing w:line="500" w:lineRule="exact"/>
        <w:ind w:firstLine="480" w:firstLineChars="200"/>
        <w:outlineLvl w:val="2"/>
        <w:rPr>
          <w:rFonts w:ascii="宋体" w:hAnsi="宋体" w:cs="宋体"/>
          <w:color w:val="auto"/>
          <w:sz w:val="24"/>
          <w:szCs w:val="24"/>
          <w:highlight w:val="none"/>
        </w:rPr>
      </w:pPr>
      <w:bookmarkStart w:id="59" w:name="_Toc216163282"/>
      <w:bookmarkStart w:id="60" w:name="_Toc178828108"/>
      <w:bookmarkStart w:id="61" w:name="_Toc180051219"/>
      <w:r>
        <w:rPr>
          <w:rFonts w:hint="eastAsia" w:ascii="宋体" w:hAnsi="宋体" w:cs="宋体"/>
          <w:color w:val="auto"/>
          <w:sz w:val="24"/>
          <w:szCs w:val="24"/>
          <w:highlight w:val="none"/>
        </w:rPr>
        <w:t>（二）采购代理机构：攀钢集团工科工程咨询有限公司</w:t>
      </w:r>
    </w:p>
    <w:p>
      <w:pPr>
        <w:snapToGrid w:val="0"/>
        <w:spacing w:line="500" w:lineRule="exact"/>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 xml:space="preserve">联系人：李老师 </w:t>
      </w:r>
    </w:p>
    <w:p>
      <w:pPr>
        <w:snapToGrid w:val="0"/>
        <w:spacing w:line="500" w:lineRule="exact"/>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电  话：18502307440</w:t>
      </w:r>
    </w:p>
    <w:p>
      <w:pPr>
        <w:snapToGrid w:val="0"/>
        <w:spacing w:line="500" w:lineRule="exact"/>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地  址：重庆市渝北区青枫北路12号双子座B座13楼</w:t>
      </w:r>
    </w:p>
    <w:p>
      <w:pPr>
        <w:snapToGrid w:val="0"/>
        <w:spacing w:line="360" w:lineRule="auto"/>
        <w:ind w:firstLine="480" w:firstLineChars="200"/>
        <w:rPr>
          <w:rFonts w:ascii="宋体"/>
          <w:color w:val="auto"/>
          <w:sz w:val="24"/>
          <w:szCs w:val="24"/>
          <w:highlight w:val="none"/>
        </w:rPr>
      </w:pPr>
    </w:p>
    <w:p>
      <w:pPr>
        <w:pStyle w:val="6"/>
        <w:rPr>
          <w:color w:val="auto"/>
          <w:highlight w:val="none"/>
        </w:rPr>
      </w:pPr>
    </w:p>
    <w:p>
      <w:pPr>
        <w:pStyle w:val="6"/>
        <w:rPr>
          <w:color w:val="auto"/>
          <w:highlight w:val="none"/>
        </w:rPr>
      </w:pPr>
    </w:p>
    <w:p>
      <w:pPr>
        <w:pStyle w:val="7"/>
        <w:rPr>
          <w:color w:val="auto"/>
          <w:highlight w:val="none"/>
        </w:rPr>
      </w:pPr>
    </w:p>
    <w:bookmarkEnd w:id="59"/>
    <w:bookmarkEnd w:id="60"/>
    <w:bookmarkEnd w:id="61"/>
    <w:p>
      <w:pPr>
        <w:pStyle w:val="4"/>
        <w:pageBreakBefore/>
        <w:widowControl w:val="0"/>
        <w:kinsoku/>
        <w:wordWrap/>
        <w:overflowPunct/>
        <w:topLinePunct w:val="0"/>
        <w:autoSpaceDE/>
        <w:autoSpaceDN/>
        <w:bidi w:val="0"/>
        <w:adjustRightInd/>
        <w:spacing w:line="500" w:lineRule="exact"/>
        <w:jc w:val="center"/>
        <w:textAlignment w:val="auto"/>
        <w:rPr>
          <w:rFonts w:ascii="宋体" w:eastAsia="宋体"/>
          <w:b/>
          <w:bCs w:val="0"/>
          <w:color w:val="auto"/>
          <w:sz w:val="32"/>
          <w:szCs w:val="28"/>
          <w:highlight w:val="none"/>
        </w:rPr>
      </w:pPr>
      <w:bookmarkStart w:id="62" w:name="_Toc13245"/>
      <w:bookmarkStart w:id="63" w:name="_Toc6973"/>
      <w:r>
        <w:rPr>
          <w:rFonts w:hint="eastAsia" w:ascii="宋体" w:eastAsia="宋体"/>
          <w:b/>
          <w:bCs w:val="0"/>
          <w:color w:val="auto"/>
          <w:sz w:val="32"/>
          <w:szCs w:val="28"/>
          <w:highlight w:val="none"/>
        </w:rPr>
        <w:t>第二篇  项目</w:t>
      </w:r>
      <w:r>
        <w:rPr>
          <w:rFonts w:hint="eastAsia" w:ascii="宋体" w:eastAsia="宋体"/>
          <w:b/>
          <w:bCs w:val="0"/>
          <w:color w:val="auto"/>
          <w:sz w:val="32"/>
          <w:szCs w:val="28"/>
          <w:highlight w:val="none"/>
          <w:lang w:val="en-US" w:eastAsia="zh-CN"/>
        </w:rPr>
        <w:t>服务</w:t>
      </w:r>
      <w:r>
        <w:rPr>
          <w:rFonts w:hint="eastAsia" w:ascii="宋体" w:eastAsia="宋体"/>
          <w:b/>
          <w:bCs w:val="0"/>
          <w:color w:val="auto"/>
          <w:sz w:val="32"/>
          <w:szCs w:val="28"/>
          <w:highlight w:val="none"/>
        </w:rPr>
        <w:t>需求</w:t>
      </w:r>
      <w:bookmarkEnd w:id="62"/>
      <w:bookmarkEnd w:id="63"/>
    </w:p>
    <w:p>
      <w:pPr>
        <w:widowControl w:val="0"/>
        <w:kinsoku/>
        <w:wordWrap/>
        <w:overflowPunct/>
        <w:topLinePunct w:val="0"/>
        <w:autoSpaceDE/>
        <w:autoSpaceDN/>
        <w:bidi w:val="0"/>
        <w:adjustRightInd/>
        <w:snapToGrid w:val="0"/>
        <w:spacing w:line="500" w:lineRule="exact"/>
        <w:ind w:firstLine="422" w:firstLineChars="200"/>
        <w:textAlignment w:val="auto"/>
        <w:rPr>
          <w:rFonts w:hint="eastAsia" w:ascii="宋体"/>
          <w:b/>
          <w:color w:val="auto"/>
          <w:sz w:val="21"/>
          <w:szCs w:val="21"/>
          <w:highlight w:val="none"/>
        </w:rPr>
      </w:pPr>
      <w:bookmarkStart w:id="64" w:name="_Toc78194437"/>
      <w:bookmarkStart w:id="65" w:name="_Toc6232092"/>
      <w:bookmarkStart w:id="66" w:name="_Toc5006885"/>
      <w:bookmarkStart w:id="67" w:name="_Toc441065663"/>
      <w:bookmarkStart w:id="68" w:name="_Toc516989213"/>
      <w:bookmarkStart w:id="69" w:name="_Toc12789058"/>
      <w:r>
        <w:rPr>
          <w:rFonts w:hint="eastAsia" w:ascii="宋体"/>
          <w:b/>
          <w:color w:val="auto"/>
          <w:sz w:val="21"/>
          <w:szCs w:val="21"/>
          <w:highlight w:val="none"/>
        </w:rPr>
        <w:t>“★”标注的要求为重要</w:t>
      </w:r>
      <w:r>
        <w:rPr>
          <w:rFonts w:hint="eastAsia" w:ascii="宋体"/>
          <w:b/>
          <w:color w:val="auto"/>
          <w:sz w:val="21"/>
          <w:szCs w:val="21"/>
          <w:highlight w:val="none"/>
          <w:lang w:val="en-US" w:eastAsia="zh-CN"/>
        </w:rPr>
        <w:t>服务</w:t>
      </w:r>
      <w:r>
        <w:rPr>
          <w:rFonts w:hint="eastAsia" w:ascii="宋体"/>
          <w:b/>
          <w:color w:val="auto"/>
          <w:sz w:val="21"/>
          <w:szCs w:val="21"/>
          <w:highlight w:val="none"/>
        </w:rPr>
        <w:t>需求，若不满足将按照评标因素中相关规定处理。</w:t>
      </w:r>
    </w:p>
    <w:p>
      <w:pPr>
        <w:widowControl w:val="0"/>
        <w:kinsoku/>
        <w:wordWrap/>
        <w:overflowPunct/>
        <w:topLinePunct w:val="0"/>
        <w:autoSpaceDE/>
        <w:autoSpaceDN/>
        <w:bidi w:val="0"/>
        <w:adjustRightInd/>
        <w:snapToGrid w:val="0"/>
        <w:spacing w:line="500" w:lineRule="exact"/>
        <w:ind w:firstLine="422" w:firstLineChars="200"/>
        <w:textAlignment w:val="auto"/>
        <w:rPr>
          <w:rFonts w:hint="eastAsia" w:ascii="宋体" w:eastAsia="宋体"/>
          <w:b/>
          <w:color w:val="auto"/>
          <w:sz w:val="21"/>
          <w:szCs w:val="21"/>
          <w:highlight w:val="none"/>
          <w:lang w:eastAsia="zh-CN"/>
        </w:rPr>
      </w:pPr>
      <w:r>
        <w:rPr>
          <w:rFonts w:hint="eastAsia" w:ascii="宋体"/>
          <w:b/>
          <w:color w:val="auto"/>
          <w:sz w:val="21"/>
          <w:szCs w:val="21"/>
          <w:highlight w:val="none"/>
          <w:lang w:val="en-US" w:eastAsia="zh-CN"/>
        </w:rPr>
        <w:t>非</w:t>
      </w:r>
      <w:r>
        <w:rPr>
          <w:rFonts w:hint="eastAsia" w:ascii="宋体"/>
          <w:b/>
          <w:color w:val="auto"/>
          <w:sz w:val="21"/>
          <w:szCs w:val="21"/>
          <w:highlight w:val="none"/>
        </w:rPr>
        <w:t>“★”标注的要求为</w:t>
      </w:r>
      <w:r>
        <w:rPr>
          <w:rFonts w:hint="eastAsia" w:ascii="宋体"/>
          <w:b/>
          <w:color w:val="auto"/>
          <w:sz w:val="21"/>
          <w:szCs w:val="21"/>
          <w:highlight w:val="none"/>
          <w:lang w:val="en-US" w:eastAsia="zh-CN"/>
        </w:rPr>
        <w:t>项目服务</w:t>
      </w:r>
      <w:r>
        <w:rPr>
          <w:rFonts w:hint="eastAsia" w:ascii="宋体"/>
          <w:b/>
          <w:color w:val="auto"/>
          <w:sz w:val="21"/>
          <w:szCs w:val="21"/>
          <w:highlight w:val="none"/>
        </w:rPr>
        <w:t>需求，若不满足将按照评标因素中相关规定处理</w:t>
      </w:r>
      <w:r>
        <w:rPr>
          <w:rFonts w:hint="eastAsia" w:ascii="宋体"/>
          <w:b/>
          <w:color w:val="auto"/>
          <w:sz w:val="21"/>
          <w:szCs w:val="21"/>
          <w:highlight w:val="none"/>
          <w:lang w:eastAsia="zh-CN"/>
        </w:rPr>
        <w:t>。</w:t>
      </w:r>
    </w:p>
    <w:bookmarkEnd w:id="64"/>
    <w:bookmarkEnd w:id="65"/>
    <w:bookmarkEnd w:id="66"/>
    <w:bookmarkEnd w:id="67"/>
    <w:bookmarkEnd w:id="68"/>
    <w:p>
      <w:pPr>
        <w:pStyle w:val="5"/>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color w:val="auto"/>
          <w:sz w:val="24"/>
          <w:szCs w:val="24"/>
          <w:highlight w:val="none"/>
        </w:rPr>
      </w:pPr>
      <w:bookmarkStart w:id="70" w:name="_Toc51854592"/>
      <w:bookmarkStart w:id="71" w:name="_Toc98855992"/>
      <w:bookmarkStart w:id="72" w:name="_Toc115344005"/>
      <w:bookmarkStart w:id="73" w:name="_Toc51854594"/>
      <w:bookmarkStart w:id="74" w:name="_Toc82422009"/>
      <w:r>
        <w:rPr>
          <w:rFonts w:hint="eastAsia" w:ascii="宋体"/>
          <w:color w:val="auto"/>
          <w:sz w:val="24"/>
          <w:szCs w:val="24"/>
          <w:highlight w:val="none"/>
        </w:rPr>
        <w:t>一、</w:t>
      </w:r>
      <w:bookmarkEnd w:id="70"/>
      <w:bookmarkEnd w:id="71"/>
      <w:r>
        <w:rPr>
          <w:rFonts w:hint="eastAsia" w:ascii="宋体"/>
          <w:color w:val="auto"/>
          <w:sz w:val="24"/>
          <w:szCs w:val="24"/>
          <w:highlight w:val="none"/>
        </w:rPr>
        <w:t>项目概况</w:t>
      </w:r>
      <w:bookmarkEnd w:id="72"/>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274"/>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0" w:type="dxa"/>
            <w:vAlign w:val="center"/>
          </w:tcPr>
          <w:p>
            <w:pPr>
              <w:snapToGrid w:val="0"/>
              <w:spacing w:line="520" w:lineRule="exact"/>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序号</w:t>
            </w:r>
          </w:p>
        </w:tc>
        <w:tc>
          <w:tcPr>
            <w:tcW w:w="5274" w:type="dxa"/>
            <w:vAlign w:val="center"/>
          </w:tcPr>
          <w:p>
            <w:pPr>
              <w:snapToGrid w:val="0"/>
              <w:spacing w:line="520" w:lineRule="exact"/>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项目名称</w:t>
            </w:r>
          </w:p>
        </w:tc>
        <w:tc>
          <w:tcPr>
            <w:tcW w:w="1134" w:type="dxa"/>
            <w:vAlign w:val="center"/>
          </w:tcPr>
          <w:p>
            <w:pPr>
              <w:snapToGrid w:val="0"/>
              <w:spacing w:line="520" w:lineRule="exact"/>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单位</w:t>
            </w:r>
          </w:p>
        </w:tc>
        <w:tc>
          <w:tcPr>
            <w:tcW w:w="1418" w:type="dxa"/>
            <w:vAlign w:val="center"/>
          </w:tcPr>
          <w:p>
            <w:pPr>
              <w:snapToGrid w:val="0"/>
              <w:spacing w:line="520" w:lineRule="exact"/>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0" w:type="dxa"/>
            <w:vAlign w:val="center"/>
          </w:tcPr>
          <w:p>
            <w:pPr>
              <w:snapToGrid w:val="0"/>
              <w:spacing w:line="520" w:lineRule="exac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p>
        </w:tc>
        <w:tc>
          <w:tcPr>
            <w:tcW w:w="5274" w:type="dxa"/>
            <w:vAlign w:val="center"/>
          </w:tcPr>
          <w:p>
            <w:pPr>
              <w:snapToGrid w:val="0"/>
              <w:spacing w:line="520" w:lineRule="exact"/>
              <w:jc w:val="center"/>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2025年重庆市无线电专用设备运维</w:t>
            </w:r>
          </w:p>
        </w:tc>
        <w:tc>
          <w:tcPr>
            <w:tcW w:w="1134" w:type="dxa"/>
            <w:vAlign w:val="center"/>
          </w:tcPr>
          <w:p>
            <w:pPr>
              <w:snapToGrid w:val="0"/>
              <w:spacing w:line="520" w:lineRule="exac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项</w:t>
            </w:r>
          </w:p>
        </w:tc>
        <w:tc>
          <w:tcPr>
            <w:tcW w:w="1418" w:type="dxa"/>
            <w:vAlign w:val="center"/>
          </w:tcPr>
          <w:p>
            <w:pPr>
              <w:snapToGrid w:val="0"/>
              <w:spacing w:line="520" w:lineRule="exac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p>
        </w:tc>
      </w:tr>
    </w:tbl>
    <w:p>
      <w:pPr>
        <w:spacing w:line="400" w:lineRule="exact"/>
        <w:ind w:firstLine="482" w:firstLineChars="200"/>
        <w:rPr>
          <w:rFonts w:hint="default" w:ascii="Times New Roman" w:hAnsi="Times New Roman" w:cs="Times New Roman"/>
          <w:color w:val="auto"/>
          <w:sz w:val="24"/>
          <w:szCs w:val="24"/>
          <w:highlight w:val="none"/>
          <w:lang w:val="en-US"/>
        </w:rPr>
      </w:pPr>
      <w:bookmarkStart w:id="75" w:name="_Toc131417516"/>
      <w:bookmarkStart w:id="76" w:name="_Toc415757989"/>
      <w:bookmarkStart w:id="77" w:name="_Toc98855994"/>
      <w:bookmarkStart w:id="78" w:name="_Toc18076110"/>
      <w:bookmarkStart w:id="79" w:name="_Toc22196254"/>
      <w:bookmarkStart w:id="80" w:name="_Toc42516238"/>
      <w:bookmarkStart w:id="81" w:name="_Toc115344006"/>
      <w:r>
        <w:rPr>
          <w:rFonts w:hint="eastAsia" w:ascii="宋体" w:cs="Times New Roman"/>
          <w:b/>
          <w:color w:val="auto"/>
          <w:kern w:val="2"/>
          <w:sz w:val="24"/>
          <w:szCs w:val="24"/>
          <w:highlight w:val="none"/>
          <w:lang w:val="en-US" w:eastAsia="zh-CN" w:bidi="ar-SA"/>
        </w:rPr>
        <w:t>二、</w:t>
      </w:r>
      <w:bookmarkEnd w:id="73"/>
      <w:bookmarkEnd w:id="74"/>
      <w:bookmarkEnd w:id="75"/>
      <w:bookmarkEnd w:id="76"/>
      <w:bookmarkEnd w:id="77"/>
      <w:bookmarkEnd w:id="78"/>
      <w:bookmarkEnd w:id="79"/>
      <w:bookmarkEnd w:id="80"/>
      <w:bookmarkEnd w:id="81"/>
      <w:r>
        <w:rPr>
          <w:rFonts w:hint="eastAsia" w:ascii="宋体" w:cs="Times New Roman"/>
          <w:b/>
          <w:color w:val="auto"/>
          <w:kern w:val="2"/>
          <w:sz w:val="24"/>
          <w:szCs w:val="24"/>
          <w:highlight w:val="none"/>
          <w:lang w:val="en-US" w:eastAsia="zh-CN" w:bidi="ar-SA"/>
        </w:rPr>
        <w:t>服务范围</w:t>
      </w:r>
    </w:p>
    <w:p>
      <w:pPr>
        <w:snapToGrid w:val="0"/>
        <w:spacing w:line="500" w:lineRule="exact"/>
        <w:ind w:firstLine="480" w:firstLineChars="200"/>
        <w:rPr>
          <w:rFonts w:hint="eastAsia" w:ascii="宋体"/>
          <w:color w:val="auto"/>
          <w:sz w:val="24"/>
          <w:szCs w:val="24"/>
          <w:highlight w:val="none"/>
          <w:lang w:eastAsia="zh-CN"/>
        </w:rPr>
      </w:pPr>
      <w:r>
        <w:rPr>
          <w:rFonts w:hint="eastAsia" w:ascii="宋体"/>
          <w:color w:val="auto"/>
          <w:sz w:val="24"/>
          <w:szCs w:val="24"/>
          <w:highlight w:val="none"/>
        </w:rPr>
        <w:t>1.本项目</w:t>
      </w:r>
      <w:r>
        <w:rPr>
          <w:rFonts w:hint="eastAsia" w:ascii="宋体"/>
          <w:color w:val="auto"/>
          <w:sz w:val="24"/>
          <w:szCs w:val="24"/>
          <w:highlight w:val="none"/>
          <w:lang w:val="en-US" w:eastAsia="zh-CN"/>
        </w:rPr>
        <w:t>分为</w:t>
      </w:r>
      <w:r>
        <w:rPr>
          <w:rFonts w:hint="eastAsia" w:ascii="宋体"/>
          <w:color w:val="auto"/>
          <w:sz w:val="24"/>
          <w:szCs w:val="24"/>
          <w:highlight w:val="none"/>
        </w:rPr>
        <w:t>基础运维服务和网络安全专项服务</w:t>
      </w:r>
      <w:r>
        <w:rPr>
          <w:rFonts w:hint="eastAsia" w:ascii="宋体"/>
          <w:color w:val="auto"/>
          <w:sz w:val="24"/>
          <w:szCs w:val="24"/>
          <w:highlight w:val="none"/>
          <w:lang w:eastAsia="zh-CN"/>
        </w:rPr>
        <w:t>。</w:t>
      </w:r>
    </w:p>
    <w:p>
      <w:pPr>
        <w:snapToGrid w:val="0"/>
        <w:spacing w:line="500" w:lineRule="exact"/>
        <w:ind w:firstLine="480" w:firstLineChars="200"/>
        <w:rPr>
          <w:rFonts w:hint="eastAsia" w:ascii="宋体"/>
          <w:color w:val="auto"/>
          <w:sz w:val="24"/>
          <w:szCs w:val="24"/>
          <w:highlight w:val="none"/>
          <w:lang w:val="en-US" w:eastAsia="zh-CN"/>
        </w:rPr>
      </w:pPr>
      <w:r>
        <w:rPr>
          <w:rFonts w:hint="eastAsia" w:ascii="宋体"/>
          <w:color w:val="auto"/>
          <w:sz w:val="24"/>
          <w:szCs w:val="24"/>
          <w:highlight w:val="none"/>
          <w:lang w:val="en-US" w:eastAsia="zh-CN"/>
        </w:rPr>
        <w:t>2.运维设施设备清单：附件1、附件2</w:t>
      </w:r>
    </w:p>
    <w:p>
      <w:pPr>
        <w:spacing w:line="400" w:lineRule="exact"/>
        <w:ind w:firstLine="482" w:firstLineChars="200"/>
        <w:rPr>
          <w:rFonts w:hint="eastAsia" w:ascii="宋体"/>
          <w:b/>
          <w:bCs/>
          <w:color w:val="auto"/>
          <w:sz w:val="24"/>
          <w:szCs w:val="24"/>
          <w:highlight w:val="none"/>
          <w:lang w:val="en-US" w:eastAsia="zh-CN"/>
        </w:rPr>
      </w:pPr>
      <w:r>
        <w:rPr>
          <w:rFonts w:hint="eastAsia" w:ascii="宋体"/>
          <w:b/>
          <w:bCs/>
          <w:color w:val="auto"/>
          <w:sz w:val="24"/>
          <w:szCs w:val="24"/>
          <w:highlight w:val="none"/>
          <w:lang w:val="en-US" w:eastAsia="zh-CN"/>
        </w:rPr>
        <w:t>三、项目服务要求</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基础运维服务</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1 </w:t>
      </w:r>
      <w:r>
        <w:rPr>
          <w:rFonts w:hint="eastAsia" w:ascii="宋体" w:hAnsi="宋体" w:eastAsia="宋体" w:cs="宋体"/>
          <w:color w:val="auto"/>
          <w:sz w:val="24"/>
          <w:szCs w:val="24"/>
          <w:highlight w:val="none"/>
        </w:rPr>
        <w:t>设备维护。提供</w:t>
      </w:r>
      <w:r>
        <w:rPr>
          <w:rFonts w:hint="eastAsia" w:ascii="宋体" w:hAnsi="宋体" w:eastAsia="宋体" w:cs="宋体"/>
          <w:color w:val="auto"/>
          <w:sz w:val="24"/>
          <w:szCs w:val="24"/>
          <w:highlight w:val="none"/>
          <w:lang w:val="en-US" w:eastAsia="zh-CN"/>
        </w:rPr>
        <w:t>设施设备</w:t>
      </w:r>
      <w:r>
        <w:rPr>
          <w:rFonts w:hint="eastAsia" w:ascii="宋体" w:hAnsi="宋体" w:eastAsia="宋体" w:cs="宋体"/>
          <w:color w:val="auto"/>
          <w:sz w:val="24"/>
          <w:szCs w:val="24"/>
          <w:highlight w:val="none"/>
        </w:rPr>
        <w:t>的维护服务，包括故障诊断、故障处理、系统参数调整、调试、联调、机房及设备清洁卫生等，确保系统设备正常运行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对于需要原厂制造商维修的设备，应配合设备</w:t>
      </w:r>
      <w:r>
        <w:rPr>
          <w:rFonts w:hint="eastAsia" w:ascii="宋体" w:hAnsi="宋体" w:eastAsia="宋体" w:cs="宋体"/>
          <w:color w:val="auto"/>
          <w:sz w:val="24"/>
          <w:szCs w:val="24"/>
          <w:highlight w:val="none"/>
          <w:lang w:val="en-US" w:eastAsia="zh-CN"/>
        </w:rPr>
        <w:t>搬迁</w:t>
      </w:r>
      <w:r>
        <w:rPr>
          <w:rFonts w:hint="eastAsia" w:ascii="宋体" w:hAnsi="宋体" w:eastAsia="宋体" w:cs="宋体"/>
          <w:color w:val="auto"/>
          <w:sz w:val="24"/>
          <w:szCs w:val="24"/>
          <w:highlight w:val="none"/>
        </w:rPr>
        <w:t>、上架、配置、调试等。</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采购了新设备或对原有设备进行调整时，应配合开展设备迁移、集成、配置等。</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 </w:t>
      </w:r>
      <w:r>
        <w:rPr>
          <w:rFonts w:hint="eastAsia" w:ascii="宋体" w:hAnsi="宋体" w:eastAsia="宋体" w:cs="宋体"/>
          <w:color w:val="auto"/>
          <w:sz w:val="24"/>
          <w:szCs w:val="24"/>
          <w:highlight w:val="none"/>
        </w:rPr>
        <w:t>网络维护。</w:t>
      </w:r>
      <w:r>
        <w:rPr>
          <w:rFonts w:hint="eastAsia" w:ascii="宋体" w:hAnsi="宋体" w:eastAsia="宋体" w:cs="宋体"/>
          <w:color w:val="auto"/>
          <w:sz w:val="24"/>
          <w:szCs w:val="24"/>
          <w:highlight w:val="none"/>
          <w:lang w:val="en-US" w:eastAsia="zh-CN"/>
        </w:rPr>
        <w:t>对</w:t>
      </w:r>
      <w:r>
        <w:rPr>
          <w:rFonts w:hint="eastAsia" w:ascii="宋体" w:hAnsi="宋体" w:eastAsia="宋体" w:cs="宋体"/>
          <w:color w:val="auto"/>
          <w:sz w:val="24"/>
          <w:szCs w:val="24"/>
          <w:highlight w:val="none"/>
        </w:rPr>
        <w:t>各个终端节点到网络机房的链路状态</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rPr>
        <w:t>监控和故障排除。监控</w:t>
      </w:r>
      <w:r>
        <w:rPr>
          <w:rFonts w:hint="eastAsia" w:ascii="宋体" w:hAnsi="宋体" w:eastAsia="宋体" w:cs="宋体"/>
          <w:color w:val="auto"/>
          <w:sz w:val="24"/>
          <w:szCs w:val="24"/>
          <w:highlight w:val="none"/>
          <w:lang w:val="en-US" w:eastAsia="zh-CN"/>
        </w:rPr>
        <w:t>无线电专网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互联网</w:t>
      </w:r>
      <w:r>
        <w:rPr>
          <w:rFonts w:hint="eastAsia" w:ascii="宋体" w:hAnsi="宋体" w:eastAsia="宋体" w:cs="宋体"/>
          <w:color w:val="auto"/>
          <w:sz w:val="24"/>
          <w:szCs w:val="24"/>
          <w:highlight w:val="none"/>
        </w:rPr>
        <w:t>网络通断、</w:t>
      </w:r>
      <w:r>
        <w:rPr>
          <w:rFonts w:hint="eastAsia" w:ascii="宋体" w:hAnsi="宋体" w:eastAsia="宋体" w:cs="宋体"/>
          <w:color w:val="auto"/>
          <w:sz w:val="24"/>
          <w:szCs w:val="24"/>
          <w:highlight w:val="none"/>
          <w:lang w:val="en-US" w:eastAsia="zh-CN"/>
        </w:rPr>
        <w:t>网络</w:t>
      </w:r>
      <w:r>
        <w:rPr>
          <w:rFonts w:hint="eastAsia" w:ascii="宋体" w:hAnsi="宋体" w:eastAsia="宋体" w:cs="宋体"/>
          <w:color w:val="auto"/>
          <w:sz w:val="24"/>
          <w:szCs w:val="24"/>
          <w:highlight w:val="none"/>
        </w:rPr>
        <w:t>质量。</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olor w:val="auto"/>
          <w:sz w:val="24"/>
          <w:szCs w:val="24"/>
          <w:highlight w:val="none"/>
        </w:rPr>
        <w:t>★</w:t>
      </w:r>
      <w:r>
        <w:rPr>
          <w:rFonts w:hint="eastAsia" w:ascii="宋体" w:hAnsi="宋体" w:eastAsia="宋体" w:cs="宋体"/>
          <w:color w:val="auto"/>
          <w:sz w:val="24"/>
          <w:szCs w:val="24"/>
          <w:highlight w:val="none"/>
          <w:lang w:val="en-US" w:eastAsia="zh-CN"/>
        </w:rPr>
        <w:t xml:space="preserve">1.3 </w:t>
      </w:r>
      <w:r>
        <w:rPr>
          <w:rFonts w:hint="eastAsia" w:ascii="宋体" w:hAnsi="宋体" w:eastAsia="宋体" w:cs="宋体"/>
          <w:color w:val="auto"/>
          <w:sz w:val="24"/>
          <w:szCs w:val="24"/>
          <w:highlight w:val="none"/>
        </w:rPr>
        <w:t>日常巡检。工作日每日对</w:t>
      </w:r>
      <w:r>
        <w:rPr>
          <w:rFonts w:hint="eastAsia" w:ascii="宋体" w:hAnsi="宋体" w:eastAsia="宋体" w:cs="宋体"/>
          <w:color w:val="auto"/>
          <w:sz w:val="24"/>
          <w:szCs w:val="24"/>
          <w:highlight w:val="none"/>
          <w:lang w:val="en-US" w:eastAsia="zh-CN"/>
        </w:rPr>
        <w:t>运维设施设备清单中</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服务器（</w:t>
      </w:r>
      <w:r>
        <w:rPr>
          <w:rFonts w:hint="eastAsia" w:ascii="宋体" w:hAnsi="宋体" w:cs="宋体"/>
          <w:color w:val="auto"/>
          <w:sz w:val="24"/>
          <w:szCs w:val="24"/>
          <w:highlight w:val="none"/>
          <w:lang w:val="en-US" w:eastAsia="zh-CN"/>
        </w:rPr>
        <w:t>包含</w:t>
      </w:r>
      <w:r>
        <w:rPr>
          <w:rFonts w:hint="eastAsia" w:ascii="宋体" w:hAnsi="宋体" w:eastAsia="宋体" w:cs="宋体"/>
          <w:color w:val="auto"/>
          <w:sz w:val="24"/>
          <w:szCs w:val="24"/>
          <w:highlight w:val="none"/>
        </w:rPr>
        <w:t>性能负载检查，CPU、内存、存储空间的使用情况</w:t>
      </w:r>
      <w:r>
        <w:rPr>
          <w:rFonts w:hint="eastAsia" w:ascii="宋体" w:hAnsi="宋体" w:eastAsia="宋体" w:cs="宋体"/>
          <w:color w:val="auto"/>
          <w:sz w:val="24"/>
          <w:szCs w:val="24"/>
          <w:highlight w:val="none"/>
          <w:lang w:val="en-US" w:eastAsia="zh-CN"/>
        </w:rPr>
        <w:t>）、数码大厦15楼UPS、仙桃机房精密空调、网络通断情况、机房</w:t>
      </w:r>
      <w:r>
        <w:rPr>
          <w:rFonts w:hint="eastAsia" w:ascii="宋体" w:hAnsi="宋体" w:eastAsia="宋体" w:cs="宋体"/>
          <w:color w:val="auto"/>
          <w:sz w:val="24"/>
          <w:szCs w:val="24"/>
          <w:highlight w:val="none"/>
        </w:rPr>
        <w:t>温湿度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业务系统运行状态</w:t>
      </w:r>
      <w:r>
        <w:rPr>
          <w:rFonts w:hint="eastAsia" w:ascii="宋体" w:hAnsi="宋体" w:eastAsia="宋体" w:cs="宋体"/>
          <w:color w:val="auto"/>
          <w:sz w:val="24"/>
          <w:szCs w:val="24"/>
          <w:highlight w:val="none"/>
        </w:rPr>
        <w:t>进行日常巡检，</w:t>
      </w:r>
      <w:r>
        <w:rPr>
          <w:rFonts w:hint="eastAsia" w:ascii="宋体" w:hAnsi="宋体" w:eastAsia="宋体" w:cs="宋体"/>
          <w:color w:val="auto"/>
          <w:sz w:val="24"/>
          <w:szCs w:val="24"/>
          <w:highlight w:val="none"/>
          <w:lang w:val="en-US" w:eastAsia="zh-CN"/>
        </w:rPr>
        <w:t>每日记录巡检情况，每月汇总</w:t>
      </w:r>
      <w:r>
        <w:rPr>
          <w:rFonts w:hint="eastAsia" w:ascii="宋体" w:hAnsi="宋体" w:eastAsia="宋体" w:cs="宋体"/>
          <w:color w:val="auto"/>
          <w:sz w:val="24"/>
          <w:szCs w:val="24"/>
          <w:highlight w:val="none"/>
        </w:rPr>
        <w:t>出具巡检报告。</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 日志</w:t>
      </w:r>
      <w:r>
        <w:rPr>
          <w:rFonts w:hint="eastAsia" w:ascii="宋体" w:hAnsi="宋体" w:cs="宋体"/>
          <w:color w:val="auto"/>
          <w:sz w:val="24"/>
          <w:szCs w:val="24"/>
          <w:highlight w:val="none"/>
          <w:lang w:val="en-US" w:eastAsia="zh-CN"/>
        </w:rPr>
        <w:t>审计</w:t>
      </w:r>
      <w:r>
        <w:rPr>
          <w:rFonts w:hint="eastAsia" w:ascii="宋体" w:hAnsi="宋体" w:eastAsia="宋体" w:cs="宋体"/>
          <w:color w:val="auto"/>
          <w:sz w:val="24"/>
          <w:szCs w:val="24"/>
          <w:highlight w:val="none"/>
          <w:lang w:val="en-US" w:eastAsia="zh-CN"/>
        </w:rPr>
        <w:t>。每月记录运维设施设备清单中服务器操作系统日志、网络设备日志、网络安全设备日志，并记录在每月的巡检报告中。</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1.5 </w:t>
      </w:r>
      <w:r>
        <w:rPr>
          <w:rFonts w:hint="eastAsia" w:ascii="宋体" w:hAnsi="宋体" w:eastAsia="宋体" w:cs="宋体"/>
          <w:color w:val="auto"/>
          <w:sz w:val="24"/>
          <w:szCs w:val="24"/>
          <w:highlight w:val="none"/>
        </w:rPr>
        <w:t>终端服务。</w:t>
      </w:r>
      <w:r>
        <w:rPr>
          <w:rFonts w:hint="eastAsia" w:ascii="宋体" w:hAnsi="宋体" w:eastAsia="宋体" w:cs="宋体"/>
          <w:color w:val="auto"/>
          <w:sz w:val="24"/>
          <w:szCs w:val="24"/>
          <w:highlight w:val="none"/>
          <w:lang w:val="en-US" w:eastAsia="zh-CN"/>
        </w:rPr>
        <w:t>维护</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办公场所</w:t>
      </w:r>
      <w:r>
        <w:rPr>
          <w:rFonts w:hint="eastAsia" w:ascii="宋体" w:hAnsi="宋体" w:eastAsia="宋体" w:cs="宋体"/>
          <w:color w:val="auto"/>
          <w:sz w:val="24"/>
          <w:szCs w:val="24"/>
          <w:highlight w:val="none"/>
          <w:lang w:val="en-US" w:eastAsia="zh-CN"/>
        </w:rPr>
        <w:t>电脑</w:t>
      </w:r>
      <w:r>
        <w:rPr>
          <w:rFonts w:hint="eastAsia" w:ascii="宋体" w:hAnsi="宋体" w:eastAsia="宋体" w:cs="宋体"/>
          <w:color w:val="auto"/>
          <w:sz w:val="24"/>
          <w:szCs w:val="24"/>
          <w:highlight w:val="none"/>
        </w:rPr>
        <w:t>终端、打印机、</w:t>
      </w:r>
      <w:r>
        <w:rPr>
          <w:rFonts w:hint="eastAsia" w:ascii="宋体" w:hAnsi="宋体" w:eastAsia="宋体" w:cs="宋体"/>
          <w:color w:val="auto"/>
          <w:sz w:val="24"/>
          <w:szCs w:val="24"/>
          <w:highlight w:val="none"/>
          <w:lang w:val="en-US" w:eastAsia="zh-CN"/>
        </w:rPr>
        <w:t>移动办公终端</w:t>
      </w:r>
      <w:r>
        <w:rPr>
          <w:rFonts w:hint="eastAsia" w:ascii="宋体" w:hAnsi="宋体" w:eastAsia="宋体" w:cs="宋体"/>
          <w:color w:val="auto"/>
          <w:sz w:val="24"/>
          <w:szCs w:val="24"/>
          <w:highlight w:val="none"/>
        </w:rPr>
        <w:t>、碎纸机等办公设备。成交供应商应对办公设备进行服务响应，开展故障诊断、分析及故障处理，</w:t>
      </w:r>
      <w:r>
        <w:rPr>
          <w:rFonts w:hint="eastAsia" w:ascii="宋体" w:hAnsi="宋体" w:eastAsia="宋体" w:cs="宋体"/>
          <w:color w:val="auto"/>
          <w:sz w:val="24"/>
          <w:szCs w:val="24"/>
          <w:highlight w:val="none"/>
          <w:lang w:val="en-US" w:eastAsia="zh-CN"/>
        </w:rPr>
        <w:t>及时</w:t>
      </w:r>
      <w:r>
        <w:rPr>
          <w:rFonts w:hint="eastAsia" w:ascii="宋体" w:hAnsi="宋体" w:eastAsia="宋体" w:cs="宋体"/>
          <w:color w:val="auto"/>
          <w:sz w:val="24"/>
          <w:szCs w:val="24"/>
          <w:highlight w:val="none"/>
        </w:rPr>
        <w:t>恢复设备的正常作业。</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1.6 </w:t>
      </w:r>
      <w:r>
        <w:rPr>
          <w:rFonts w:hint="eastAsia" w:ascii="宋体" w:hAnsi="宋体" w:eastAsia="宋体" w:cs="宋体"/>
          <w:color w:val="auto"/>
          <w:sz w:val="24"/>
          <w:szCs w:val="24"/>
          <w:highlight w:val="none"/>
        </w:rPr>
        <w:t>数据</w:t>
      </w:r>
      <w:r>
        <w:rPr>
          <w:rFonts w:hint="eastAsia" w:ascii="宋体" w:hAnsi="宋体" w:eastAsia="宋体" w:cs="宋体"/>
          <w:color w:val="auto"/>
          <w:sz w:val="24"/>
          <w:szCs w:val="24"/>
          <w:highlight w:val="none"/>
          <w:lang w:val="en-US" w:eastAsia="zh-CN"/>
        </w:rPr>
        <w:t>备份及测试</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制定</w:t>
      </w:r>
      <w:r>
        <w:rPr>
          <w:rFonts w:hint="eastAsia" w:ascii="宋体" w:hAnsi="宋体" w:eastAsia="宋体" w:cs="宋体"/>
          <w:color w:val="auto"/>
          <w:sz w:val="24"/>
          <w:szCs w:val="24"/>
          <w:highlight w:val="none"/>
          <w:lang w:val="en-US" w:eastAsia="zh-CN"/>
        </w:rPr>
        <w:t>数据</w:t>
      </w:r>
      <w:r>
        <w:rPr>
          <w:rFonts w:hint="eastAsia" w:ascii="宋体" w:hAnsi="宋体" w:eastAsia="宋体" w:cs="宋体"/>
          <w:color w:val="auto"/>
          <w:sz w:val="24"/>
          <w:szCs w:val="24"/>
          <w:highlight w:val="none"/>
        </w:rPr>
        <w:t>备份计划，</w:t>
      </w:r>
      <w:r>
        <w:rPr>
          <w:rFonts w:hint="eastAsia" w:ascii="宋体" w:hAnsi="宋体" w:eastAsia="宋体" w:cs="宋体"/>
          <w:color w:val="auto"/>
          <w:sz w:val="24"/>
          <w:szCs w:val="24"/>
          <w:highlight w:val="none"/>
          <w:lang w:val="en-US" w:eastAsia="zh-CN"/>
        </w:rPr>
        <w:t>完成</w:t>
      </w:r>
      <w:r>
        <w:rPr>
          <w:rFonts w:hint="eastAsia" w:ascii="宋体" w:hAnsi="宋体" w:cs="宋体"/>
          <w:color w:val="auto"/>
          <w:sz w:val="24"/>
          <w:szCs w:val="24"/>
          <w:highlight w:val="none"/>
          <w:lang w:val="en-US" w:eastAsia="zh-CN"/>
        </w:rPr>
        <w:t>6个</w:t>
      </w:r>
      <w:r>
        <w:rPr>
          <w:rFonts w:hint="eastAsia" w:ascii="宋体" w:hAnsi="宋体" w:eastAsia="宋体" w:cs="宋体"/>
          <w:color w:val="auto"/>
          <w:sz w:val="24"/>
          <w:szCs w:val="24"/>
          <w:highlight w:val="none"/>
          <w:lang w:val="en-US" w:eastAsia="zh-CN"/>
        </w:rPr>
        <w:t>业务</w:t>
      </w:r>
      <w:r>
        <w:rPr>
          <w:rFonts w:hint="eastAsia" w:ascii="宋体" w:hAnsi="宋体" w:eastAsia="宋体" w:cs="宋体"/>
          <w:color w:val="auto"/>
          <w:sz w:val="24"/>
          <w:szCs w:val="24"/>
          <w:highlight w:val="none"/>
        </w:rPr>
        <w:t>系统数据</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备份。</w:t>
      </w:r>
      <w:r>
        <w:rPr>
          <w:rFonts w:hint="eastAsia" w:ascii="宋体" w:hAnsi="宋体" w:eastAsia="宋体" w:cs="宋体"/>
          <w:color w:val="auto"/>
          <w:sz w:val="24"/>
          <w:szCs w:val="24"/>
          <w:highlight w:val="none"/>
          <w:lang w:val="en-US" w:eastAsia="zh-CN"/>
        </w:rPr>
        <w:t>本项目服务期内，成交供应商应对备份数据进行数据恢复测试一次，</w:t>
      </w:r>
      <w:r>
        <w:rPr>
          <w:rFonts w:hint="eastAsia" w:ascii="宋体" w:hAnsi="宋体" w:eastAsia="宋体" w:cs="宋体"/>
          <w:color w:val="auto"/>
          <w:sz w:val="24"/>
          <w:szCs w:val="24"/>
          <w:highlight w:val="none"/>
        </w:rPr>
        <w:t>并出具《数据备份及恢复测试报告》</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 </w:t>
      </w:r>
      <w:r>
        <w:rPr>
          <w:rFonts w:hint="eastAsia" w:ascii="宋体" w:hAnsi="宋体" w:eastAsia="宋体" w:cs="宋体"/>
          <w:color w:val="auto"/>
          <w:sz w:val="24"/>
          <w:szCs w:val="24"/>
          <w:highlight w:val="none"/>
        </w:rPr>
        <w:t>紧急情况服务。如有紧急情况，成交供应商应加派</w:t>
      </w:r>
      <w:r>
        <w:rPr>
          <w:rFonts w:hint="eastAsia" w:ascii="宋体" w:hAnsi="宋体" w:eastAsia="宋体" w:cs="宋体"/>
          <w:color w:val="auto"/>
          <w:sz w:val="24"/>
          <w:szCs w:val="24"/>
          <w:highlight w:val="none"/>
          <w:lang w:val="en-US" w:eastAsia="zh-CN"/>
        </w:rPr>
        <w:t>人员进行技术支撑</w:t>
      </w:r>
      <w:r>
        <w:rPr>
          <w:rFonts w:hint="eastAsia" w:ascii="宋体" w:hAnsi="宋体" w:eastAsia="宋体" w:cs="宋体"/>
          <w:color w:val="auto"/>
          <w:sz w:val="24"/>
          <w:szCs w:val="24"/>
          <w:highlight w:val="none"/>
        </w:rPr>
        <w:t>。提供全年7×24小时的故障处置服务，30分钟内响应，24小时内解决常见故障，48小时内完成严重故障处置和备用方案落实，确保故障的最短时间内解决。</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 监测二科（万州）、三科（涪陵）、四科（黔江）办公网络和设备运维</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成交供应商应负责采购人监测二、三、四科办公区域信息化服务。当监测二、三、四科办公区域出现信息化设备故障，或需要进行信息化设备配置时，成交供应商应安排专业技术人员上门开展服务。</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驻场人员</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olor w:val="auto"/>
          <w:sz w:val="24"/>
          <w:szCs w:val="24"/>
          <w:highlight w:val="none"/>
        </w:rPr>
        <w:t>★</w:t>
      </w:r>
      <w:r>
        <w:rPr>
          <w:rFonts w:hint="eastAsia" w:ascii="宋体" w:hAnsi="宋体" w:cs="宋体"/>
          <w:color w:val="auto"/>
          <w:sz w:val="24"/>
          <w:szCs w:val="24"/>
          <w:highlight w:val="none"/>
          <w:lang w:val="en-US" w:eastAsia="zh-CN"/>
        </w:rPr>
        <w:t>1.9.1</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安排</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技术人员</w:t>
      </w:r>
      <w:r>
        <w:rPr>
          <w:rFonts w:hint="eastAsia" w:ascii="宋体" w:hAnsi="宋体" w:eastAsia="宋体" w:cs="宋体"/>
          <w:color w:val="auto"/>
          <w:sz w:val="24"/>
          <w:szCs w:val="24"/>
          <w:highlight w:val="none"/>
        </w:rPr>
        <w:t>驻场工作，工作时间为法定工作日，驻场地点由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指定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期限为项目服务期内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应保持驻场技术人员稳定，不得随意更换人员。更换人员时，应告知采购人并征得同意。</w:t>
      </w:r>
    </w:p>
    <w:p>
      <w:pPr>
        <w:keepNext w:val="0"/>
        <w:keepLines w:val="0"/>
        <w:pageBreakBefore w:val="0"/>
        <w:kinsoku/>
        <w:wordWrap/>
        <w:overflowPunct/>
        <w:topLinePunct w:val="0"/>
        <w:bidi w:val="0"/>
        <w:spacing w:line="500" w:lineRule="exact"/>
        <w:ind w:firstLine="480" w:firstLineChars="200"/>
        <w:textAlignment w:val="auto"/>
        <w:rPr>
          <w:rFonts w:hint="eastAsia"/>
          <w:color w:val="auto"/>
          <w:highlight w:val="none"/>
        </w:rPr>
      </w:pPr>
      <w:r>
        <w:rPr>
          <w:rFonts w:hint="eastAsia" w:ascii="宋体" w:hAnsi="宋体" w:cs="宋体"/>
          <w:color w:val="auto"/>
          <w:sz w:val="24"/>
          <w:szCs w:val="24"/>
          <w:highlight w:val="none"/>
          <w:lang w:val="en-US" w:eastAsia="zh-CN"/>
        </w:rPr>
        <w:t>1.9.2</w:t>
      </w:r>
      <w:r>
        <w:rPr>
          <w:rFonts w:hint="eastAsia" w:ascii="宋体" w:hAnsi="宋体" w:eastAsia="宋体" w:cs="宋体"/>
          <w:color w:val="auto"/>
          <w:sz w:val="24"/>
          <w:szCs w:val="24"/>
          <w:highlight w:val="none"/>
        </w:rPr>
        <w:t>驻场</w:t>
      </w:r>
      <w:r>
        <w:rPr>
          <w:rFonts w:hint="eastAsia" w:ascii="宋体" w:hAnsi="宋体" w:eastAsia="宋体" w:cs="宋体"/>
          <w:color w:val="auto"/>
          <w:sz w:val="24"/>
          <w:szCs w:val="24"/>
          <w:highlight w:val="none"/>
          <w:lang w:val="en-US" w:eastAsia="zh-CN"/>
        </w:rPr>
        <w:t>技术人员</w:t>
      </w:r>
      <w:r>
        <w:rPr>
          <w:rFonts w:hint="eastAsia" w:ascii="宋体" w:hAnsi="宋体" w:eastAsia="宋体" w:cs="宋体"/>
          <w:color w:val="auto"/>
          <w:sz w:val="24"/>
          <w:szCs w:val="24"/>
          <w:highlight w:val="none"/>
        </w:rPr>
        <w:t>应具备IT运维或系统集成5年以上工作经验，熟悉服务器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网络</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en-US" w:eastAsia="zh-CN"/>
        </w:rPr>
        <w:t>网络</w:t>
      </w:r>
      <w:r>
        <w:rPr>
          <w:rFonts w:hint="eastAsia" w:ascii="宋体" w:hAnsi="宋体" w:eastAsia="宋体" w:cs="宋体"/>
          <w:color w:val="auto"/>
          <w:sz w:val="24"/>
          <w:szCs w:val="24"/>
          <w:highlight w:val="none"/>
        </w:rPr>
        <w:t>安全设备配置，熟悉数据库</w:t>
      </w:r>
      <w:r>
        <w:rPr>
          <w:rFonts w:hint="eastAsia" w:ascii="宋体" w:hAnsi="宋体" w:eastAsia="宋体" w:cs="宋体"/>
          <w:color w:val="auto"/>
          <w:sz w:val="24"/>
          <w:szCs w:val="24"/>
          <w:highlight w:val="none"/>
          <w:lang w:val="en-US" w:eastAsia="zh-CN"/>
        </w:rPr>
        <w:t>常规操作及数据</w:t>
      </w:r>
      <w:r>
        <w:rPr>
          <w:rFonts w:hint="eastAsia" w:ascii="宋体" w:hAnsi="宋体" w:eastAsia="宋体" w:cs="宋体"/>
          <w:color w:val="auto"/>
          <w:sz w:val="24"/>
          <w:szCs w:val="24"/>
          <w:highlight w:val="none"/>
        </w:rPr>
        <w:t>备份、恢复</w:t>
      </w:r>
      <w:r>
        <w:rPr>
          <w:rFonts w:hint="eastAsia" w:ascii="宋体" w:hAnsi="宋体" w:eastAsia="宋体" w:cs="宋体"/>
          <w:color w:val="auto"/>
          <w:sz w:val="24"/>
          <w:szCs w:val="24"/>
          <w:highlight w:val="none"/>
          <w:lang w:val="en-US" w:eastAsia="zh-CN"/>
        </w:rPr>
        <w:t>操作</w:t>
      </w:r>
      <w:r>
        <w:rPr>
          <w:rFonts w:hint="eastAsia" w:ascii="宋体" w:hAnsi="宋体" w:eastAsia="宋体" w:cs="宋体"/>
          <w:color w:val="auto"/>
          <w:sz w:val="24"/>
          <w:szCs w:val="24"/>
          <w:highlight w:val="none"/>
        </w:rPr>
        <w:t>。驻场工程师的人选应经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审核同意。</w:t>
      </w:r>
    </w:p>
    <w:p>
      <w:pPr>
        <w:keepNext w:val="0"/>
        <w:keepLines w:val="0"/>
        <w:pageBreakBefore w:val="0"/>
        <w:numPr>
          <w:ilvl w:val="0"/>
          <w:numId w:val="1"/>
        </w:numPr>
        <w:kinsoku/>
        <w:wordWrap/>
        <w:overflowPunct/>
        <w:topLinePunct w:val="0"/>
        <w:bidi w:val="0"/>
        <w:spacing w:line="500" w:lineRule="exact"/>
        <w:ind w:firstLine="480" w:firstLineChars="200"/>
        <w:textAlignment w:val="auto"/>
        <w:rPr>
          <w:rFonts w:hint="default"/>
          <w:color w:val="auto"/>
          <w:highlight w:val="none"/>
          <w:lang w:val="en-US"/>
        </w:rPr>
      </w:pPr>
      <w:r>
        <w:rPr>
          <w:rFonts w:hint="eastAsia" w:ascii="宋体" w:hAnsi="宋体" w:eastAsia="宋体" w:cs="宋体"/>
          <w:color w:val="auto"/>
          <w:sz w:val="24"/>
          <w:szCs w:val="24"/>
          <w:highlight w:val="none"/>
          <w:lang w:val="en-US" w:eastAsia="zh-CN"/>
        </w:rPr>
        <w:t>网络安全专项服务</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 漏洞扫描</w:t>
      </w:r>
    </w:p>
    <w:p>
      <w:pPr>
        <w:keepNext w:val="0"/>
        <w:keepLines w:val="0"/>
        <w:pageBreakBefore w:val="0"/>
        <w:kinsoku/>
        <w:wordWrap/>
        <w:overflowPunct/>
        <w:topLinePunct w:val="0"/>
        <w:bidi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服务期内成交供应商应</w:t>
      </w:r>
      <w:r>
        <w:rPr>
          <w:rFonts w:hint="eastAsia" w:ascii="宋体" w:hAnsi="宋体" w:cs="宋体"/>
          <w:color w:val="auto"/>
          <w:sz w:val="24"/>
          <w:szCs w:val="24"/>
          <w:highlight w:val="none"/>
          <w:lang w:val="en-US" w:eastAsia="zh-CN"/>
        </w:rPr>
        <w:t>对采购人11个业务系统</w:t>
      </w:r>
      <w:r>
        <w:rPr>
          <w:rFonts w:hint="eastAsia" w:ascii="宋体" w:hAnsi="宋体" w:eastAsia="宋体" w:cs="宋体"/>
          <w:color w:val="auto"/>
          <w:sz w:val="24"/>
          <w:szCs w:val="24"/>
          <w:highlight w:val="none"/>
          <w:lang w:val="en-US" w:eastAsia="zh-CN"/>
        </w:rPr>
        <w:t>开展1次漏洞扫描，包括应用程序漏洞、操作系统漏洞等。成交供应商应提供《漏洞扫描报告》，并针对扫描出的问题开展整改。成交供应商应自备漏洞扫描设备。</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 渗透测试</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服务期内成交供应商</w:t>
      </w:r>
      <w:r>
        <w:rPr>
          <w:rFonts w:hint="eastAsia" w:ascii="宋体" w:hAnsi="宋体" w:cs="宋体"/>
          <w:color w:val="auto"/>
          <w:sz w:val="24"/>
          <w:szCs w:val="24"/>
          <w:highlight w:val="none"/>
          <w:lang w:val="en-US" w:eastAsia="zh-CN"/>
        </w:rPr>
        <w:t>应对采购人11个业务系统</w:t>
      </w:r>
      <w:r>
        <w:rPr>
          <w:rFonts w:hint="eastAsia" w:ascii="宋体" w:hAnsi="宋体" w:eastAsia="宋体" w:cs="宋体"/>
          <w:color w:val="auto"/>
          <w:sz w:val="24"/>
          <w:szCs w:val="24"/>
          <w:highlight w:val="none"/>
          <w:lang w:val="en-US" w:eastAsia="zh-CN"/>
        </w:rPr>
        <w:t>开展1次渗透测试，每次渗透测试服务含初测和整改后复测。测试完成后应进行整改，并提供《渗透测试报告》详细描述测试流程、问题点及整改方案。渗透测试范围由采购人指定。</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2.3 </w:t>
      </w:r>
      <w:r>
        <w:rPr>
          <w:rFonts w:hint="eastAsia" w:ascii="宋体" w:hAnsi="宋体" w:cs="宋体"/>
          <w:color w:val="auto"/>
          <w:sz w:val="24"/>
          <w:szCs w:val="24"/>
          <w:highlight w:val="none"/>
          <w:lang w:val="en-US" w:eastAsia="zh-CN"/>
        </w:rPr>
        <w:t>紧急情况演练和</w:t>
      </w:r>
      <w:r>
        <w:rPr>
          <w:rFonts w:hint="eastAsia" w:ascii="宋体" w:hAnsi="宋体" w:eastAsia="宋体" w:cs="宋体"/>
          <w:color w:val="auto"/>
          <w:sz w:val="24"/>
          <w:szCs w:val="24"/>
          <w:highlight w:val="none"/>
          <w:lang w:val="en-US" w:eastAsia="zh-CN"/>
        </w:rPr>
        <w:t>攻防演练服务</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服务期内成交供应商应开展</w:t>
      </w:r>
      <w:r>
        <w:rPr>
          <w:rFonts w:hint="eastAsia" w:ascii="宋体" w:hAnsi="宋体" w:cs="宋体"/>
          <w:color w:val="auto"/>
          <w:sz w:val="24"/>
          <w:szCs w:val="24"/>
          <w:highlight w:val="none"/>
          <w:lang w:val="en-US" w:eastAsia="zh-CN"/>
        </w:rPr>
        <w:t>1次紧急情况演练和</w:t>
      </w:r>
      <w:r>
        <w:rPr>
          <w:rFonts w:hint="eastAsia" w:ascii="宋体" w:hAnsi="宋体" w:eastAsia="宋体" w:cs="宋体"/>
          <w:color w:val="auto"/>
          <w:sz w:val="24"/>
          <w:szCs w:val="24"/>
          <w:highlight w:val="none"/>
          <w:lang w:val="en-US" w:eastAsia="zh-CN"/>
        </w:rPr>
        <w:t>1次攻防演练</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lang w:val="en-US" w:eastAsia="zh-CN"/>
        </w:rPr>
        <w:t>。</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交供应商应在不影响目标系统正常运行的前提下，远程模拟黑客真实攻击手段对目标系统进行渗透攻击，旨在全面暴露目标系统安全隐患及攻击路径，为风险隐患整改和后期安全建设提供依据。演练内容可包括：黑客渗透、病毒爆发、网络中断、业务中断等。演练完成后，网络安全服务单位应提供《</w:t>
      </w:r>
      <w:r>
        <w:rPr>
          <w:rFonts w:hint="eastAsia" w:ascii="宋体" w:hAnsi="宋体" w:cs="宋体"/>
          <w:color w:val="auto"/>
          <w:sz w:val="24"/>
          <w:szCs w:val="24"/>
          <w:highlight w:val="none"/>
          <w:lang w:val="en-US" w:eastAsia="zh-CN"/>
        </w:rPr>
        <w:t>紧急情况</w:t>
      </w:r>
      <w:r>
        <w:rPr>
          <w:rFonts w:hint="eastAsia" w:ascii="宋体" w:hAnsi="宋体" w:eastAsia="宋体" w:cs="宋体"/>
          <w:color w:val="auto"/>
          <w:sz w:val="24"/>
          <w:szCs w:val="24"/>
          <w:highlight w:val="none"/>
          <w:lang w:val="en-US" w:eastAsia="zh-CN"/>
        </w:rPr>
        <w:t>演练报告》、《攻防演练报告》。</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 网络安全响应</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如遇网络安全问题时，成交供应商应及时安排技术专家提供技术指导和支撑，进行网络风险处置，以及事后的溯源和整改。并针对突发的安全事件提供处置报告。</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 网络安全值守</w:t>
      </w:r>
    </w:p>
    <w:p>
      <w:pPr>
        <w:keepNext w:val="0"/>
        <w:keepLines w:val="0"/>
        <w:pageBreakBefore w:val="0"/>
        <w:kinsoku/>
        <w:wordWrap/>
        <w:overflowPunct/>
        <w:topLinePunct w:val="0"/>
        <w:bidi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olor w:val="auto"/>
          <w:sz w:val="24"/>
          <w:szCs w:val="24"/>
          <w:highlight w:val="none"/>
        </w:rPr>
        <w:t>★</w:t>
      </w:r>
      <w:r>
        <w:rPr>
          <w:rFonts w:hint="eastAsia" w:ascii="宋体" w:hAnsi="宋体" w:eastAsia="宋体" w:cs="宋体"/>
          <w:color w:val="auto"/>
          <w:sz w:val="24"/>
          <w:szCs w:val="24"/>
          <w:highlight w:val="none"/>
          <w:lang w:val="en-US" w:eastAsia="zh-CN"/>
        </w:rPr>
        <w:t>2.5.1 网络安全值守时间和方式</w:t>
      </w:r>
    </w:p>
    <w:p>
      <w:pPr>
        <w:keepNext w:val="0"/>
        <w:keepLines w:val="0"/>
        <w:pageBreakBefore w:val="0"/>
        <w:kinsoku/>
        <w:wordWrap/>
        <w:overflowPunct/>
        <w:topLinePunct w:val="0"/>
        <w:bidi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内，成交供应商应安排团队开展7*24小时远程网络安全值守工作。值守期间，技术团队可通过远程接入的方式开展值守。（成交供应商应负责远程值守过程中的网络费用）。如果节日或重大活动保障期间，采购人上级单位要求现场值守，成交供应商应根据要求开展现场值守。</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2.5.2 网络安全值守工作内容</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值守人员应对态势感知系统、网络设备、网络安全设备、业务系统、数据备份系统进行监控值守，及时处理网络安全风险。风险内容包括：黑客攻击渗透、流量异常、蠕虫攻击、网络病毒爆发，漏洞远程利用、恶意代码传递、网络阻塞、DDoS攻击问题、系统异常宕机、应用服务瘫痪问题等。</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值守人员应对网络安全设备日志进行分析，及时发现网络安全隐患。遭遇网络安全突发事件时，值守人员应参照预案立即开展人工干预消除隐患，并通知相关人员。</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2.5.3 值守范围</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为附件1与附件2的总和。</w:t>
      </w:r>
    </w:p>
    <w:p>
      <w:pPr>
        <w:keepNext w:val="0"/>
        <w:keepLines w:val="0"/>
        <w:pageBreakBefore w:val="0"/>
        <w:kinsoku/>
        <w:wordWrap/>
        <w:overflowPunct/>
        <w:topLinePunct w:val="0"/>
        <w:bidi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olor w:val="auto"/>
          <w:sz w:val="24"/>
          <w:szCs w:val="24"/>
          <w:highlight w:val="none"/>
        </w:rPr>
        <w:t>★</w:t>
      </w:r>
      <w:r>
        <w:rPr>
          <w:rFonts w:hint="eastAsia" w:ascii="宋体" w:hAnsi="宋体" w:eastAsia="宋体" w:cs="宋体"/>
          <w:color w:val="auto"/>
          <w:sz w:val="24"/>
          <w:szCs w:val="24"/>
          <w:highlight w:val="none"/>
          <w:lang w:val="en-US" w:eastAsia="zh-CN"/>
        </w:rPr>
        <w:t>2.6 等保测评</w:t>
      </w:r>
      <w:r>
        <w:rPr>
          <w:rFonts w:hint="eastAsia" w:ascii="宋体" w:hAnsi="宋体" w:cs="宋体"/>
          <w:color w:val="auto"/>
          <w:sz w:val="24"/>
          <w:szCs w:val="24"/>
          <w:highlight w:val="none"/>
          <w:lang w:val="en-US" w:eastAsia="zh-CN"/>
        </w:rPr>
        <w:t>(此项可分包)</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年内对“重点台站频率EMC分析平台”开展一次网络安全等级测评，安全保护等级为第三级。测评单位应具备相应资质。</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 xml:space="preserve"> 技术培训</w:t>
      </w:r>
    </w:p>
    <w:p>
      <w:pPr>
        <w:keepNext w:val="0"/>
        <w:keepLines w:val="0"/>
        <w:pageBreakBefore w:val="0"/>
        <w:kinsoku/>
        <w:wordWrap/>
        <w:overflowPunct/>
        <w:topLinePunct w:val="0"/>
        <w:bidi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服务期内成交供应商应开展2次信息化技术培训，培训内容包括服务器部署、网络安全漏洞渗透、AI相关的技术等。培训地点重庆。</w:t>
      </w:r>
    </w:p>
    <w:p>
      <w:pPr>
        <w:keepNext w:val="0"/>
        <w:keepLines w:val="0"/>
        <w:pageBreakBefore w:val="0"/>
        <w:numPr>
          <w:ilvl w:val="0"/>
          <w:numId w:val="0"/>
        </w:numPr>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.成交供应商责任</w:t>
      </w:r>
    </w:p>
    <w:p>
      <w:pPr>
        <w:keepNext w:val="0"/>
        <w:keepLines w:val="0"/>
        <w:pageBreakBefore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若因成交供应商原因造成数据丢失、数据泄露、重大活动保障期间信息系统崩溃等重大责任事故，成交供应商应承担相应法律责任。</w:t>
      </w:r>
    </w:p>
    <w:p>
      <w:pPr>
        <w:pStyle w:val="2"/>
        <w:keepNext w:val="0"/>
        <w:keepLines w:val="0"/>
        <w:pageBreakBefore w:val="0"/>
        <w:kinsoku/>
        <w:wordWrap/>
        <w:overflowPunct/>
        <w:topLinePunct w:val="0"/>
        <w:bidi w:val="0"/>
        <w:spacing w:line="50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default" w:ascii="宋体"/>
          <w:b/>
          <w:bCs/>
          <w:color w:val="auto"/>
          <w:sz w:val="24"/>
          <w:szCs w:val="24"/>
          <w:highlight w:val="none"/>
          <w:lang w:val="en-US" w:eastAsia="zh-CN"/>
        </w:rPr>
      </w:pPr>
      <w:r>
        <w:rPr>
          <w:rFonts w:hint="eastAsia" w:ascii="宋体"/>
          <w:b/>
          <w:bCs/>
          <w:color w:val="auto"/>
          <w:sz w:val="24"/>
          <w:szCs w:val="24"/>
          <w:highlight w:val="none"/>
          <w:lang w:val="en-US" w:eastAsia="zh-CN"/>
        </w:rPr>
        <w:t>附件1： 数码大厦设备及其它</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数码大厦A座15楼信息机房基础设施</w:t>
      </w:r>
    </w:p>
    <w:tbl>
      <w:tblPr>
        <w:tblStyle w:val="15"/>
        <w:tblW w:w="8422" w:type="dxa"/>
        <w:jc w:val="center"/>
        <w:tblLayout w:type="fixed"/>
        <w:tblCellMar>
          <w:top w:w="0" w:type="dxa"/>
          <w:left w:w="0" w:type="dxa"/>
          <w:bottom w:w="0" w:type="dxa"/>
          <w:right w:w="0" w:type="dxa"/>
        </w:tblCellMar>
      </w:tblPr>
      <w:tblGrid>
        <w:gridCol w:w="2066"/>
        <w:gridCol w:w="1738"/>
        <w:gridCol w:w="3020"/>
        <w:gridCol w:w="1598"/>
      </w:tblGrid>
      <w:tr>
        <w:tblPrEx>
          <w:tblCellMar>
            <w:top w:w="0" w:type="dxa"/>
            <w:left w:w="0" w:type="dxa"/>
            <w:bottom w:w="0" w:type="dxa"/>
            <w:right w:w="0" w:type="dxa"/>
          </w:tblCellMar>
        </w:tblPrEx>
        <w:trPr>
          <w:trHeight w:val="270" w:hRule="atLeast"/>
          <w:jc w:val="center"/>
        </w:trPr>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w:t>
            </w:r>
          </w:p>
        </w:tc>
        <w:tc>
          <w:tcPr>
            <w:tcW w:w="3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型号</w:t>
            </w:r>
          </w:p>
        </w:tc>
        <w:tc>
          <w:tcPr>
            <w:tcW w:w="1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 (台)</w:t>
            </w:r>
          </w:p>
        </w:tc>
      </w:tr>
      <w:tr>
        <w:tblPrEx>
          <w:tblCellMar>
            <w:top w:w="0" w:type="dxa"/>
            <w:left w:w="0" w:type="dxa"/>
            <w:bottom w:w="0" w:type="dxa"/>
            <w:right w:w="0" w:type="dxa"/>
          </w:tblCellMar>
        </w:tblPrEx>
        <w:trPr>
          <w:trHeight w:val="270" w:hRule="atLeast"/>
          <w:jc w:val="center"/>
        </w:trPr>
        <w:tc>
          <w:tcPr>
            <w:tcW w:w="206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UPS（含电池）</w:t>
            </w: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apc</w:t>
            </w:r>
          </w:p>
        </w:tc>
        <w:tc>
          <w:tcPr>
            <w:tcW w:w="3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270" w:hRule="atLeast"/>
          <w:jc w:val="center"/>
        </w:trPr>
        <w:tc>
          <w:tcPr>
            <w:tcW w:w="206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color w:val="auto"/>
                <w:kern w:val="0"/>
                <w:sz w:val="24"/>
                <w:szCs w:val="24"/>
                <w:highlight w:val="none"/>
              </w:rPr>
            </w:pP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华为</w:t>
            </w:r>
          </w:p>
        </w:tc>
        <w:tc>
          <w:tcPr>
            <w:tcW w:w="3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rPr>
          <w:trHeight w:val="270" w:hRule="atLeast"/>
          <w:jc w:val="center"/>
        </w:trPr>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温湿度监控器</w:t>
            </w: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展创电子</w:t>
            </w:r>
          </w:p>
        </w:tc>
        <w:tc>
          <w:tcPr>
            <w:tcW w:w="3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智能温湿度短信电话报警器</w:t>
            </w:r>
          </w:p>
        </w:tc>
        <w:tc>
          <w:tcPr>
            <w:tcW w:w="1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tabs>
                <w:tab w:val="left" w:pos="462"/>
              </w:tabs>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0" w:type="dxa"/>
            <w:bottom w:w="0" w:type="dxa"/>
            <w:right w:w="0" w:type="dxa"/>
          </w:tblCellMar>
        </w:tblPrEx>
        <w:trPr>
          <w:trHeight w:val="270" w:hRule="atLeast"/>
          <w:jc w:val="center"/>
        </w:trPr>
        <w:tc>
          <w:tcPr>
            <w:tcW w:w="206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空调</w:t>
            </w: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格力</w:t>
            </w:r>
          </w:p>
        </w:tc>
        <w:tc>
          <w:tcPr>
            <w:tcW w:w="3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KFR-72LW</w:t>
            </w:r>
          </w:p>
        </w:tc>
        <w:tc>
          <w:tcPr>
            <w:tcW w:w="1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r>
      <w:tr>
        <w:tblPrEx>
          <w:tblCellMar>
            <w:top w:w="0" w:type="dxa"/>
            <w:left w:w="0" w:type="dxa"/>
            <w:bottom w:w="0" w:type="dxa"/>
            <w:right w:w="0" w:type="dxa"/>
          </w:tblCellMar>
        </w:tblPrEx>
        <w:trPr>
          <w:trHeight w:val="270" w:hRule="atLeast"/>
          <w:jc w:val="center"/>
        </w:trPr>
        <w:tc>
          <w:tcPr>
            <w:tcW w:w="206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color w:val="auto"/>
                <w:kern w:val="0"/>
                <w:sz w:val="24"/>
                <w:szCs w:val="24"/>
                <w:highlight w:val="none"/>
              </w:rPr>
            </w:pPr>
          </w:p>
        </w:tc>
        <w:tc>
          <w:tcPr>
            <w:tcW w:w="1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美的</w:t>
            </w:r>
          </w:p>
        </w:tc>
        <w:tc>
          <w:tcPr>
            <w:tcW w:w="3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KFR-72LW</w:t>
            </w:r>
          </w:p>
        </w:tc>
        <w:tc>
          <w:tcPr>
            <w:tcW w:w="1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bl>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（二）数码大厦A座15楼信息机房网络设备</w:t>
      </w:r>
    </w:p>
    <w:tbl>
      <w:tblPr>
        <w:tblStyle w:val="15"/>
        <w:tblW w:w="8470" w:type="dxa"/>
        <w:jc w:val="center"/>
        <w:tblLayout w:type="fixed"/>
        <w:tblCellMar>
          <w:top w:w="0" w:type="dxa"/>
          <w:left w:w="0" w:type="dxa"/>
          <w:bottom w:w="0" w:type="dxa"/>
          <w:right w:w="0" w:type="dxa"/>
        </w:tblCellMar>
      </w:tblPr>
      <w:tblGrid>
        <w:gridCol w:w="1918"/>
        <w:gridCol w:w="1719"/>
        <w:gridCol w:w="2514"/>
        <w:gridCol w:w="2319"/>
      </w:tblGrid>
      <w:tr>
        <w:tblPrEx>
          <w:tblCellMar>
            <w:top w:w="0" w:type="dxa"/>
            <w:left w:w="0" w:type="dxa"/>
            <w:bottom w:w="0" w:type="dxa"/>
            <w:right w:w="0" w:type="dxa"/>
          </w:tblCellMar>
        </w:tblPrEx>
        <w:trPr>
          <w:trHeight w:val="569" w:hRule="atLeast"/>
          <w:jc w:val="center"/>
        </w:trPr>
        <w:tc>
          <w:tcPr>
            <w:tcW w:w="1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w:t>
            </w:r>
          </w:p>
        </w:tc>
        <w:tc>
          <w:tcPr>
            <w:tcW w:w="2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型号</w:t>
            </w:r>
          </w:p>
        </w:tc>
        <w:tc>
          <w:tcPr>
            <w:tcW w:w="2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数量(台)</w:t>
            </w:r>
          </w:p>
        </w:tc>
      </w:tr>
      <w:tr>
        <w:tblPrEx>
          <w:tblCellMar>
            <w:top w:w="0" w:type="dxa"/>
            <w:left w:w="0" w:type="dxa"/>
            <w:bottom w:w="0" w:type="dxa"/>
            <w:right w:w="0" w:type="dxa"/>
          </w:tblCellMar>
        </w:tblPrEx>
        <w:trPr>
          <w:trHeight w:val="569" w:hRule="atLeast"/>
          <w:jc w:val="center"/>
        </w:trPr>
        <w:tc>
          <w:tcPr>
            <w:tcW w:w="1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三层</w:t>
            </w:r>
            <w:r>
              <w:rPr>
                <w:rFonts w:hint="eastAsia" w:ascii="宋体" w:hAnsi="宋体" w:eastAsia="宋体" w:cs="宋体"/>
                <w:color w:val="auto"/>
                <w:kern w:val="0"/>
                <w:sz w:val="24"/>
                <w:szCs w:val="24"/>
                <w:highlight w:val="none"/>
              </w:rPr>
              <w:t>交换机</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H3C</w:t>
            </w:r>
          </w:p>
        </w:tc>
        <w:tc>
          <w:tcPr>
            <w:tcW w:w="2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S7006X</w:t>
            </w:r>
          </w:p>
        </w:tc>
        <w:tc>
          <w:tcPr>
            <w:tcW w:w="2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0" w:type="dxa"/>
            <w:bottom w:w="0" w:type="dxa"/>
            <w:right w:w="0" w:type="dxa"/>
          </w:tblCellMar>
        </w:tblPrEx>
        <w:trPr>
          <w:trHeight w:val="569" w:hRule="atLeast"/>
          <w:jc w:val="center"/>
        </w:trPr>
        <w:tc>
          <w:tcPr>
            <w:tcW w:w="1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交换机（楼层）</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H3C</w:t>
            </w:r>
          </w:p>
        </w:tc>
        <w:tc>
          <w:tcPr>
            <w:tcW w:w="2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WS5820-52TP-WiNet</w:t>
            </w:r>
          </w:p>
        </w:tc>
        <w:tc>
          <w:tcPr>
            <w:tcW w:w="2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26</w:t>
            </w:r>
          </w:p>
        </w:tc>
      </w:tr>
      <w:tr>
        <w:tblPrEx>
          <w:tblCellMar>
            <w:top w:w="0" w:type="dxa"/>
            <w:left w:w="0" w:type="dxa"/>
            <w:bottom w:w="0" w:type="dxa"/>
            <w:right w:w="0" w:type="dxa"/>
          </w:tblCellMar>
        </w:tblPrEx>
        <w:trPr>
          <w:trHeight w:val="569" w:hRule="atLeast"/>
          <w:jc w:val="center"/>
        </w:trPr>
        <w:tc>
          <w:tcPr>
            <w:tcW w:w="1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外网</w:t>
            </w:r>
            <w:r>
              <w:rPr>
                <w:rFonts w:hint="eastAsia" w:ascii="宋体" w:hAnsi="宋体" w:cs="宋体"/>
                <w:color w:val="auto"/>
                <w:kern w:val="0"/>
                <w:sz w:val="24"/>
                <w:szCs w:val="24"/>
                <w:highlight w:val="none"/>
                <w:lang w:val="en-US" w:eastAsia="zh-CN"/>
              </w:rPr>
              <w:t>三层</w:t>
            </w:r>
            <w:r>
              <w:rPr>
                <w:rFonts w:hint="eastAsia" w:ascii="宋体" w:hAnsi="宋体" w:eastAsia="宋体" w:cs="宋体"/>
                <w:color w:val="auto"/>
                <w:kern w:val="0"/>
                <w:sz w:val="24"/>
                <w:szCs w:val="24"/>
                <w:highlight w:val="none"/>
              </w:rPr>
              <w:t>交换机</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H3C</w:t>
            </w:r>
          </w:p>
        </w:tc>
        <w:tc>
          <w:tcPr>
            <w:tcW w:w="2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WS5850-52X-WiNet</w:t>
            </w:r>
          </w:p>
        </w:tc>
        <w:tc>
          <w:tcPr>
            <w:tcW w:w="2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569" w:hRule="atLeast"/>
          <w:jc w:val="center"/>
        </w:trPr>
        <w:tc>
          <w:tcPr>
            <w:tcW w:w="1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路由器</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H3C</w:t>
            </w:r>
          </w:p>
        </w:tc>
        <w:tc>
          <w:tcPr>
            <w:tcW w:w="2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MSR36-20</w:t>
            </w:r>
          </w:p>
        </w:tc>
        <w:tc>
          <w:tcPr>
            <w:tcW w:w="2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569" w:hRule="atLeast"/>
          <w:jc w:val="center"/>
        </w:trPr>
        <w:tc>
          <w:tcPr>
            <w:tcW w:w="1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路由器</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CISCO</w:t>
            </w:r>
          </w:p>
        </w:tc>
        <w:tc>
          <w:tcPr>
            <w:tcW w:w="2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2611XM</w:t>
            </w:r>
          </w:p>
        </w:tc>
        <w:tc>
          <w:tcPr>
            <w:tcW w:w="2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569" w:hRule="atLeast"/>
          <w:jc w:val="center"/>
        </w:trPr>
        <w:tc>
          <w:tcPr>
            <w:tcW w:w="19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路由器</w:t>
            </w:r>
          </w:p>
        </w:tc>
        <w:tc>
          <w:tcPr>
            <w:tcW w:w="1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华为</w:t>
            </w:r>
          </w:p>
        </w:tc>
        <w:tc>
          <w:tcPr>
            <w:tcW w:w="2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USG5150BSR</w:t>
            </w:r>
          </w:p>
        </w:tc>
        <w:tc>
          <w:tcPr>
            <w:tcW w:w="23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bl>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（三）数码大厦A座15楼信息机房网络安全设备</w:t>
      </w:r>
    </w:p>
    <w:tbl>
      <w:tblPr>
        <w:tblStyle w:val="15"/>
        <w:tblW w:w="8473" w:type="dxa"/>
        <w:jc w:val="center"/>
        <w:tblLayout w:type="fixed"/>
        <w:tblCellMar>
          <w:top w:w="0" w:type="dxa"/>
          <w:left w:w="0" w:type="dxa"/>
          <w:bottom w:w="0" w:type="dxa"/>
          <w:right w:w="0" w:type="dxa"/>
        </w:tblCellMar>
      </w:tblPr>
      <w:tblGrid>
        <w:gridCol w:w="1993"/>
        <w:gridCol w:w="1824"/>
        <w:gridCol w:w="2692"/>
        <w:gridCol w:w="1964"/>
      </w:tblGrid>
      <w:tr>
        <w:tblPrEx>
          <w:tblCellMar>
            <w:top w:w="0" w:type="dxa"/>
            <w:left w:w="0" w:type="dxa"/>
            <w:bottom w:w="0" w:type="dxa"/>
            <w:right w:w="0" w:type="dxa"/>
          </w:tblCellMar>
        </w:tblPrEx>
        <w:trPr>
          <w:trHeight w:val="270" w:hRule="atLeast"/>
          <w:jc w:val="center"/>
        </w:trPr>
        <w:tc>
          <w:tcPr>
            <w:tcW w:w="1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p>
        </w:tc>
        <w:tc>
          <w:tcPr>
            <w:tcW w:w="1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w:t>
            </w:r>
          </w:p>
        </w:tc>
        <w:tc>
          <w:tcPr>
            <w:tcW w:w="2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型号</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数量(台)</w:t>
            </w:r>
          </w:p>
        </w:tc>
      </w:tr>
      <w:tr>
        <w:tblPrEx>
          <w:tblCellMar>
            <w:top w:w="0" w:type="dxa"/>
            <w:left w:w="0" w:type="dxa"/>
            <w:bottom w:w="0" w:type="dxa"/>
            <w:right w:w="0" w:type="dxa"/>
          </w:tblCellMar>
        </w:tblPrEx>
        <w:trPr>
          <w:trHeight w:val="270" w:hRule="atLeast"/>
          <w:jc w:val="center"/>
        </w:trPr>
        <w:tc>
          <w:tcPr>
            <w:tcW w:w="1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上网行为管理</w:t>
            </w:r>
          </w:p>
        </w:tc>
        <w:tc>
          <w:tcPr>
            <w:tcW w:w="1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网康</w:t>
            </w:r>
          </w:p>
        </w:tc>
        <w:tc>
          <w:tcPr>
            <w:tcW w:w="2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NS-ICG3000-30</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270" w:hRule="atLeast"/>
          <w:jc w:val="center"/>
        </w:trPr>
        <w:tc>
          <w:tcPr>
            <w:tcW w:w="1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数据库审计</w:t>
            </w:r>
          </w:p>
        </w:tc>
        <w:tc>
          <w:tcPr>
            <w:tcW w:w="1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网御星云</w:t>
            </w:r>
          </w:p>
        </w:tc>
        <w:tc>
          <w:tcPr>
            <w:tcW w:w="2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LA-DT-1600BR</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270" w:hRule="atLeast"/>
          <w:jc w:val="center"/>
        </w:trPr>
        <w:tc>
          <w:tcPr>
            <w:tcW w:w="1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入侵防御</w:t>
            </w:r>
          </w:p>
        </w:tc>
        <w:tc>
          <w:tcPr>
            <w:tcW w:w="1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深信服</w:t>
            </w:r>
          </w:p>
        </w:tc>
        <w:tc>
          <w:tcPr>
            <w:tcW w:w="2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NIPS-2000-B2100</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270" w:hRule="atLeast"/>
          <w:jc w:val="center"/>
        </w:trPr>
        <w:tc>
          <w:tcPr>
            <w:tcW w:w="1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备份一体机</w:t>
            </w:r>
          </w:p>
        </w:tc>
        <w:tc>
          <w:tcPr>
            <w:tcW w:w="1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火星仓</w:t>
            </w:r>
          </w:p>
        </w:tc>
        <w:tc>
          <w:tcPr>
            <w:tcW w:w="2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E15SA-DPA-E16</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270" w:hRule="atLeast"/>
          <w:jc w:val="center"/>
        </w:trPr>
        <w:tc>
          <w:tcPr>
            <w:tcW w:w="1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入侵检测</w:t>
            </w:r>
          </w:p>
        </w:tc>
        <w:tc>
          <w:tcPr>
            <w:tcW w:w="1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华为</w:t>
            </w:r>
          </w:p>
        </w:tc>
        <w:tc>
          <w:tcPr>
            <w:tcW w:w="2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NIP2200D</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270" w:hRule="atLeast"/>
          <w:jc w:val="center"/>
        </w:trPr>
        <w:tc>
          <w:tcPr>
            <w:tcW w:w="1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外网</w:t>
            </w:r>
            <w:r>
              <w:rPr>
                <w:rFonts w:hint="eastAsia" w:ascii="宋体" w:hAnsi="宋体" w:eastAsia="宋体" w:cs="宋体"/>
                <w:color w:val="auto"/>
                <w:kern w:val="0"/>
                <w:sz w:val="24"/>
                <w:szCs w:val="24"/>
                <w:highlight w:val="none"/>
              </w:rPr>
              <w:t>防火墙</w:t>
            </w:r>
          </w:p>
        </w:tc>
        <w:tc>
          <w:tcPr>
            <w:tcW w:w="1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深信服</w:t>
            </w:r>
          </w:p>
        </w:tc>
        <w:tc>
          <w:tcPr>
            <w:tcW w:w="2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FW-100BN120</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270" w:hRule="atLeast"/>
          <w:jc w:val="center"/>
        </w:trPr>
        <w:tc>
          <w:tcPr>
            <w:tcW w:w="1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防火墙</w:t>
            </w:r>
          </w:p>
        </w:tc>
        <w:tc>
          <w:tcPr>
            <w:tcW w:w="1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H3C</w:t>
            </w:r>
          </w:p>
        </w:tc>
        <w:tc>
          <w:tcPr>
            <w:tcW w:w="2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F1060</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r>
      <w:tr>
        <w:tblPrEx>
          <w:tblCellMar>
            <w:top w:w="0" w:type="dxa"/>
            <w:left w:w="0" w:type="dxa"/>
            <w:bottom w:w="0" w:type="dxa"/>
            <w:right w:w="0" w:type="dxa"/>
          </w:tblCellMar>
        </w:tblPrEx>
        <w:trPr>
          <w:trHeight w:val="270" w:hRule="atLeast"/>
          <w:jc w:val="center"/>
        </w:trPr>
        <w:tc>
          <w:tcPr>
            <w:tcW w:w="1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入侵防御</w:t>
            </w:r>
          </w:p>
        </w:tc>
        <w:tc>
          <w:tcPr>
            <w:tcW w:w="1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网御星云</w:t>
            </w:r>
          </w:p>
        </w:tc>
        <w:tc>
          <w:tcPr>
            <w:tcW w:w="2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NIPS-2000-B2100-L9</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270" w:hRule="atLeast"/>
          <w:jc w:val="center"/>
        </w:trPr>
        <w:tc>
          <w:tcPr>
            <w:tcW w:w="1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防病毒网关</w:t>
            </w:r>
          </w:p>
        </w:tc>
        <w:tc>
          <w:tcPr>
            <w:tcW w:w="1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深信服</w:t>
            </w:r>
          </w:p>
        </w:tc>
        <w:tc>
          <w:tcPr>
            <w:tcW w:w="2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AF-2000-B2180-A4</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270" w:hRule="atLeast"/>
          <w:jc w:val="center"/>
        </w:trPr>
        <w:tc>
          <w:tcPr>
            <w:tcW w:w="1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安全态势感知平台</w:t>
            </w:r>
          </w:p>
        </w:tc>
        <w:tc>
          <w:tcPr>
            <w:tcW w:w="1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深信服</w:t>
            </w:r>
          </w:p>
        </w:tc>
        <w:tc>
          <w:tcPr>
            <w:tcW w:w="2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SIP-1000-F600-QS</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270" w:hRule="atLeast"/>
          <w:jc w:val="center"/>
        </w:trPr>
        <w:tc>
          <w:tcPr>
            <w:tcW w:w="1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潜在威胁探针</w:t>
            </w:r>
          </w:p>
        </w:tc>
        <w:tc>
          <w:tcPr>
            <w:tcW w:w="1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深信服</w:t>
            </w:r>
          </w:p>
        </w:tc>
        <w:tc>
          <w:tcPr>
            <w:tcW w:w="2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STA-100-B2100-L9</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270" w:hRule="atLeast"/>
          <w:jc w:val="center"/>
        </w:trPr>
        <w:tc>
          <w:tcPr>
            <w:tcW w:w="1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日志审计系统</w:t>
            </w:r>
          </w:p>
        </w:tc>
        <w:tc>
          <w:tcPr>
            <w:tcW w:w="1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深信服</w:t>
            </w:r>
          </w:p>
        </w:tc>
        <w:tc>
          <w:tcPr>
            <w:tcW w:w="2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AC 2200</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270" w:hRule="atLeast"/>
          <w:jc w:val="center"/>
        </w:trPr>
        <w:tc>
          <w:tcPr>
            <w:tcW w:w="1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单向光闸</w:t>
            </w:r>
          </w:p>
        </w:tc>
        <w:tc>
          <w:tcPr>
            <w:tcW w:w="18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网御星云</w:t>
            </w:r>
          </w:p>
        </w:tc>
        <w:tc>
          <w:tcPr>
            <w:tcW w:w="2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color w:val="auto"/>
                <w:kern w:val="0"/>
                <w:sz w:val="24"/>
                <w:szCs w:val="24"/>
                <w:highlight w:val="none"/>
              </w:rPr>
            </w:pP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bl>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（四）数码大厦A座15楼信息机房机柜、综合布线等</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以实际情况为准</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（五）数码大厦办公区域电脑终端、打印机等办公设备（含监测监控室电脑终端）</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以实际情况为准</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六</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监测二、三、四科</w:t>
      </w:r>
      <w:r>
        <w:rPr>
          <w:rFonts w:hint="eastAsia" w:ascii="宋体" w:hAnsi="宋体" w:eastAsia="宋体" w:cs="宋体"/>
          <w:color w:val="auto"/>
          <w:kern w:val="0"/>
          <w:sz w:val="24"/>
          <w:szCs w:val="24"/>
          <w:highlight w:val="none"/>
        </w:rPr>
        <w:t>办公地点的机房设施、网络设备、电脑终端、打印机等</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以实际情况为准</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七</w:t>
      </w:r>
      <w:r>
        <w:rPr>
          <w:rFonts w:hint="eastAsia" w:ascii="宋体" w:hAnsi="宋体" w:eastAsia="宋体" w:cs="宋体"/>
          <w:color w:val="auto"/>
          <w:kern w:val="0"/>
          <w:sz w:val="24"/>
          <w:szCs w:val="24"/>
          <w:highlight w:val="none"/>
        </w:rPr>
        <w:t>）数码大厦A座15楼信息机房服务器、磁盘阵列</w:t>
      </w:r>
    </w:p>
    <w:tbl>
      <w:tblPr>
        <w:tblStyle w:val="15"/>
        <w:tblW w:w="8100" w:type="dxa"/>
        <w:jc w:val="center"/>
        <w:tblLayout w:type="fixed"/>
        <w:tblCellMar>
          <w:top w:w="0" w:type="dxa"/>
          <w:left w:w="0" w:type="dxa"/>
          <w:bottom w:w="0" w:type="dxa"/>
          <w:right w:w="0" w:type="dxa"/>
        </w:tblCellMar>
      </w:tblPr>
      <w:tblGrid>
        <w:gridCol w:w="1779"/>
        <w:gridCol w:w="2262"/>
        <w:gridCol w:w="2816"/>
        <w:gridCol w:w="1243"/>
      </w:tblGrid>
      <w:tr>
        <w:tblPrEx>
          <w:tblCellMar>
            <w:top w:w="0" w:type="dxa"/>
            <w:left w:w="0" w:type="dxa"/>
            <w:bottom w:w="0" w:type="dxa"/>
            <w:right w:w="0" w:type="dxa"/>
          </w:tblCellMar>
        </w:tblPrEx>
        <w:trPr>
          <w:trHeight w:val="501" w:hRule="atLeast"/>
          <w:jc w:val="center"/>
        </w:trPr>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p>
        </w:tc>
        <w:tc>
          <w:tcPr>
            <w:tcW w:w="2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w:t>
            </w:r>
          </w:p>
        </w:tc>
        <w:tc>
          <w:tcPr>
            <w:tcW w:w="2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型号</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数量(台)</w:t>
            </w:r>
          </w:p>
        </w:tc>
      </w:tr>
      <w:tr>
        <w:tblPrEx>
          <w:tblCellMar>
            <w:top w:w="0" w:type="dxa"/>
            <w:left w:w="0" w:type="dxa"/>
            <w:bottom w:w="0" w:type="dxa"/>
            <w:right w:w="0" w:type="dxa"/>
          </w:tblCellMar>
        </w:tblPrEx>
        <w:trPr>
          <w:trHeight w:val="613" w:hRule="atLeast"/>
          <w:jc w:val="center"/>
        </w:trPr>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备份一体机</w:t>
            </w:r>
          </w:p>
        </w:tc>
        <w:tc>
          <w:tcPr>
            <w:tcW w:w="2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火星仓</w:t>
            </w:r>
          </w:p>
        </w:tc>
        <w:tc>
          <w:tcPr>
            <w:tcW w:w="2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E15SA-DPA-E16</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613" w:hRule="atLeast"/>
          <w:jc w:val="center"/>
        </w:trPr>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存储</w:t>
            </w:r>
          </w:p>
        </w:tc>
        <w:tc>
          <w:tcPr>
            <w:tcW w:w="2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华为</w:t>
            </w:r>
          </w:p>
        </w:tc>
        <w:tc>
          <w:tcPr>
            <w:tcW w:w="2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S5600T</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0" w:type="dxa"/>
            <w:bottom w:w="0" w:type="dxa"/>
            <w:right w:w="0" w:type="dxa"/>
          </w:tblCellMar>
        </w:tblPrEx>
        <w:trPr>
          <w:trHeight w:val="624" w:hRule="atLeast"/>
          <w:jc w:val="center"/>
        </w:trPr>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存储</w:t>
            </w:r>
          </w:p>
        </w:tc>
        <w:tc>
          <w:tcPr>
            <w:tcW w:w="2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IBM</w:t>
            </w:r>
          </w:p>
        </w:tc>
        <w:tc>
          <w:tcPr>
            <w:tcW w:w="2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DS4300</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0" w:type="dxa"/>
            <w:bottom w:w="0" w:type="dxa"/>
            <w:right w:w="0" w:type="dxa"/>
          </w:tblCellMar>
        </w:tblPrEx>
        <w:trPr>
          <w:trHeight w:val="624" w:hRule="atLeast"/>
          <w:jc w:val="center"/>
        </w:trPr>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2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HP</w:t>
            </w:r>
          </w:p>
        </w:tc>
        <w:tc>
          <w:tcPr>
            <w:tcW w:w="2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RX8640</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0" w:type="dxa"/>
            <w:bottom w:w="0" w:type="dxa"/>
            <w:right w:w="0" w:type="dxa"/>
          </w:tblCellMar>
        </w:tblPrEx>
        <w:trPr>
          <w:trHeight w:val="624" w:hRule="atLeast"/>
          <w:jc w:val="center"/>
        </w:trPr>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2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H3C</w:t>
            </w:r>
          </w:p>
        </w:tc>
        <w:tc>
          <w:tcPr>
            <w:tcW w:w="2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R4900 G2</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624" w:hRule="atLeast"/>
          <w:jc w:val="center"/>
        </w:trPr>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2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华为</w:t>
            </w:r>
          </w:p>
        </w:tc>
        <w:tc>
          <w:tcPr>
            <w:tcW w:w="2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VP9630</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624" w:hRule="atLeast"/>
          <w:jc w:val="center"/>
        </w:trPr>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2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华为</w:t>
            </w:r>
          </w:p>
        </w:tc>
        <w:tc>
          <w:tcPr>
            <w:tcW w:w="2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Rse6500</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624" w:hRule="atLeast"/>
          <w:jc w:val="center"/>
        </w:trPr>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2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华为</w:t>
            </w:r>
          </w:p>
        </w:tc>
        <w:tc>
          <w:tcPr>
            <w:tcW w:w="2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SMC2.0</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624" w:hRule="atLeast"/>
          <w:jc w:val="center"/>
        </w:trPr>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2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浪潮</w:t>
            </w:r>
          </w:p>
        </w:tc>
        <w:tc>
          <w:tcPr>
            <w:tcW w:w="2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NF5270M3</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624" w:hRule="atLeast"/>
          <w:jc w:val="center"/>
        </w:trPr>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2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浪潮</w:t>
            </w:r>
          </w:p>
        </w:tc>
        <w:tc>
          <w:tcPr>
            <w:tcW w:w="2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NF8560M2</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0" w:type="dxa"/>
            <w:bottom w:w="0" w:type="dxa"/>
            <w:right w:w="0" w:type="dxa"/>
          </w:tblCellMar>
        </w:tblPrEx>
        <w:trPr>
          <w:trHeight w:val="624" w:hRule="atLeast"/>
          <w:jc w:val="center"/>
        </w:trPr>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2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华为</w:t>
            </w:r>
          </w:p>
        </w:tc>
        <w:tc>
          <w:tcPr>
            <w:tcW w:w="2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2288HV5</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624" w:hRule="atLeast"/>
          <w:jc w:val="center"/>
        </w:trPr>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2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H3C</w:t>
            </w:r>
          </w:p>
        </w:tc>
        <w:tc>
          <w:tcPr>
            <w:tcW w:w="2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H3C UniServer R4900 G3</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r>
      <w:tr>
        <w:trPr>
          <w:trHeight w:val="624" w:hRule="atLeast"/>
          <w:jc w:val="center"/>
        </w:trPr>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虚拟化软件</w:t>
            </w:r>
          </w:p>
        </w:tc>
        <w:tc>
          <w:tcPr>
            <w:tcW w:w="2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浪潮</w:t>
            </w:r>
          </w:p>
        </w:tc>
        <w:tc>
          <w:tcPr>
            <w:tcW w:w="2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624" w:hRule="atLeast"/>
          <w:jc w:val="center"/>
        </w:trPr>
        <w:tc>
          <w:tcPr>
            <w:tcW w:w="1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22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华为</w:t>
            </w:r>
          </w:p>
        </w:tc>
        <w:tc>
          <w:tcPr>
            <w:tcW w:w="28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RH2268</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r>
    </w:tbl>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八</w:t>
      </w:r>
      <w:r>
        <w:rPr>
          <w:rFonts w:hint="eastAsia" w:ascii="宋体" w:hAnsi="宋体" w:eastAsia="宋体" w:cs="宋体"/>
          <w:color w:val="auto"/>
          <w:kern w:val="0"/>
          <w:sz w:val="24"/>
          <w:szCs w:val="24"/>
          <w:highlight w:val="none"/>
          <w:lang w:val="en-US" w:eastAsia="zh-CN"/>
        </w:rPr>
        <w:t>）监测系统服务器</w:t>
      </w:r>
    </w:p>
    <w:tbl>
      <w:tblPr>
        <w:tblStyle w:val="15"/>
        <w:tblW w:w="8430" w:type="dxa"/>
        <w:jc w:val="center"/>
        <w:tblLayout w:type="fixed"/>
        <w:tblCellMar>
          <w:top w:w="0" w:type="dxa"/>
          <w:left w:w="0" w:type="dxa"/>
          <w:bottom w:w="0" w:type="dxa"/>
          <w:right w:w="0" w:type="dxa"/>
        </w:tblCellMar>
      </w:tblPr>
      <w:tblGrid>
        <w:gridCol w:w="1295"/>
        <w:gridCol w:w="1611"/>
        <w:gridCol w:w="3430"/>
        <w:gridCol w:w="2094"/>
      </w:tblGrid>
      <w:tr>
        <w:tblPrEx>
          <w:tblCellMar>
            <w:top w:w="0" w:type="dxa"/>
            <w:left w:w="0" w:type="dxa"/>
            <w:bottom w:w="0" w:type="dxa"/>
            <w:right w:w="0" w:type="dxa"/>
          </w:tblCellMar>
        </w:tblPrEx>
        <w:trPr>
          <w:trHeight w:val="270" w:hRule="atLeast"/>
          <w:jc w:val="center"/>
        </w:trPr>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w:t>
            </w:r>
          </w:p>
        </w:tc>
        <w:tc>
          <w:tcPr>
            <w:tcW w:w="3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型号</w:t>
            </w:r>
          </w:p>
        </w:tc>
        <w:tc>
          <w:tcPr>
            <w:tcW w:w="2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r>
      <w:tr>
        <w:tblPrEx>
          <w:tblCellMar>
            <w:top w:w="0" w:type="dxa"/>
            <w:left w:w="0" w:type="dxa"/>
            <w:bottom w:w="0" w:type="dxa"/>
            <w:right w:w="0" w:type="dxa"/>
          </w:tblCellMar>
        </w:tblPrEx>
        <w:trPr>
          <w:trHeight w:val="270" w:hRule="atLeast"/>
          <w:jc w:val="center"/>
        </w:trPr>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浪潮</w:t>
            </w:r>
          </w:p>
        </w:tc>
        <w:tc>
          <w:tcPr>
            <w:tcW w:w="3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NF5240M3</w:t>
            </w:r>
          </w:p>
        </w:tc>
        <w:tc>
          <w:tcPr>
            <w:tcW w:w="2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270" w:hRule="atLeast"/>
          <w:jc w:val="center"/>
        </w:trPr>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联想</w:t>
            </w:r>
          </w:p>
        </w:tc>
        <w:tc>
          <w:tcPr>
            <w:tcW w:w="3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SYStem X 3650 M5</w:t>
            </w:r>
          </w:p>
        </w:tc>
        <w:tc>
          <w:tcPr>
            <w:tcW w:w="2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270" w:hRule="atLeast"/>
          <w:jc w:val="center"/>
        </w:trPr>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联想</w:t>
            </w:r>
          </w:p>
        </w:tc>
        <w:tc>
          <w:tcPr>
            <w:tcW w:w="3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ThinkServer TD340</w:t>
            </w:r>
          </w:p>
        </w:tc>
        <w:tc>
          <w:tcPr>
            <w:tcW w:w="2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270" w:hRule="atLeast"/>
          <w:jc w:val="center"/>
        </w:trPr>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戴尔</w:t>
            </w:r>
          </w:p>
        </w:tc>
        <w:tc>
          <w:tcPr>
            <w:tcW w:w="3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PowerEdge R420</w:t>
            </w:r>
          </w:p>
        </w:tc>
        <w:tc>
          <w:tcPr>
            <w:tcW w:w="2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270" w:hRule="atLeast"/>
          <w:jc w:val="center"/>
        </w:trPr>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联想</w:t>
            </w:r>
          </w:p>
        </w:tc>
        <w:tc>
          <w:tcPr>
            <w:tcW w:w="3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ThinkServer RD650</w:t>
            </w:r>
          </w:p>
        </w:tc>
        <w:tc>
          <w:tcPr>
            <w:tcW w:w="2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r>
      <w:tr>
        <w:tblPrEx>
          <w:tblCellMar>
            <w:top w:w="0" w:type="dxa"/>
            <w:left w:w="0" w:type="dxa"/>
            <w:bottom w:w="0" w:type="dxa"/>
            <w:right w:w="0" w:type="dxa"/>
          </w:tblCellMar>
        </w:tblPrEx>
        <w:trPr>
          <w:trHeight w:val="270" w:hRule="atLeast"/>
          <w:jc w:val="center"/>
        </w:trPr>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戴尔</w:t>
            </w:r>
          </w:p>
        </w:tc>
        <w:tc>
          <w:tcPr>
            <w:tcW w:w="3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E16S</w:t>
            </w:r>
          </w:p>
        </w:tc>
        <w:tc>
          <w:tcPr>
            <w:tcW w:w="2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0" w:type="dxa"/>
            <w:bottom w:w="0" w:type="dxa"/>
            <w:right w:w="0" w:type="dxa"/>
          </w:tblCellMar>
        </w:tblPrEx>
        <w:trPr>
          <w:trHeight w:val="270" w:hRule="atLeast"/>
          <w:jc w:val="center"/>
        </w:trPr>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惠普</w:t>
            </w:r>
          </w:p>
        </w:tc>
        <w:tc>
          <w:tcPr>
            <w:tcW w:w="3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ProLiant DL580 Gent8</w:t>
            </w:r>
          </w:p>
        </w:tc>
        <w:tc>
          <w:tcPr>
            <w:tcW w:w="2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r>
      <w:tr>
        <w:tblPrEx>
          <w:tblCellMar>
            <w:top w:w="0" w:type="dxa"/>
            <w:left w:w="0" w:type="dxa"/>
            <w:bottom w:w="0" w:type="dxa"/>
            <w:right w:w="0" w:type="dxa"/>
          </w:tblCellMar>
        </w:tblPrEx>
        <w:trPr>
          <w:trHeight w:val="270" w:hRule="atLeast"/>
          <w:jc w:val="center"/>
        </w:trPr>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戴尔</w:t>
            </w:r>
          </w:p>
        </w:tc>
        <w:tc>
          <w:tcPr>
            <w:tcW w:w="3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PowerEdge R730</w:t>
            </w:r>
          </w:p>
        </w:tc>
        <w:tc>
          <w:tcPr>
            <w:tcW w:w="2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0" w:type="dxa"/>
            <w:bottom w:w="0" w:type="dxa"/>
            <w:right w:w="0" w:type="dxa"/>
          </w:tblCellMar>
        </w:tblPrEx>
        <w:trPr>
          <w:trHeight w:val="270" w:hRule="atLeast"/>
          <w:jc w:val="center"/>
        </w:trPr>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华为</w:t>
            </w:r>
          </w:p>
        </w:tc>
        <w:tc>
          <w:tcPr>
            <w:tcW w:w="3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Telcal RH 2488V2</w:t>
            </w:r>
          </w:p>
        </w:tc>
        <w:tc>
          <w:tcPr>
            <w:tcW w:w="2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r>
      <w:tr>
        <w:tblPrEx>
          <w:tblCellMar>
            <w:top w:w="0" w:type="dxa"/>
            <w:left w:w="0" w:type="dxa"/>
            <w:bottom w:w="0" w:type="dxa"/>
            <w:right w:w="0" w:type="dxa"/>
          </w:tblCellMar>
        </w:tblPrEx>
        <w:trPr>
          <w:trHeight w:val="270" w:hRule="atLeast"/>
          <w:jc w:val="center"/>
        </w:trPr>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1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浪潮</w:t>
            </w:r>
          </w:p>
        </w:tc>
        <w:tc>
          <w:tcPr>
            <w:tcW w:w="3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NF5280M5</w:t>
            </w:r>
          </w:p>
        </w:tc>
        <w:tc>
          <w:tcPr>
            <w:tcW w:w="2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r>
    </w:tbl>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九</w:t>
      </w:r>
      <w:r>
        <w:rPr>
          <w:rFonts w:hint="eastAsia" w:ascii="宋体" w:hAnsi="宋体" w:eastAsia="宋体" w:cs="宋体"/>
          <w:color w:val="auto"/>
          <w:kern w:val="0"/>
          <w:sz w:val="24"/>
          <w:szCs w:val="24"/>
          <w:highlight w:val="none"/>
        </w:rPr>
        <w:t>）数码大厦A座15楼指挥大厅设备、会投影设备</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5"/>
        <w:gridCol w:w="1770"/>
        <w:gridCol w:w="1833"/>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设备名称</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型号</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A.指挥大厅视频会议设备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多点资源中心（MCU）</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华为</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VP9630</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录播服务器</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华为</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Rse6500</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视频会议管理平台（含服务器和会管软件）</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华为</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SMC2.0</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视频会议分体终端</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华为</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TE60</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高清摄像机</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华为</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VPC620</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控制终端（含软件）</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宏基</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x3410</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8"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B.指挥大厅大屏显示</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LED显示屏</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联建</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VL1.2</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音视频拼接控制处理平台</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创凯</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CK5</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接收卡</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联建</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L7S</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独立发送器</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联建</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LCTRL600</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钢结构与装饰</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定制</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控制终端</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宏碁</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x3410</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8"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C指挥大厅音频设备</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超薄壁挂音箱</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itc</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TS-608</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音箱壁挂架</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itc</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TS-02B</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数字功率放大器</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itc</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TS-350PI</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数字音频处理器</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itc</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TS-P1616</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数字会议主机</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itc</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TS-0200M</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无线话筒</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itc</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T-521UH</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鹅颈电容话筒</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itc</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TS-0202</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调音台</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itc</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TS-16P-4</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8"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D.指挥大厅集中控制设备</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中控主机</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itc</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TS-9100D</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控制终端</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APPLE</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IPAD</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无线路由器</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H3C</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Magic R200</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电源时序器</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itc</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TS-820</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E.指挥大厅操作设备</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color w:val="auto"/>
                <w:kern w:val="0"/>
                <w:sz w:val="24"/>
                <w:szCs w:val="24"/>
                <w:highlight w:val="none"/>
              </w:rPr>
            </w:pP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color w:val="auto"/>
                <w:kern w:val="0"/>
                <w:sz w:val="24"/>
                <w:szCs w:val="24"/>
                <w:highlight w:val="none"/>
              </w:rPr>
            </w:pP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屏幕可升降操作控制终端</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和力宏碁</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YB15-CFD650</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机动操作控制终端</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宏碁</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x3410</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8"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F.指挥大厅辅助材料</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桌面信息抽线盒</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定制</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音箱线</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2*200</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音频线</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HDMI线</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20m</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HDMI线</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1m</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DVI线</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20m</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转接线</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1m</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电源线</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ZR-RVV3×1.5</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电源线</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RVV4*2.5</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六类网线</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清华同方</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CC72004</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PVC线管</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DN25</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PVC线管</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DN20</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辅助材料</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会商区投影设备</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color w:val="auto"/>
                <w:kern w:val="0"/>
                <w:sz w:val="24"/>
                <w:szCs w:val="24"/>
                <w:highlight w:val="none"/>
              </w:rPr>
            </w:pP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color w:val="auto"/>
                <w:kern w:val="0"/>
                <w:sz w:val="24"/>
                <w:szCs w:val="24"/>
                <w:highlight w:val="none"/>
              </w:rPr>
            </w:pP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8"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A.会商区投影设备</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投影仪</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夏普</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XG-KB530UA</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固定投影支架</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电动升降幕布</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遥控器</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配套</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配套</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8"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B.会商区辅助材料</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多媒体面板</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color w:val="auto"/>
                <w:kern w:val="0"/>
                <w:sz w:val="24"/>
                <w:szCs w:val="24"/>
                <w:highlight w:val="none"/>
              </w:rPr>
            </w:pP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HDMI线</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color w:val="auto"/>
                <w:kern w:val="0"/>
                <w:sz w:val="24"/>
                <w:szCs w:val="24"/>
                <w:highlight w:val="none"/>
              </w:rPr>
            </w:pP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HDMI线</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color w:val="auto"/>
                <w:kern w:val="0"/>
                <w:sz w:val="24"/>
                <w:szCs w:val="24"/>
                <w:highlight w:val="none"/>
              </w:rPr>
            </w:pP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电源线</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配套</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配套</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5"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六类网线</w:t>
            </w:r>
          </w:p>
        </w:tc>
        <w:tc>
          <w:tcPr>
            <w:tcW w:w="177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清华同方</w:t>
            </w:r>
          </w:p>
        </w:tc>
        <w:tc>
          <w:tcPr>
            <w:tcW w:w="183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CC72004</w:t>
            </w:r>
          </w:p>
        </w:tc>
        <w:tc>
          <w:tcPr>
            <w:tcW w:w="140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r>
    </w:tbl>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十</w:t>
      </w:r>
      <w:r>
        <w:rPr>
          <w:rFonts w:hint="eastAsia" w:ascii="宋体" w:hAnsi="宋体" w:eastAsia="宋体" w:cs="宋体"/>
          <w:color w:val="auto"/>
          <w:kern w:val="0"/>
          <w:sz w:val="24"/>
          <w:szCs w:val="24"/>
          <w:highlight w:val="none"/>
        </w:rPr>
        <w:t>）数码大厦A座19楼监测监控室LCD屏系统</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1"/>
        <w:gridCol w:w="1418"/>
        <w:gridCol w:w="174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1"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设备名称</w:t>
            </w:r>
          </w:p>
        </w:tc>
        <w:tc>
          <w:tcPr>
            <w:tcW w:w="1418"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w:t>
            </w:r>
          </w:p>
        </w:tc>
        <w:tc>
          <w:tcPr>
            <w:tcW w:w="1747"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1247"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1"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LCD显示屏</w:t>
            </w:r>
          </w:p>
        </w:tc>
        <w:tc>
          <w:tcPr>
            <w:tcW w:w="1418"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大华</w:t>
            </w:r>
          </w:p>
        </w:tc>
        <w:tc>
          <w:tcPr>
            <w:tcW w:w="1747"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DHL460UCM-EF</w:t>
            </w:r>
          </w:p>
        </w:tc>
        <w:tc>
          <w:tcPr>
            <w:tcW w:w="1247"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1"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落地或壁挂式液压前维护安装支架</w:t>
            </w:r>
          </w:p>
        </w:tc>
        <w:tc>
          <w:tcPr>
            <w:tcW w:w="1418"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1747"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定制</w:t>
            </w:r>
          </w:p>
        </w:tc>
        <w:tc>
          <w:tcPr>
            <w:tcW w:w="1247"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1"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视频处理器</w:t>
            </w:r>
          </w:p>
        </w:tc>
        <w:tc>
          <w:tcPr>
            <w:tcW w:w="1418"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大华</w:t>
            </w:r>
          </w:p>
        </w:tc>
        <w:tc>
          <w:tcPr>
            <w:tcW w:w="1747"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DH-DSCON3000</w:t>
            </w:r>
          </w:p>
        </w:tc>
        <w:tc>
          <w:tcPr>
            <w:tcW w:w="1247"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1"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控制终端</w:t>
            </w:r>
          </w:p>
        </w:tc>
        <w:tc>
          <w:tcPr>
            <w:tcW w:w="1418"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宏碁</w:t>
            </w:r>
          </w:p>
        </w:tc>
        <w:tc>
          <w:tcPr>
            <w:tcW w:w="1747"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x3410</w:t>
            </w:r>
          </w:p>
        </w:tc>
        <w:tc>
          <w:tcPr>
            <w:tcW w:w="1247"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1"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线缆配套</w:t>
            </w:r>
          </w:p>
        </w:tc>
        <w:tc>
          <w:tcPr>
            <w:tcW w:w="1418"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1747"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定制</w:t>
            </w:r>
          </w:p>
        </w:tc>
        <w:tc>
          <w:tcPr>
            <w:tcW w:w="1247"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1"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扩声系统</w:t>
            </w:r>
          </w:p>
        </w:tc>
        <w:tc>
          <w:tcPr>
            <w:tcW w:w="1418"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itc</w:t>
            </w:r>
          </w:p>
        </w:tc>
        <w:tc>
          <w:tcPr>
            <w:tcW w:w="1747"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color w:val="auto"/>
                <w:kern w:val="0"/>
                <w:sz w:val="24"/>
                <w:szCs w:val="24"/>
                <w:highlight w:val="none"/>
              </w:rPr>
            </w:pPr>
          </w:p>
        </w:tc>
        <w:tc>
          <w:tcPr>
            <w:tcW w:w="1247"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bl>
    <w:p>
      <w:pPr>
        <w:keepNext w:val="0"/>
        <w:keepLines w:val="0"/>
        <w:pageBreakBefore w:val="0"/>
        <w:widowControl/>
        <w:kinsoku/>
        <w:wordWrap/>
        <w:overflowPunct/>
        <w:topLinePunct w:val="0"/>
        <w:autoSpaceDE/>
        <w:autoSpaceDN/>
        <w:bidi w:val="0"/>
        <w:adjustRightInd w:val="0"/>
        <w:snapToGrid w:val="0"/>
        <w:spacing w:line="500" w:lineRule="exac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十</w:t>
      </w:r>
      <w:r>
        <w:rPr>
          <w:rFonts w:hint="eastAsia" w:ascii="宋体" w:hAnsi="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rPr>
        <w:t>）视频会议分会场系统（无管局、万州、涪陵、黔江分会场）</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2"/>
        <w:gridCol w:w="1276"/>
        <w:gridCol w:w="1582"/>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设备名称</w:t>
            </w:r>
          </w:p>
        </w:tc>
        <w:tc>
          <w:tcPr>
            <w:tcW w:w="127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型号</w:t>
            </w:r>
          </w:p>
        </w:tc>
        <w:tc>
          <w:tcPr>
            <w:tcW w:w="143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视频会议分体终端</w:t>
            </w:r>
          </w:p>
        </w:tc>
        <w:tc>
          <w:tcPr>
            <w:tcW w:w="127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华为</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TE60</w:t>
            </w:r>
          </w:p>
        </w:tc>
        <w:tc>
          <w:tcPr>
            <w:tcW w:w="143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高清摄像机</w:t>
            </w:r>
          </w:p>
        </w:tc>
        <w:tc>
          <w:tcPr>
            <w:tcW w:w="127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华为</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VPC620</w:t>
            </w:r>
          </w:p>
        </w:tc>
        <w:tc>
          <w:tcPr>
            <w:tcW w:w="143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全向麦克风</w:t>
            </w:r>
          </w:p>
        </w:tc>
        <w:tc>
          <w:tcPr>
            <w:tcW w:w="127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华为</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VPM220</w:t>
            </w:r>
          </w:p>
        </w:tc>
        <w:tc>
          <w:tcPr>
            <w:tcW w:w="143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70寸液晶显示屏</w:t>
            </w:r>
          </w:p>
        </w:tc>
        <w:tc>
          <w:tcPr>
            <w:tcW w:w="127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索尼</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KD-70X8300F</w:t>
            </w:r>
          </w:p>
        </w:tc>
        <w:tc>
          <w:tcPr>
            <w:tcW w:w="143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配套材料</w:t>
            </w:r>
          </w:p>
        </w:tc>
        <w:tc>
          <w:tcPr>
            <w:tcW w:w="127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143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r>
    </w:tbl>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十</w:t>
      </w:r>
      <w:r>
        <w:rPr>
          <w:rFonts w:hint="eastAsia" w:ascii="宋体" w:hAnsi="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）数码大厦A座15-19楼视频监控系统</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8"/>
        <w:gridCol w:w="851"/>
        <w:gridCol w:w="2693"/>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设备名称</w:t>
            </w:r>
          </w:p>
        </w:tc>
        <w:tc>
          <w:tcPr>
            <w:tcW w:w="851"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w:t>
            </w:r>
          </w:p>
        </w:tc>
        <w:tc>
          <w:tcPr>
            <w:tcW w:w="269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型号</w:t>
            </w:r>
          </w:p>
        </w:tc>
        <w:tc>
          <w:tcPr>
            <w:tcW w:w="116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2"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A、前端视频监控设备配置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1080P室内日夜型网络半球摄像机</w:t>
            </w:r>
          </w:p>
        </w:tc>
        <w:tc>
          <w:tcPr>
            <w:tcW w:w="851"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大华</w:t>
            </w:r>
          </w:p>
        </w:tc>
        <w:tc>
          <w:tcPr>
            <w:tcW w:w="269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DH-IPC-HDW3231C</w:t>
            </w:r>
          </w:p>
        </w:tc>
        <w:tc>
          <w:tcPr>
            <w:tcW w:w="116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2"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B、保安室设备配置</w:t>
            </w:r>
          </w:p>
        </w:tc>
        <w:tc>
          <w:tcPr>
            <w:tcW w:w="116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16路网络硬盘录像机</w:t>
            </w:r>
          </w:p>
        </w:tc>
        <w:tc>
          <w:tcPr>
            <w:tcW w:w="851"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大华</w:t>
            </w:r>
          </w:p>
        </w:tc>
        <w:tc>
          <w:tcPr>
            <w:tcW w:w="269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DH-NVR4832-4KS2</w:t>
            </w:r>
          </w:p>
        </w:tc>
        <w:tc>
          <w:tcPr>
            <w:tcW w:w="116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硬盘</w:t>
            </w:r>
          </w:p>
        </w:tc>
        <w:tc>
          <w:tcPr>
            <w:tcW w:w="851"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希捷</w:t>
            </w:r>
          </w:p>
        </w:tc>
        <w:tc>
          <w:tcPr>
            <w:tcW w:w="269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ST4000NM0035</w:t>
            </w:r>
          </w:p>
        </w:tc>
        <w:tc>
          <w:tcPr>
            <w:tcW w:w="116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高清电视机</w:t>
            </w:r>
          </w:p>
        </w:tc>
        <w:tc>
          <w:tcPr>
            <w:tcW w:w="851"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创维</w:t>
            </w:r>
          </w:p>
        </w:tc>
        <w:tc>
          <w:tcPr>
            <w:tcW w:w="269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50E382W</w:t>
            </w:r>
          </w:p>
        </w:tc>
        <w:tc>
          <w:tcPr>
            <w:tcW w:w="116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千兆POE交换机</w:t>
            </w:r>
          </w:p>
        </w:tc>
        <w:tc>
          <w:tcPr>
            <w:tcW w:w="851"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H3C</w:t>
            </w:r>
          </w:p>
        </w:tc>
        <w:tc>
          <w:tcPr>
            <w:tcW w:w="269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S5110-52P-PWR</w:t>
            </w:r>
          </w:p>
        </w:tc>
        <w:tc>
          <w:tcPr>
            <w:tcW w:w="116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机柜</w:t>
            </w:r>
          </w:p>
        </w:tc>
        <w:tc>
          <w:tcPr>
            <w:tcW w:w="851"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16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操作台</w:t>
            </w:r>
          </w:p>
        </w:tc>
        <w:tc>
          <w:tcPr>
            <w:tcW w:w="851"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69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16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高清电视机</w:t>
            </w:r>
          </w:p>
        </w:tc>
        <w:tc>
          <w:tcPr>
            <w:tcW w:w="851"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创维</w:t>
            </w:r>
          </w:p>
        </w:tc>
        <w:tc>
          <w:tcPr>
            <w:tcW w:w="269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32E381S</w:t>
            </w:r>
          </w:p>
        </w:tc>
        <w:tc>
          <w:tcPr>
            <w:tcW w:w="116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8"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操作终端</w:t>
            </w:r>
          </w:p>
        </w:tc>
        <w:tc>
          <w:tcPr>
            <w:tcW w:w="851"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联想</w:t>
            </w:r>
          </w:p>
        </w:tc>
        <w:tc>
          <w:tcPr>
            <w:tcW w:w="269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启天M620-N000</w:t>
            </w:r>
          </w:p>
        </w:tc>
        <w:tc>
          <w:tcPr>
            <w:tcW w:w="116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bl>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十</w:t>
      </w:r>
      <w:r>
        <w:rPr>
          <w:rFonts w:hint="eastAsia" w:ascii="宋体" w:hAnsi="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rPr>
        <w:t xml:space="preserve">）数码大厦A座15-19楼广播系统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1672"/>
        <w:gridCol w:w="1624"/>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7"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设备名称</w:t>
            </w:r>
          </w:p>
        </w:tc>
        <w:tc>
          <w:tcPr>
            <w:tcW w:w="167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w:t>
            </w:r>
          </w:p>
        </w:tc>
        <w:tc>
          <w:tcPr>
            <w:tcW w:w="1624"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型号</w:t>
            </w:r>
          </w:p>
        </w:tc>
        <w:tc>
          <w:tcPr>
            <w:tcW w:w="174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3"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A、保安室设备配置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7"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数字广播工控主机</w:t>
            </w:r>
          </w:p>
        </w:tc>
        <w:tc>
          <w:tcPr>
            <w:tcW w:w="167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ZABKZ</w:t>
            </w:r>
          </w:p>
        </w:tc>
        <w:tc>
          <w:tcPr>
            <w:tcW w:w="1624"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AXT8789II</w:t>
            </w:r>
          </w:p>
        </w:tc>
        <w:tc>
          <w:tcPr>
            <w:tcW w:w="174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7"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网络广播主控软件</w:t>
            </w:r>
          </w:p>
        </w:tc>
        <w:tc>
          <w:tcPr>
            <w:tcW w:w="167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ZABKZ</w:t>
            </w:r>
          </w:p>
        </w:tc>
        <w:tc>
          <w:tcPr>
            <w:tcW w:w="1624"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AXT8700</w:t>
            </w:r>
          </w:p>
        </w:tc>
        <w:tc>
          <w:tcPr>
            <w:tcW w:w="174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7"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电源时序器</w:t>
            </w:r>
          </w:p>
        </w:tc>
        <w:tc>
          <w:tcPr>
            <w:tcW w:w="167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ZABKZ</w:t>
            </w:r>
          </w:p>
        </w:tc>
        <w:tc>
          <w:tcPr>
            <w:tcW w:w="1624"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PA2190S</w:t>
            </w:r>
          </w:p>
        </w:tc>
        <w:tc>
          <w:tcPr>
            <w:tcW w:w="174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7"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报警矩阵</w:t>
            </w:r>
          </w:p>
        </w:tc>
        <w:tc>
          <w:tcPr>
            <w:tcW w:w="167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ZABKZ</w:t>
            </w:r>
          </w:p>
        </w:tc>
        <w:tc>
          <w:tcPr>
            <w:tcW w:w="1624"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AXT8716II</w:t>
            </w:r>
          </w:p>
        </w:tc>
        <w:tc>
          <w:tcPr>
            <w:tcW w:w="174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7"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主控数码调音台</w:t>
            </w:r>
          </w:p>
        </w:tc>
        <w:tc>
          <w:tcPr>
            <w:tcW w:w="167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SPIRIT</w:t>
            </w:r>
          </w:p>
        </w:tc>
        <w:tc>
          <w:tcPr>
            <w:tcW w:w="1624"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MP-902A</w:t>
            </w:r>
          </w:p>
        </w:tc>
        <w:tc>
          <w:tcPr>
            <w:tcW w:w="174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7"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广播话筒</w:t>
            </w:r>
          </w:p>
        </w:tc>
        <w:tc>
          <w:tcPr>
            <w:tcW w:w="167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ZABKZ</w:t>
            </w:r>
          </w:p>
        </w:tc>
        <w:tc>
          <w:tcPr>
            <w:tcW w:w="1624"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AM10</w:t>
            </w:r>
          </w:p>
        </w:tc>
        <w:tc>
          <w:tcPr>
            <w:tcW w:w="174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7"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数字调谐器</w:t>
            </w:r>
          </w:p>
        </w:tc>
        <w:tc>
          <w:tcPr>
            <w:tcW w:w="167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ZABKZ</w:t>
            </w:r>
          </w:p>
        </w:tc>
        <w:tc>
          <w:tcPr>
            <w:tcW w:w="1624"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PA2177R</w:t>
            </w:r>
          </w:p>
        </w:tc>
        <w:tc>
          <w:tcPr>
            <w:tcW w:w="174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3"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B、前端设备</w:t>
            </w:r>
          </w:p>
        </w:tc>
        <w:tc>
          <w:tcPr>
            <w:tcW w:w="174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7"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网络解码终端</w:t>
            </w:r>
          </w:p>
        </w:tc>
        <w:tc>
          <w:tcPr>
            <w:tcW w:w="167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ZABKZ</w:t>
            </w:r>
          </w:p>
        </w:tc>
        <w:tc>
          <w:tcPr>
            <w:tcW w:w="1624"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AXT8708</w:t>
            </w:r>
          </w:p>
        </w:tc>
        <w:tc>
          <w:tcPr>
            <w:tcW w:w="174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7"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功率放大器</w:t>
            </w:r>
          </w:p>
        </w:tc>
        <w:tc>
          <w:tcPr>
            <w:tcW w:w="167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ZABKZ</w:t>
            </w:r>
          </w:p>
        </w:tc>
        <w:tc>
          <w:tcPr>
            <w:tcW w:w="1624"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PA2006IV</w:t>
            </w:r>
          </w:p>
        </w:tc>
        <w:tc>
          <w:tcPr>
            <w:tcW w:w="174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7"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吸顶音响</w:t>
            </w:r>
          </w:p>
        </w:tc>
        <w:tc>
          <w:tcPr>
            <w:tcW w:w="167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ZABKZ</w:t>
            </w:r>
          </w:p>
        </w:tc>
        <w:tc>
          <w:tcPr>
            <w:tcW w:w="1624"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WA221II</w:t>
            </w:r>
          </w:p>
        </w:tc>
        <w:tc>
          <w:tcPr>
            <w:tcW w:w="1740"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r>
    </w:tbl>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十四</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数码大厦A座15-18楼门禁系统</w:t>
      </w:r>
    </w:p>
    <w:tbl>
      <w:tblPr>
        <w:tblStyle w:val="15"/>
        <w:tblW w:w="4996" w:type="pct"/>
        <w:jc w:val="center"/>
        <w:tblLayout w:type="autofit"/>
        <w:tblCellMar>
          <w:top w:w="0" w:type="dxa"/>
          <w:left w:w="108" w:type="dxa"/>
          <w:bottom w:w="0" w:type="dxa"/>
          <w:right w:w="108" w:type="dxa"/>
        </w:tblCellMar>
      </w:tblPr>
      <w:tblGrid>
        <w:gridCol w:w="710"/>
        <w:gridCol w:w="2277"/>
        <w:gridCol w:w="2090"/>
        <w:gridCol w:w="2394"/>
        <w:gridCol w:w="908"/>
        <w:gridCol w:w="903"/>
      </w:tblGrid>
      <w:tr>
        <w:tblPrEx>
          <w:tblCellMar>
            <w:top w:w="0" w:type="dxa"/>
            <w:left w:w="108" w:type="dxa"/>
            <w:bottom w:w="0" w:type="dxa"/>
            <w:right w:w="108" w:type="dxa"/>
          </w:tblCellMar>
        </w:tblPrEx>
        <w:trPr>
          <w:trHeight w:val="766"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序号</w:t>
            </w:r>
          </w:p>
        </w:tc>
        <w:tc>
          <w:tcPr>
            <w:tcW w:w="1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配件名称</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厂家</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型号</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单位</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数量</w:t>
            </w:r>
          </w:p>
        </w:tc>
      </w:tr>
      <w:tr>
        <w:tblPrEx>
          <w:tblCellMar>
            <w:top w:w="0" w:type="dxa"/>
            <w:left w:w="108" w:type="dxa"/>
            <w:bottom w:w="0" w:type="dxa"/>
            <w:right w:w="108" w:type="dxa"/>
          </w:tblCellMar>
        </w:tblPrEx>
        <w:trPr>
          <w:trHeight w:val="1004"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人脸门禁一体机</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海康威视</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DS-K1T670MF</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台</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r>
      <w:tr>
        <w:tblPrEx>
          <w:tblCellMar>
            <w:top w:w="0" w:type="dxa"/>
            <w:left w:w="108" w:type="dxa"/>
            <w:bottom w:w="0" w:type="dxa"/>
            <w:right w:w="108" w:type="dxa"/>
          </w:tblCellMar>
        </w:tblPrEx>
        <w:trPr>
          <w:trHeight w:val="1016"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全数字室内机</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海康威视</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DS-KH8540-C1</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台</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1387"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卡片发卡器（含门禁卡100张）</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海康威视</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DS-K1F100A-D8E</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台</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743"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服务器</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戴尔</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T40</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台</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1483"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门禁系统软件</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重庆电子信息中小企业公共服务有限公司</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定制</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台</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814"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不锈钢包边</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定制</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定制</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块</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r>
      <w:tr>
        <w:tblPrEx>
          <w:tblCellMar>
            <w:top w:w="0" w:type="dxa"/>
            <w:left w:w="108" w:type="dxa"/>
            <w:bottom w:w="0" w:type="dxa"/>
            <w:right w:w="108" w:type="dxa"/>
          </w:tblCellMar>
        </w:tblPrEx>
        <w:trPr>
          <w:trHeight w:val="551"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辅料费</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定制</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定制</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批</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558"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1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施工费</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定制</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定制</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批</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558" w:hRule="atLeast"/>
          <w:jc w:val="center"/>
        </w:trPr>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12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税费（6%）</w:t>
            </w:r>
          </w:p>
        </w:tc>
        <w:tc>
          <w:tcPr>
            <w:tcW w:w="11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default"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default"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default"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rPr>
              <w:t>项</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bl>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default" w:ascii="宋体" w:hAnsi="宋体" w:eastAsia="宋体" w:cs="宋体"/>
          <w:b/>
          <w:bCs/>
          <w:color w:val="auto"/>
          <w:sz w:val="32"/>
          <w:szCs w:val="32"/>
          <w:highlight w:val="none"/>
          <w:lang w:val="en-US" w:eastAsia="zh-CN"/>
        </w:rPr>
      </w:pPr>
      <w:r>
        <w:rPr>
          <w:rFonts w:hint="eastAsia" w:ascii="宋体" w:hAnsi="宋体" w:eastAsia="宋体" w:cs="宋体"/>
          <w:color w:val="auto"/>
          <w:kern w:val="0"/>
          <w:sz w:val="24"/>
          <w:szCs w:val="24"/>
          <w:highlight w:val="none"/>
        </w:rPr>
        <w:br w:type="page"/>
      </w:r>
      <w:r>
        <w:rPr>
          <w:rFonts w:hint="eastAsia" w:ascii="宋体" w:hAnsi="Times New Roman" w:eastAsia="宋体" w:cs="Times New Roman"/>
          <w:b/>
          <w:bCs/>
          <w:color w:val="auto"/>
          <w:kern w:val="2"/>
          <w:sz w:val="24"/>
          <w:szCs w:val="24"/>
          <w:highlight w:val="none"/>
          <w:lang w:val="en-US" w:eastAsia="zh-CN" w:bidi="ar-SA"/>
        </w:rPr>
        <w:t>附件2: 仙桃机房设施设备</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（一）仙桃机房电气设备（配电箱、电源、插座、照明灯等）</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    以实际情况为准</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（二）仙桃机房空调系统</w:t>
      </w:r>
    </w:p>
    <w:tbl>
      <w:tblPr>
        <w:tblStyle w:val="15"/>
        <w:tblW w:w="0" w:type="auto"/>
        <w:jc w:val="center"/>
        <w:tblLayout w:type="autofit"/>
        <w:tblCellMar>
          <w:top w:w="0" w:type="dxa"/>
          <w:left w:w="108" w:type="dxa"/>
          <w:bottom w:w="0" w:type="dxa"/>
          <w:right w:w="108" w:type="dxa"/>
        </w:tblCellMar>
      </w:tblPr>
      <w:tblGrid>
        <w:gridCol w:w="2859"/>
        <w:gridCol w:w="2998"/>
        <w:gridCol w:w="1608"/>
        <w:gridCol w:w="1066"/>
      </w:tblGrid>
      <w:tr>
        <w:tblPrEx>
          <w:tblCellMar>
            <w:top w:w="0" w:type="dxa"/>
            <w:left w:w="108" w:type="dxa"/>
            <w:bottom w:w="0" w:type="dxa"/>
            <w:right w:w="108" w:type="dxa"/>
          </w:tblCellMar>
        </w:tblPrEx>
        <w:trPr>
          <w:trHeight w:val="290" w:hRule="atLeast"/>
          <w:jc w:val="center"/>
        </w:trPr>
        <w:tc>
          <w:tcPr>
            <w:tcW w:w="2859"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设备名称</w:t>
            </w:r>
          </w:p>
        </w:tc>
        <w:tc>
          <w:tcPr>
            <w:tcW w:w="2998"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w:t>
            </w:r>
          </w:p>
        </w:tc>
        <w:tc>
          <w:tcPr>
            <w:tcW w:w="1608"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型号</w:t>
            </w:r>
          </w:p>
        </w:tc>
        <w:tc>
          <w:tcPr>
            <w:tcW w:w="1066"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r>
      <w:tr>
        <w:tblPrEx>
          <w:tblCellMar>
            <w:top w:w="0" w:type="dxa"/>
            <w:left w:w="108" w:type="dxa"/>
            <w:bottom w:w="0" w:type="dxa"/>
            <w:right w:w="108" w:type="dxa"/>
          </w:tblCellMar>
        </w:tblPrEx>
        <w:trPr>
          <w:trHeight w:val="307" w:hRule="atLeast"/>
          <w:jc w:val="center"/>
        </w:trPr>
        <w:tc>
          <w:tcPr>
            <w:tcW w:w="2859"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空调配电箱</w:t>
            </w:r>
          </w:p>
        </w:tc>
        <w:tc>
          <w:tcPr>
            <w:tcW w:w="2998"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1608"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定制</w:t>
            </w:r>
          </w:p>
        </w:tc>
        <w:tc>
          <w:tcPr>
            <w:tcW w:w="106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290" w:hRule="atLeast"/>
          <w:jc w:val="center"/>
        </w:trPr>
        <w:tc>
          <w:tcPr>
            <w:tcW w:w="2859"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精密空调</w:t>
            </w:r>
          </w:p>
        </w:tc>
        <w:tc>
          <w:tcPr>
            <w:tcW w:w="2998"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世图兹</w:t>
            </w:r>
          </w:p>
        </w:tc>
        <w:tc>
          <w:tcPr>
            <w:tcW w:w="1608"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ASD702A</w:t>
            </w:r>
          </w:p>
        </w:tc>
        <w:tc>
          <w:tcPr>
            <w:tcW w:w="106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108" w:type="dxa"/>
            <w:bottom w:w="0" w:type="dxa"/>
            <w:right w:w="108" w:type="dxa"/>
          </w:tblCellMar>
        </w:tblPrEx>
        <w:trPr>
          <w:trHeight w:val="290" w:hRule="atLeast"/>
          <w:jc w:val="center"/>
        </w:trPr>
        <w:tc>
          <w:tcPr>
            <w:tcW w:w="2859"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普通空调</w:t>
            </w:r>
          </w:p>
        </w:tc>
        <w:tc>
          <w:tcPr>
            <w:tcW w:w="2998"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美的</w:t>
            </w:r>
          </w:p>
        </w:tc>
        <w:tc>
          <w:tcPr>
            <w:tcW w:w="1608"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定制</w:t>
            </w:r>
          </w:p>
        </w:tc>
        <w:tc>
          <w:tcPr>
            <w:tcW w:w="106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290" w:hRule="atLeast"/>
          <w:jc w:val="center"/>
        </w:trPr>
        <w:tc>
          <w:tcPr>
            <w:tcW w:w="2859"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普通空调</w:t>
            </w:r>
          </w:p>
        </w:tc>
        <w:tc>
          <w:tcPr>
            <w:tcW w:w="2998"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美的</w:t>
            </w:r>
          </w:p>
        </w:tc>
        <w:tc>
          <w:tcPr>
            <w:tcW w:w="1608"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定制</w:t>
            </w:r>
          </w:p>
        </w:tc>
        <w:tc>
          <w:tcPr>
            <w:tcW w:w="106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108" w:type="dxa"/>
            <w:bottom w:w="0" w:type="dxa"/>
            <w:right w:w="108" w:type="dxa"/>
          </w:tblCellMar>
        </w:tblPrEx>
        <w:trPr>
          <w:trHeight w:val="290" w:hRule="atLeast"/>
          <w:jc w:val="center"/>
        </w:trPr>
        <w:tc>
          <w:tcPr>
            <w:tcW w:w="2859"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新风设备</w:t>
            </w:r>
          </w:p>
        </w:tc>
        <w:tc>
          <w:tcPr>
            <w:tcW w:w="2998"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南洋</w:t>
            </w:r>
          </w:p>
        </w:tc>
        <w:tc>
          <w:tcPr>
            <w:tcW w:w="1608"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定制</w:t>
            </w:r>
          </w:p>
        </w:tc>
        <w:tc>
          <w:tcPr>
            <w:tcW w:w="106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bl>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rPr>
        <w:t>）仙桃机房综合布线（含机柜、电线、网线、光纤等）</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以实际情况为准</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rPr>
        <w:t>）仙桃机房网络监控系统、UPS、动环监控系统、门禁系统</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9"/>
        <w:gridCol w:w="1132"/>
        <w:gridCol w:w="2016"/>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设备名称</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型号</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6"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仙桃机房网络监控设备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6"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A.工作区部分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信息设备及网络管理监控系统软件</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远臻</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综合运维管理系统</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7"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B、硬件设备</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浪潮</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NF5270M4</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终端控制设备</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宏碁</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D650</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电视机</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创维</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55E388G</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7"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C、安装辅材</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材料</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定制</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7"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配套机房UPS电源设备</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UPS输入箱</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施耐德</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380V/200A</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模块化UPS</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科华</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MR33125</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UPS输出屏</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施耐德</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380V/160A</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电池组</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科华</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6-GFM-200-YT</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电源专业材料费</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7"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仙桃机房动环监控系统</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市电监测协议转换软件模块</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共济</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GX-103</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市电监测电流互感器</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200/5</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配电开关检测开关状态监测触点</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共济</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DS-7052D-H</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DS-7052D</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UPS监控通信模块</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共济</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DS-7520</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UPS监控协议转换软件模块</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共济</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软件接口</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温湿度协议转换软件模块</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共济</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TH-03</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精密空调监控通信模块</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共济</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DS-7520</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精密空调协议转换软件模块</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共济</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软件接口</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烟雾探测器烟感探头</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共济</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LH-94(II)</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烟雾探测器开关量采集模块</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共济</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DS-7052D</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视频监控系统控制模块</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定制</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视频监控系统摄像头</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海康</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DS-2CD2325D-I</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视频监控系统网络硬盘录像机</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海康</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DS-8608N-K8</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区域式漏水泄漏检测</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万慧通</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WT-CON12</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蓄电池监测蓄电池组监测仪</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共济</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XDC-100-1240</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蓄电池监测电池夹</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U型电池夹</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蓄电池监测电池表面温度传感器</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TEM-100</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蓄电池监测霍尔电流传感器</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霍尔电流传感器</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蓄电池监测协议转换软件模块</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共济</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软件接口</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中心控制硬件中心服务器</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共济</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CM-DESK-Lserver</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中心控制硬件串口网络服务器</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康耐德</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C2000 N380</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中心控制硬件控制终端</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联想</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启天M620-N000</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平台软件</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共济</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CM-DESK-SE</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辅助材料</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网线</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清华同方</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CC72004</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接入交换机</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H3C</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S5130S-20P-PWR-EI</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电视机</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创维</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55E388G</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7"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仙桃机房门禁系统</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门禁控制主机</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大华</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DH-ASC1204C-S</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读卡器</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大华</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DH-ASR1101A</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ID卡</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大华</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IC</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电磁锁</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大华</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DH-ASF280A</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出门按钮</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大华</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DH-ASF900</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工业电源</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大华</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DH-PFM320</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消防联动控制模块</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定制</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协议转换软件模块</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定制</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控制终端</w:t>
            </w:r>
          </w:p>
        </w:tc>
        <w:tc>
          <w:tcPr>
            <w:tcW w:w="1132"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联想</w:t>
            </w:r>
          </w:p>
        </w:tc>
        <w:tc>
          <w:tcPr>
            <w:tcW w:w="201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ThinkCentre</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M920-N000</w:t>
            </w:r>
          </w:p>
        </w:tc>
        <w:tc>
          <w:tcPr>
            <w:tcW w:w="80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bl>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五</w:t>
      </w:r>
      <w:r>
        <w:rPr>
          <w:rFonts w:hint="eastAsia" w:ascii="宋体" w:hAnsi="宋体" w:eastAsia="宋体" w:cs="宋体"/>
          <w:color w:val="auto"/>
          <w:kern w:val="0"/>
          <w:sz w:val="24"/>
          <w:szCs w:val="24"/>
          <w:highlight w:val="none"/>
        </w:rPr>
        <w:t>）仙桃机房网络设备、H3C防火墙、超融合一体机、部分服务器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9"/>
        <w:gridCol w:w="1014"/>
        <w:gridCol w:w="3756"/>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设备名称</w:t>
            </w:r>
          </w:p>
        </w:tc>
        <w:tc>
          <w:tcPr>
            <w:tcW w:w="1014"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w:t>
            </w:r>
          </w:p>
        </w:tc>
        <w:tc>
          <w:tcPr>
            <w:tcW w:w="375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型号</w:t>
            </w:r>
          </w:p>
        </w:tc>
        <w:tc>
          <w:tcPr>
            <w:tcW w:w="106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超融合一体机</w:t>
            </w:r>
          </w:p>
        </w:tc>
        <w:tc>
          <w:tcPr>
            <w:tcW w:w="1014"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深信服</w:t>
            </w:r>
          </w:p>
        </w:tc>
        <w:tc>
          <w:tcPr>
            <w:tcW w:w="375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aServer-2105</w:t>
            </w:r>
          </w:p>
        </w:tc>
        <w:tc>
          <w:tcPr>
            <w:tcW w:w="106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配套超融合系统管理软件和分布式存储软件</w:t>
            </w:r>
          </w:p>
        </w:tc>
        <w:tc>
          <w:tcPr>
            <w:tcW w:w="1014"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深信服</w:t>
            </w:r>
          </w:p>
        </w:tc>
        <w:tc>
          <w:tcPr>
            <w:tcW w:w="375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深信服云计算管理软件/深信服虚拟存储软件/深信服网络虚拟化软件/深信服vAD-800/深信服vAF-1600</w:t>
            </w:r>
          </w:p>
        </w:tc>
        <w:tc>
          <w:tcPr>
            <w:tcW w:w="106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配套云计算虚拟化软件及相关安装环境</w:t>
            </w:r>
          </w:p>
        </w:tc>
        <w:tc>
          <w:tcPr>
            <w:tcW w:w="1014"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深信服</w:t>
            </w:r>
          </w:p>
        </w:tc>
        <w:tc>
          <w:tcPr>
            <w:tcW w:w="375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计算服务器虚拟化软件</w:t>
            </w:r>
          </w:p>
        </w:tc>
        <w:tc>
          <w:tcPr>
            <w:tcW w:w="106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数据库服务器</w:t>
            </w:r>
          </w:p>
        </w:tc>
        <w:tc>
          <w:tcPr>
            <w:tcW w:w="1014"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H3C</w:t>
            </w:r>
          </w:p>
        </w:tc>
        <w:tc>
          <w:tcPr>
            <w:tcW w:w="375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UIS-Cell-6000-G3</w:t>
            </w:r>
          </w:p>
        </w:tc>
        <w:tc>
          <w:tcPr>
            <w:tcW w:w="106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备份一体机</w:t>
            </w:r>
          </w:p>
        </w:tc>
        <w:tc>
          <w:tcPr>
            <w:tcW w:w="1014"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火星舱</w:t>
            </w:r>
          </w:p>
        </w:tc>
        <w:tc>
          <w:tcPr>
            <w:tcW w:w="375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MSA-SSA-S16</w:t>
            </w:r>
          </w:p>
        </w:tc>
        <w:tc>
          <w:tcPr>
            <w:tcW w:w="106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KVM</w:t>
            </w:r>
          </w:p>
        </w:tc>
        <w:tc>
          <w:tcPr>
            <w:tcW w:w="1014"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宏正</w:t>
            </w:r>
          </w:p>
        </w:tc>
        <w:tc>
          <w:tcPr>
            <w:tcW w:w="375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KN1132V</w:t>
            </w:r>
          </w:p>
        </w:tc>
        <w:tc>
          <w:tcPr>
            <w:tcW w:w="106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接入路由器</w:t>
            </w:r>
          </w:p>
        </w:tc>
        <w:tc>
          <w:tcPr>
            <w:tcW w:w="1014"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H3C</w:t>
            </w:r>
          </w:p>
        </w:tc>
        <w:tc>
          <w:tcPr>
            <w:tcW w:w="375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RT-MSR3640</w:t>
            </w:r>
          </w:p>
        </w:tc>
        <w:tc>
          <w:tcPr>
            <w:tcW w:w="106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汇聚交换机</w:t>
            </w:r>
          </w:p>
        </w:tc>
        <w:tc>
          <w:tcPr>
            <w:tcW w:w="1014"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H3C</w:t>
            </w:r>
          </w:p>
        </w:tc>
        <w:tc>
          <w:tcPr>
            <w:tcW w:w="375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LS-5130-30C-HI</w:t>
            </w:r>
          </w:p>
        </w:tc>
        <w:tc>
          <w:tcPr>
            <w:tcW w:w="106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三层</w:t>
            </w:r>
            <w:r>
              <w:rPr>
                <w:rFonts w:hint="eastAsia" w:ascii="宋体" w:hAnsi="宋体" w:eastAsia="宋体" w:cs="宋体"/>
                <w:color w:val="auto"/>
                <w:kern w:val="0"/>
                <w:sz w:val="24"/>
                <w:szCs w:val="24"/>
                <w:highlight w:val="none"/>
              </w:rPr>
              <w:t>交换机</w:t>
            </w:r>
          </w:p>
        </w:tc>
        <w:tc>
          <w:tcPr>
            <w:tcW w:w="1014"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H3C</w:t>
            </w:r>
          </w:p>
        </w:tc>
        <w:tc>
          <w:tcPr>
            <w:tcW w:w="375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LS-Z+M-18</w:t>
            </w:r>
          </w:p>
        </w:tc>
        <w:tc>
          <w:tcPr>
            <w:tcW w:w="106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机柜</w:t>
            </w:r>
          </w:p>
        </w:tc>
        <w:tc>
          <w:tcPr>
            <w:tcW w:w="1014"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375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国产</w:t>
            </w:r>
          </w:p>
        </w:tc>
        <w:tc>
          <w:tcPr>
            <w:tcW w:w="106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监测科服务器</w:t>
            </w:r>
          </w:p>
        </w:tc>
        <w:tc>
          <w:tcPr>
            <w:tcW w:w="1014"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color w:val="auto"/>
                <w:kern w:val="0"/>
                <w:sz w:val="24"/>
                <w:szCs w:val="24"/>
                <w:highlight w:val="none"/>
              </w:rPr>
            </w:pPr>
          </w:p>
        </w:tc>
        <w:tc>
          <w:tcPr>
            <w:tcW w:w="375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color w:val="auto"/>
                <w:kern w:val="0"/>
                <w:sz w:val="24"/>
                <w:szCs w:val="24"/>
                <w:highlight w:val="none"/>
              </w:rPr>
            </w:pPr>
          </w:p>
        </w:tc>
        <w:tc>
          <w:tcPr>
            <w:tcW w:w="106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9"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监测科存储</w:t>
            </w:r>
          </w:p>
        </w:tc>
        <w:tc>
          <w:tcPr>
            <w:tcW w:w="1014"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color w:val="auto"/>
                <w:kern w:val="0"/>
                <w:sz w:val="24"/>
                <w:szCs w:val="24"/>
                <w:highlight w:val="none"/>
              </w:rPr>
            </w:pPr>
          </w:p>
        </w:tc>
        <w:tc>
          <w:tcPr>
            <w:tcW w:w="3756"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color w:val="auto"/>
                <w:kern w:val="0"/>
                <w:sz w:val="24"/>
                <w:szCs w:val="24"/>
                <w:highlight w:val="none"/>
              </w:rPr>
            </w:pPr>
          </w:p>
        </w:tc>
        <w:tc>
          <w:tcPr>
            <w:tcW w:w="1063" w:type="dxa"/>
            <w:noWrap w:val="0"/>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r>
    </w:tbl>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六</w:t>
      </w:r>
      <w:r>
        <w:rPr>
          <w:rFonts w:hint="eastAsia" w:ascii="宋体" w:hAnsi="宋体" w:eastAsia="宋体" w:cs="宋体"/>
          <w:color w:val="auto"/>
          <w:kern w:val="0"/>
          <w:sz w:val="24"/>
          <w:szCs w:val="24"/>
          <w:highlight w:val="none"/>
        </w:rPr>
        <w:t>）仙桃机房服务器及配套虚拟化软件</w:t>
      </w:r>
    </w:p>
    <w:tbl>
      <w:tblPr>
        <w:tblStyle w:val="15"/>
        <w:tblW w:w="8677" w:type="dxa"/>
        <w:jc w:val="center"/>
        <w:tblLayout w:type="fixed"/>
        <w:tblCellMar>
          <w:top w:w="0" w:type="dxa"/>
          <w:left w:w="0" w:type="dxa"/>
          <w:bottom w:w="0" w:type="dxa"/>
          <w:right w:w="0" w:type="dxa"/>
        </w:tblCellMar>
      </w:tblPr>
      <w:tblGrid>
        <w:gridCol w:w="1737"/>
        <w:gridCol w:w="986"/>
        <w:gridCol w:w="2979"/>
        <w:gridCol w:w="2975"/>
      </w:tblGrid>
      <w:tr>
        <w:tblPrEx>
          <w:tblCellMar>
            <w:top w:w="0" w:type="dxa"/>
            <w:left w:w="0" w:type="dxa"/>
            <w:bottom w:w="0" w:type="dxa"/>
            <w:right w:w="0" w:type="dxa"/>
          </w:tblCellMar>
        </w:tblPrEx>
        <w:trPr>
          <w:trHeight w:val="564" w:hRule="atLeast"/>
          <w:jc w:val="center"/>
        </w:trPr>
        <w:tc>
          <w:tcPr>
            <w:tcW w:w="1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w:t>
            </w:r>
          </w:p>
        </w:tc>
        <w:tc>
          <w:tcPr>
            <w:tcW w:w="2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型号</w:t>
            </w:r>
          </w:p>
        </w:tc>
        <w:tc>
          <w:tcPr>
            <w:tcW w:w="2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r>
      <w:tr>
        <w:tblPrEx>
          <w:tblCellMar>
            <w:top w:w="0" w:type="dxa"/>
            <w:left w:w="0" w:type="dxa"/>
            <w:bottom w:w="0" w:type="dxa"/>
            <w:right w:w="0" w:type="dxa"/>
          </w:tblCellMar>
        </w:tblPrEx>
        <w:trPr>
          <w:trHeight w:val="657" w:hRule="atLeast"/>
          <w:jc w:val="center"/>
        </w:trPr>
        <w:tc>
          <w:tcPr>
            <w:tcW w:w="1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虚拟化管理软件</w:t>
            </w: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H3C</w:t>
            </w:r>
          </w:p>
        </w:tc>
        <w:tc>
          <w:tcPr>
            <w:tcW w:w="2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H3C CAS</w:t>
            </w:r>
          </w:p>
        </w:tc>
        <w:tc>
          <w:tcPr>
            <w:tcW w:w="2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1套</w:t>
            </w:r>
          </w:p>
        </w:tc>
      </w:tr>
      <w:tr>
        <w:tblPrEx>
          <w:tblCellMar>
            <w:top w:w="0" w:type="dxa"/>
            <w:left w:w="0" w:type="dxa"/>
            <w:bottom w:w="0" w:type="dxa"/>
            <w:right w:w="0" w:type="dxa"/>
          </w:tblCellMar>
        </w:tblPrEx>
        <w:trPr>
          <w:trHeight w:val="575" w:hRule="atLeast"/>
          <w:jc w:val="center"/>
        </w:trPr>
        <w:tc>
          <w:tcPr>
            <w:tcW w:w="1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服务器</w:t>
            </w: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H3C</w:t>
            </w:r>
          </w:p>
        </w:tc>
        <w:tc>
          <w:tcPr>
            <w:tcW w:w="29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H3C UniServer R4900 G3</w:t>
            </w:r>
          </w:p>
        </w:tc>
        <w:tc>
          <w:tcPr>
            <w:tcW w:w="2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4台</w:t>
            </w:r>
          </w:p>
        </w:tc>
      </w:tr>
    </w:tbl>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七</w:t>
      </w:r>
      <w:r>
        <w:rPr>
          <w:rFonts w:hint="eastAsia" w:ascii="宋体" w:hAnsi="宋体" w:eastAsia="宋体" w:cs="宋体"/>
          <w:color w:val="auto"/>
          <w:kern w:val="0"/>
          <w:sz w:val="24"/>
          <w:szCs w:val="24"/>
          <w:highlight w:val="none"/>
        </w:rPr>
        <w:t>）仙桃机房网络安全设备</w:t>
      </w:r>
    </w:p>
    <w:tbl>
      <w:tblPr>
        <w:tblStyle w:val="15"/>
        <w:tblW w:w="8607" w:type="dxa"/>
        <w:jc w:val="center"/>
        <w:tblLayout w:type="fixed"/>
        <w:tblCellMar>
          <w:top w:w="0" w:type="dxa"/>
          <w:left w:w="0" w:type="dxa"/>
          <w:bottom w:w="0" w:type="dxa"/>
          <w:right w:w="0" w:type="dxa"/>
        </w:tblCellMar>
      </w:tblPr>
      <w:tblGrid>
        <w:gridCol w:w="2227"/>
        <w:gridCol w:w="1755"/>
        <w:gridCol w:w="3367"/>
        <w:gridCol w:w="1258"/>
      </w:tblGrid>
      <w:tr>
        <w:tblPrEx>
          <w:tblCellMar>
            <w:top w:w="0" w:type="dxa"/>
            <w:left w:w="0" w:type="dxa"/>
            <w:bottom w:w="0" w:type="dxa"/>
            <w:right w:w="0" w:type="dxa"/>
          </w:tblCellMar>
        </w:tblPrEx>
        <w:trPr>
          <w:trHeight w:val="567" w:hRule="atLeast"/>
          <w:jc w:val="center"/>
        </w:trPr>
        <w:tc>
          <w:tcPr>
            <w:tcW w:w="2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品牌</w:t>
            </w:r>
          </w:p>
        </w:tc>
        <w:tc>
          <w:tcPr>
            <w:tcW w:w="3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型号</w:t>
            </w: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数量(台)</w:t>
            </w:r>
          </w:p>
        </w:tc>
      </w:tr>
      <w:tr>
        <w:tblPrEx>
          <w:tblCellMar>
            <w:top w:w="0" w:type="dxa"/>
            <w:left w:w="0" w:type="dxa"/>
            <w:bottom w:w="0" w:type="dxa"/>
            <w:right w:w="0" w:type="dxa"/>
          </w:tblCellMar>
        </w:tblPrEx>
        <w:trPr>
          <w:trHeight w:val="567" w:hRule="atLeast"/>
          <w:jc w:val="center"/>
        </w:trPr>
        <w:tc>
          <w:tcPr>
            <w:tcW w:w="2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日志审计</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网御星云</w:t>
            </w:r>
          </w:p>
        </w:tc>
        <w:tc>
          <w:tcPr>
            <w:tcW w:w="3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Leadsec-RS-300-RP-A</w:t>
            </w: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567" w:hRule="atLeast"/>
          <w:jc w:val="center"/>
        </w:trPr>
        <w:tc>
          <w:tcPr>
            <w:tcW w:w="2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数据库审计</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网御星云</w:t>
            </w:r>
          </w:p>
        </w:tc>
        <w:tc>
          <w:tcPr>
            <w:tcW w:w="3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LA-DAP-1100-U-A</w:t>
            </w: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567" w:hRule="atLeast"/>
          <w:jc w:val="center"/>
        </w:trPr>
        <w:tc>
          <w:tcPr>
            <w:tcW w:w="2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漏洞扫描</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网御星云</w:t>
            </w:r>
          </w:p>
        </w:tc>
        <w:tc>
          <w:tcPr>
            <w:tcW w:w="3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TS-SC-E1010-A</w:t>
            </w: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90" w:hRule="atLeast"/>
          <w:jc w:val="center"/>
        </w:trPr>
        <w:tc>
          <w:tcPr>
            <w:tcW w:w="2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堡垒机</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网御星云</w:t>
            </w:r>
          </w:p>
        </w:tc>
        <w:tc>
          <w:tcPr>
            <w:tcW w:w="3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LA-OS-6600-SA</w:t>
            </w: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567" w:hRule="atLeast"/>
          <w:jc w:val="center"/>
        </w:trPr>
        <w:tc>
          <w:tcPr>
            <w:tcW w:w="2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基线核查</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网御星云</w:t>
            </w:r>
          </w:p>
        </w:tc>
        <w:tc>
          <w:tcPr>
            <w:tcW w:w="3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Leadsec-CVS1400-A</w:t>
            </w: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567" w:hRule="atLeast"/>
          <w:jc w:val="center"/>
        </w:trPr>
        <w:tc>
          <w:tcPr>
            <w:tcW w:w="2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潜在威胁探针</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网御星云</w:t>
            </w:r>
          </w:p>
        </w:tc>
        <w:tc>
          <w:tcPr>
            <w:tcW w:w="3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TD3000-FS-HD-A</w:t>
            </w: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567" w:hRule="atLeast"/>
          <w:jc w:val="center"/>
        </w:trPr>
        <w:tc>
          <w:tcPr>
            <w:tcW w:w="2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APT高级威胁检测</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网御星云</w:t>
            </w:r>
          </w:p>
        </w:tc>
        <w:tc>
          <w:tcPr>
            <w:tcW w:w="3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APT3000-TD-LA</w:t>
            </w: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567" w:hRule="atLeast"/>
          <w:jc w:val="center"/>
        </w:trPr>
        <w:tc>
          <w:tcPr>
            <w:tcW w:w="2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DDOS设备</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网御星云</w:t>
            </w:r>
          </w:p>
        </w:tc>
        <w:tc>
          <w:tcPr>
            <w:tcW w:w="3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TAM-GUARD-G7800N-A</w:t>
            </w: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567" w:hRule="atLeast"/>
          <w:jc w:val="center"/>
        </w:trPr>
        <w:tc>
          <w:tcPr>
            <w:tcW w:w="2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入侵检测</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网御星云</w:t>
            </w:r>
          </w:p>
        </w:tc>
        <w:tc>
          <w:tcPr>
            <w:tcW w:w="3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Leadsec-6000IPS-5801E-A</w:t>
            </w: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567" w:hRule="atLeast"/>
          <w:jc w:val="center"/>
        </w:trPr>
        <w:tc>
          <w:tcPr>
            <w:tcW w:w="2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安全态势感知平台</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网御星云</w:t>
            </w:r>
          </w:p>
        </w:tc>
        <w:tc>
          <w:tcPr>
            <w:tcW w:w="3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Leadsec-CSA-NTA-CDB-A</w:t>
            </w: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567" w:hRule="atLeast"/>
          <w:jc w:val="center"/>
        </w:trPr>
        <w:tc>
          <w:tcPr>
            <w:tcW w:w="2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防病毒网关</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网御星云</w:t>
            </w:r>
          </w:p>
        </w:tc>
        <w:tc>
          <w:tcPr>
            <w:tcW w:w="3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PowerV6000-U3510E-A</w:t>
            </w: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567" w:hRule="atLeast"/>
          <w:jc w:val="center"/>
        </w:trPr>
        <w:tc>
          <w:tcPr>
            <w:tcW w:w="2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入侵防御</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深信服</w:t>
            </w:r>
          </w:p>
        </w:tc>
        <w:tc>
          <w:tcPr>
            <w:tcW w:w="3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NIPS-2000-B2100-L9</w:t>
            </w: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567" w:hRule="atLeast"/>
          <w:jc w:val="center"/>
        </w:trPr>
        <w:tc>
          <w:tcPr>
            <w:tcW w:w="2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汇聚交换机</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H3C</w:t>
            </w:r>
          </w:p>
        </w:tc>
        <w:tc>
          <w:tcPr>
            <w:tcW w:w="3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H3C 5048PV5-EI</w:t>
            </w: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r>
      <w:tr>
        <w:tblPrEx>
          <w:tblCellMar>
            <w:top w:w="0" w:type="dxa"/>
            <w:left w:w="0" w:type="dxa"/>
            <w:bottom w:w="0" w:type="dxa"/>
            <w:right w:w="0" w:type="dxa"/>
          </w:tblCellMar>
        </w:tblPrEx>
        <w:trPr>
          <w:trHeight w:val="567" w:hRule="atLeast"/>
          <w:jc w:val="center"/>
        </w:trPr>
        <w:tc>
          <w:tcPr>
            <w:tcW w:w="2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灵创智恒安全网关</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灵创</w:t>
            </w:r>
          </w:p>
        </w:tc>
        <w:tc>
          <w:tcPr>
            <w:tcW w:w="3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CIST-GW V4.0</w:t>
            </w: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r>
      <w:tr>
        <w:tblPrEx>
          <w:tblCellMar>
            <w:top w:w="0" w:type="dxa"/>
            <w:left w:w="0" w:type="dxa"/>
            <w:bottom w:w="0" w:type="dxa"/>
            <w:right w:w="0" w:type="dxa"/>
          </w:tblCellMar>
        </w:tblPrEx>
        <w:trPr>
          <w:trHeight w:val="567" w:hRule="atLeast"/>
          <w:jc w:val="center"/>
        </w:trPr>
        <w:tc>
          <w:tcPr>
            <w:tcW w:w="2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防火墙</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H3C</w:t>
            </w:r>
          </w:p>
        </w:tc>
        <w:tc>
          <w:tcPr>
            <w:tcW w:w="3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ind w:firstLine="480" w:firstLineChars="200"/>
              <w:jc w:val="center"/>
              <w:textAlignment w:val="auto"/>
              <w:rPr>
                <w:rFonts w:hint="eastAsia" w:ascii="宋体" w:hAnsi="宋体" w:eastAsia="宋体" w:cs="宋体"/>
                <w:color w:val="auto"/>
                <w:kern w:val="0"/>
                <w:sz w:val="24"/>
                <w:szCs w:val="24"/>
                <w:highlight w:val="none"/>
              </w:rPr>
            </w:pPr>
          </w:p>
        </w:tc>
        <w:tc>
          <w:tcPr>
            <w:tcW w:w="12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r>
    </w:tbl>
    <w:p>
      <w:pPr>
        <w:snapToGrid w:val="0"/>
        <w:spacing w:line="500" w:lineRule="exact"/>
        <w:ind w:firstLine="560" w:firstLineChars="200"/>
        <w:rPr>
          <w:rFonts w:hint="default"/>
          <w:color w:val="auto"/>
          <w:highlight w:val="none"/>
          <w:lang w:val="en-US"/>
        </w:rPr>
      </w:pPr>
    </w:p>
    <w:p>
      <w:pPr>
        <w:pStyle w:val="4"/>
        <w:pageBreakBefore/>
        <w:spacing w:line="360" w:lineRule="auto"/>
        <w:jc w:val="center"/>
        <w:rPr>
          <w:rFonts w:ascii="宋体" w:eastAsia="宋体"/>
          <w:b/>
          <w:bCs w:val="0"/>
          <w:color w:val="auto"/>
          <w:sz w:val="32"/>
          <w:szCs w:val="28"/>
          <w:highlight w:val="none"/>
        </w:rPr>
      </w:pPr>
      <w:bookmarkStart w:id="82" w:name="_Toc16422"/>
      <w:r>
        <w:rPr>
          <w:rFonts w:hint="eastAsia" w:ascii="宋体" w:eastAsia="宋体"/>
          <w:b/>
          <w:bCs w:val="0"/>
          <w:color w:val="auto"/>
          <w:sz w:val="32"/>
          <w:szCs w:val="28"/>
          <w:highlight w:val="none"/>
        </w:rPr>
        <w:t>第三篇  项目商务需求</w:t>
      </w:r>
      <w:bookmarkEnd w:id="69"/>
      <w:bookmarkEnd w:id="82"/>
    </w:p>
    <w:p>
      <w:pPr>
        <w:pStyle w:val="5"/>
        <w:spacing w:before="0" w:after="0" w:line="480" w:lineRule="exact"/>
        <w:ind w:firstLine="482" w:firstLineChars="200"/>
        <w:rPr>
          <w:rFonts w:hint="default" w:ascii="Times New Roman" w:hAnsi="Times New Roman" w:cs="Times New Roman"/>
          <w:color w:val="auto"/>
          <w:sz w:val="24"/>
          <w:szCs w:val="24"/>
          <w:highlight w:val="none"/>
        </w:rPr>
      </w:pPr>
      <w:bookmarkStart w:id="83" w:name="_Toc22196256"/>
      <w:bookmarkStart w:id="84" w:name="_Toc445805079"/>
      <w:bookmarkStart w:id="85" w:name="_Toc131417518"/>
      <w:bookmarkStart w:id="86" w:name="_Toc437868315"/>
      <w:bookmarkStart w:id="87" w:name="_Toc18076112"/>
      <w:bookmarkStart w:id="88" w:name="_Toc42516240"/>
      <w:bookmarkStart w:id="89" w:name="_Toc98855996"/>
      <w:bookmarkStart w:id="90" w:name="_Toc22071"/>
      <w:bookmarkStart w:id="91" w:name="_Toc51854596"/>
      <w:bookmarkStart w:id="92" w:name="_Toc115344010"/>
      <w:bookmarkStart w:id="93" w:name="_Toc82422011"/>
      <w:bookmarkStart w:id="94" w:name="_Toc14860569"/>
      <w:bookmarkStart w:id="95" w:name="_Toc24886"/>
      <w:bookmarkStart w:id="96" w:name="_Toc18599"/>
      <w:bookmarkStart w:id="97" w:name="_Toc12574"/>
      <w:bookmarkStart w:id="98" w:name="_Toc484611845"/>
      <w:r>
        <w:rPr>
          <w:rFonts w:hint="default" w:ascii="Times New Roman" w:hAnsi="Times New Roman" w:cs="Times New Roman"/>
          <w:color w:val="auto"/>
          <w:sz w:val="24"/>
          <w:szCs w:val="24"/>
          <w:highlight w:val="none"/>
        </w:rPr>
        <w:t>一、项目服务时间、地点和验收方式：</w:t>
      </w:r>
      <w:bookmarkEnd w:id="83"/>
      <w:bookmarkEnd w:id="84"/>
      <w:bookmarkEnd w:id="85"/>
      <w:bookmarkEnd w:id="86"/>
      <w:bookmarkEnd w:id="87"/>
      <w:bookmarkEnd w:id="88"/>
      <w:r>
        <w:rPr>
          <w:rFonts w:hint="default" w:ascii="Times New Roman" w:hAnsi="Times New Roman" w:cs="Times New Roman"/>
          <w:color w:val="auto"/>
          <w:sz w:val="24"/>
          <w:szCs w:val="24"/>
          <w:highlight w:val="none"/>
        </w:rPr>
        <w:t xml:space="preserve"> </w:t>
      </w:r>
    </w:p>
    <w:p>
      <w:pPr>
        <w:snapToGrid w:val="0"/>
        <w:spacing w:line="48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（一）服务时间</w:t>
      </w:r>
    </w:p>
    <w:p>
      <w:pPr>
        <w:snapToGrid w:val="0"/>
        <w:spacing w:line="480" w:lineRule="exact"/>
        <w:ind w:firstLine="720" w:firstLineChars="300"/>
        <w:rPr>
          <w:rFonts w:hint="default" w:ascii="Times New Roman" w:hAnsi="Times New Roman" w:cs="Times New Roman"/>
          <w:color w:val="auto"/>
          <w:sz w:val="24"/>
          <w:szCs w:val="24"/>
          <w:highlight w:val="none"/>
        </w:rPr>
      </w:pPr>
      <w:r>
        <w:rPr>
          <w:rFonts w:hint="eastAsia" w:ascii="宋体" w:hAnsi="宋体" w:eastAsia="宋体" w:cs="Times New Roman"/>
          <w:color w:val="auto"/>
          <w:sz w:val="24"/>
          <w:szCs w:val="24"/>
          <w:highlight w:val="none"/>
          <w:lang w:val="en-US" w:eastAsia="zh-CN"/>
        </w:rPr>
        <w:t>12个月，2025年5月17日-2026年5月16日</w:t>
      </w:r>
      <w:r>
        <w:rPr>
          <w:rFonts w:hint="default" w:ascii="Times New Roman" w:hAnsi="Times New Roman" w:cs="Times New Roman"/>
          <w:color w:val="auto"/>
          <w:sz w:val="24"/>
          <w:szCs w:val="24"/>
          <w:highlight w:val="none"/>
        </w:rPr>
        <w:t>。</w:t>
      </w:r>
    </w:p>
    <w:p>
      <w:pPr>
        <w:snapToGrid w:val="0"/>
        <w:spacing w:line="48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（二）服务地点</w:t>
      </w:r>
    </w:p>
    <w:p>
      <w:pPr>
        <w:snapToGrid w:val="0"/>
        <w:spacing w:line="48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w:t>
      </w:r>
      <w:r>
        <w:rPr>
          <w:rFonts w:hint="eastAsia" w:ascii="宋体" w:hAnsi="宋体" w:eastAsia="宋体" w:cs="宋体"/>
          <w:color w:val="auto"/>
          <w:sz w:val="24"/>
          <w:szCs w:val="24"/>
          <w:highlight w:val="none"/>
          <w:lang w:val="en-US" w:eastAsia="zh-CN"/>
        </w:rPr>
        <w:t>重庆市范围内采购人指定地点</w:t>
      </w:r>
      <w:r>
        <w:rPr>
          <w:rFonts w:hint="default" w:ascii="Times New Roman" w:hAnsi="Times New Roman" w:cs="Times New Roman"/>
          <w:color w:val="auto"/>
          <w:sz w:val="24"/>
          <w:szCs w:val="24"/>
          <w:highlight w:val="none"/>
        </w:rPr>
        <w:t>。</w:t>
      </w:r>
    </w:p>
    <w:p>
      <w:pPr>
        <w:snapToGrid w:val="0"/>
        <w:spacing w:line="48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（三）验收方式</w:t>
      </w:r>
    </w:p>
    <w:p>
      <w:pPr>
        <w:snapToGrid w:val="0"/>
        <w:spacing w:line="48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w:t>
      </w:r>
      <w:r>
        <w:rPr>
          <w:rFonts w:hint="eastAsia" w:ascii="宋体" w:hAnsi="宋体" w:eastAsia="宋体" w:cs="宋体"/>
          <w:color w:val="auto"/>
          <w:sz w:val="24"/>
          <w:szCs w:val="24"/>
          <w:highlight w:val="none"/>
        </w:rPr>
        <w:t>成交供应商完成全部项目内容后，采购人组织开展项目验收</w:t>
      </w:r>
      <w:r>
        <w:rPr>
          <w:rFonts w:hint="default" w:ascii="Times New Roman" w:hAnsi="Times New Roman" w:cs="Times New Roman"/>
          <w:color w:val="auto"/>
          <w:sz w:val="24"/>
          <w:szCs w:val="24"/>
          <w:highlight w:val="none"/>
        </w:rPr>
        <w:t>。</w:t>
      </w:r>
    </w:p>
    <w:p>
      <w:pPr>
        <w:pStyle w:val="5"/>
        <w:spacing w:before="0" w:after="0" w:line="480" w:lineRule="exact"/>
        <w:ind w:firstLine="482" w:firstLineChars="200"/>
        <w:rPr>
          <w:rFonts w:hint="default" w:ascii="Times New Roman" w:hAnsi="Times New Roman" w:cs="Times New Roman"/>
          <w:color w:val="auto"/>
          <w:sz w:val="24"/>
          <w:szCs w:val="24"/>
          <w:highlight w:val="none"/>
        </w:rPr>
      </w:pPr>
      <w:bookmarkStart w:id="99" w:name="_Toc42516241"/>
      <w:bookmarkStart w:id="100" w:name="_Toc415757994"/>
      <w:bookmarkStart w:id="101" w:name="_Toc18076113"/>
      <w:bookmarkStart w:id="102" w:name="_Toc131417519"/>
      <w:bookmarkStart w:id="103" w:name="_Toc22196257"/>
      <w:r>
        <w:rPr>
          <w:rFonts w:hint="default" w:ascii="Times New Roman" w:hAnsi="Times New Roman" w:cs="Times New Roman"/>
          <w:color w:val="auto"/>
          <w:sz w:val="24"/>
          <w:szCs w:val="24"/>
          <w:highlight w:val="none"/>
        </w:rPr>
        <w:t>二、报价要求</w:t>
      </w:r>
      <w:bookmarkEnd w:id="99"/>
      <w:bookmarkEnd w:id="100"/>
      <w:bookmarkEnd w:id="101"/>
      <w:bookmarkEnd w:id="102"/>
      <w:bookmarkEnd w:id="103"/>
    </w:p>
    <w:p>
      <w:pPr>
        <w:snapToGrid w:val="0"/>
        <w:spacing w:line="480" w:lineRule="exact"/>
        <w:ind w:firstLine="480" w:firstLineChars="200"/>
        <w:rPr>
          <w:rFonts w:hint="default" w:ascii="Times New Roman" w:hAnsi="Times New Roman" w:cs="Times New Roman"/>
          <w:color w:val="auto"/>
          <w:sz w:val="24"/>
          <w:szCs w:val="24"/>
          <w:highlight w:val="none"/>
        </w:rPr>
      </w:pPr>
      <w:r>
        <w:rPr>
          <w:rFonts w:hint="eastAsia" w:ascii="宋体" w:hAnsi="宋体" w:cs="宋体"/>
          <w:color w:val="auto"/>
          <w:sz w:val="24"/>
          <w:szCs w:val="24"/>
          <w:highlight w:val="none"/>
        </w:rPr>
        <w:t>报价包括完成本项目所需的包括但不限于技术服务费、差旅费、交通费、税费及其它与本项目相关的一切费用。因成交供应商自身原因造成漏报、少报皆由其自行承担责任，采购人不再补偿</w:t>
      </w:r>
      <w:r>
        <w:rPr>
          <w:rFonts w:hint="default" w:ascii="Times New Roman" w:hAnsi="Times New Roman" w:cs="Times New Roman"/>
          <w:color w:val="auto"/>
          <w:sz w:val="24"/>
          <w:szCs w:val="24"/>
          <w:highlight w:val="none"/>
        </w:rPr>
        <w:t>。</w:t>
      </w:r>
    </w:p>
    <w:p>
      <w:pPr>
        <w:pStyle w:val="5"/>
        <w:spacing w:before="0" w:after="0" w:line="480" w:lineRule="exact"/>
        <w:ind w:firstLine="482" w:firstLineChars="200"/>
        <w:rPr>
          <w:rFonts w:hint="default" w:ascii="Times New Roman" w:hAnsi="Times New Roman" w:cs="Times New Roman"/>
          <w:color w:val="auto"/>
          <w:sz w:val="24"/>
          <w:szCs w:val="24"/>
          <w:highlight w:val="none"/>
        </w:rPr>
      </w:pPr>
      <w:bookmarkStart w:id="104" w:name="_Toc18076115"/>
      <w:bookmarkStart w:id="105" w:name="_Toc415757996"/>
      <w:bookmarkStart w:id="106" w:name="_Toc22196259"/>
      <w:bookmarkStart w:id="107" w:name="_Toc42516243"/>
      <w:bookmarkStart w:id="108" w:name="_Toc131417521"/>
      <w:r>
        <w:rPr>
          <w:rFonts w:hint="eastAsia" w:ascii="Times New Roman" w:hAnsi="Times New Roman" w:cs="Times New Roman"/>
          <w:color w:val="auto"/>
          <w:sz w:val="24"/>
          <w:szCs w:val="24"/>
          <w:highlight w:val="none"/>
          <w:lang w:val="en-US" w:eastAsia="zh-CN"/>
        </w:rPr>
        <w:t>三</w:t>
      </w:r>
      <w:r>
        <w:rPr>
          <w:rFonts w:hint="default" w:ascii="Times New Roman" w:hAnsi="Times New Roman" w:cs="Times New Roman"/>
          <w:color w:val="auto"/>
          <w:sz w:val="24"/>
          <w:szCs w:val="24"/>
          <w:highlight w:val="none"/>
        </w:rPr>
        <w:t>、付款方式</w:t>
      </w:r>
      <w:bookmarkEnd w:id="104"/>
      <w:bookmarkEnd w:id="105"/>
      <w:bookmarkEnd w:id="106"/>
      <w:bookmarkEnd w:id="107"/>
      <w:bookmarkEnd w:id="108"/>
    </w:p>
    <w:p>
      <w:pPr>
        <w:snapToGrid w:val="0"/>
        <w:spacing w:line="480" w:lineRule="exact"/>
        <w:ind w:firstLine="480" w:firstLineChars="200"/>
        <w:rPr>
          <w:rFonts w:hint="default" w:ascii="Times New Roman" w:hAnsi="Times New Roman" w:cs="Times New Roman"/>
          <w:color w:val="auto"/>
          <w:sz w:val="24"/>
          <w:szCs w:val="24"/>
          <w:highlight w:val="none"/>
        </w:rPr>
      </w:pPr>
      <w:bookmarkStart w:id="109" w:name="_Toc267320052"/>
      <w:r>
        <w:rPr>
          <w:rFonts w:hint="default" w:ascii="Times New Roman" w:hAnsi="Times New Roman" w:cs="Times New Roman"/>
          <w:color w:val="auto"/>
          <w:sz w:val="24"/>
          <w:szCs w:val="24"/>
          <w:highlight w:val="none"/>
        </w:rPr>
        <w:t>（一）签订合同前，成交供应商向采购人指定账户汇入合同总金额5%的履约保证金；</w:t>
      </w:r>
    </w:p>
    <w:p>
      <w:pPr>
        <w:snapToGrid w:val="0"/>
        <w:spacing w:line="480" w:lineRule="exact"/>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rPr>
        <w:t>（二）</w:t>
      </w:r>
      <w:r>
        <w:rPr>
          <w:rFonts w:hint="eastAsia" w:ascii="Times New Roman" w:hAnsi="Times New Roman" w:cs="Times New Roman"/>
          <w:color w:val="auto"/>
          <w:sz w:val="24"/>
          <w:szCs w:val="24"/>
          <w:highlight w:val="none"/>
          <w:lang w:val="en-US" w:eastAsia="zh-CN"/>
        </w:rPr>
        <w:t>签订合同后，</w:t>
      </w:r>
      <w:r>
        <w:rPr>
          <w:rFonts w:hint="default" w:ascii="Times New Roman" w:hAnsi="Times New Roman" w:cs="Times New Roman"/>
          <w:color w:val="auto"/>
          <w:sz w:val="24"/>
          <w:szCs w:val="24"/>
          <w:highlight w:val="none"/>
        </w:rPr>
        <w:t>采购人</w:t>
      </w:r>
      <w:r>
        <w:rPr>
          <w:rFonts w:hint="eastAsia" w:ascii="Times New Roman" w:hAnsi="Times New Roman" w:cs="Times New Roman"/>
          <w:color w:val="auto"/>
          <w:sz w:val="24"/>
          <w:szCs w:val="24"/>
          <w:highlight w:val="none"/>
        </w:rPr>
        <w:t>支付合同</w:t>
      </w:r>
      <w:r>
        <w:rPr>
          <w:rFonts w:hint="eastAsia" w:ascii="Times New Roman" w:hAnsi="Times New Roman" w:cs="Times New Roman"/>
          <w:color w:val="auto"/>
          <w:sz w:val="24"/>
          <w:szCs w:val="24"/>
          <w:highlight w:val="none"/>
          <w:lang w:val="en-US" w:eastAsia="zh-CN"/>
        </w:rPr>
        <w:t>总</w:t>
      </w:r>
      <w:r>
        <w:rPr>
          <w:rFonts w:hint="eastAsia" w:ascii="Times New Roman" w:hAnsi="Times New Roman" w:cs="Times New Roman"/>
          <w:color w:val="auto"/>
          <w:sz w:val="24"/>
          <w:szCs w:val="24"/>
          <w:highlight w:val="none"/>
        </w:rPr>
        <w:t>金额50%</w:t>
      </w:r>
      <w:r>
        <w:rPr>
          <w:rFonts w:hint="eastAsia" w:ascii="Times New Roman" w:hAnsi="Times New Roman" w:cs="Times New Roman"/>
          <w:color w:val="auto"/>
          <w:sz w:val="24"/>
          <w:szCs w:val="24"/>
          <w:highlight w:val="none"/>
          <w:lang w:val="en-US" w:eastAsia="zh-CN"/>
        </w:rPr>
        <w:t>的预付款。</w:t>
      </w:r>
    </w:p>
    <w:p>
      <w:pPr>
        <w:snapToGrid w:val="0"/>
        <w:spacing w:line="480" w:lineRule="exact"/>
        <w:ind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（三）</w:t>
      </w:r>
      <w:r>
        <w:rPr>
          <w:rFonts w:hint="default" w:ascii="Times New Roman" w:hAnsi="Times New Roman" w:cs="Times New Roman"/>
          <w:color w:val="auto"/>
          <w:sz w:val="24"/>
          <w:szCs w:val="24"/>
          <w:highlight w:val="none"/>
        </w:rPr>
        <w:t>项目</w:t>
      </w:r>
      <w:r>
        <w:rPr>
          <w:rFonts w:hint="eastAsia" w:ascii="Times New Roman" w:hAnsi="Times New Roman" w:cs="Times New Roman"/>
          <w:color w:val="auto"/>
          <w:sz w:val="24"/>
          <w:szCs w:val="24"/>
          <w:highlight w:val="none"/>
          <w:lang w:val="en-US" w:eastAsia="zh-CN"/>
        </w:rPr>
        <w:t>通过</w:t>
      </w:r>
      <w:r>
        <w:rPr>
          <w:rFonts w:hint="default" w:ascii="Times New Roman" w:hAnsi="Times New Roman" w:cs="Times New Roman"/>
          <w:color w:val="auto"/>
          <w:sz w:val="24"/>
          <w:szCs w:val="24"/>
          <w:highlight w:val="none"/>
        </w:rPr>
        <w:t>验收后，采购人支付合同总金额</w:t>
      </w: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0%款项，并一次性无息</w:t>
      </w:r>
      <w:r>
        <w:rPr>
          <w:rFonts w:hint="eastAsia" w:ascii="Times New Roman" w:hAnsi="Times New Roman" w:cs="Times New Roman"/>
          <w:color w:val="auto"/>
          <w:sz w:val="24"/>
          <w:szCs w:val="24"/>
          <w:highlight w:val="none"/>
          <w:lang w:val="en-US" w:eastAsia="zh-CN"/>
        </w:rPr>
        <w:t>全额</w:t>
      </w:r>
      <w:r>
        <w:rPr>
          <w:rFonts w:hint="default" w:ascii="Times New Roman" w:hAnsi="Times New Roman" w:cs="Times New Roman"/>
          <w:color w:val="auto"/>
          <w:sz w:val="24"/>
          <w:szCs w:val="24"/>
          <w:highlight w:val="none"/>
        </w:rPr>
        <w:t>退还履约保证金。</w:t>
      </w:r>
    </w:p>
    <w:p>
      <w:pPr>
        <w:snapToGrid w:val="0"/>
        <w:spacing w:line="480" w:lineRule="exact"/>
        <w:ind w:firstLine="480" w:firstLineChars="200"/>
        <w:rPr>
          <w:rFonts w:hint="eastAsia" w:eastAsia="仿宋_GB2312"/>
          <w:color w:val="auto"/>
          <w:highlight w:val="none"/>
          <w:lang w:eastAsia="zh-CN"/>
        </w:rPr>
      </w:pP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四</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付款前</w:t>
      </w:r>
      <w:r>
        <w:rPr>
          <w:rFonts w:hint="default" w:ascii="Times New Roman" w:hAnsi="Times New Roman" w:cs="Times New Roman"/>
          <w:color w:val="auto"/>
          <w:sz w:val="24"/>
          <w:szCs w:val="24"/>
          <w:highlight w:val="none"/>
        </w:rPr>
        <w:t>成交供应商</w:t>
      </w:r>
      <w:r>
        <w:rPr>
          <w:rFonts w:hint="eastAsia" w:ascii="Times New Roman" w:hAnsi="Times New Roman" w:cs="Times New Roman"/>
          <w:color w:val="auto"/>
          <w:sz w:val="24"/>
          <w:szCs w:val="24"/>
          <w:highlight w:val="none"/>
          <w:lang w:val="en-US" w:eastAsia="zh-CN"/>
        </w:rPr>
        <w:t>需向采购人提供足额发票。</w:t>
      </w:r>
    </w:p>
    <w:p>
      <w:pPr>
        <w:pStyle w:val="5"/>
        <w:spacing w:before="0" w:after="0" w:line="480" w:lineRule="exact"/>
        <w:ind w:firstLine="482" w:firstLineChars="200"/>
        <w:rPr>
          <w:rFonts w:hint="default" w:ascii="Times New Roman" w:hAnsi="Times New Roman" w:cs="Times New Roman"/>
          <w:color w:val="auto"/>
          <w:sz w:val="24"/>
          <w:szCs w:val="24"/>
          <w:highlight w:val="none"/>
        </w:rPr>
      </w:pPr>
      <w:bookmarkStart w:id="110" w:name="_Toc42516244"/>
      <w:bookmarkStart w:id="111" w:name="_Toc131417522"/>
      <w:bookmarkStart w:id="112" w:name="_Toc18076116"/>
      <w:bookmarkStart w:id="113" w:name="_Toc415757997"/>
      <w:bookmarkStart w:id="114" w:name="_Toc22196260"/>
      <w:r>
        <w:rPr>
          <w:rFonts w:hint="eastAsia" w:ascii="Times New Roman" w:hAnsi="Times New Roman" w:cs="Times New Roman"/>
          <w:color w:val="auto"/>
          <w:sz w:val="24"/>
          <w:szCs w:val="24"/>
          <w:highlight w:val="none"/>
          <w:lang w:val="en-US" w:eastAsia="zh-CN"/>
        </w:rPr>
        <w:t>四</w:t>
      </w:r>
      <w:r>
        <w:rPr>
          <w:rFonts w:hint="default" w:ascii="Times New Roman" w:hAnsi="Times New Roman" w:cs="Times New Roman"/>
          <w:color w:val="auto"/>
          <w:sz w:val="24"/>
          <w:szCs w:val="24"/>
          <w:highlight w:val="none"/>
        </w:rPr>
        <w:t>、知识产权</w:t>
      </w:r>
      <w:bookmarkEnd w:id="109"/>
      <w:bookmarkEnd w:id="110"/>
      <w:bookmarkEnd w:id="111"/>
      <w:bookmarkEnd w:id="112"/>
      <w:bookmarkEnd w:id="113"/>
      <w:bookmarkEnd w:id="114"/>
    </w:p>
    <w:p>
      <w:pPr>
        <w:snapToGrid w:val="0"/>
        <w:spacing w:line="48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pStyle w:val="4"/>
        <w:adjustRightInd w:val="0"/>
        <w:snapToGrid w:val="0"/>
        <w:spacing w:before="0" w:after="0" w:line="400" w:lineRule="exact"/>
        <w:ind w:firstLine="482" w:firstLineChars="200"/>
        <w:rPr>
          <w:rFonts w:hint="default" w:ascii="宋体" w:hAnsi="宋体" w:eastAsia="宋体" w:cs="宋体"/>
          <w:b/>
          <w:color w:val="auto"/>
          <w:sz w:val="24"/>
          <w:highlight w:val="none"/>
          <w:lang w:val="en-US" w:eastAsia="zh-CN"/>
        </w:rPr>
      </w:pPr>
      <w:bookmarkStart w:id="115" w:name="_Toc22196262"/>
      <w:bookmarkStart w:id="116" w:name="_Toc131417523"/>
      <w:bookmarkStart w:id="117" w:name="_Toc415757999"/>
      <w:bookmarkStart w:id="118" w:name="_Toc18076118"/>
      <w:bookmarkStart w:id="119" w:name="_Toc42516246"/>
      <w:bookmarkStart w:id="120" w:name="_Toc267320054"/>
      <w:r>
        <w:rPr>
          <w:rFonts w:hint="eastAsia" w:ascii="宋体" w:hAnsi="宋体" w:eastAsia="宋体" w:cs="宋体"/>
          <w:b/>
          <w:color w:val="auto"/>
          <w:sz w:val="24"/>
          <w:highlight w:val="none"/>
          <w:lang w:val="en-US" w:eastAsia="zh-CN"/>
        </w:rPr>
        <w:t>五、其它要求</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0"/>
        <w:rPr>
          <w:rFonts w:hint="eastAsia"/>
          <w:color w:val="auto"/>
          <w:sz w:val="24"/>
          <w:szCs w:val="24"/>
          <w:highlight w:val="none"/>
        </w:rPr>
      </w:pPr>
      <w:r>
        <w:rPr>
          <w:rFonts w:hint="eastAsia"/>
          <w:color w:val="auto"/>
          <w:sz w:val="24"/>
          <w:szCs w:val="24"/>
          <w:highlight w:val="none"/>
        </w:rPr>
        <w:t>成交供应商及其员工不得泄露本项目及采购人单位秘密，否则应承担相应法律责任。</w:t>
      </w:r>
    </w:p>
    <w:p>
      <w:pPr>
        <w:pStyle w:val="4"/>
        <w:adjustRightInd w:val="0"/>
        <w:snapToGrid w:val="0"/>
        <w:spacing w:before="0" w:after="0" w:line="400" w:lineRule="exact"/>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六、成交供应商责任</w:t>
      </w:r>
    </w:p>
    <w:p>
      <w:pPr>
        <w:pStyle w:val="5"/>
        <w:numPr>
          <w:ilvl w:val="0"/>
          <w:numId w:val="0"/>
        </w:numPr>
        <w:spacing w:before="0" w:after="0" w:line="480" w:lineRule="exact"/>
        <w:ind w:firstLine="480" w:firstLineChars="200"/>
        <w:rPr>
          <w:rFonts w:hint="default" w:ascii="Times New Roman" w:hAnsi="Times New Roman" w:cs="Times New Roman"/>
          <w:color w:val="auto"/>
          <w:sz w:val="24"/>
          <w:szCs w:val="24"/>
          <w:highlight w:val="none"/>
        </w:rPr>
      </w:pPr>
      <w:r>
        <w:rPr>
          <w:rFonts w:hint="eastAsia" w:ascii="宋体" w:hAnsi="宋体" w:eastAsia="宋体" w:cs="宋体"/>
          <w:b w:val="0"/>
          <w:bCs/>
          <w:color w:val="auto"/>
          <w:kern w:val="0"/>
          <w:sz w:val="24"/>
          <w:szCs w:val="24"/>
          <w:highlight w:val="none"/>
        </w:rPr>
        <w:t>若因成交供应商原因造成数据丢失、数据泄露、重大活动保障期间信息系统崩溃等重大责任事故，</w:t>
      </w:r>
      <w:r>
        <w:rPr>
          <w:rFonts w:hint="eastAsia" w:ascii="宋体" w:hAnsi="宋体" w:eastAsia="宋体" w:cs="宋体"/>
          <w:b w:val="0"/>
          <w:bCs/>
          <w:color w:val="auto"/>
          <w:kern w:val="0"/>
          <w:sz w:val="24"/>
          <w:szCs w:val="24"/>
          <w:highlight w:val="none"/>
          <w:lang w:eastAsia="zh-CN"/>
        </w:rPr>
        <w:t>成交供应商</w:t>
      </w:r>
      <w:r>
        <w:rPr>
          <w:rFonts w:hint="eastAsia" w:ascii="宋体" w:hAnsi="宋体" w:eastAsia="宋体" w:cs="宋体"/>
          <w:b w:val="0"/>
          <w:bCs/>
          <w:color w:val="auto"/>
          <w:kern w:val="0"/>
          <w:sz w:val="24"/>
          <w:szCs w:val="24"/>
          <w:highlight w:val="none"/>
        </w:rPr>
        <w:t>应承担相应责任。</w:t>
      </w:r>
    </w:p>
    <w:bookmarkEnd w:id="89"/>
    <w:bookmarkEnd w:id="90"/>
    <w:bookmarkEnd w:id="91"/>
    <w:bookmarkEnd w:id="92"/>
    <w:bookmarkEnd w:id="93"/>
    <w:bookmarkEnd w:id="94"/>
    <w:bookmarkEnd w:id="95"/>
    <w:bookmarkEnd w:id="96"/>
    <w:bookmarkEnd w:id="97"/>
    <w:bookmarkEnd w:id="98"/>
    <w:bookmarkEnd w:id="115"/>
    <w:bookmarkEnd w:id="116"/>
    <w:bookmarkEnd w:id="117"/>
    <w:bookmarkEnd w:id="118"/>
    <w:bookmarkEnd w:id="119"/>
    <w:bookmarkEnd w:id="120"/>
    <w:p>
      <w:pPr>
        <w:pStyle w:val="4"/>
        <w:pageBreakBefore/>
        <w:spacing w:line="500" w:lineRule="exact"/>
        <w:jc w:val="center"/>
        <w:rPr>
          <w:rFonts w:ascii="宋体" w:eastAsia="宋体"/>
          <w:b/>
          <w:bCs w:val="0"/>
          <w:color w:val="auto"/>
          <w:sz w:val="32"/>
          <w:szCs w:val="28"/>
          <w:highlight w:val="none"/>
        </w:rPr>
      </w:pPr>
      <w:bookmarkStart w:id="121" w:name="_Toc9497"/>
      <w:bookmarkStart w:id="122" w:name="_Toc28773"/>
      <w:r>
        <w:rPr>
          <w:rFonts w:hint="eastAsia" w:ascii="宋体" w:eastAsia="宋体"/>
          <w:b/>
          <w:bCs w:val="0"/>
          <w:color w:val="auto"/>
          <w:sz w:val="32"/>
          <w:szCs w:val="28"/>
          <w:highlight w:val="none"/>
        </w:rPr>
        <w:t>第四篇  磋商程序及方法、评审标准、无效响应和采购终止</w:t>
      </w:r>
      <w:bookmarkEnd w:id="121"/>
      <w:bookmarkEnd w:id="122"/>
    </w:p>
    <w:p>
      <w:pPr>
        <w:pStyle w:val="5"/>
        <w:spacing w:before="0" w:after="0" w:line="540" w:lineRule="exact"/>
        <w:ind w:firstLine="482" w:firstLineChars="200"/>
        <w:rPr>
          <w:rFonts w:ascii="宋体" w:hAnsi="宋体" w:cs="宋体"/>
          <w:color w:val="auto"/>
          <w:sz w:val="24"/>
          <w:szCs w:val="24"/>
          <w:highlight w:val="none"/>
        </w:rPr>
      </w:pPr>
      <w:bookmarkStart w:id="123" w:name="_Toc65660350"/>
      <w:bookmarkStart w:id="124" w:name="_Toc9361"/>
      <w:bookmarkStart w:id="125" w:name="_Toc160701958"/>
      <w:bookmarkStart w:id="126" w:name="_Toc64732012"/>
      <w:bookmarkStart w:id="127" w:name="_Toc12299"/>
      <w:bookmarkStart w:id="128" w:name="_Toc5167"/>
      <w:bookmarkStart w:id="129" w:name="_Toc31190"/>
      <w:bookmarkStart w:id="130" w:name="_Toc883"/>
      <w:bookmarkStart w:id="131" w:name="_Toc11200"/>
      <w:r>
        <w:rPr>
          <w:rFonts w:hint="eastAsia" w:ascii="宋体"/>
          <w:color w:val="auto"/>
          <w:sz w:val="24"/>
          <w:szCs w:val="24"/>
          <w:highlight w:val="none"/>
        </w:rPr>
        <w:t>一、</w:t>
      </w:r>
      <w:bookmarkEnd w:id="123"/>
      <w:bookmarkEnd w:id="124"/>
      <w:bookmarkEnd w:id="125"/>
      <w:bookmarkEnd w:id="126"/>
      <w:bookmarkEnd w:id="127"/>
      <w:bookmarkEnd w:id="128"/>
      <w:r>
        <w:rPr>
          <w:rFonts w:hint="eastAsia" w:ascii="宋体" w:hAnsi="宋体" w:cs="宋体"/>
          <w:color w:val="auto"/>
          <w:sz w:val="24"/>
          <w:szCs w:val="24"/>
          <w:highlight w:val="none"/>
        </w:rPr>
        <w:t>磋商程序及方法</w:t>
      </w:r>
      <w:bookmarkEnd w:id="129"/>
      <w:bookmarkEnd w:id="130"/>
      <w:bookmarkEnd w:id="131"/>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（二）磋商小组对各供应商的资格条件、响应文件的有效性、完整性和响应程度进行审查。各供应商只有在完全符合要求的前提下，才能参与正式磋商。</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1.资格性审查。依据法律法规和竞争性磋商文件的规定，对响应文件中的资格证明、等进行审查，以确定供应商是否具备磋商资格。资格性审查资料表如下：</w:t>
      </w:r>
    </w:p>
    <w:tbl>
      <w:tblPr>
        <w:tblStyle w:val="15"/>
        <w:tblW w:w="9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02"/>
        <w:gridCol w:w="2933"/>
        <w:gridCol w:w="5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6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52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809" w:type="dxa"/>
            <w:vMerge w:val="restart"/>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（一）</w:t>
            </w:r>
          </w:p>
        </w:tc>
        <w:tc>
          <w:tcPr>
            <w:tcW w:w="702" w:type="dxa"/>
            <w:vMerge w:val="restart"/>
            <w:vAlign w:val="center"/>
          </w:tcPr>
          <w:p>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《中华人民共和国政府采购法》第二十二条规定</w:t>
            </w:r>
          </w:p>
        </w:tc>
        <w:tc>
          <w:tcPr>
            <w:tcW w:w="2933"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5235"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pPr>
              <w:rPr>
                <w:rFonts w:ascii="宋体" w:hAnsi="宋体" w:cs="宋体"/>
                <w:color w:val="auto"/>
                <w:sz w:val="21"/>
                <w:szCs w:val="21"/>
                <w:highlight w:val="none"/>
              </w:rPr>
            </w:pPr>
            <w:r>
              <w:rPr>
                <w:rFonts w:hint="eastAsia" w:ascii="宋体" w:hAnsi="宋体" w:cs="宋体"/>
                <w:color w:val="auto"/>
                <w:sz w:val="21"/>
                <w:szCs w:val="21"/>
                <w:highlight w:val="none"/>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09" w:type="dxa"/>
            <w:vMerge w:val="continue"/>
            <w:vAlign w:val="center"/>
          </w:tcPr>
          <w:p>
            <w:pPr>
              <w:jc w:val="center"/>
              <w:rPr>
                <w:rFonts w:ascii="宋体" w:hAnsi="宋体" w:cs="宋体"/>
                <w:color w:val="auto"/>
                <w:sz w:val="21"/>
                <w:szCs w:val="21"/>
                <w:highlight w:val="none"/>
              </w:rPr>
            </w:pPr>
          </w:p>
        </w:tc>
        <w:tc>
          <w:tcPr>
            <w:tcW w:w="702" w:type="dxa"/>
            <w:vMerge w:val="continue"/>
            <w:vAlign w:val="center"/>
          </w:tcPr>
          <w:p>
            <w:pPr>
              <w:rPr>
                <w:rFonts w:ascii="宋体" w:hAnsi="宋体" w:cs="宋体"/>
                <w:color w:val="auto"/>
                <w:sz w:val="21"/>
                <w:szCs w:val="21"/>
                <w:highlight w:val="none"/>
                <w:lang w:val="zh-CN"/>
              </w:rPr>
            </w:pPr>
          </w:p>
        </w:tc>
        <w:tc>
          <w:tcPr>
            <w:tcW w:w="2933"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具有良好的商业信誉和健全的财务会计制度</w:t>
            </w:r>
          </w:p>
        </w:tc>
        <w:tc>
          <w:tcPr>
            <w:tcW w:w="5235" w:type="dxa"/>
            <w:vMerge w:val="restart"/>
            <w:vAlign w:val="center"/>
          </w:tcPr>
          <w:p>
            <w:pPr>
              <w:rPr>
                <w:rFonts w:ascii="宋体" w:hAnsi="宋体" w:cs="宋体"/>
                <w:b/>
                <w:color w:val="auto"/>
                <w:sz w:val="21"/>
                <w:szCs w:val="21"/>
                <w:highlight w:val="none"/>
              </w:rPr>
            </w:pPr>
            <w:r>
              <w:rPr>
                <w:rFonts w:hint="eastAsia" w:ascii="宋体" w:hAnsi="宋体" w:cs="宋体"/>
                <w:color w:val="auto"/>
                <w:sz w:val="21"/>
                <w:szCs w:val="21"/>
                <w:highlight w:val="none"/>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09" w:type="dxa"/>
            <w:vMerge w:val="continue"/>
            <w:vAlign w:val="center"/>
          </w:tcPr>
          <w:p>
            <w:pPr>
              <w:jc w:val="center"/>
              <w:rPr>
                <w:rFonts w:ascii="宋体" w:hAnsi="宋体" w:cs="宋体"/>
                <w:color w:val="auto"/>
                <w:sz w:val="21"/>
                <w:szCs w:val="21"/>
                <w:highlight w:val="none"/>
              </w:rPr>
            </w:pPr>
          </w:p>
        </w:tc>
        <w:tc>
          <w:tcPr>
            <w:tcW w:w="702" w:type="dxa"/>
            <w:vMerge w:val="continue"/>
            <w:vAlign w:val="center"/>
          </w:tcPr>
          <w:p>
            <w:pPr>
              <w:rPr>
                <w:rFonts w:ascii="宋体" w:hAnsi="宋体" w:cs="宋体"/>
                <w:color w:val="auto"/>
                <w:sz w:val="21"/>
                <w:szCs w:val="21"/>
                <w:highlight w:val="none"/>
                <w:lang w:val="zh-CN"/>
              </w:rPr>
            </w:pPr>
          </w:p>
        </w:tc>
        <w:tc>
          <w:tcPr>
            <w:tcW w:w="2933" w:type="dxa"/>
            <w:vAlign w:val="center"/>
          </w:tcPr>
          <w:p>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3.具有履行合同所必需的设备和专业技术能力</w:t>
            </w:r>
          </w:p>
        </w:tc>
        <w:tc>
          <w:tcPr>
            <w:tcW w:w="5235" w:type="dxa"/>
            <w:vMerge w:val="continue"/>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09" w:type="dxa"/>
            <w:vMerge w:val="continue"/>
            <w:vAlign w:val="center"/>
          </w:tcPr>
          <w:p>
            <w:pPr>
              <w:jc w:val="center"/>
              <w:rPr>
                <w:rFonts w:ascii="宋体" w:hAnsi="宋体" w:cs="宋体"/>
                <w:color w:val="auto"/>
                <w:sz w:val="21"/>
                <w:szCs w:val="21"/>
                <w:highlight w:val="none"/>
              </w:rPr>
            </w:pPr>
          </w:p>
        </w:tc>
        <w:tc>
          <w:tcPr>
            <w:tcW w:w="702" w:type="dxa"/>
            <w:vMerge w:val="continue"/>
            <w:vAlign w:val="center"/>
          </w:tcPr>
          <w:p>
            <w:pPr>
              <w:rPr>
                <w:rFonts w:ascii="宋体" w:hAnsi="宋体" w:cs="宋体"/>
                <w:color w:val="auto"/>
                <w:sz w:val="21"/>
                <w:szCs w:val="21"/>
                <w:highlight w:val="none"/>
                <w:lang w:val="zh-CN"/>
              </w:rPr>
            </w:pPr>
          </w:p>
        </w:tc>
        <w:tc>
          <w:tcPr>
            <w:tcW w:w="2933" w:type="dxa"/>
            <w:vAlign w:val="center"/>
          </w:tcPr>
          <w:p>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4.有依法缴纳税收和社会保障金的良好记录</w:t>
            </w:r>
          </w:p>
        </w:tc>
        <w:tc>
          <w:tcPr>
            <w:tcW w:w="5235" w:type="dxa"/>
            <w:vMerge w:val="continue"/>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09" w:type="dxa"/>
            <w:vMerge w:val="continue"/>
            <w:vAlign w:val="center"/>
          </w:tcPr>
          <w:p>
            <w:pPr>
              <w:jc w:val="center"/>
              <w:rPr>
                <w:rFonts w:ascii="宋体" w:hAnsi="宋体" w:cs="宋体"/>
                <w:color w:val="auto"/>
                <w:sz w:val="21"/>
                <w:szCs w:val="21"/>
                <w:highlight w:val="none"/>
              </w:rPr>
            </w:pPr>
          </w:p>
        </w:tc>
        <w:tc>
          <w:tcPr>
            <w:tcW w:w="702" w:type="dxa"/>
            <w:vMerge w:val="continue"/>
            <w:vAlign w:val="center"/>
          </w:tcPr>
          <w:p>
            <w:pPr>
              <w:rPr>
                <w:rFonts w:ascii="宋体" w:hAnsi="宋体" w:cs="宋体"/>
                <w:color w:val="auto"/>
                <w:sz w:val="21"/>
                <w:szCs w:val="21"/>
                <w:highlight w:val="none"/>
                <w:lang w:val="zh-CN"/>
              </w:rPr>
            </w:pPr>
          </w:p>
        </w:tc>
        <w:tc>
          <w:tcPr>
            <w:tcW w:w="2933" w:type="dxa"/>
            <w:vAlign w:val="center"/>
          </w:tcPr>
          <w:p>
            <w:pPr>
              <w:rPr>
                <w:rFonts w:ascii="宋体" w:hAnsi="宋体" w:cs="宋体"/>
                <w:color w:val="auto"/>
                <w:sz w:val="21"/>
                <w:szCs w:val="21"/>
                <w:highlight w:val="none"/>
                <w:lang w:val="zh-CN"/>
              </w:rPr>
            </w:pPr>
            <w:r>
              <w:rPr>
                <w:rFonts w:hint="eastAsia" w:ascii="宋体" w:hAnsi="宋体" w:cs="宋体"/>
                <w:color w:val="auto"/>
                <w:sz w:val="21"/>
                <w:szCs w:val="21"/>
                <w:highlight w:val="none"/>
              </w:rPr>
              <w:t>5.参加政府采购活动前三年内，在经营活动中没有重大违法记录</w:t>
            </w:r>
          </w:p>
        </w:tc>
        <w:tc>
          <w:tcPr>
            <w:tcW w:w="5235" w:type="dxa"/>
            <w:vMerge w:val="continue"/>
            <w:vAlign w:val="center"/>
          </w:tcPr>
          <w:p>
            <w:pPr>
              <w:rPr>
                <w:rFonts w:ascii="宋体" w:hAnsi="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09" w:type="dxa"/>
            <w:vMerge w:val="continue"/>
            <w:vAlign w:val="center"/>
          </w:tcPr>
          <w:p>
            <w:pPr>
              <w:jc w:val="center"/>
              <w:rPr>
                <w:rFonts w:ascii="宋体" w:hAnsi="宋体" w:cs="宋体"/>
                <w:color w:val="auto"/>
                <w:sz w:val="21"/>
                <w:szCs w:val="21"/>
                <w:highlight w:val="none"/>
              </w:rPr>
            </w:pPr>
          </w:p>
        </w:tc>
        <w:tc>
          <w:tcPr>
            <w:tcW w:w="702" w:type="dxa"/>
            <w:vMerge w:val="continue"/>
            <w:vAlign w:val="center"/>
          </w:tcPr>
          <w:p>
            <w:pPr>
              <w:rPr>
                <w:rFonts w:ascii="宋体" w:hAnsi="宋体" w:cs="宋体"/>
                <w:color w:val="auto"/>
                <w:sz w:val="21"/>
                <w:szCs w:val="21"/>
                <w:highlight w:val="none"/>
              </w:rPr>
            </w:pPr>
          </w:p>
        </w:tc>
        <w:tc>
          <w:tcPr>
            <w:tcW w:w="2933"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5235" w:type="dxa"/>
            <w:vAlign w:val="center"/>
          </w:tcPr>
          <w:p>
            <w:pP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09"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（二）</w:t>
            </w:r>
          </w:p>
        </w:tc>
        <w:tc>
          <w:tcPr>
            <w:tcW w:w="3635" w:type="dxa"/>
            <w:gridSpan w:val="2"/>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落实政府采购政策需满足的资格要求</w:t>
            </w:r>
          </w:p>
        </w:tc>
        <w:tc>
          <w:tcPr>
            <w:tcW w:w="5235" w:type="dxa"/>
            <w:vAlign w:val="center"/>
          </w:tcPr>
          <w:p>
            <w:pPr>
              <w:rPr>
                <w:rFonts w:ascii="宋体" w:hAnsi="宋体" w:cs="宋体"/>
                <w:color w:val="auto"/>
                <w:sz w:val="21"/>
                <w:szCs w:val="21"/>
                <w:highlight w:val="none"/>
              </w:rPr>
            </w:pPr>
            <w:r>
              <w:rPr>
                <w:rFonts w:hint="eastAsia" w:ascii="宋体" w:hAnsi="宋体" w:cs="宋体"/>
                <w:color w:val="auto"/>
                <w:sz w:val="21"/>
                <w:szCs w:val="21"/>
                <w:highlight w:val="none"/>
              </w:rPr>
              <w:t>按“第一篇三、供应商资格要求（二）落实政府采购政策需满足的资格要求”的要求提交（如果有）。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09" w:type="dxa"/>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（三）</w:t>
            </w:r>
          </w:p>
        </w:tc>
        <w:tc>
          <w:tcPr>
            <w:tcW w:w="3635" w:type="dxa"/>
            <w:gridSpan w:val="2"/>
            <w:vAlign w:val="center"/>
          </w:tcPr>
          <w:p>
            <w:pPr>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磋商保证金</w:t>
            </w:r>
          </w:p>
        </w:tc>
        <w:tc>
          <w:tcPr>
            <w:tcW w:w="5235" w:type="dxa"/>
            <w:vAlign w:val="center"/>
          </w:tcPr>
          <w:p>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按照竞争性磋商文件要求足额交纳项目的磋商保证金。</w:t>
            </w:r>
          </w:p>
        </w:tc>
      </w:tr>
    </w:tbl>
    <w:p>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①</w:t>
      </w:r>
      <w:r>
        <w:rPr>
          <w:rFonts w:hint="eastAsia" w:ascii="宋体" w:hAnsi="宋体" w:cs="宋体"/>
          <w:color w:val="auto"/>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napToGrid w:val="0"/>
        <w:spacing w:line="540" w:lineRule="exact"/>
        <w:ind w:firstLine="480" w:firstLineChars="200"/>
        <w:rPr>
          <w:rFonts w:ascii="宋体" w:hAnsi="宋体" w:cs="宋体"/>
          <w:color w:val="auto"/>
          <w:kern w:val="0"/>
          <w:sz w:val="21"/>
          <w:szCs w:val="21"/>
          <w:highlight w:val="none"/>
        </w:rPr>
      </w:pPr>
      <w:r>
        <w:rPr>
          <w:rFonts w:hint="eastAsia" w:ascii="宋体" w:hAnsi="宋体" w:cs="宋体"/>
          <w:color w:val="auto"/>
          <w:sz w:val="24"/>
          <w:szCs w:val="24"/>
          <w:highlight w:val="none"/>
        </w:rPr>
        <w:t>2.</w:t>
      </w:r>
      <w:r>
        <w:rPr>
          <w:rFonts w:hint="eastAsia" w:ascii="宋体" w:hAnsi="宋体" w:cs="宋体"/>
          <w:color w:val="auto"/>
          <w:kern w:val="0"/>
          <w:sz w:val="24"/>
          <w:szCs w:val="24"/>
          <w:highlight w:val="none"/>
        </w:rPr>
        <w:t>符合性检查。依据竞争性磋商文件的规定，从响应文件的有效性、完整性和对竞争性磋商文件的响应程度进行审查，以确定是否对竞争性磋商文件的实质性要求作出响应。符合性检查资料表如下：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572"/>
        <w:gridCol w:w="1995"/>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4" w:type="dxa"/>
            <w:vAlign w:val="center"/>
          </w:tcPr>
          <w:p>
            <w:pPr>
              <w:spacing w:line="24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567" w:type="dxa"/>
            <w:gridSpan w:val="2"/>
            <w:vAlign w:val="center"/>
          </w:tcPr>
          <w:p>
            <w:pPr>
              <w:spacing w:line="24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5217" w:type="dxa"/>
            <w:vAlign w:val="center"/>
          </w:tcPr>
          <w:p>
            <w:pPr>
              <w:spacing w:line="24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74" w:type="dxa"/>
            <w:vMerge w:val="restart"/>
            <w:vAlign w:val="center"/>
          </w:tcPr>
          <w:p>
            <w:pPr>
              <w:spacing w:line="2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572" w:type="dxa"/>
            <w:vMerge w:val="restart"/>
            <w:vAlign w:val="center"/>
          </w:tcPr>
          <w:p>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有效性审查</w:t>
            </w:r>
          </w:p>
        </w:tc>
        <w:tc>
          <w:tcPr>
            <w:tcW w:w="1995" w:type="dxa"/>
            <w:vAlign w:val="center"/>
          </w:tcPr>
          <w:p>
            <w:pPr>
              <w:spacing w:line="240" w:lineRule="exact"/>
              <w:rPr>
                <w:rFonts w:ascii="宋体" w:hAnsi="宋体" w:cs="宋体"/>
                <w:color w:val="auto"/>
                <w:kern w:val="0"/>
                <w:sz w:val="21"/>
                <w:szCs w:val="21"/>
                <w:highlight w:val="none"/>
              </w:rPr>
            </w:pPr>
            <w:r>
              <w:rPr>
                <w:rFonts w:hint="eastAsia" w:ascii="宋体" w:hAnsi="宋体" w:cs="宋体"/>
                <w:color w:val="auto"/>
                <w:sz w:val="21"/>
                <w:szCs w:val="21"/>
                <w:highlight w:val="none"/>
              </w:rPr>
              <w:t>响应文件签署</w:t>
            </w:r>
          </w:p>
        </w:tc>
        <w:tc>
          <w:tcPr>
            <w:tcW w:w="5217" w:type="dxa"/>
            <w:vAlign w:val="center"/>
          </w:tcPr>
          <w:p>
            <w:pPr>
              <w:spacing w:line="24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按竞争性磋商文件“第七篇响应文件编制要求”要求签署或盖章。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74" w:type="dxa"/>
            <w:vMerge w:val="continue"/>
            <w:vAlign w:val="center"/>
          </w:tcPr>
          <w:p>
            <w:pPr>
              <w:spacing w:line="240" w:lineRule="exact"/>
              <w:jc w:val="center"/>
              <w:rPr>
                <w:rFonts w:ascii="宋体" w:hAnsi="宋体" w:cs="宋体"/>
                <w:color w:val="auto"/>
                <w:kern w:val="0"/>
                <w:sz w:val="21"/>
                <w:szCs w:val="21"/>
                <w:highlight w:val="none"/>
              </w:rPr>
            </w:pPr>
          </w:p>
        </w:tc>
        <w:tc>
          <w:tcPr>
            <w:tcW w:w="1572" w:type="dxa"/>
            <w:vMerge w:val="continue"/>
            <w:vAlign w:val="center"/>
          </w:tcPr>
          <w:p>
            <w:pPr>
              <w:spacing w:line="240" w:lineRule="exact"/>
              <w:rPr>
                <w:rFonts w:ascii="宋体" w:hAnsi="宋体" w:cs="宋体"/>
                <w:color w:val="auto"/>
                <w:kern w:val="0"/>
                <w:sz w:val="21"/>
                <w:szCs w:val="21"/>
                <w:highlight w:val="none"/>
              </w:rPr>
            </w:pPr>
          </w:p>
        </w:tc>
        <w:tc>
          <w:tcPr>
            <w:tcW w:w="1995" w:type="dxa"/>
            <w:vAlign w:val="center"/>
          </w:tcPr>
          <w:p>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w:t>
            </w:r>
          </w:p>
        </w:tc>
        <w:tc>
          <w:tcPr>
            <w:tcW w:w="5217" w:type="dxa"/>
            <w:vAlign w:val="center"/>
          </w:tcPr>
          <w:p>
            <w:pPr>
              <w:spacing w:line="24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法定代表人身份证明及授权委托书有效，符合竞争性磋商文件规定的格式，签署或盖章齐全。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74" w:type="dxa"/>
            <w:vMerge w:val="continue"/>
            <w:vAlign w:val="center"/>
          </w:tcPr>
          <w:p>
            <w:pPr>
              <w:spacing w:line="240" w:lineRule="exact"/>
              <w:jc w:val="center"/>
              <w:rPr>
                <w:rFonts w:ascii="宋体" w:hAnsi="宋体" w:cs="宋体"/>
                <w:color w:val="auto"/>
                <w:kern w:val="0"/>
                <w:sz w:val="21"/>
                <w:szCs w:val="21"/>
                <w:highlight w:val="none"/>
              </w:rPr>
            </w:pPr>
          </w:p>
        </w:tc>
        <w:tc>
          <w:tcPr>
            <w:tcW w:w="1572" w:type="dxa"/>
            <w:vMerge w:val="continue"/>
            <w:vAlign w:val="center"/>
          </w:tcPr>
          <w:p>
            <w:pPr>
              <w:spacing w:line="240" w:lineRule="exact"/>
              <w:rPr>
                <w:rFonts w:ascii="宋体" w:hAnsi="宋体" w:cs="宋体"/>
                <w:color w:val="auto"/>
                <w:kern w:val="0"/>
                <w:sz w:val="21"/>
                <w:szCs w:val="21"/>
                <w:highlight w:val="none"/>
              </w:rPr>
            </w:pPr>
          </w:p>
        </w:tc>
        <w:tc>
          <w:tcPr>
            <w:tcW w:w="1995" w:type="dxa"/>
            <w:vAlign w:val="center"/>
          </w:tcPr>
          <w:p>
            <w:pPr>
              <w:spacing w:line="24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磋商方案</w:t>
            </w:r>
          </w:p>
        </w:tc>
        <w:tc>
          <w:tcPr>
            <w:tcW w:w="5217" w:type="dxa"/>
            <w:vAlign w:val="center"/>
          </w:tcPr>
          <w:p>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只能有一个响应方案。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74" w:type="dxa"/>
            <w:vMerge w:val="continue"/>
            <w:vAlign w:val="center"/>
          </w:tcPr>
          <w:p>
            <w:pPr>
              <w:spacing w:line="240" w:lineRule="exact"/>
              <w:jc w:val="center"/>
              <w:rPr>
                <w:rFonts w:ascii="宋体" w:hAnsi="宋体" w:cs="宋体"/>
                <w:color w:val="auto"/>
                <w:kern w:val="0"/>
                <w:sz w:val="21"/>
                <w:szCs w:val="21"/>
                <w:highlight w:val="none"/>
              </w:rPr>
            </w:pPr>
          </w:p>
        </w:tc>
        <w:tc>
          <w:tcPr>
            <w:tcW w:w="1572" w:type="dxa"/>
            <w:vMerge w:val="continue"/>
            <w:vAlign w:val="center"/>
          </w:tcPr>
          <w:p>
            <w:pPr>
              <w:spacing w:line="240" w:lineRule="exact"/>
              <w:rPr>
                <w:rFonts w:ascii="宋体" w:hAnsi="宋体" w:cs="宋体"/>
                <w:color w:val="auto"/>
                <w:kern w:val="0"/>
                <w:sz w:val="21"/>
                <w:szCs w:val="21"/>
                <w:highlight w:val="none"/>
              </w:rPr>
            </w:pPr>
          </w:p>
        </w:tc>
        <w:tc>
          <w:tcPr>
            <w:tcW w:w="1995" w:type="dxa"/>
            <w:vAlign w:val="center"/>
          </w:tcPr>
          <w:p>
            <w:pPr>
              <w:spacing w:line="240" w:lineRule="exact"/>
              <w:rPr>
                <w:rFonts w:ascii="宋体" w:hAnsi="宋体" w:cs="宋体"/>
                <w:color w:val="auto"/>
                <w:sz w:val="21"/>
                <w:szCs w:val="21"/>
                <w:highlight w:val="none"/>
                <w:lang w:val="zh-CN"/>
              </w:rPr>
            </w:pPr>
            <w:r>
              <w:rPr>
                <w:rFonts w:hint="eastAsia" w:ascii="宋体" w:hAnsi="宋体" w:cs="宋体"/>
                <w:color w:val="auto"/>
                <w:sz w:val="21"/>
                <w:szCs w:val="21"/>
                <w:highlight w:val="none"/>
              </w:rPr>
              <w:t>报价唯一</w:t>
            </w:r>
          </w:p>
        </w:tc>
        <w:tc>
          <w:tcPr>
            <w:tcW w:w="5217" w:type="dxa"/>
            <w:vAlign w:val="center"/>
          </w:tcPr>
          <w:p>
            <w:pPr>
              <w:spacing w:line="240" w:lineRule="exact"/>
              <w:rPr>
                <w:rFonts w:ascii="宋体" w:hAnsi="宋体" w:cs="宋体"/>
                <w:color w:val="auto"/>
                <w:kern w:val="0"/>
                <w:sz w:val="21"/>
                <w:szCs w:val="21"/>
                <w:highlight w:val="none"/>
              </w:rPr>
            </w:pPr>
            <w:r>
              <w:rPr>
                <w:rFonts w:hint="eastAsia" w:ascii="宋体" w:hAnsi="宋体" w:cs="宋体"/>
                <w:color w:val="auto"/>
                <w:sz w:val="21"/>
                <w:szCs w:val="21"/>
                <w:highlight w:val="none"/>
                <w:lang w:val="zh-CN"/>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74" w:type="dxa"/>
            <w:vAlign w:val="center"/>
          </w:tcPr>
          <w:p>
            <w:pPr>
              <w:spacing w:line="2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572" w:type="dxa"/>
            <w:vAlign w:val="center"/>
          </w:tcPr>
          <w:p>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完整性审查</w:t>
            </w:r>
          </w:p>
        </w:tc>
        <w:tc>
          <w:tcPr>
            <w:tcW w:w="1995" w:type="dxa"/>
            <w:vAlign w:val="center"/>
          </w:tcPr>
          <w:p>
            <w:pPr>
              <w:spacing w:line="240" w:lineRule="exact"/>
              <w:rPr>
                <w:rFonts w:ascii="宋体" w:hAnsi="宋体" w:cs="宋体"/>
                <w:color w:val="auto"/>
                <w:kern w:val="0"/>
                <w:sz w:val="21"/>
                <w:szCs w:val="21"/>
                <w:highlight w:val="none"/>
              </w:rPr>
            </w:pPr>
            <w:r>
              <w:rPr>
                <w:rFonts w:hint="eastAsia" w:ascii="宋体" w:hAnsi="宋体" w:cs="宋体"/>
                <w:color w:val="auto"/>
                <w:sz w:val="21"/>
                <w:szCs w:val="21"/>
                <w:highlight w:val="none"/>
                <w:lang w:val="zh-CN"/>
              </w:rPr>
              <w:t>响应文件份数</w:t>
            </w:r>
          </w:p>
        </w:tc>
        <w:tc>
          <w:tcPr>
            <w:tcW w:w="5217" w:type="dxa"/>
            <w:vAlign w:val="center"/>
          </w:tcPr>
          <w:p>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响应文件正、副本数量（含电子文档）符合竞争性磋商文件要求。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4" w:type="dxa"/>
            <w:vMerge w:val="restart"/>
            <w:vAlign w:val="center"/>
          </w:tcPr>
          <w:p>
            <w:pPr>
              <w:spacing w:line="2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572" w:type="dxa"/>
            <w:vMerge w:val="restart"/>
            <w:vAlign w:val="center"/>
          </w:tcPr>
          <w:p>
            <w:pPr>
              <w:spacing w:line="240" w:lineRule="exact"/>
              <w:rPr>
                <w:rFonts w:ascii="宋体" w:hAnsi="宋体" w:cs="宋体"/>
                <w:color w:val="auto"/>
                <w:sz w:val="21"/>
                <w:szCs w:val="21"/>
                <w:highlight w:val="none"/>
                <w:lang w:val="zh-CN"/>
              </w:rPr>
            </w:pPr>
            <w:r>
              <w:rPr>
                <w:rFonts w:hint="eastAsia" w:ascii="宋体" w:hAnsi="宋体" w:cs="宋体"/>
                <w:color w:val="auto"/>
                <w:kern w:val="0"/>
                <w:sz w:val="21"/>
                <w:szCs w:val="21"/>
                <w:highlight w:val="none"/>
              </w:rPr>
              <w:t>实质性审查</w:t>
            </w:r>
          </w:p>
        </w:tc>
        <w:tc>
          <w:tcPr>
            <w:tcW w:w="1995" w:type="dxa"/>
            <w:vAlign w:val="center"/>
          </w:tcPr>
          <w:p>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响应文件内容</w:t>
            </w:r>
          </w:p>
        </w:tc>
        <w:tc>
          <w:tcPr>
            <w:tcW w:w="5217" w:type="dxa"/>
            <w:vAlign w:val="center"/>
          </w:tcPr>
          <w:p>
            <w:pPr>
              <w:pStyle w:val="10"/>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竞争性磋商文件第二篇、第三篇部分。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74" w:type="dxa"/>
            <w:vMerge w:val="continue"/>
            <w:vAlign w:val="center"/>
          </w:tcPr>
          <w:p>
            <w:pPr>
              <w:spacing w:line="240" w:lineRule="exact"/>
              <w:jc w:val="center"/>
              <w:rPr>
                <w:rFonts w:ascii="宋体" w:hAnsi="宋体" w:cs="宋体"/>
                <w:color w:val="auto"/>
                <w:kern w:val="0"/>
                <w:sz w:val="21"/>
                <w:szCs w:val="21"/>
                <w:highlight w:val="none"/>
              </w:rPr>
            </w:pPr>
          </w:p>
        </w:tc>
        <w:tc>
          <w:tcPr>
            <w:tcW w:w="1572" w:type="dxa"/>
            <w:vMerge w:val="continue"/>
            <w:vAlign w:val="center"/>
          </w:tcPr>
          <w:p>
            <w:pPr>
              <w:spacing w:line="240" w:lineRule="exact"/>
              <w:rPr>
                <w:rFonts w:ascii="宋体" w:hAnsi="宋体" w:cs="宋体"/>
                <w:color w:val="auto"/>
                <w:sz w:val="21"/>
                <w:szCs w:val="21"/>
                <w:highlight w:val="none"/>
                <w:lang w:val="zh-CN"/>
              </w:rPr>
            </w:pPr>
          </w:p>
        </w:tc>
        <w:tc>
          <w:tcPr>
            <w:tcW w:w="1995" w:type="dxa"/>
            <w:vAlign w:val="center"/>
          </w:tcPr>
          <w:p>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磋商有效期</w:t>
            </w:r>
          </w:p>
        </w:tc>
        <w:tc>
          <w:tcPr>
            <w:tcW w:w="5217" w:type="dxa"/>
            <w:vAlign w:val="center"/>
          </w:tcPr>
          <w:p>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响应文件及有关承诺文件有效期为提交响应文件截止时间起90天。</w:t>
            </w:r>
          </w:p>
        </w:tc>
      </w:tr>
    </w:tbl>
    <w:p>
      <w:pPr>
        <w:numPr>
          <w:ilvl w:val="0"/>
          <w:numId w:val="2"/>
        </w:num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（五）在磋商过程中磋商的任何一方不得向他人透露与磋商有关的技术资料、价格或其他信息。</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在磋商过程中，磋商小组可以根据竞争性磋商文件和磋商情况实质性变动采购需求中的技术、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（七）供应商在磋商时作出的所有书面承诺须由法定代表人（或其授权代表）或自然人（供应商为自然人）签署。</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技术、商务等评定因素分别按照相应权重值计算分项得分后相加，满分为100分。</w:t>
      </w:r>
    </w:p>
    <w:p>
      <w:pPr>
        <w:spacing w:line="540" w:lineRule="exact"/>
        <w:ind w:firstLine="480" w:firstLineChars="200"/>
        <w:rPr>
          <w:rFonts w:hAnsi="宋体" w:cs="宋体"/>
          <w:color w:val="auto"/>
          <w:szCs w:val="24"/>
          <w:highlight w:val="none"/>
        </w:rPr>
      </w:pPr>
      <w:r>
        <w:rPr>
          <w:rFonts w:hint="eastAsia" w:ascii="宋体" w:hAnsi="宋体" w:cs="宋体"/>
          <w:color w:val="auto"/>
          <w:sz w:val="24"/>
          <w:szCs w:val="24"/>
          <w:highlight w:val="none"/>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技术部分得分为0分的供应商将失去成为成交候选供应商</w:t>
      </w:r>
      <w:r>
        <w:rPr>
          <w:rFonts w:hint="eastAsia" w:ascii="宋体" w:hAnsi="宋体" w:cs="宋体"/>
          <w:color w:val="auto"/>
          <w:sz w:val="24"/>
          <w:szCs w:val="24"/>
          <w:highlight w:val="none"/>
          <w:lang w:val="en-US" w:eastAsia="zh-CN"/>
        </w:rPr>
        <w:t>资格</w:t>
      </w:r>
      <w:r>
        <w:rPr>
          <w:rFonts w:hint="eastAsia" w:ascii="宋体" w:hAnsi="宋体" w:cs="宋体"/>
          <w:color w:val="auto"/>
          <w:sz w:val="24"/>
          <w:szCs w:val="24"/>
          <w:highlight w:val="none"/>
        </w:rPr>
        <w:t>。</w:t>
      </w:r>
    </w:p>
    <w:p>
      <w:pPr>
        <w:pStyle w:val="5"/>
        <w:spacing w:before="0" w:after="0" w:line="440" w:lineRule="exact"/>
        <w:ind w:firstLine="482" w:firstLineChars="200"/>
        <w:rPr>
          <w:rFonts w:ascii="宋体"/>
          <w:color w:val="auto"/>
          <w:sz w:val="24"/>
          <w:szCs w:val="24"/>
          <w:highlight w:val="none"/>
        </w:rPr>
      </w:pPr>
      <w:bookmarkStart w:id="132" w:name="_Toc4547"/>
      <w:bookmarkStart w:id="133" w:name="_Toc21803"/>
      <w:bookmarkStart w:id="134" w:name="_Toc32242"/>
      <w:bookmarkStart w:id="135" w:name="_Toc25860"/>
      <w:r>
        <w:rPr>
          <w:rFonts w:hint="eastAsia" w:ascii="宋体"/>
          <w:color w:val="auto"/>
          <w:sz w:val="24"/>
          <w:szCs w:val="24"/>
          <w:highlight w:val="none"/>
        </w:rPr>
        <w:t>二、</w:t>
      </w:r>
      <w:bookmarkStart w:id="136" w:name="_Toc342913394"/>
      <w:bookmarkStart w:id="137" w:name="_Toc102227320"/>
      <w:r>
        <w:rPr>
          <w:rFonts w:hint="eastAsia" w:ascii="宋体"/>
          <w:color w:val="auto"/>
          <w:sz w:val="24"/>
          <w:szCs w:val="24"/>
          <w:highlight w:val="none"/>
        </w:rPr>
        <w:t>评审标准</w:t>
      </w:r>
      <w:bookmarkEnd w:id="132"/>
      <w:bookmarkEnd w:id="133"/>
      <w:bookmarkEnd w:id="134"/>
      <w:bookmarkEnd w:id="135"/>
    </w:p>
    <w:bookmarkEnd w:id="136"/>
    <w:bookmarkEnd w:id="137"/>
    <w:tbl>
      <w:tblPr>
        <w:tblStyle w:val="15"/>
        <w:tblW w:w="51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011"/>
        <w:gridCol w:w="1253"/>
        <w:gridCol w:w="759"/>
        <w:gridCol w:w="4260"/>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8" w:type="pct"/>
            <w:vAlign w:val="center"/>
          </w:tcPr>
          <w:p>
            <w:pPr>
              <w:spacing w:line="360" w:lineRule="auto"/>
              <w:ind w:firstLine="28"/>
              <w:jc w:val="center"/>
              <w:rPr>
                <w:rFonts w:ascii="宋体" w:hAnsi="宋体"/>
                <w:b/>
                <w:color w:val="auto"/>
                <w:sz w:val="21"/>
                <w:szCs w:val="21"/>
                <w:highlight w:val="none"/>
              </w:rPr>
            </w:pPr>
            <w:bookmarkStart w:id="138" w:name="_Hlk97712090"/>
            <w:bookmarkStart w:id="139" w:name="_Toc29624"/>
            <w:bookmarkStart w:id="140" w:name="_Toc12293"/>
            <w:r>
              <w:rPr>
                <w:rFonts w:ascii="宋体" w:hAnsi="宋体"/>
                <w:b/>
                <w:color w:val="auto"/>
                <w:sz w:val="21"/>
                <w:szCs w:val="21"/>
                <w:highlight w:val="none"/>
              </w:rPr>
              <w:t>序号</w:t>
            </w:r>
          </w:p>
        </w:tc>
        <w:tc>
          <w:tcPr>
            <w:tcW w:w="1187" w:type="pct"/>
            <w:gridSpan w:val="2"/>
            <w:vAlign w:val="center"/>
          </w:tcPr>
          <w:p>
            <w:pPr>
              <w:spacing w:line="360" w:lineRule="auto"/>
              <w:ind w:firstLine="28"/>
              <w:jc w:val="center"/>
              <w:rPr>
                <w:rFonts w:ascii="宋体" w:hAnsi="宋体"/>
                <w:b/>
                <w:color w:val="auto"/>
                <w:sz w:val="21"/>
                <w:szCs w:val="21"/>
                <w:highlight w:val="none"/>
              </w:rPr>
            </w:pPr>
            <w:r>
              <w:rPr>
                <w:rFonts w:ascii="宋体" w:hAnsi="宋体"/>
                <w:b/>
                <w:color w:val="auto"/>
                <w:sz w:val="21"/>
                <w:szCs w:val="21"/>
                <w:highlight w:val="none"/>
              </w:rPr>
              <w:t>评分因素</w:t>
            </w:r>
          </w:p>
          <w:p>
            <w:pPr>
              <w:spacing w:line="360" w:lineRule="auto"/>
              <w:ind w:firstLine="28"/>
              <w:jc w:val="center"/>
              <w:rPr>
                <w:rFonts w:hint="eastAsia" w:ascii="宋体" w:hAnsi="宋体" w:eastAsia="宋体"/>
                <w:b/>
                <w:color w:val="auto"/>
                <w:sz w:val="21"/>
                <w:szCs w:val="21"/>
                <w:highlight w:val="none"/>
                <w:lang w:eastAsia="zh-CN"/>
              </w:rPr>
            </w:pPr>
            <w:r>
              <w:rPr>
                <w:rFonts w:ascii="宋体" w:hAnsi="宋体"/>
                <w:b/>
                <w:color w:val="auto"/>
                <w:sz w:val="21"/>
                <w:szCs w:val="21"/>
                <w:highlight w:val="none"/>
              </w:rPr>
              <w:t>及权</w:t>
            </w:r>
            <w:r>
              <w:rPr>
                <w:rFonts w:hint="eastAsia" w:ascii="宋体" w:hAnsi="宋体"/>
                <w:b/>
                <w:color w:val="auto"/>
                <w:sz w:val="21"/>
                <w:szCs w:val="21"/>
                <w:highlight w:val="none"/>
                <w:lang w:val="en-US" w:eastAsia="zh-CN"/>
              </w:rPr>
              <w:t>重</w:t>
            </w:r>
          </w:p>
        </w:tc>
        <w:tc>
          <w:tcPr>
            <w:tcW w:w="398" w:type="pct"/>
            <w:vAlign w:val="center"/>
          </w:tcPr>
          <w:p>
            <w:pPr>
              <w:spacing w:line="360" w:lineRule="auto"/>
              <w:ind w:firstLine="28"/>
              <w:jc w:val="center"/>
              <w:rPr>
                <w:rFonts w:ascii="宋体" w:hAnsi="宋体"/>
                <w:b/>
                <w:color w:val="auto"/>
                <w:sz w:val="21"/>
                <w:szCs w:val="21"/>
                <w:highlight w:val="none"/>
              </w:rPr>
            </w:pPr>
            <w:r>
              <w:rPr>
                <w:rFonts w:ascii="宋体" w:hAnsi="宋体"/>
                <w:b/>
                <w:color w:val="auto"/>
                <w:sz w:val="21"/>
                <w:szCs w:val="21"/>
                <w:highlight w:val="none"/>
              </w:rPr>
              <w:t>分值</w:t>
            </w:r>
          </w:p>
        </w:tc>
        <w:tc>
          <w:tcPr>
            <w:tcW w:w="2234" w:type="pct"/>
            <w:vAlign w:val="center"/>
          </w:tcPr>
          <w:p>
            <w:pPr>
              <w:spacing w:line="360" w:lineRule="auto"/>
              <w:ind w:firstLine="28"/>
              <w:jc w:val="center"/>
              <w:rPr>
                <w:rFonts w:ascii="宋体" w:hAnsi="宋体"/>
                <w:b/>
                <w:color w:val="auto"/>
                <w:sz w:val="21"/>
                <w:szCs w:val="21"/>
                <w:highlight w:val="none"/>
              </w:rPr>
            </w:pPr>
            <w:r>
              <w:rPr>
                <w:rFonts w:ascii="宋体" w:hAnsi="宋体"/>
                <w:b/>
                <w:color w:val="auto"/>
                <w:sz w:val="21"/>
                <w:szCs w:val="21"/>
                <w:highlight w:val="none"/>
              </w:rPr>
              <w:t>评分标准</w:t>
            </w:r>
          </w:p>
        </w:tc>
        <w:tc>
          <w:tcPr>
            <w:tcW w:w="911" w:type="pct"/>
            <w:vAlign w:val="center"/>
          </w:tcPr>
          <w:p>
            <w:pPr>
              <w:pStyle w:val="19"/>
              <w:spacing w:before="0" w:after="0" w:line="360" w:lineRule="auto"/>
              <w:rPr>
                <w:rFonts w:ascii="宋体" w:hAnsi="宋体" w:eastAsia="宋体"/>
                <w:color w:val="auto"/>
                <w:sz w:val="21"/>
                <w:szCs w:val="21"/>
                <w:highlight w:val="none"/>
              </w:rPr>
            </w:pPr>
            <w:r>
              <w:rPr>
                <w:rFonts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8" w:type="pct"/>
            <w:vAlign w:val="center"/>
          </w:tcPr>
          <w:p>
            <w:pPr>
              <w:spacing w:line="360" w:lineRule="auto"/>
              <w:ind w:firstLine="28"/>
              <w:jc w:val="center"/>
              <w:rPr>
                <w:rFonts w:ascii="宋体" w:hAnsi="宋体"/>
                <w:color w:val="auto"/>
                <w:sz w:val="21"/>
                <w:szCs w:val="21"/>
                <w:highlight w:val="none"/>
              </w:rPr>
            </w:pPr>
            <w:r>
              <w:rPr>
                <w:rFonts w:ascii="宋体" w:hAnsi="宋体"/>
                <w:color w:val="auto"/>
                <w:sz w:val="21"/>
                <w:szCs w:val="21"/>
                <w:highlight w:val="none"/>
              </w:rPr>
              <w:t>1</w:t>
            </w:r>
          </w:p>
        </w:tc>
        <w:tc>
          <w:tcPr>
            <w:tcW w:w="1187" w:type="pct"/>
            <w:gridSpan w:val="2"/>
            <w:vAlign w:val="center"/>
          </w:tcPr>
          <w:p>
            <w:pPr>
              <w:spacing w:line="360" w:lineRule="auto"/>
              <w:ind w:firstLine="28"/>
              <w:jc w:val="center"/>
              <w:rPr>
                <w:rFonts w:ascii="宋体" w:hAnsi="宋体"/>
                <w:color w:val="auto"/>
                <w:sz w:val="21"/>
                <w:szCs w:val="21"/>
                <w:highlight w:val="none"/>
              </w:rPr>
            </w:pPr>
            <w:r>
              <w:rPr>
                <w:rFonts w:hint="eastAsia" w:ascii="宋体" w:hAnsi="宋体"/>
                <w:color w:val="auto"/>
                <w:sz w:val="21"/>
                <w:szCs w:val="21"/>
                <w:highlight w:val="none"/>
              </w:rPr>
              <w:t>磋商报价</w:t>
            </w:r>
          </w:p>
          <w:p>
            <w:pPr>
              <w:spacing w:line="360" w:lineRule="auto"/>
              <w:ind w:firstLine="28"/>
              <w:jc w:val="center"/>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0</w:t>
            </w:r>
            <w:r>
              <w:rPr>
                <w:rFonts w:hint="eastAsia" w:ascii="宋体" w:hAnsi="宋体"/>
                <w:color w:val="auto"/>
                <w:sz w:val="21"/>
                <w:szCs w:val="21"/>
                <w:highlight w:val="none"/>
              </w:rPr>
              <w:t>%）</w:t>
            </w:r>
          </w:p>
        </w:tc>
        <w:tc>
          <w:tcPr>
            <w:tcW w:w="398" w:type="pct"/>
            <w:vAlign w:val="center"/>
          </w:tcPr>
          <w:p>
            <w:pPr>
              <w:spacing w:line="360" w:lineRule="auto"/>
              <w:ind w:firstLine="28"/>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2</w:t>
            </w:r>
            <w:r>
              <w:rPr>
                <w:rFonts w:ascii="宋体" w:hAnsi="宋体"/>
                <w:color w:val="auto"/>
                <w:sz w:val="21"/>
                <w:szCs w:val="21"/>
                <w:highlight w:val="none"/>
              </w:rPr>
              <w:t>0</w:t>
            </w:r>
            <w:r>
              <w:rPr>
                <w:rFonts w:hint="eastAsia" w:ascii="宋体" w:hAnsi="宋体"/>
                <w:color w:val="auto"/>
                <w:sz w:val="21"/>
                <w:szCs w:val="21"/>
                <w:highlight w:val="none"/>
                <w:lang w:val="en-US" w:eastAsia="zh-CN"/>
              </w:rPr>
              <w:t>分</w:t>
            </w:r>
          </w:p>
        </w:tc>
        <w:tc>
          <w:tcPr>
            <w:tcW w:w="2234" w:type="pct"/>
            <w:vAlign w:val="center"/>
          </w:tcPr>
          <w:p>
            <w:pPr>
              <w:spacing w:line="360" w:lineRule="auto"/>
              <w:ind w:firstLine="420" w:firstLineChars="200"/>
              <w:rPr>
                <w:rFonts w:ascii="宋体" w:hAnsi="宋体"/>
                <w:color w:val="auto"/>
                <w:sz w:val="21"/>
                <w:szCs w:val="21"/>
                <w:highlight w:val="none"/>
              </w:rPr>
            </w:pPr>
            <w:r>
              <w:rPr>
                <w:rFonts w:hint="eastAsia" w:ascii="宋体" w:hAnsi="宋体" w:eastAsia="宋体" w:cs="Times New Roman"/>
                <w:color w:val="auto"/>
                <w:sz w:val="21"/>
                <w:szCs w:val="21"/>
                <w:highlight w:val="none"/>
              </w:rPr>
              <w:t>满足资格性、符合性要求且最后报价最低的供应商的价格为磋商基准价</w:t>
            </w:r>
            <w:r>
              <w:rPr>
                <w:rFonts w:ascii="宋体" w:hAnsi="宋体"/>
                <w:color w:val="auto"/>
                <w:sz w:val="21"/>
                <w:szCs w:val="21"/>
                <w:highlight w:val="none"/>
              </w:rPr>
              <w:t>，按照下列公式计算每个供应商的磋商报价得分。</w:t>
            </w:r>
          </w:p>
          <w:p>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磋商报价得分=（磋商基准价/最后磋商报价）×价格分值×100</w:t>
            </w:r>
          </w:p>
        </w:tc>
        <w:tc>
          <w:tcPr>
            <w:tcW w:w="911" w:type="pct"/>
            <w:vAlign w:val="center"/>
          </w:tcPr>
          <w:p>
            <w:pPr>
              <w:spacing w:line="360" w:lineRule="auto"/>
              <w:ind w:left="-38"/>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8" w:type="pct"/>
            <w:vMerge w:val="restart"/>
            <w:vAlign w:val="center"/>
          </w:tcPr>
          <w:p>
            <w:pPr>
              <w:spacing w:line="360" w:lineRule="auto"/>
              <w:ind w:firstLine="28"/>
              <w:jc w:val="center"/>
              <w:rPr>
                <w:rFonts w:ascii="宋体" w:hAnsi="宋体"/>
                <w:color w:val="auto"/>
                <w:sz w:val="21"/>
                <w:szCs w:val="21"/>
                <w:highlight w:val="none"/>
              </w:rPr>
            </w:pPr>
            <w:r>
              <w:rPr>
                <w:rFonts w:ascii="宋体" w:hAnsi="宋体"/>
                <w:color w:val="auto"/>
                <w:sz w:val="21"/>
                <w:szCs w:val="21"/>
                <w:highlight w:val="none"/>
              </w:rPr>
              <w:t>2</w:t>
            </w:r>
          </w:p>
        </w:tc>
        <w:tc>
          <w:tcPr>
            <w:tcW w:w="530" w:type="pct"/>
            <w:vMerge w:val="restart"/>
            <w:vAlign w:val="center"/>
          </w:tcPr>
          <w:p>
            <w:pPr>
              <w:spacing w:line="360" w:lineRule="auto"/>
              <w:ind w:firstLine="28"/>
              <w:jc w:val="center"/>
              <w:rPr>
                <w:rFonts w:ascii="宋体" w:hAnsi="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部分（</w:t>
            </w:r>
            <w:r>
              <w:rPr>
                <w:rFonts w:hint="eastAsia" w:ascii="宋体" w:hAnsi="宋体"/>
                <w:color w:val="auto"/>
                <w:sz w:val="21"/>
                <w:szCs w:val="21"/>
                <w:highlight w:val="none"/>
                <w:lang w:val="en-US" w:eastAsia="zh-CN"/>
              </w:rPr>
              <w:t>73</w:t>
            </w:r>
            <w:r>
              <w:rPr>
                <w:rFonts w:hint="eastAsia" w:ascii="宋体" w:hAnsi="宋体"/>
                <w:color w:val="auto"/>
                <w:sz w:val="21"/>
                <w:szCs w:val="21"/>
                <w:highlight w:val="none"/>
              </w:rPr>
              <w:t>%）</w:t>
            </w:r>
          </w:p>
        </w:tc>
        <w:tc>
          <w:tcPr>
            <w:tcW w:w="656" w:type="pct"/>
            <w:vAlign w:val="center"/>
          </w:tcPr>
          <w:p>
            <w:pPr>
              <w:spacing w:line="360" w:lineRule="auto"/>
              <w:ind w:firstLine="28"/>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响应部分</w:t>
            </w:r>
          </w:p>
          <w:p>
            <w:pPr>
              <w:spacing w:line="360" w:lineRule="auto"/>
              <w:ind w:firstLine="28"/>
              <w:jc w:val="center"/>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43%</w:t>
            </w:r>
            <w:r>
              <w:rPr>
                <w:rFonts w:hint="eastAsia" w:ascii="宋体" w:hAnsi="宋体"/>
                <w:color w:val="auto"/>
                <w:sz w:val="21"/>
                <w:szCs w:val="21"/>
                <w:highlight w:val="none"/>
              </w:rPr>
              <w:t>）</w:t>
            </w:r>
          </w:p>
        </w:tc>
        <w:tc>
          <w:tcPr>
            <w:tcW w:w="398" w:type="pct"/>
            <w:vAlign w:val="center"/>
          </w:tcPr>
          <w:p>
            <w:pPr>
              <w:spacing w:line="360" w:lineRule="auto"/>
              <w:ind w:firstLine="28"/>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43分</w:t>
            </w:r>
          </w:p>
        </w:tc>
        <w:tc>
          <w:tcPr>
            <w:tcW w:w="2234" w:type="pct"/>
            <w:vAlign w:val="center"/>
          </w:tcPr>
          <w:p>
            <w:pPr>
              <w:pStyle w:val="6"/>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A起评分：</w:t>
            </w:r>
          </w:p>
          <w:p>
            <w:pPr>
              <w:pStyle w:val="6"/>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合格</w:t>
            </w:r>
            <w:r>
              <w:rPr>
                <w:rFonts w:hint="eastAsia" w:ascii="宋体" w:hAnsi="宋体" w:eastAsia="宋体" w:cs="宋体"/>
                <w:color w:val="auto"/>
                <w:sz w:val="21"/>
                <w:szCs w:val="21"/>
                <w:highlight w:val="none"/>
              </w:rPr>
              <w:t>供应商的起评分为</w:t>
            </w: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rPr>
              <w:t>分。</w:t>
            </w:r>
          </w:p>
          <w:p>
            <w:pPr>
              <w:spacing w:line="360" w:lineRule="auto"/>
              <w:ind w:firstLine="420" w:firstLineChars="200"/>
              <w:rPr>
                <w:rFonts w:ascii="宋体" w:hAnsi="宋体"/>
                <w:color w:val="auto"/>
                <w:sz w:val="21"/>
                <w:szCs w:val="21"/>
                <w:highlight w:val="none"/>
              </w:rPr>
            </w:pPr>
            <w:r>
              <w:rPr>
                <w:rFonts w:hint="eastAsia" w:ascii="宋体" w:hAnsi="宋体" w:eastAsia="宋体" w:cs="宋体"/>
                <w:color w:val="auto"/>
                <w:sz w:val="21"/>
                <w:szCs w:val="21"/>
                <w:highlight w:val="none"/>
              </w:rPr>
              <w:t>B</w:t>
            </w:r>
            <w:r>
              <w:rPr>
                <w:rFonts w:hint="eastAsia" w:ascii="宋体" w:hAnsi="宋体"/>
                <w:color w:val="auto"/>
                <w:sz w:val="21"/>
                <w:szCs w:val="21"/>
                <w:highlight w:val="none"/>
              </w:rPr>
              <w:t>扣分条款：</w:t>
            </w:r>
          </w:p>
          <w:p>
            <w:pPr>
              <w:pStyle w:val="6"/>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1.重要技术参数（磋商文件第二篇 项目服务需求 一、项目</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需求中带（★）部分）有一条不满足的，</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部分得分为0分。</w:t>
            </w:r>
          </w:p>
          <w:p>
            <w:pPr>
              <w:pStyle w:val="6"/>
              <w:spacing w:line="360" w:lineRule="auto"/>
              <w:ind w:firstLine="420" w:firstLineChars="200"/>
              <w:rPr>
                <w:rFonts w:hint="eastAsia" w:eastAsia="仿宋_GB2312"/>
                <w:color w:val="auto"/>
                <w:highlight w:val="none"/>
                <w:lang w:eastAsia="zh-CN"/>
              </w:rPr>
            </w:pPr>
            <w:r>
              <w:rPr>
                <w:rFonts w:hint="eastAsia" w:ascii="宋体" w:hAnsi="宋体" w:eastAsia="宋体" w:cs="宋体"/>
                <w:color w:val="auto"/>
                <w:sz w:val="21"/>
                <w:szCs w:val="21"/>
                <w:highlight w:val="none"/>
              </w:rPr>
              <w:t>2.一般性技术参数（磋商文件第二篇 项目服务需求 一、项目</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需求中非（★）部分）有一条不满足的,从起评分中扣除</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分；有</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条及以上不满足的，</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部分得分为0分。</w:t>
            </w:r>
          </w:p>
        </w:tc>
        <w:tc>
          <w:tcPr>
            <w:tcW w:w="911" w:type="pct"/>
            <w:vAlign w:val="center"/>
          </w:tcPr>
          <w:p>
            <w:pPr>
              <w:spacing w:line="360" w:lineRule="auto"/>
              <w:ind w:left="-38"/>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8" w:type="pct"/>
            <w:vMerge w:val="continue"/>
            <w:vAlign w:val="center"/>
          </w:tcPr>
          <w:p>
            <w:pPr>
              <w:spacing w:line="360" w:lineRule="auto"/>
              <w:ind w:firstLine="28"/>
              <w:jc w:val="center"/>
              <w:rPr>
                <w:rFonts w:ascii="宋体" w:hAnsi="宋体"/>
                <w:color w:val="auto"/>
                <w:sz w:val="21"/>
                <w:szCs w:val="21"/>
                <w:highlight w:val="none"/>
              </w:rPr>
            </w:pPr>
          </w:p>
        </w:tc>
        <w:tc>
          <w:tcPr>
            <w:tcW w:w="530" w:type="pct"/>
            <w:vMerge w:val="continue"/>
            <w:vAlign w:val="center"/>
          </w:tcPr>
          <w:p>
            <w:pPr>
              <w:spacing w:line="360" w:lineRule="auto"/>
              <w:ind w:firstLine="28"/>
              <w:jc w:val="center"/>
              <w:rPr>
                <w:rFonts w:ascii="宋体" w:hAnsi="宋体"/>
                <w:color w:val="auto"/>
                <w:sz w:val="21"/>
                <w:szCs w:val="21"/>
                <w:highlight w:val="none"/>
              </w:rPr>
            </w:pPr>
          </w:p>
        </w:tc>
        <w:tc>
          <w:tcPr>
            <w:tcW w:w="656" w:type="pct"/>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方案</w:t>
            </w:r>
          </w:p>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w:t>
            </w:r>
          </w:p>
        </w:tc>
        <w:tc>
          <w:tcPr>
            <w:tcW w:w="398" w:type="pct"/>
            <w:vAlign w:val="center"/>
          </w:tcPr>
          <w:p>
            <w:pPr>
              <w:spacing w:line="360" w:lineRule="auto"/>
              <w:ind w:firstLine="28"/>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30分</w:t>
            </w:r>
          </w:p>
        </w:tc>
        <w:tc>
          <w:tcPr>
            <w:tcW w:w="2234" w:type="pct"/>
            <w:vAlign w:val="center"/>
          </w:tcPr>
          <w:p>
            <w:pPr>
              <w:keepNext w:val="0"/>
              <w:keepLines w:val="0"/>
              <w:pageBreakBefore w:val="0"/>
              <w:widowControl/>
              <w:kinsoku/>
              <w:wordWrap/>
              <w:overflowPunct/>
              <w:topLinePunct w:val="0"/>
              <w:autoSpaceDE/>
              <w:autoSpaceDN/>
              <w:bidi w:val="0"/>
              <w:adjustRightInd w:val="0"/>
              <w:snapToGrid w:val="0"/>
              <w:spacing w:line="480" w:lineRule="exact"/>
              <w:textAlignment w:val="auto"/>
              <w:rPr>
                <w:rFonts w:ascii="宋体" w:hAnsi="宋体"/>
                <w:b/>
                <w:bCs/>
                <w:color w:val="auto"/>
                <w:sz w:val="21"/>
                <w:szCs w:val="21"/>
                <w:highlight w:val="none"/>
              </w:rPr>
            </w:pPr>
            <w:r>
              <w:rPr>
                <w:rFonts w:hint="eastAsia" w:ascii="宋体" w:hAnsi="宋体"/>
                <w:b/>
                <w:bCs/>
                <w:color w:val="auto"/>
                <w:sz w:val="21"/>
                <w:szCs w:val="21"/>
                <w:highlight w:val="none"/>
                <w:lang w:val="en-US" w:eastAsia="zh-CN"/>
              </w:rPr>
              <w:t>一</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技术方案</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30</w:t>
            </w:r>
            <w:r>
              <w:rPr>
                <w:rFonts w:hint="eastAsia" w:ascii="宋体" w:hAnsi="宋体"/>
                <w:b/>
                <w:bCs/>
                <w:color w:val="auto"/>
                <w:sz w:val="21"/>
                <w:szCs w:val="21"/>
                <w:highlight w:val="none"/>
              </w:rPr>
              <w:t>分）</w:t>
            </w:r>
          </w:p>
          <w:p>
            <w:pPr>
              <w:keepNext w:val="0"/>
              <w:keepLines w:val="0"/>
              <w:pageBreakBefore w:val="0"/>
              <w:kinsoku/>
              <w:wordWrap/>
              <w:overflowPunct/>
              <w:topLinePunct w:val="0"/>
              <w:autoSpaceDE/>
              <w:autoSpaceDN/>
              <w:bidi w:val="0"/>
              <w:spacing w:line="480" w:lineRule="exact"/>
              <w:textAlignment w:val="auto"/>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1.需求分析（10分）</w:t>
            </w:r>
          </w:p>
          <w:p>
            <w:pPr>
              <w:keepNext w:val="0"/>
              <w:keepLines w:val="0"/>
              <w:pageBreakBefore w:val="0"/>
              <w:kinsoku/>
              <w:wordWrap/>
              <w:overflowPunct/>
              <w:topLinePunct w:val="0"/>
              <w:autoSpaceDE/>
              <w:autoSpaceDN/>
              <w:bidi w:val="0"/>
              <w:spacing w:line="48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供应商提供</w:t>
            </w:r>
            <w:r>
              <w:rPr>
                <w:rFonts w:hint="eastAsia" w:ascii="宋体" w:hAnsi="宋体"/>
                <w:color w:val="auto"/>
                <w:sz w:val="21"/>
                <w:szCs w:val="21"/>
                <w:highlight w:val="none"/>
                <w:lang w:val="en-US" w:eastAsia="zh-CN"/>
              </w:rPr>
              <w:t>需求分析报告</w:t>
            </w:r>
            <w:r>
              <w:rPr>
                <w:rFonts w:hint="eastAsia" w:ascii="宋体" w:hAnsi="宋体"/>
                <w:color w:val="auto"/>
                <w:sz w:val="21"/>
                <w:szCs w:val="21"/>
                <w:highlight w:val="none"/>
              </w:rPr>
              <w:t>，对项目</w:t>
            </w:r>
            <w:r>
              <w:rPr>
                <w:rFonts w:hint="eastAsia" w:ascii="宋体" w:hAnsi="宋体"/>
                <w:color w:val="auto"/>
                <w:sz w:val="21"/>
                <w:szCs w:val="21"/>
                <w:highlight w:val="none"/>
                <w:lang w:val="en-US" w:eastAsia="zh-CN"/>
              </w:rPr>
              <w:t>需求</w:t>
            </w:r>
            <w:r>
              <w:rPr>
                <w:rFonts w:hint="eastAsia" w:ascii="宋体" w:hAnsi="宋体"/>
                <w:color w:val="auto"/>
                <w:sz w:val="21"/>
                <w:szCs w:val="21"/>
                <w:highlight w:val="none"/>
              </w:rPr>
              <w:t>理解深刻，阐述清楚，表达全面为优秀得</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分；对项目目的和内容理解较深刻，阐述较清楚，表达较全面良好得</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分；对项目目的和内容理解一般，阐述一般，表达一般为一般得</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分；差项目目的和内容理解差，阐述差，表达差为差得0分。</w:t>
            </w:r>
          </w:p>
          <w:p>
            <w:pPr>
              <w:keepNext w:val="0"/>
              <w:keepLines w:val="0"/>
              <w:pageBreakBefore w:val="0"/>
              <w:kinsoku/>
              <w:wordWrap/>
              <w:overflowPunct/>
              <w:topLinePunct w:val="0"/>
              <w:autoSpaceDE/>
              <w:autoSpaceDN/>
              <w:bidi w:val="0"/>
              <w:spacing w:line="480" w:lineRule="exact"/>
              <w:textAlignment w:val="auto"/>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2.基础运维服务方案（10分）</w:t>
            </w:r>
          </w:p>
          <w:p>
            <w:pPr>
              <w:keepNext w:val="0"/>
              <w:keepLines w:val="0"/>
              <w:pageBreakBefore w:val="0"/>
              <w:kinsoku/>
              <w:wordWrap/>
              <w:overflowPunct/>
              <w:topLinePunct w:val="0"/>
              <w:autoSpaceDE/>
              <w:autoSpaceDN/>
              <w:bidi w:val="0"/>
              <w:spacing w:line="480" w:lineRule="exact"/>
              <w:textAlignment w:val="auto"/>
              <w:rPr>
                <w:rFonts w:hint="eastAsia" w:ascii="宋体" w:hAnsi="宋体"/>
                <w:color w:val="auto"/>
                <w:sz w:val="21"/>
                <w:szCs w:val="21"/>
                <w:highlight w:val="none"/>
              </w:rPr>
            </w:pPr>
            <w:r>
              <w:rPr>
                <w:rFonts w:hint="eastAsia" w:ascii="宋体" w:hAnsi="宋体"/>
                <w:color w:val="auto"/>
                <w:sz w:val="21"/>
                <w:szCs w:val="21"/>
                <w:highlight w:val="none"/>
              </w:rPr>
              <w:t>供应商提供基础运维</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方案，方案完整，具有很强的操作性和高效性</w:t>
            </w:r>
            <w:r>
              <w:rPr>
                <w:rFonts w:hint="eastAsia" w:ascii="宋体" w:hAnsi="宋体"/>
                <w:color w:val="auto"/>
                <w:sz w:val="21"/>
                <w:szCs w:val="21"/>
                <w:highlight w:val="none"/>
                <w:lang w:eastAsia="zh-CN"/>
              </w:rPr>
              <w:t>，</w:t>
            </w:r>
            <w:r>
              <w:rPr>
                <w:rFonts w:hint="eastAsia" w:ascii="宋体" w:hAnsi="宋体"/>
                <w:color w:val="auto"/>
                <w:sz w:val="21"/>
                <w:szCs w:val="21"/>
                <w:highlight w:val="none"/>
              </w:rPr>
              <w:t>得10分；方案较完整，具有较强的操作性和高效性，得7分；方案一般，操作性和高效性一般，得</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分；方案不完整，操作性和高效性差，得0分。</w:t>
            </w:r>
          </w:p>
          <w:p>
            <w:pPr>
              <w:keepNext w:val="0"/>
              <w:keepLines w:val="0"/>
              <w:pageBreakBefore w:val="0"/>
              <w:kinsoku/>
              <w:wordWrap/>
              <w:overflowPunct/>
              <w:topLinePunct w:val="0"/>
              <w:autoSpaceDE/>
              <w:autoSpaceDN/>
              <w:bidi w:val="0"/>
              <w:spacing w:line="480" w:lineRule="exact"/>
              <w:textAlignment w:val="auto"/>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3.网络安全专项服务方案（10分）</w:t>
            </w:r>
          </w:p>
          <w:p>
            <w:pPr>
              <w:pStyle w:val="6"/>
              <w:keepNext w:val="0"/>
              <w:keepLines w:val="0"/>
              <w:pageBreakBefore w:val="0"/>
              <w:widowControl w:val="0"/>
              <w:kinsoku/>
              <w:wordWrap/>
              <w:overflowPunct/>
              <w:topLinePunct w:val="0"/>
              <w:autoSpaceDE/>
              <w:autoSpaceDN/>
              <w:bidi w:val="0"/>
              <w:adjustRightInd/>
              <w:snapToGrid/>
              <w:spacing w:line="480" w:lineRule="exact"/>
              <w:textAlignment w:val="auto"/>
              <w:rPr>
                <w:color w:val="auto"/>
                <w:highlight w:val="none"/>
              </w:rPr>
            </w:pPr>
            <w:r>
              <w:rPr>
                <w:rFonts w:hint="eastAsia" w:ascii="宋体" w:hAnsi="宋体" w:eastAsia="宋体" w:cs="Times New Roman"/>
                <w:color w:val="auto"/>
                <w:kern w:val="2"/>
                <w:sz w:val="21"/>
                <w:szCs w:val="21"/>
                <w:highlight w:val="none"/>
                <w:lang w:val="en-US" w:eastAsia="zh-CN" w:bidi="ar-SA"/>
              </w:rPr>
              <w:t>供应商提供网络安全专项服务方案，方案完整，具有很强的操作性和高效性，得10分；方案较完整，具有较强的操作性和高效性，得7分；方案一般，操作性和高效性一般，得4分；方案不完整，操作性和高效性差，得0分。</w:t>
            </w:r>
          </w:p>
        </w:tc>
        <w:tc>
          <w:tcPr>
            <w:tcW w:w="911" w:type="pct"/>
            <w:vAlign w:val="center"/>
          </w:tcPr>
          <w:p>
            <w:pPr>
              <w:spacing w:line="360" w:lineRule="auto"/>
              <w:ind w:left="-38"/>
              <w:rPr>
                <w:rFonts w:ascii="宋体" w:hAnsi="宋体"/>
                <w:color w:val="auto"/>
                <w:sz w:val="21"/>
                <w:szCs w:val="21"/>
                <w:highlight w:val="none"/>
              </w:rPr>
            </w:pPr>
          </w:p>
          <w:p>
            <w:pPr>
              <w:spacing w:line="360" w:lineRule="auto"/>
              <w:ind w:left="-38"/>
              <w:rPr>
                <w:rFonts w:ascii="宋体" w:hAnsi="宋体"/>
                <w:color w:val="auto"/>
                <w:sz w:val="21"/>
                <w:szCs w:val="21"/>
                <w:highlight w:val="none"/>
              </w:rPr>
            </w:pPr>
          </w:p>
          <w:p>
            <w:pPr>
              <w:spacing w:line="360" w:lineRule="auto"/>
              <w:ind w:left="-38"/>
              <w:rPr>
                <w:rFonts w:hint="eastAsia" w:ascii="宋体" w:hAnsi="宋体" w:eastAsia="宋体"/>
                <w:color w:val="auto"/>
                <w:sz w:val="21"/>
                <w:szCs w:val="21"/>
                <w:highlight w:val="none"/>
                <w:lang w:eastAsia="zh-CN"/>
              </w:rPr>
            </w:pPr>
            <w:r>
              <w:rPr>
                <w:rFonts w:hint="default" w:ascii="Times New Roman" w:hAnsi="Times New Roman" w:cs="Times New Roman"/>
                <w:color w:val="auto"/>
                <w:sz w:val="21"/>
                <w:szCs w:val="21"/>
                <w:highlight w:val="none"/>
              </w:rPr>
              <w:t>根据供应商提供的方案进行打分</w:t>
            </w:r>
            <w:r>
              <w:rPr>
                <w:rFonts w:hint="eastAsia" w:ascii="Times New Roman" w:hAnsi="Times New Roman"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8" w:type="pct"/>
            <w:vMerge w:val="restart"/>
            <w:vAlign w:val="center"/>
          </w:tcPr>
          <w:p>
            <w:pPr>
              <w:spacing w:line="360" w:lineRule="auto"/>
              <w:ind w:firstLine="28"/>
              <w:jc w:val="center"/>
              <w:rPr>
                <w:rFonts w:ascii="宋体" w:hAnsi="宋体"/>
                <w:color w:val="auto"/>
                <w:sz w:val="21"/>
                <w:szCs w:val="21"/>
                <w:highlight w:val="none"/>
              </w:rPr>
            </w:pPr>
            <w:r>
              <w:rPr>
                <w:rFonts w:hint="eastAsia" w:ascii="宋体" w:hAnsi="宋体"/>
                <w:color w:val="auto"/>
                <w:sz w:val="21"/>
                <w:szCs w:val="21"/>
                <w:highlight w:val="none"/>
              </w:rPr>
              <w:t>3</w:t>
            </w:r>
          </w:p>
        </w:tc>
        <w:tc>
          <w:tcPr>
            <w:tcW w:w="530" w:type="pct"/>
            <w:vMerge w:val="restart"/>
            <w:vAlign w:val="center"/>
          </w:tcPr>
          <w:p>
            <w:pPr>
              <w:spacing w:line="360" w:lineRule="auto"/>
              <w:jc w:val="both"/>
              <w:rPr>
                <w:rFonts w:ascii="宋体" w:hAnsi="宋体"/>
                <w:color w:val="auto"/>
                <w:sz w:val="21"/>
                <w:szCs w:val="21"/>
                <w:highlight w:val="none"/>
              </w:rPr>
            </w:pPr>
            <w:r>
              <w:rPr>
                <w:rFonts w:hint="eastAsia" w:ascii="宋体" w:hAnsi="宋体"/>
                <w:color w:val="auto"/>
                <w:sz w:val="21"/>
                <w:szCs w:val="21"/>
                <w:highlight w:val="none"/>
              </w:rPr>
              <w:t>商务部分（</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rPr>
              <w:t>%）</w:t>
            </w:r>
          </w:p>
        </w:tc>
        <w:tc>
          <w:tcPr>
            <w:tcW w:w="656" w:type="pct"/>
            <w:vAlign w:val="center"/>
          </w:tcPr>
          <w:p>
            <w:pPr>
              <w:spacing w:line="360" w:lineRule="auto"/>
              <w:ind w:firstLine="0"/>
              <w:jc w:val="center"/>
              <w:rPr>
                <w:rFonts w:hint="eastAsia"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参与护网行动业绩</w:t>
            </w:r>
          </w:p>
          <w:p>
            <w:pPr>
              <w:spacing w:line="360" w:lineRule="auto"/>
              <w:ind w:firstLine="0" w:firstLineChars="0"/>
              <w:jc w:val="center"/>
              <w:rPr>
                <w:rFonts w:ascii="宋体" w:hAnsi="宋体"/>
                <w:color w:val="auto"/>
                <w:sz w:val="21"/>
                <w:szCs w:val="21"/>
                <w:highlight w:val="none"/>
              </w:rPr>
            </w:pPr>
            <w:r>
              <w:rPr>
                <w:rFonts w:hint="eastAsia" w:ascii="宋体" w:hAnsi="宋体" w:cs="Times New Roman"/>
                <w:color w:val="auto"/>
                <w:sz w:val="21"/>
                <w:szCs w:val="21"/>
                <w:highlight w:val="none"/>
              </w:rPr>
              <w:t>（</w:t>
            </w:r>
            <w:r>
              <w:rPr>
                <w:rFonts w:hint="eastAsia" w:ascii="宋体" w:hAnsi="宋体" w:cs="Times New Roman"/>
                <w:color w:val="auto"/>
                <w:sz w:val="21"/>
                <w:szCs w:val="21"/>
                <w:highlight w:val="none"/>
                <w:lang w:val="en-US" w:eastAsia="zh-CN"/>
              </w:rPr>
              <w:t>3%</w:t>
            </w:r>
            <w:r>
              <w:rPr>
                <w:rFonts w:hint="eastAsia" w:ascii="宋体" w:hAnsi="宋体" w:cs="Times New Roman"/>
                <w:color w:val="auto"/>
                <w:sz w:val="21"/>
                <w:szCs w:val="21"/>
                <w:highlight w:val="none"/>
              </w:rPr>
              <w:t>）</w:t>
            </w:r>
          </w:p>
        </w:tc>
        <w:tc>
          <w:tcPr>
            <w:tcW w:w="398" w:type="pct"/>
            <w:vAlign w:val="center"/>
          </w:tcPr>
          <w:p>
            <w:pPr>
              <w:spacing w:line="360" w:lineRule="auto"/>
              <w:ind w:firstLine="28"/>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3分</w:t>
            </w:r>
          </w:p>
        </w:tc>
        <w:tc>
          <w:tcPr>
            <w:tcW w:w="2234" w:type="pct"/>
            <w:vAlign w:val="center"/>
          </w:tcPr>
          <w:p>
            <w:pPr>
              <w:spacing w:line="360" w:lineRule="auto"/>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参与护网行动业绩（3分）</w:t>
            </w:r>
          </w:p>
          <w:p>
            <w:pPr>
              <w:spacing w:line="360" w:lineRule="auto"/>
              <w:rPr>
                <w:rFonts w:hint="eastAsia" w:ascii="宋体" w:hAnsi="宋体" w:cs="宋体"/>
                <w:color w:val="auto"/>
                <w:sz w:val="21"/>
                <w:szCs w:val="21"/>
                <w:highlight w:val="none"/>
              </w:rPr>
            </w:pPr>
            <w:r>
              <w:rPr>
                <w:rFonts w:hint="eastAsia" w:ascii="宋体" w:hAnsi="宋体" w:eastAsia="宋体" w:cs="Times New Roman"/>
                <w:color w:val="auto"/>
                <w:kern w:val="2"/>
                <w:sz w:val="21"/>
                <w:szCs w:val="21"/>
                <w:highlight w:val="none"/>
                <w:lang w:val="en-US" w:eastAsia="zh-CN" w:bidi="ar-SA"/>
              </w:rPr>
              <w:t>2021年1月1日起至今作为攻击方参加省级护网行动或省级网络安全攻防演练等类似活动。提供得一个得</w:t>
            </w:r>
            <w:r>
              <w:rPr>
                <w:rFonts w:hint="eastAsia" w:ascii="宋体" w:hAnsi="宋体" w:cs="Times New Roman"/>
                <w:color w:val="auto"/>
                <w:kern w:val="2"/>
                <w:sz w:val="21"/>
                <w:szCs w:val="21"/>
                <w:highlight w:val="none"/>
                <w:lang w:val="en-US" w:eastAsia="zh-CN" w:bidi="ar-SA"/>
              </w:rPr>
              <w:t>3</w:t>
            </w:r>
            <w:r>
              <w:rPr>
                <w:rFonts w:hint="eastAsia" w:ascii="宋体" w:hAnsi="宋体" w:eastAsia="宋体" w:cs="Times New Roman"/>
                <w:color w:val="auto"/>
                <w:kern w:val="2"/>
                <w:sz w:val="21"/>
                <w:szCs w:val="21"/>
                <w:highlight w:val="none"/>
                <w:lang w:val="en-US" w:eastAsia="zh-CN" w:bidi="ar-SA"/>
              </w:rPr>
              <w:t>分，不提供得0分。</w:t>
            </w:r>
          </w:p>
        </w:tc>
        <w:tc>
          <w:tcPr>
            <w:tcW w:w="911" w:type="pct"/>
            <w:vAlign w:val="center"/>
          </w:tcPr>
          <w:p>
            <w:pPr>
              <w:spacing w:line="360" w:lineRule="auto"/>
              <w:ind w:left="-38" w:leftChars="0"/>
              <w:rPr>
                <w:rFonts w:hint="eastAsia" w:ascii="宋体" w:hAnsi="宋体" w:cs="宋体"/>
                <w:color w:val="auto"/>
                <w:sz w:val="21"/>
                <w:szCs w:val="21"/>
                <w:highlight w:val="none"/>
              </w:rPr>
            </w:pPr>
            <w:r>
              <w:rPr>
                <w:rFonts w:hint="eastAsia" w:ascii="宋体" w:hAnsi="宋体"/>
                <w:color w:val="auto"/>
                <w:sz w:val="21"/>
                <w:szCs w:val="21"/>
                <w:highlight w:val="none"/>
              </w:rPr>
              <w:t>供应商须提供</w:t>
            </w:r>
            <w:r>
              <w:rPr>
                <w:rFonts w:hint="eastAsia" w:ascii="宋体" w:hAnsi="宋体"/>
                <w:color w:val="auto"/>
                <w:sz w:val="21"/>
                <w:szCs w:val="21"/>
                <w:highlight w:val="none"/>
                <w:lang w:val="en-US" w:eastAsia="zh-CN"/>
              </w:rPr>
              <w:t>书面证明资料原件或复印件（例如邀请函、获奖证书或证明函等），盖供应商鲜章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8" w:type="pct"/>
            <w:vMerge w:val="continue"/>
            <w:vAlign w:val="center"/>
          </w:tcPr>
          <w:p>
            <w:pPr>
              <w:spacing w:line="360" w:lineRule="auto"/>
              <w:ind w:firstLine="28"/>
              <w:jc w:val="center"/>
              <w:rPr>
                <w:rFonts w:ascii="宋体" w:hAnsi="宋体"/>
                <w:color w:val="auto"/>
                <w:sz w:val="21"/>
                <w:szCs w:val="21"/>
                <w:highlight w:val="none"/>
              </w:rPr>
            </w:pPr>
          </w:p>
        </w:tc>
        <w:tc>
          <w:tcPr>
            <w:tcW w:w="530" w:type="pct"/>
            <w:vMerge w:val="continue"/>
            <w:vAlign w:val="center"/>
          </w:tcPr>
          <w:p>
            <w:pPr>
              <w:spacing w:line="360" w:lineRule="auto"/>
              <w:ind w:firstLine="28"/>
              <w:jc w:val="center"/>
              <w:rPr>
                <w:rFonts w:ascii="宋体" w:hAnsi="宋体"/>
                <w:color w:val="auto"/>
                <w:sz w:val="21"/>
                <w:szCs w:val="21"/>
                <w:highlight w:val="none"/>
              </w:rPr>
            </w:pPr>
          </w:p>
        </w:tc>
        <w:tc>
          <w:tcPr>
            <w:tcW w:w="656" w:type="pct"/>
            <w:vAlign w:val="center"/>
          </w:tcPr>
          <w:p>
            <w:pPr>
              <w:spacing w:line="360" w:lineRule="auto"/>
              <w:jc w:val="center"/>
              <w:rPr>
                <w:rFonts w:hint="default"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企业实力</w:t>
            </w:r>
          </w:p>
          <w:p>
            <w:pPr>
              <w:spacing w:line="360" w:lineRule="auto"/>
              <w:ind w:firstLine="0" w:firstLineChars="0"/>
              <w:jc w:val="center"/>
              <w:rPr>
                <w:rFonts w:ascii="宋体" w:hAnsi="宋体"/>
                <w:color w:val="auto"/>
                <w:sz w:val="21"/>
                <w:szCs w:val="21"/>
                <w:highlight w:val="none"/>
              </w:rPr>
            </w:pPr>
            <w:r>
              <w:rPr>
                <w:rFonts w:hint="eastAsia" w:ascii="宋体" w:hAnsi="宋体" w:cs="Times New Roman"/>
                <w:color w:val="auto"/>
                <w:sz w:val="21"/>
                <w:szCs w:val="21"/>
                <w:highlight w:val="none"/>
              </w:rPr>
              <w:t>（</w:t>
            </w:r>
            <w:r>
              <w:rPr>
                <w:rFonts w:hint="eastAsia" w:ascii="宋体" w:hAnsi="宋体" w:cs="Times New Roman"/>
                <w:color w:val="auto"/>
                <w:sz w:val="21"/>
                <w:szCs w:val="21"/>
                <w:highlight w:val="none"/>
                <w:lang w:val="en-US" w:eastAsia="zh-CN"/>
              </w:rPr>
              <w:t>4%</w:t>
            </w:r>
            <w:r>
              <w:rPr>
                <w:rFonts w:hint="eastAsia" w:ascii="宋体" w:hAnsi="宋体" w:cs="Times New Roman"/>
                <w:color w:val="auto"/>
                <w:sz w:val="21"/>
                <w:szCs w:val="21"/>
                <w:highlight w:val="none"/>
              </w:rPr>
              <w:t>）</w:t>
            </w:r>
          </w:p>
        </w:tc>
        <w:tc>
          <w:tcPr>
            <w:tcW w:w="398" w:type="pct"/>
            <w:vAlign w:val="center"/>
          </w:tcPr>
          <w:p>
            <w:pPr>
              <w:spacing w:line="360" w:lineRule="auto"/>
              <w:ind w:firstLine="28"/>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4分</w:t>
            </w:r>
          </w:p>
        </w:tc>
        <w:tc>
          <w:tcPr>
            <w:tcW w:w="2234" w:type="pct"/>
            <w:vAlign w:val="center"/>
          </w:tcPr>
          <w:p>
            <w:pPr>
              <w:spacing w:line="360" w:lineRule="auto"/>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供应商实力（4分）</w:t>
            </w:r>
          </w:p>
          <w:p>
            <w:pPr>
              <w:spacing w:line="360" w:lineRule="auto"/>
              <w:rPr>
                <w:rFonts w:hint="eastAsia"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（1）供应商具有ISO27001信息安全管理体系认证证书得2分，没有得0分。</w:t>
            </w:r>
          </w:p>
          <w:p>
            <w:pPr>
              <w:spacing w:line="360" w:lineRule="auto"/>
              <w:rPr>
                <w:rFonts w:hint="eastAsia" w:ascii="宋体" w:hAnsi="宋体" w:eastAsia="宋体" w:cs="宋体"/>
                <w:color w:val="auto"/>
                <w:sz w:val="21"/>
                <w:szCs w:val="21"/>
                <w:highlight w:val="none"/>
                <w:lang w:eastAsia="zh-CN"/>
              </w:rPr>
            </w:pPr>
            <w:r>
              <w:rPr>
                <w:rFonts w:hint="eastAsia" w:ascii="宋体" w:hAnsi="宋体" w:cs="Times New Roman"/>
                <w:color w:val="auto"/>
                <w:kern w:val="2"/>
                <w:sz w:val="21"/>
                <w:szCs w:val="21"/>
                <w:highlight w:val="none"/>
                <w:lang w:val="en-US" w:eastAsia="zh-CN" w:bidi="ar-SA"/>
              </w:rPr>
              <w:t>（2）供应商具有ISO9001质量管理体系认证证书，得2分，没有得0分。</w:t>
            </w:r>
          </w:p>
        </w:tc>
        <w:tc>
          <w:tcPr>
            <w:tcW w:w="911" w:type="pct"/>
            <w:vAlign w:val="center"/>
          </w:tcPr>
          <w:p>
            <w:pPr>
              <w:spacing w:line="360" w:lineRule="auto"/>
              <w:ind w:left="-38" w:leftChars="0"/>
              <w:rPr>
                <w:rFonts w:hint="eastAsia" w:ascii="宋体" w:hAnsi="宋体" w:cs="宋体"/>
                <w:color w:val="auto"/>
                <w:sz w:val="21"/>
                <w:szCs w:val="21"/>
                <w:highlight w:val="none"/>
              </w:rPr>
            </w:pPr>
            <w:r>
              <w:rPr>
                <w:rFonts w:hint="eastAsia" w:ascii="宋体" w:hAnsi="宋体"/>
                <w:color w:val="auto"/>
                <w:sz w:val="21"/>
                <w:szCs w:val="21"/>
                <w:highlight w:val="none"/>
                <w:lang w:val="en-US" w:eastAsia="zh-CN"/>
              </w:rPr>
              <w:t>提供证书复印件，盖供应商鲜章。</w:t>
            </w:r>
          </w:p>
        </w:tc>
      </w:tr>
      <w:bookmarkEnd w:id="138"/>
    </w:tbl>
    <w:p>
      <w:pPr>
        <w:pStyle w:val="5"/>
        <w:spacing w:before="0" w:after="0" w:line="540" w:lineRule="exact"/>
        <w:rPr>
          <w:rFonts w:ascii="宋体" w:hAnsi="宋体" w:cs="宋体"/>
          <w:color w:val="auto"/>
          <w:sz w:val="24"/>
          <w:szCs w:val="24"/>
          <w:highlight w:val="none"/>
        </w:rPr>
      </w:pPr>
      <w:r>
        <w:rPr>
          <w:rFonts w:hint="eastAsia" w:ascii="宋体" w:hAnsi="宋体" w:cs="宋体"/>
          <w:color w:val="auto"/>
          <w:sz w:val="24"/>
          <w:szCs w:val="24"/>
          <w:highlight w:val="none"/>
        </w:rPr>
        <w:t>注：</w:t>
      </w:r>
      <w:bookmarkEnd w:id="139"/>
      <w:bookmarkEnd w:id="140"/>
    </w:p>
    <w:p>
      <w:pPr>
        <w:pStyle w:val="5"/>
        <w:spacing w:before="0" w:after="0" w:line="540" w:lineRule="exact"/>
        <w:ind w:firstLine="480" w:firstLineChars="200"/>
        <w:rPr>
          <w:rFonts w:ascii="宋体" w:hAnsi="宋体" w:cs="宋体"/>
          <w:b w:val="0"/>
          <w:bCs/>
          <w:color w:val="auto"/>
          <w:sz w:val="24"/>
          <w:szCs w:val="24"/>
          <w:highlight w:val="none"/>
        </w:rPr>
      </w:pPr>
      <w:bookmarkStart w:id="141" w:name="_Toc7520"/>
      <w:bookmarkStart w:id="142" w:name="_Toc13000"/>
      <w:r>
        <w:rPr>
          <w:rFonts w:hint="eastAsia" w:ascii="宋体" w:hAnsi="宋体"/>
          <w:b w:val="0"/>
          <w:bCs/>
          <w:color w:val="auto"/>
          <w:sz w:val="24"/>
          <w:szCs w:val="24"/>
          <w:highlight w:val="none"/>
        </w:rPr>
        <w:t>磋商小组认为，排名在前面的供应商候选人的磋商报价或者某些分项报价明显不合理或者低于成本，有可能影响服务质量和不能诚信履约的，将要求其在规定的期限内提供书面文件予以解释说明，并提交相关证明材料；否则，磋商小组可以取消该供应商候选人资格，按顺序由排在后一位的供应商候选人递补，以此类推。</w:t>
      </w:r>
      <w:bookmarkEnd w:id="141"/>
      <w:bookmarkEnd w:id="142"/>
    </w:p>
    <w:p>
      <w:pPr>
        <w:pStyle w:val="5"/>
        <w:spacing w:before="0" w:after="0" w:line="540" w:lineRule="exact"/>
        <w:ind w:firstLine="482" w:firstLineChars="200"/>
        <w:rPr>
          <w:rFonts w:ascii="宋体" w:hAnsi="宋体" w:cs="宋体"/>
          <w:color w:val="auto"/>
          <w:sz w:val="24"/>
          <w:szCs w:val="24"/>
          <w:highlight w:val="none"/>
        </w:rPr>
      </w:pPr>
      <w:bookmarkStart w:id="143" w:name="_Toc27569"/>
      <w:bookmarkStart w:id="144" w:name="_Toc16259"/>
      <w:bookmarkStart w:id="145" w:name="_Toc30750"/>
      <w:r>
        <w:rPr>
          <w:rFonts w:hint="eastAsia" w:ascii="宋体" w:hAnsi="宋体" w:cs="宋体"/>
          <w:color w:val="auto"/>
          <w:sz w:val="24"/>
          <w:szCs w:val="24"/>
          <w:highlight w:val="none"/>
        </w:rPr>
        <w:t>三、无效响应</w:t>
      </w:r>
      <w:bookmarkEnd w:id="143"/>
      <w:bookmarkEnd w:id="144"/>
      <w:bookmarkEnd w:id="145"/>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供应商发生以下条款情况之一者，视为无效响应，其响应文件将被拒绝：</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（二）供应商的法定代表人（或其授权代表）或自然人未参加磋商；</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（三）供应商所提交的响应文件不按“第七篇响应文件编制要求”要求签署或盖章；</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（四）供应商的最后报价超过采购预算或最高限价的；</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（五）法定代表人为同一个人的两个及两个以上法人，母公司、全资子公司及其控股公司，在同一包采购中同时参与磋商；</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（六）单位负责人为同一人或者存在直接控股、管理关系的不同供应商，参加同一合同项下的政府采购活动的；</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（七）为采购项目提供整体设计、规范编制或者项目管理、监理、检测等服务的供应商，再参加该采购项目的其他采购活动；</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（八）供应商磋商有效期不满足竞争性磋商文件要求的；</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（九）供应商响应文件内容有与国家现行法律法规相违背的内容，或附有采购人无法接受的条件；</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（十）法律、法规和竞争性磋商文件规定的其他无效情形。</w:t>
      </w:r>
    </w:p>
    <w:p>
      <w:pPr>
        <w:pStyle w:val="5"/>
        <w:spacing w:before="0" w:after="0" w:line="540" w:lineRule="exact"/>
        <w:ind w:firstLine="482" w:firstLineChars="200"/>
        <w:rPr>
          <w:rFonts w:ascii="宋体" w:hAnsi="宋体" w:cs="宋体"/>
          <w:color w:val="auto"/>
          <w:sz w:val="24"/>
          <w:szCs w:val="24"/>
          <w:highlight w:val="none"/>
        </w:rPr>
      </w:pPr>
      <w:bookmarkStart w:id="146" w:name="_Toc2611"/>
      <w:bookmarkStart w:id="147" w:name="_Toc28120"/>
      <w:bookmarkStart w:id="148" w:name="_Toc17589"/>
      <w:r>
        <w:rPr>
          <w:rFonts w:hint="eastAsia" w:ascii="宋体" w:hAnsi="宋体" w:cs="宋体"/>
          <w:color w:val="auto"/>
          <w:sz w:val="24"/>
          <w:szCs w:val="24"/>
          <w:highlight w:val="none"/>
        </w:rPr>
        <w:t>四、采购终止</w:t>
      </w:r>
      <w:bookmarkEnd w:id="146"/>
      <w:bookmarkEnd w:id="147"/>
      <w:bookmarkEnd w:id="148"/>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出现下列情形之一的，采购人或者采购代理机构应当终止竞争性磋商采购活动，发布项目终止公告并说明原因，重新开展采购活动：</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（一）因情况变化，不再符合规定的竞争性磋商采购方式适用情形的；</w:t>
      </w:r>
    </w:p>
    <w:p>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pPr>
        <w:spacing w:line="540" w:lineRule="exact"/>
        <w:ind w:firstLine="480" w:firstLineChars="200"/>
        <w:rPr>
          <w:rFonts w:ascii="宋体"/>
          <w:color w:val="auto"/>
          <w:sz w:val="36"/>
          <w:szCs w:val="30"/>
          <w:highlight w:val="none"/>
        </w:rPr>
      </w:pPr>
      <w:r>
        <w:rPr>
          <w:rFonts w:hint="eastAsia" w:ascii="宋体" w:hAnsi="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bookmarkStart w:id="149" w:name="_Toc102227313"/>
    </w:p>
    <w:p>
      <w:pPr>
        <w:snapToGrid w:val="0"/>
        <w:spacing w:line="360" w:lineRule="auto"/>
        <w:rPr>
          <w:rFonts w:ascii="宋体"/>
          <w:color w:val="auto"/>
          <w:sz w:val="36"/>
          <w:szCs w:val="30"/>
          <w:highlight w:val="none"/>
        </w:rPr>
      </w:pPr>
    </w:p>
    <w:p>
      <w:pPr>
        <w:snapToGrid w:val="0"/>
        <w:spacing w:line="360" w:lineRule="auto"/>
        <w:rPr>
          <w:rFonts w:ascii="宋体"/>
          <w:color w:val="auto"/>
          <w:sz w:val="36"/>
          <w:szCs w:val="30"/>
          <w:highlight w:val="none"/>
        </w:rPr>
      </w:pPr>
    </w:p>
    <w:p>
      <w:pPr>
        <w:pStyle w:val="2"/>
        <w:rPr>
          <w:color w:val="auto"/>
          <w:sz w:val="36"/>
          <w:szCs w:val="30"/>
          <w:highlight w:val="none"/>
        </w:rPr>
      </w:pPr>
    </w:p>
    <w:p>
      <w:pPr>
        <w:pStyle w:val="4"/>
        <w:pageBreakBefore/>
        <w:spacing w:line="360" w:lineRule="auto"/>
        <w:jc w:val="center"/>
        <w:rPr>
          <w:rFonts w:ascii="宋体" w:hAnsi="宋体" w:eastAsia="宋体" w:cs="宋体"/>
          <w:b/>
          <w:bCs/>
          <w:color w:val="auto"/>
          <w:sz w:val="32"/>
          <w:szCs w:val="28"/>
          <w:highlight w:val="none"/>
        </w:rPr>
      </w:pPr>
      <w:bookmarkStart w:id="150" w:name="_Toc20130552"/>
      <w:bookmarkStart w:id="151" w:name="_Toc32678"/>
      <w:bookmarkStart w:id="152" w:name="_Toc30537"/>
      <w:r>
        <w:rPr>
          <w:rFonts w:hint="eastAsia" w:ascii="宋体" w:hAnsi="宋体" w:eastAsia="宋体" w:cs="宋体"/>
          <w:b/>
          <w:bCs/>
          <w:color w:val="auto"/>
          <w:sz w:val="32"/>
          <w:szCs w:val="28"/>
          <w:highlight w:val="none"/>
        </w:rPr>
        <w:t>第五篇  供应商须知</w:t>
      </w:r>
      <w:bookmarkEnd w:id="150"/>
      <w:bookmarkEnd w:id="151"/>
      <w:bookmarkEnd w:id="152"/>
    </w:p>
    <w:p>
      <w:pPr>
        <w:pStyle w:val="5"/>
        <w:pageBreakBefore w:val="0"/>
        <w:widowControl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153" w:name="_Toc10978"/>
      <w:bookmarkStart w:id="154" w:name="_Toc11284"/>
      <w:bookmarkStart w:id="155" w:name="_Toc13036"/>
      <w:bookmarkStart w:id="156" w:name="_Toc20130553"/>
      <w:r>
        <w:rPr>
          <w:rFonts w:hint="eastAsia" w:ascii="宋体" w:hAnsi="宋体" w:cs="宋体"/>
          <w:color w:val="auto"/>
          <w:sz w:val="24"/>
          <w:szCs w:val="24"/>
          <w:highlight w:val="none"/>
        </w:rPr>
        <w:t>一、磋商费用</w:t>
      </w:r>
      <w:bookmarkEnd w:id="153"/>
      <w:bookmarkEnd w:id="154"/>
      <w:bookmarkEnd w:id="155"/>
      <w:bookmarkEnd w:id="156"/>
    </w:p>
    <w:p>
      <w:pPr>
        <w:pStyle w:val="20"/>
        <w:pageBreakBefore w:val="0"/>
        <w:widowControl w:val="0"/>
        <w:kinsoku/>
        <w:wordWrap/>
        <w:overflowPunct/>
        <w:topLinePunct w:val="0"/>
        <w:bidi w:val="0"/>
        <w:spacing w:line="500" w:lineRule="exact"/>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pPr>
        <w:pStyle w:val="5"/>
        <w:pageBreakBefore w:val="0"/>
        <w:widowControl w:val="0"/>
        <w:tabs>
          <w:tab w:val="left" w:pos="2640"/>
        </w:tabs>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157" w:name="_Toc20130554"/>
      <w:bookmarkStart w:id="158" w:name="_Toc12044"/>
      <w:bookmarkStart w:id="159" w:name="_Toc21212"/>
      <w:bookmarkStart w:id="160" w:name="_Toc6755"/>
      <w:r>
        <w:rPr>
          <w:rFonts w:hint="eastAsia" w:ascii="宋体" w:hAnsi="宋体" w:cs="宋体"/>
          <w:color w:val="auto"/>
          <w:sz w:val="24"/>
          <w:szCs w:val="24"/>
          <w:highlight w:val="none"/>
        </w:rPr>
        <w:t>二、竞争性磋商文件</w:t>
      </w:r>
      <w:bookmarkEnd w:id="157"/>
      <w:bookmarkEnd w:id="158"/>
      <w:bookmarkEnd w:id="159"/>
      <w:bookmarkEnd w:id="160"/>
    </w:p>
    <w:p>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（一）竞争性磋商文件由采购邀请书；采购服务需求；采购商务需求；磋商程序及方法、评审标准、无效响应和采购终止；供应商须知；合同草案条款；响应文件编制要求共七部分组成。</w:t>
      </w:r>
    </w:p>
    <w:p>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（二）采购人（或采购代理机构）所作的一切有效的书面通知、修改及补充，都是竞争性磋商文件不可分割的部分。</w:t>
      </w:r>
    </w:p>
    <w:p>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（三）竞争性磋商文件的解释</w:t>
      </w:r>
    </w:p>
    <w:p>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（四）本竞争性磋商文件中，磋商小组根据与供应商进行磋商可能实质性变动的内容为竞争性磋商文件第二、三、六篇全部内容。</w:t>
      </w:r>
    </w:p>
    <w:p>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（五）评审的依据为竞争性磋商文件和响应文件（含有效的书面承诺）。磋商小组判断响应文件对竞争性磋商文件的响应，仅基于响应文件本身而不靠外部证据。</w:t>
      </w:r>
    </w:p>
    <w:p>
      <w:pPr>
        <w:pStyle w:val="5"/>
        <w:pageBreakBefore w:val="0"/>
        <w:widowControl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161" w:name="_Toc17421"/>
      <w:bookmarkStart w:id="162" w:name="_Toc20130555"/>
      <w:bookmarkStart w:id="163" w:name="_Toc31861"/>
      <w:bookmarkStart w:id="164" w:name="_Toc21393"/>
      <w:r>
        <w:rPr>
          <w:rFonts w:hint="eastAsia" w:ascii="宋体" w:hAnsi="宋体" w:cs="宋体"/>
          <w:color w:val="auto"/>
          <w:sz w:val="24"/>
          <w:szCs w:val="24"/>
          <w:highlight w:val="none"/>
        </w:rPr>
        <w:t>三、磋商要求</w:t>
      </w:r>
      <w:bookmarkEnd w:id="161"/>
      <w:bookmarkEnd w:id="162"/>
      <w:bookmarkEnd w:id="163"/>
      <w:bookmarkEnd w:id="164"/>
    </w:p>
    <w:p>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（一）响应文件</w:t>
      </w:r>
    </w:p>
    <w:p>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2.响应文件组成</w:t>
      </w:r>
    </w:p>
    <w:p>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（二）联合体</w:t>
      </w:r>
    </w:p>
    <w:p>
      <w:pPr>
        <w:pageBreakBefore w:val="0"/>
        <w:widowControl w:val="0"/>
        <w:kinsoku/>
        <w:wordWrap/>
        <w:overflowPunct/>
        <w:topLinePunct w:val="0"/>
        <w:bidi w:val="0"/>
        <w:spacing w:line="500"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本项目不接受联合体磋商。</w:t>
      </w:r>
    </w:p>
    <w:p>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（三）磋商有效期：响应文件及有关承诺文件有效期为提交响应文件截止时间起90天。</w:t>
      </w:r>
    </w:p>
    <w:p>
      <w:pPr>
        <w:pageBreakBefore w:val="0"/>
        <w:widowControl w:val="0"/>
        <w:kinsoku/>
        <w:wordWrap/>
        <w:overflowPunct/>
        <w:topLinePunct w:val="0"/>
        <w:bidi w:val="0"/>
        <w:spacing w:line="50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（四）</w:t>
      </w:r>
      <w:r>
        <w:rPr>
          <w:rFonts w:hint="eastAsia" w:ascii="宋体"/>
          <w:color w:val="auto"/>
          <w:sz w:val="24"/>
          <w:szCs w:val="24"/>
          <w:highlight w:val="none"/>
        </w:rPr>
        <w:t>磋商保证金：</w:t>
      </w:r>
    </w:p>
    <w:p>
      <w:pPr>
        <w:pageBreakBefore w:val="0"/>
        <w:widowControl w:val="0"/>
        <w:kinsoku/>
        <w:wordWrap/>
        <w:overflowPunct/>
        <w:topLinePunct w:val="0"/>
        <w:bidi w:val="0"/>
        <w:spacing w:line="500" w:lineRule="exact"/>
        <w:ind w:firstLine="480" w:firstLineChars="200"/>
        <w:textAlignment w:val="auto"/>
        <w:rPr>
          <w:rFonts w:ascii="宋体"/>
          <w:color w:val="auto"/>
          <w:sz w:val="24"/>
          <w:szCs w:val="24"/>
          <w:highlight w:val="none"/>
        </w:rPr>
      </w:pPr>
      <w:r>
        <w:rPr>
          <w:rFonts w:hint="eastAsia" w:ascii="宋体"/>
          <w:color w:val="auto"/>
          <w:sz w:val="24"/>
          <w:szCs w:val="24"/>
          <w:highlight w:val="none"/>
        </w:rPr>
        <w:t>1.供应商提交保证金金额和方式详见本文件第一篇“五、磋商保证金”；</w:t>
      </w:r>
    </w:p>
    <w:p>
      <w:pPr>
        <w:pageBreakBefore w:val="0"/>
        <w:widowControl w:val="0"/>
        <w:kinsoku/>
        <w:wordWrap/>
        <w:overflowPunct/>
        <w:topLinePunct w:val="0"/>
        <w:bidi w:val="0"/>
        <w:spacing w:line="500" w:lineRule="exact"/>
        <w:ind w:firstLine="480" w:firstLineChars="200"/>
        <w:textAlignment w:val="auto"/>
        <w:rPr>
          <w:rFonts w:ascii="宋体"/>
          <w:color w:val="auto"/>
          <w:sz w:val="24"/>
          <w:szCs w:val="24"/>
          <w:highlight w:val="none"/>
        </w:rPr>
      </w:pPr>
      <w:r>
        <w:rPr>
          <w:rFonts w:hint="eastAsia" w:ascii="宋体"/>
          <w:color w:val="auto"/>
          <w:sz w:val="24"/>
          <w:szCs w:val="24"/>
          <w:highlight w:val="none"/>
        </w:rPr>
        <w:t>2.发生以下情况之一者，磋商保证金不予退还：</w:t>
      </w:r>
    </w:p>
    <w:p>
      <w:pPr>
        <w:pageBreakBefore w:val="0"/>
        <w:widowControl w:val="0"/>
        <w:kinsoku/>
        <w:wordWrap/>
        <w:overflowPunct/>
        <w:topLinePunct w:val="0"/>
        <w:bidi w:val="0"/>
        <w:spacing w:line="500" w:lineRule="exact"/>
        <w:ind w:firstLine="480" w:firstLineChars="200"/>
        <w:textAlignment w:val="auto"/>
        <w:rPr>
          <w:rFonts w:ascii="宋体"/>
          <w:color w:val="auto"/>
          <w:sz w:val="24"/>
          <w:szCs w:val="24"/>
          <w:highlight w:val="none"/>
        </w:rPr>
      </w:pPr>
      <w:r>
        <w:rPr>
          <w:rFonts w:hint="eastAsia" w:ascii="宋体"/>
          <w:color w:val="auto"/>
          <w:sz w:val="24"/>
          <w:szCs w:val="24"/>
          <w:highlight w:val="none"/>
        </w:rPr>
        <w:t>2.1 供应商在提交响应文件截止时间后撤回响应文件的；</w:t>
      </w:r>
    </w:p>
    <w:p>
      <w:pPr>
        <w:pageBreakBefore w:val="0"/>
        <w:widowControl w:val="0"/>
        <w:kinsoku/>
        <w:wordWrap/>
        <w:overflowPunct/>
        <w:topLinePunct w:val="0"/>
        <w:bidi w:val="0"/>
        <w:spacing w:line="500" w:lineRule="exact"/>
        <w:ind w:firstLine="480" w:firstLineChars="200"/>
        <w:textAlignment w:val="auto"/>
        <w:rPr>
          <w:rFonts w:ascii="宋体"/>
          <w:color w:val="auto"/>
          <w:sz w:val="24"/>
          <w:szCs w:val="24"/>
          <w:highlight w:val="none"/>
        </w:rPr>
      </w:pPr>
      <w:r>
        <w:rPr>
          <w:rFonts w:hint="eastAsia" w:ascii="宋体"/>
          <w:color w:val="auto"/>
          <w:sz w:val="24"/>
          <w:szCs w:val="24"/>
          <w:highlight w:val="none"/>
        </w:rPr>
        <w:t>2.2 供应商在响应文件中提供虚假材料的；</w:t>
      </w:r>
    </w:p>
    <w:p>
      <w:pPr>
        <w:pageBreakBefore w:val="0"/>
        <w:widowControl w:val="0"/>
        <w:kinsoku/>
        <w:wordWrap/>
        <w:overflowPunct/>
        <w:topLinePunct w:val="0"/>
        <w:bidi w:val="0"/>
        <w:spacing w:line="500" w:lineRule="exact"/>
        <w:ind w:firstLine="480" w:firstLineChars="200"/>
        <w:textAlignment w:val="auto"/>
        <w:rPr>
          <w:rFonts w:ascii="宋体"/>
          <w:color w:val="auto"/>
          <w:sz w:val="24"/>
          <w:szCs w:val="24"/>
          <w:highlight w:val="none"/>
        </w:rPr>
      </w:pPr>
      <w:r>
        <w:rPr>
          <w:rFonts w:hint="eastAsia" w:ascii="宋体"/>
          <w:color w:val="auto"/>
          <w:sz w:val="24"/>
          <w:szCs w:val="24"/>
          <w:highlight w:val="none"/>
        </w:rPr>
        <w:t>2.3 除因不可抗力或竞争性磋商文件认可的情形以外，成交供应商不与采购人签订合同的；</w:t>
      </w:r>
    </w:p>
    <w:p>
      <w:pPr>
        <w:pageBreakBefore w:val="0"/>
        <w:widowControl w:val="0"/>
        <w:kinsoku/>
        <w:wordWrap/>
        <w:overflowPunct/>
        <w:topLinePunct w:val="0"/>
        <w:bidi w:val="0"/>
        <w:spacing w:line="500" w:lineRule="exact"/>
        <w:ind w:firstLine="480" w:firstLineChars="200"/>
        <w:textAlignment w:val="auto"/>
        <w:rPr>
          <w:rFonts w:ascii="宋体"/>
          <w:color w:val="auto"/>
          <w:sz w:val="24"/>
          <w:szCs w:val="24"/>
          <w:highlight w:val="none"/>
        </w:rPr>
      </w:pPr>
      <w:r>
        <w:rPr>
          <w:rFonts w:hint="eastAsia" w:ascii="宋体"/>
          <w:color w:val="auto"/>
          <w:sz w:val="24"/>
          <w:szCs w:val="24"/>
          <w:highlight w:val="none"/>
        </w:rPr>
        <w:t>2.4 供应商与采购人、其他供应商或者采购代理机构恶意串通的；</w:t>
      </w:r>
    </w:p>
    <w:p>
      <w:pPr>
        <w:pageBreakBefore w:val="0"/>
        <w:widowControl w:val="0"/>
        <w:kinsoku/>
        <w:wordWrap/>
        <w:overflowPunct/>
        <w:topLinePunct w:val="0"/>
        <w:bidi w:val="0"/>
        <w:spacing w:line="500" w:lineRule="exact"/>
        <w:ind w:firstLine="480" w:firstLineChars="200"/>
        <w:textAlignment w:val="auto"/>
        <w:rPr>
          <w:rFonts w:ascii="宋体" w:hAnsi="宋体" w:cs="宋体"/>
          <w:bCs/>
          <w:color w:val="auto"/>
          <w:sz w:val="24"/>
          <w:szCs w:val="24"/>
          <w:highlight w:val="none"/>
        </w:rPr>
      </w:pPr>
      <w:r>
        <w:rPr>
          <w:rFonts w:hint="eastAsia" w:ascii="宋体"/>
          <w:color w:val="auto"/>
          <w:sz w:val="24"/>
          <w:szCs w:val="24"/>
          <w:highlight w:val="none"/>
        </w:rPr>
        <w:t>2.5 成交供应商不按规定的时间或拒绝按成交状态签订合同（即不按照磋商文件确定的合同文本以及采购标的、规格型号、采购金额、采购数量、技术和服务要求等事项签订政府采购合同的）。</w:t>
      </w:r>
    </w:p>
    <w:p>
      <w:pPr>
        <w:pageBreakBefore w:val="0"/>
        <w:widowControl w:val="0"/>
        <w:kinsoku/>
        <w:wordWrap/>
        <w:overflowPunct/>
        <w:topLinePunct w:val="0"/>
        <w:bidi w:val="0"/>
        <w:spacing w:line="50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（五）修正错误</w:t>
      </w:r>
    </w:p>
    <w:p>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1.若供应商所递交的响应文件或最后报价中的价格出现大写金额和小写金额不一致的错误，以大写金额修正为准。</w:t>
      </w:r>
    </w:p>
    <w:p>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pPr>
        <w:pStyle w:val="5"/>
        <w:pageBreakBefore w:val="0"/>
        <w:widowControl w:val="0"/>
        <w:kinsoku/>
        <w:wordWrap/>
        <w:overflowPunct/>
        <w:topLinePunct w:val="0"/>
        <w:bidi w:val="0"/>
        <w:spacing w:before="0" w:after="0" w:line="500" w:lineRule="exact"/>
        <w:ind w:firstLine="480" w:firstLineChars="200"/>
        <w:textAlignment w:val="auto"/>
        <w:rPr>
          <w:rFonts w:ascii="宋体" w:hAnsi="宋体" w:cs="宋体"/>
          <w:b w:val="0"/>
          <w:bCs/>
          <w:color w:val="auto"/>
          <w:sz w:val="24"/>
          <w:szCs w:val="24"/>
          <w:highlight w:val="none"/>
        </w:rPr>
      </w:pPr>
      <w:bookmarkStart w:id="165" w:name="_Toc30702"/>
      <w:bookmarkStart w:id="166" w:name="_Toc23059"/>
      <w:r>
        <w:rPr>
          <w:rFonts w:hint="eastAsia" w:ascii="宋体" w:hAnsi="宋体" w:cs="宋体"/>
          <w:b w:val="0"/>
          <w:bCs/>
          <w:color w:val="auto"/>
          <w:sz w:val="24"/>
          <w:szCs w:val="24"/>
          <w:highlight w:val="none"/>
        </w:rPr>
        <w:t>（六）提交响应文件的份数和签署</w:t>
      </w:r>
      <w:bookmarkEnd w:id="165"/>
      <w:bookmarkEnd w:id="166"/>
    </w:p>
    <w:p>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1.响应文件一式三份，其中正本一份，副本一份，电子文档一份（推荐采用</w:t>
      </w:r>
      <w:r>
        <w:rPr>
          <w:rFonts w:hint="eastAsia" w:ascii="宋体" w:hAnsi="宋体" w:cs="宋体"/>
          <w:color w:val="auto"/>
          <w:sz w:val="24"/>
          <w:szCs w:val="24"/>
          <w:highlight w:val="none"/>
          <w:lang w:val="en-US" w:eastAsia="zh-CN"/>
        </w:rPr>
        <w:t>U</w:t>
      </w:r>
      <w:r>
        <w:rPr>
          <w:rFonts w:hint="eastAsia" w:ascii="宋体" w:hAnsi="宋体" w:cs="宋体"/>
          <w:color w:val="auto"/>
          <w:sz w:val="24"/>
          <w:szCs w:val="24"/>
          <w:highlight w:val="none"/>
        </w:rPr>
        <w:t>盘为电子文档载体）；副本可为正本的复印件，应与正本一致，如出现不一致情况以正本为准。</w:t>
      </w:r>
    </w:p>
    <w:p>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2.在响应文件正本中，竞争性磋商文件第七篇响应文件编制要求中规定签字、盖章的地方必须按其规定签字、盖章。</w:t>
      </w:r>
    </w:p>
    <w:p>
      <w:pPr>
        <w:pStyle w:val="5"/>
        <w:pageBreakBefore w:val="0"/>
        <w:widowControl w:val="0"/>
        <w:kinsoku/>
        <w:wordWrap/>
        <w:overflowPunct/>
        <w:topLinePunct w:val="0"/>
        <w:bidi w:val="0"/>
        <w:spacing w:before="0" w:after="0" w:line="500" w:lineRule="exact"/>
        <w:ind w:firstLine="480" w:firstLineChars="200"/>
        <w:textAlignment w:val="auto"/>
        <w:rPr>
          <w:rFonts w:ascii="宋体" w:hAnsi="宋体" w:cs="宋体"/>
          <w:b w:val="0"/>
          <w:bCs/>
          <w:color w:val="auto"/>
          <w:sz w:val="24"/>
          <w:szCs w:val="24"/>
          <w:highlight w:val="none"/>
        </w:rPr>
      </w:pPr>
      <w:bookmarkStart w:id="167" w:name="_Toc28184"/>
      <w:bookmarkStart w:id="168" w:name="_Toc17960"/>
      <w:r>
        <w:rPr>
          <w:rFonts w:hint="eastAsia" w:ascii="宋体" w:hAnsi="宋体" w:cs="宋体"/>
          <w:b w:val="0"/>
          <w:bCs/>
          <w:color w:val="auto"/>
          <w:sz w:val="24"/>
          <w:szCs w:val="24"/>
          <w:highlight w:val="none"/>
        </w:rPr>
        <w:t>（七）响应文件的递交</w:t>
      </w:r>
      <w:bookmarkEnd w:id="167"/>
      <w:bookmarkEnd w:id="168"/>
    </w:p>
    <w:p>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pPr>
        <w:pStyle w:val="5"/>
        <w:pageBreakBefore w:val="0"/>
        <w:widowControl w:val="0"/>
        <w:kinsoku/>
        <w:wordWrap/>
        <w:overflowPunct/>
        <w:topLinePunct w:val="0"/>
        <w:bidi w:val="0"/>
        <w:spacing w:before="0" w:after="0" w:line="500" w:lineRule="exact"/>
        <w:ind w:firstLine="480" w:firstLineChars="200"/>
        <w:textAlignment w:val="auto"/>
        <w:rPr>
          <w:rFonts w:ascii="宋体" w:hAnsi="宋体" w:cs="宋体"/>
          <w:b w:val="0"/>
          <w:bCs/>
          <w:color w:val="auto"/>
          <w:sz w:val="24"/>
          <w:szCs w:val="24"/>
          <w:highlight w:val="none"/>
        </w:rPr>
      </w:pPr>
      <w:bookmarkStart w:id="169" w:name="_Toc26741"/>
      <w:bookmarkStart w:id="170" w:name="_Toc14105"/>
      <w:r>
        <w:rPr>
          <w:rFonts w:hint="eastAsia" w:ascii="宋体" w:hAnsi="宋体" w:cs="宋体"/>
          <w:b w:val="0"/>
          <w:bCs/>
          <w:color w:val="auto"/>
          <w:sz w:val="24"/>
          <w:szCs w:val="24"/>
          <w:highlight w:val="none"/>
        </w:rPr>
        <w:t>（八）供应商参与人员</w:t>
      </w:r>
      <w:bookmarkEnd w:id="169"/>
      <w:bookmarkEnd w:id="170"/>
    </w:p>
    <w:p>
      <w:pPr>
        <w:pageBreakBefore w:val="0"/>
        <w:widowControl w:val="0"/>
        <w:kinsoku/>
        <w:wordWrap/>
        <w:overflowPunct/>
        <w:topLinePunct w:val="0"/>
        <w:bidi w:val="0"/>
        <w:snapToGrid w:val="0"/>
        <w:spacing w:line="500" w:lineRule="exact"/>
        <w:ind w:firstLine="480" w:firstLineChars="200"/>
        <w:textAlignment w:val="auto"/>
        <w:rPr>
          <w:rFonts w:ascii="宋体"/>
          <w:color w:val="auto"/>
          <w:sz w:val="36"/>
          <w:szCs w:val="30"/>
          <w:highlight w:val="none"/>
        </w:rPr>
      </w:pPr>
      <w:r>
        <w:rPr>
          <w:rFonts w:hint="eastAsia" w:ascii="宋体" w:hAnsi="宋体" w:cs="宋体"/>
          <w:color w:val="auto"/>
          <w:sz w:val="24"/>
          <w:szCs w:val="24"/>
          <w:highlight w:val="none"/>
        </w:rPr>
        <w:t>各个供应商应当派1-2名代表参与磋商，至少1人应为法定代表人（或其授权代表）或自然人（供应商为自然人）。</w:t>
      </w:r>
    </w:p>
    <w:bookmarkEnd w:id="149"/>
    <w:p>
      <w:pPr>
        <w:pStyle w:val="5"/>
        <w:pageBreakBefore w:val="0"/>
        <w:widowControl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171" w:name="_Toc6619"/>
      <w:bookmarkStart w:id="172" w:name="_Toc11725"/>
      <w:bookmarkStart w:id="173" w:name="_Toc25983"/>
      <w:r>
        <w:rPr>
          <w:rFonts w:hint="eastAsia" w:ascii="宋体" w:hAnsi="宋体" w:cs="宋体"/>
          <w:color w:val="auto"/>
          <w:sz w:val="24"/>
          <w:szCs w:val="24"/>
          <w:highlight w:val="none"/>
        </w:rPr>
        <w:t>四、成交供应商的确认和变更</w:t>
      </w:r>
      <w:bookmarkEnd w:id="171"/>
      <w:bookmarkEnd w:id="172"/>
      <w:bookmarkEnd w:id="173"/>
    </w:p>
    <w:p>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（一）成交供应商的确认</w:t>
      </w:r>
    </w:p>
    <w:p>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（二）成交供应商的变更</w:t>
      </w:r>
    </w:p>
    <w:p>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成交供应商拒绝与采购人签订合同的，采购人可以按照评标报告推荐的成交候选供应商顺序，确定排名下一位的候选人为成交供应商，也可以重新开展政府采购活动。</w:t>
      </w:r>
    </w:p>
    <w:p>
      <w:pPr>
        <w:pStyle w:val="5"/>
        <w:pageBreakBefore w:val="0"/>
        <w:widowControl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174" w:name="_Toc4470"/>
      <w:bookmarkStart w:id="175" w:name="_Toc8056"/>
      <w:bookmarkStart w:id="176" w:name="_Toc28983"/>
      <w:bookmarkStart w:id="177" w:name="_Toc20130557"/>
      <w:r>
        <w:rPr>
          <w:rFonts w:hint="eastAsia" w:ascii="宋体" w:hAnsi="宋体" w:cs="宋体"/>
          <w:color w:val="auto"/>
          <w:sz w:val="24"/>
          <w:szCs w:val="24"/>
          <w:highlight w:val="none"/>
        </w:rPr>
        <w:t>五、成交通知</w:t>
      </w:r>
      <w:bookmarkEnd w:id="174"/>
      <w:bookmarkEnd w:id="175"/>
      <w:bookmarkEnd w:id="176"/>
      <w:bookmarkEnd w:id="177"/>
    </w:p>
    <w:p>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（一）成交供应商确定后，采购人或采购代理机构将在“重庆市经济和信息化委员会网”（https://jjxxw.cq.gov.cn/）上发布成交结果公告。</w:t>
      </w:r>
    </w:p>
    <w:p>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bookmarkStart w:id="178" w:name="_Toc20130558"/>
      <w:r>
        <w:rPr>
          <w:rFonts w:hint="eastAsia" w:ascii="宋体" w:hAnsi="宋体" w:cs="宋体"/>
          <w:color w:val="auto"/>
          <w:sz w:val="24"/>
          <w:szCs w:val="24"/>
          <w:highlight w:val="none"/>
        </w:rPr>
        <w:t>（二）结果公告发出同时，采购代理机构将以书面形式发出《成交通知书》。《成交通知书》一经发出即发生法律效力。</w:t>
      </w:r>
    </w:p>
    <w:p>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pPr>
        <w:pStyle w:val="5"/>
        <w:pageBreakBefore w:val="0"/>
        <w:widowControl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179" w:name="_Toc29197"/>
      <w:bookmarkStart w:id="180" w:name="_Toc2451"/>
      <w:bookmarkStart w:id="181" w:name="_Toc32622"/>
      <w:r>
        <w:rPr>
          <w:rFonts w:hint="eastAsia" w:ascii="宋体" w:hAnsi="宋体" w:cs="宋体"/>
          <w:color w:val="auto"/>
          <w:sz w:val="24"/>
          <w:szCs w:val="24"/>
          <w:highlight w:val="none"/>
        </w:rPr>
        <w:t>六、关于质疑和投诉</w:t>
      </w:r>
      <w:bookmarkEnd w:id="178"/>
      <w:bookmarkEnd w:id="179"/>
      <w:bookmarkEnd w:id="180"/>
      <w:bookmarkEnd w:id="181"/>
    </w:p>
    <w:p>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（一）质疑</w:t>
      </w:r>
    </w:p>
    <w:p>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供应商认为采购文件、采购过程和成交结果使自己的权益收到伤害的，可向采购人或采购代理机构以书面形式提出质疑。</w:t>
      </w:r>
    </w:p>
    <w:p>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提出质疑的应当是参与所质疑项目采购活动的供应商。 </w:t>
      </w:r>
    </w:p>
    <w:p>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1.质疑时限、内容</w:t>
      </w:r>
    </w:p>
    <w:p>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供应商认为采购文件、采购过程、成交结果使自己的权益受到损害的，可以在知道或者应知其权益受到损害之日起7个工作日内，以书面形式向采购人、采购代理机构提出质疑。</w:t>
      </w:r>
    </w:p>
    <w:p>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1.2供应商提出质疑应当提交质疑函和必要的证明材料，质疑函应当包括下列内容：</w:t>
      </w:r>
    </w:p>
    <w:p>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1.2.1供应商的姓名或者名称、地址、邮编、联系人及联系电话；</w:t>
      </w:r>
    </w:p>
    <w:p>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1.2.2质疑项目的名称、项目号以及采购执行编号；</w:t>
      </w:r>
    </w:p>
    <w:p>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1.2.3具体、明确的质疑事项和与质疑事项相关的请求；</w:t>
      </w:r>
    </w:p>
    <w:p>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1.2.4事实依据；</w:t>
      </w:r>
    </w:p>
    <w:p>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1.2.5必要的法律依据；</w:t>
      </w:r>
    </w:p>
    <w:p>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1.2.6提出质疑的日期；</w:t>
      </w:r>
    </w:p>
    <w:p>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1.2.7营业执照（或事业单位法人证书，或个体工商户营业执照或有效的自然人身份证明）复印件；</w:t>
      </w:r>
    </w:p>
    <w:p>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1.2.8法定代表人授权委托书原件、法定代表人身份证复印件和其授权代表的身份证复印件（供应商为自然人的提供自然人身份证复印件）；</w:t>
      </w:r>
    </w:p>
    <w:p>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1.3供应商为自然人的，质疑函应当由本人签字；供应商为法人或者其他组织的，质疑函应当由法定代表人、主要负责人，或者其授权代表签字或者盖章，并加盖公章。</w:t>
      </w:r>
    </w:p>
    <w:p>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2.质疑答复</w:t>
      </w:r>
    </w:p>
    <w:p>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采购人、采购代理机构应当在收到供应商的书面质疑后七个工作日内作出答复，并以书面形式通知质疑供应商和其他有关供应商。</w:t>
      </w:r>
    </w:p>
    <w:p>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3.其他</w:t>
      </w:r>
    </w:p>
    <w:p>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3.1供应商应按照《政府采购质疑和投诉办法》（财政部令第94号）及相关法律法规要求，在法定质疑期内一次性提出针对同一采购程序环节的质疑。</w:t>
      </w:r>
    </w:p>
    <w:p>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3.2质疑函范本可在财政部门户网站和中国政府采购网下载。</w:t>
      </w:r>
    </w:p>
    <w:p>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（二）投诉</w:t>
      </w:r>
    </w:p>
    <w:p>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1.供应商对采购人、采购代理机构的答复不满意，或者采购人、采购代理机构未在规定时间内作出答复的，可以在答复期满后15个工作日内按照相关法律法规向财政部门提起投诉。</w:t>
      </w:r>
    </w:p>
    <w:p>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2.供应商应按照《政府采购质疑和投诉办法》（财政部令第94号）及相关法律法规要求递交投诉书和必要的证明材料。投诉书范本可在财政部门户网站和中国政府采购网下载。</w:t>
      </w:r>
    </w:p>
    <w:p>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pPr>
        <w:pStyle w:val="5"/>
        <w:pageBreakBefore w:val="0"/>
        <w:widowControl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182" w:name="_Toc10985"/>
      <w:bookmarkStart w:id="183" w:name="_Toc32126"/>
      <w:bookmarkStart w:id="184" w:name="_Toc23003"/>
      <w:bookmarkStart w:id="185" w:name="_Toc20130559"/>
      <w:r>
        <w:rPr>
          <w:rFonts w:hint="eastAsia" w:ascii="宋体" w:hAnsi="宋体" w:cs="宋体"/>
          <w:color w:val="auto"/>
          <w:sz w:val="24"/>
          <w:szCs w:val="24"/>
          <w:highlight w:val="none"/>
        </w:rPr>
        <w:t>七、采购代理服务费</w:t>
      </w:r>
      <w:bookmarkEnd w:id="182"/>
      <w:bookmarkEnd w:id="183"/>
      <w:bookmarkEnd w:id="184"/>
      <w:bookmarkEnd w:id="185"/>
    </w:p>
    <w:p>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（一）供应商成交后</w:t>
      </w:r>
      <w:r>
        <w:rPr>
          <w:rFonts w:hint="eastAsia" w:ascii="宋体" w:hAnsi="宋体" w:cs="宋体"/>
          <w:color w:val="auto"/>
          <w:sz w:val="24"/>
          <w:highlight w:val="none"/>
        </w:rPr>
        <w:t>向采购代理机构缴纳</w:t>
      </w:r>
      <w:r>
        <w:rPr>
          <w:rFonts w:hint="eastAsia" w:ascii="宋体" w:hAnsi="宋体" w:cs="宋体"/>
          <w:color w:val="auto"/>
          <w:sz w:val="24"/>
          <w:szCs w:val="24"/>
          <w:highlight w:val="none"/>
        </w:rPr>
        <w:t>采购</w:t>
      </w:r>
      <w:r>
        <w:rPr>
          <w:rFonts w:hint="eastAsia" w:ascii="宋体" w:hAnsi="宋体" w:cs="宋体"/>
          <w:color w:val="auto"/>
          <w:sz w:val="24"/>
          <w:highlight w:val="none"/>
        </w:rPr>
        <w:t>代理服务费的，</w:t>
      </w:r>
      <w:r>
        <w:rPr>
          <w:rFonts w:hint="eastAsia" w:ascii="宋体" w:hAnsi="宋体" w:cs="宋体"/>
          <w:color w:val="auto"/>
          <w:sz w:val="24"/>
          <w:szCs w:val="24"/>
          <w:highlight w:val="none"/>
        </w:rPr>
        <w:t>采购</w:t>
      </w:r>
      <w:r>
        <w:rPr>
          <w:rFonts w:hint="eastAsia" w:ascii="宋体" w:hAnsi="宋体" w:cs="宋体"/>
          <w:color w:val="auto"/>
          <w:sz w:val="24"/>
          <w:highlight w:val="none"/>
        </w:rPr>
        <w:t>代理服务费的收取标准按照以下服务类标准执行。</w:t>
      </w:r>
    </w:p>
    <w:tbl>
      <w:tblPr>
        <w:tblStyle w:val="15"/>
        <w:tblW w:w="0" w:type="auto"/>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8"/>
        <w:gridCol w:w="1866"/>
        <w:gridCol w:w="1852"/>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078" w:type="dxa"/>
            <w:tcBorders>
              <w:tl2br w:val="single" w:color="auto" w:sz="4" w:space="0"/>
            </w:tcBorders>
            <w:noWrap w:val="0"/>
            <w:vAlign w:val="top"/>
          </w:tcPr>
          <w:p>
            <w:pPr>
              <w:keepNext w:val="0"/>
              <w:keepLines w:val="0"/>
              <w:pageBreakBefore w:val="0"/>
              <w:widowControl w:val="0"/>
              <w:kinsoku/>
              <w:wordWrap/>
              <w:overflowPunct/>
              <w:topLinePunct w:val="0"/>
              <w:bidi w:val="0"/>
              <w:spacing w:line="500" w:lineRule="exact"/>
              <w:jc w:val="right"/>
              <w:textAlignment w:val="auto"/>
              <w:rPr>
                <w:rFonts w:hint="eastAsia" w:ascii="宋体" w:hAnsi="宋体" w:eastAsia="宋体" w:cs="宋体"/>
                <w:color w:val="auto"/>
                <w:sz w:val="21"/>
                <w:szCs w:val="21"/>
                <w:highlight w:val="none"/>
              </w:rPr>
            </w:pPr>
            <w:bookmarkStart w:id="186" w:name="_Toc2863475"/>
            <w:bookmarkStart w:id="187" w:name="_Toc20130560"/>
            <w:r>
              <w:rPr>
                <w:rFonts w:hint="eastAsia" w:ascii="宋体" w:hAnsi="宋体" w:eastAsia="宋体" w:cs="宋体"/>
                <w:color w:val="auto"/>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8++YPWAAAA&#10;CAEAAA8AAAAAAAAAAQAgAAAAIgAAAGRycy9kb3ducmV2LnhtbFBLAQIUABQAAAAIAIdO4kCVts9z&#10;5gEAALgDAAAOAAAAAAAAAAEAIAAAACUBAABkcnMvZTJvRG9jLnhtbFBLBQYAAAAABgAGAFkBAAB9&#10;BQ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招标类型</w:t>
            </w:r>
          </w:p>
          <w:p>
            <w:pPr>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中标金额（万元）</w:t>
            </w:r>
          </w:p>
        </w:tc>
        <w:tc>
          <w:tcPr>
            <w:tcW w:w="1866" w:type="dxa"/>
            <w:noWrap w:val="0"/>
            <w:vAlign w:val="center"/>
          </w:tcPr>
          <w:p>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852" w:type="dxa"/>
            <w:noWrap w:val="0"/>
            <w:vAlign w:val="center"/>
          </w:tcPr>
          <w:p>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1787" w:type="dxa"/>
            <w:noWrap w:val="0"/>
            <w:vAlign w:val="center"/>
          </w:tcPr>
          <w:p>
            <w:pPr>
              <w:pStyle w:val="21"/>
              <w:keepNext w:val="0"/>
              <w:keepLines w:val="0"/>
              <w:pageBreakBefore w:val="0"/>
              <w:widowControl w:val="0"/>
              <w:pBdr>
                <w:left w:val="none" w:color="auto" w:sz="0" w:space="0"/>
                <w:right w:val="none" w:color="auto" w:sz="0" w:space="0"/>
              </w:pBdr>
              <w:kinsoku/>
              <w:wordWrap/>
              <w:overflowPunct/>
              <w:topLinePunct w:val="0"/>
              <w:bidi w:val="0"/>
              <w:spacing w:before="0" w:beforeAutospacing="0" w:after="0" w:afterAutospacing="0" w:line="50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078" w:type="dxa"/>
            <w:noWrap w:val="0"/>
            <w:vAlign w:val="center"/>
          </w:tcPr>
          <w:p>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100及以下</w:t>
            </w:r>
          </w:p>
        </w:tc>
        <w:tc>
          <w:tcPr>
            <w:tcW w:w="1866" w:type="dxa"/>
            <w:noWrap w:val="0"/>
            <w:vAlign w:val="center"/>
          </w:tcPr>
          <w:p>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852" w:type="dxa"/>
            <w:noWrap w:val="0"/>
            <w:vAlign w:val="center"/>
          </w:tcPr>
          <w:p>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787" w:type="dxa"/>
            <w:noWrap w:val="0"/>
            <w:vAlign w:val="center"/>
          </w:tcPr>
          <w:p>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078" w:type="dxa"/>
            <w:noWrap w:val="0"/>
            <w:vAlign w:val="center"/>
          </w:tcPr>
          <w:p>
            <w:pPr>
              <w:keepNext w:val="0"/>
              <w:keepLines w:val="0"/>
              <w:pageBreakBefore w:val="0"/>
              <w:widowControl w:val="0"/>
              <w:kinsoku/>
              <w:wordWrap/>
              <w:overflowPunct/>
              <w:topLinePunct w:val="0"/>
              <w:bidi w:val="0"/>
              <w:spacing w:line="5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100-</w:t>
            </w:r>
            <w:r>
              <w:rPr>
                <w:rFonts w:hint="eastAsia" w:ascii="宋体" w:hAnsi="宋体" w:cs="宋体"/>
                <w:color w:val="auto"/>
                <w:sz w:val="21"/>
                <w:szCs w:val="21"/>
                <w:highlight w:val="none"/>
                <w:lang w:val="en-US" w:eastAsia="zh-CN"/>
              </w:rPr>
              <w:t>200</w:t>
            </w:r>
          </w:p>
        </w:tc>
        <w:tc>
          <w:tcPr>
            <w:tcW w:w="1866" w:type="dxa"/>
            <w:noWrap w:val="0"/>
            <w:vAlign w:val="center"/>
          </w:tcPr>
          <w:p>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852" w:type="dxa"/>
            <w:noWrap w:val="0"/>
            <w:vAlign w:val="center"/>
          </w:tcPr>
          <w:p>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787" w:type="dxa"/>
            <w:noWrap w:val="0"/>
            <w:vAlign w:val="center"/>
          </w:tcPr>
          <w:p>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bl>
    <w:p>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注：采购代理服务收费按差额定率累进法计算。采购代理服务费按上标准计算出不足3500元的，按3500元记取。</w:t>
      </w:r>
    </w:p>
    <w:p>
      <w:pPr>
        <w:pStyle w:val="5"/>
        <w:pageBreakBefore w:val="0"/>
        <w:widowControl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188" w:name="_Toc13702"/>
      <w:bookmarkStart w:id="189" w:name="_Toc28893"/>
      <w:bookmarkStart w:id="190" w:name="_Toc9166"/>
      <w:bookmarkStart w:id="191" w:name="_Toc20130561"/>
      <w:r>
        <w:rPr>
          <w:rFonts w:hint="eastAsia" w:ascii="宋体" w:hAnsi="宋体" w:cs="宋体"/>
          <w:color w:val="auto"/>
          <w:sz w:val="24"/>
          <w:szCs w:val="24"/>
          <w:highlight w:val="none"/>
        </w:rPr>
        <w:t>八、签订合同</w:t>
      </w:r>
      <w:bookmarkEnd w:id="188"/>
      <w:bookmarkEnd w:id="189"/>
      <w:bookmarkEnd w:id="190"/>
      <w:bookmarkEnd w:id="191"/>
    </w:p>
    <w:p>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一）采购人原则上应在成交通知书发出之日起二十日内和成交供应商签订合同，无正当理由不得拒绝或拖延合同签订。所签订的合同不得对竞争性磋商文件和供应商的响应文件作实质性修改。其他未尽事宜由采购人和成交供应商在采购合同中详细约定。</w:t>
      </w:r>
    </w:p>
    <w:p>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（二）竞争性磋商文件、供应商的响应文件及澄清文件等，均为签订合同的依据。</w:t>
      </w:r>
    </w:p>
    <w:p>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（三）如成交供应商放弃成交项目或在签订合同时擅自改变成交状态的，采购人将按照相关法律法规处理。</w:t>
      </w:r>
    </w:p>
    <w:p>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（四）合同生效条款由供需双方约定，法律、行政法规规定应当办理批准、登记等手续后生效的合同，依照其规定。</w:t>
      </w:r>
    </w:p>
    <w:p>
      <w:pPr>
        <w:pStyle w:val="2"/>
        <w:pageBreakBefore w:val="0"/>
        <w:widowControl w:val="0"/>
        <w:kinsoku/>
        <w:wordWrap/>
        <w:overflowPunct/>
        <w:topLinePunct w:val="0"/>
        <w:bidi w:val="0"/>
        <w:spacing w:line="500" w:lineRule="exact"/>
        <w:ind w:firstLine="480" w:firstLineChars="200"/>
        <w:textAlignment w:val="auto"/>
        <w:rPr>
          <w:color w:val="auto"/>
          <w:highlight w:val="none"/>
        </w:rPr>
      </w:pPr>
      <w:r>
        <w:rPr>
          <w:rFonts w:hint="eastAsia" w:hAnsi="宋体" w:cs="宋体"/>
          <w:color w:val="auto"/>
          <w:highlight w:val="none"/>
        </w:rPr>
        <w:t>（五）除不可抗力等因素外，成交通知书发出后，采购人改变成交结果，或者成交供应商拒绝签订政府采购合同的，应当承担相应的法律责任。</w:t>
      </w:r>
    </w:p>
    <w:bookmarkEnd w:id="186"/>
    <w:bookmarkEnd w:id="187"/>
    <w:p>
      <w:pPr>
        <w:pStyle w:val="2"/>
        <w:spacing w:line="500" w:lineRule="exact"/>
        <w:rPr>
          <w:color w:val="auto"/>
          <w:szCs w:val="24"/>
          <w:highlight w:val="none"/>
        </w:rPr>
      </w:pPr>
    </w:p>
    <w:p>
      <w:pPr>
        <w:snapToGrid w:val="0"/>
        <w:spacing w:line="360" w:lineRule="auto"/>
        <w:jc w:val="center"/>
        <w:rPr>
          <w:rFonts w:ascii="宋体"/>
          <w:color w:val="auto"/>
          <w:sz w:val="44"/>
          <w:highlight w:val="none"/>
        </w:rPr>
        <w:sectPr>
          <w:footerReference r:id="rId5" w:type="default"/>
          <w:pgSz w:w="11907" w:h="16840"/>
          <w:pgMar w:top="1417" w:right="1417" w:bottom="1417" w:left="1417" w:header="850" w:footer="992" w:gutter="0"/>
          <w:pgBorders>
            <w:top w:val="none" w:sz="0" w:space="0"/>
            <w:left w:val="none" w:sz="0" w:space="0"/>
            <w:bottom w:val="none" w:sz="0" w:space="0"/>
            <w:right w:val="none" w:sz="0" w:space="0"/>
          </w:pgBorders>
          <w:pgNumType w:fmt="numberInDash"/>
          <w:cols w:space="0" w:num="1"/>
          <w:rtlGutter w:val="0"/>
          <w:docGrid w:linePitch="312" w:charSpace="0"/>
        </w:sectPr>
      </w:pPr>
      <w:bookmarkStart w:id="192" w:name="_Toc12789072"/>
    </w:p>
    <w:bookmarkEnd w:id="192"/>
    <w:p>
      <w:pPr>
        <w:pStyle w:val="4"/>
        <w:pageBreakBefore/>
        <w:spacing w:line="360" w:lineRule="auto"/>
        <w:jc w:val="center"/>
        <w:rPr>
          <w:rFonts w:ascii="宋体" w:eastAsia="宋体"/>
          <w:b/>
          <w:bCs w:val="0"/>
          <w:color w:val="auto"/>
          <w:sz w:val="32"/>
          <w:szCs w:val="28"/>
          <w:highlight w:val="none"/>
        </w:rPr>
      </w:pPr>
      <w:bookmarkStart w:id="193" w:name="_Toc19857"/>
      <w:bookmarkStart w:id="194" w:name="_Toc8292"/>
      <w:bookmarkStart w:id="195" w:name="_Toc23764521"/>
      <w:r>
        <w:rPr>
          <w:rFonts w:hint="eastAsia" w:ascii="宋体" w:eastAsia="宋体"/>
          <w:b/>
          <w:bCs w:val="0"/>
          <w:color w:val="auto"/>
          <w:sz w:val="32"/>
          <w:szCs w:val="28"/>
          <w:highlight w:val="none"/>
        </w:rPr>
        <w:t>第六篇  合同草案条款</w:t>
      </w:r>
      <w:bookmarkEnd w:id="193"/>
      <w:bookmarkEnd w:id="194"/>
    </w:p>
    <w:p>
      <w:pPr>
        <w:pStyle w:val="5"/>
        <w:pageBreakBefore w:val="0"/>
        <w:widowControl w:val="0"/>
        <w:kinsoku/>
        <w:wordWrap/>
        <w:overflowPunct/>
        <w:topLinePunct w:val="0"/>
        <w:autoSpaceDE/>
        <w:autoSpaceDN/>
        <w:bidi w:val="0"/>
        <w:spacing w:before="0" w:after="0" w:line="500" w:lineRule="exact"/>
        <w:ind w:firstLine="482" w:firstLineChars="200"/>
        <w:textAlignment w:val="auto"/>
        <w:rPr>
          <w:rFonts w:ascii="宋体"/>
          <w:color w:val="auto"/>
          <w:sz w:val="24"/>
          <w:szCs w:val="24"/>
          <w:highlight w:val="none"/>
        </w:rPr>
      </w:pPr>
      <w:bookmarkStart w:id="196" w:name="_Hlt41879464"/>
      <w:bookmarkEnd w:id="196"/>
      <w:bookmarkStart w:id="197" w:name="_Toc16324"/>
      <w:bookmarkStart w:id="198" w:name="_Toc277084870"/>
      <w:bookmarkStart w:id="199" w:name="_Toc285722712"/>
      <w:bookmarkStart w:id="200" w:name="_Toc15310"/>
      <w:bookmarkStart w:id="201" w:name="_Toc508007737"/>
      <w:bookmarkStart w:id="202" w:name="_Toc78194465"/>
      <w:r>
        <w:rPr>
          <w:rFonts w:hint="eastAsia" w:ascii="宋体"/>
          <w:color w:val="auto"/>
          <w:sz w:val="24"/>
          <w:szCs w:val="24"/>
          <w:highlight w:val="none"/>
        </w:rPr>
        <w:t>一、合同主要条款</w:t>
      </w:r>
      <w:bookmarkEnd w:id="197"/>
      <w:bookmarkEnd w:id="198"/>
      <w:bookmarkEnd w:id="199"/>
      <w:bookmarkEnd w:id="200"/>
      <w:bookmarkEnd w:id="201"/>
      <w:bookmarkEnd w:id="202"/>
    </w:p>
    <w:p>
      <w:pPr>
        <w:pageBreakBefore w:val="0"/>
        <w:widowControl w:val="0"/>
        <w:kinsoku/>
        <w:wordWrap/>
        <w:overflowPunct/>
        <w:topLinePunct w:val="0"/>
        <w:autoSpaceDE/>
        <w:autoSpaceDN/>
        <w:bidi w:val="0"/>
        <w:snapToGrid w:val="0"/>
        <w:spacing w:line="500" w:lineRule="exact"/>
        <w:ind w:firstLine="480" w:firstLineChars="200"/>
        <w:textAlignment w:val="auto"/>
        <w:outlineLvl w:val="0"/>
        <w:rPr>
          <w:rFonts w:ascii="宋体"/>
          <w:bCs/>
          <w:color w:val="auto"/>
          <w:sz w:val="24"/>
          <w:highlight w:val="none"/>
        </w:rPr>
      </w:pPr>
      <w:r>
        <w:rPr>
          <w:rFonts w:hint="eastAsia" w:ascii="宋体"/>
          <w:bCs/>
          <w:color w:val="auto"/>
          <w:sz w:val="24"/>
          <w:highlight w:val="none"/>
        </w:rPr>
        <w:t>（一）定义</w:t>
      </w:r>
    </w:p>
    <w:p>
      <w:pPr>
        <w:pageBreakBefore w:val="0"/>
        <w:widowControl w:val="0"/>
        <w:kinsoku/>
        <w:wordWrap/>
        <w:overflowPunct/>
        <w:topLinePunct w:val="0"/>
        <w:autoSpaceDE/>
        <w:autoSpaceDN/>
        <w:bidi w:val="0"/>
        <w:snapToGrid w:val="0"/>
        <w:spacing w:line="500" w:lineRule="exact"/>
        <w:ind w:firstLine="480" w:firstLineChars="200"/>
        <w:textAlignment w:val="auto"/>
        <w:outlineLvl w:val="0"/>
        <w:rPr>
          <w:rFonts w:ascii="宋体"/>
          <w:bCs/>
          <w:color w:val="auto"/>
          <w:sz w:val="24"/>
          <w:highlight w:val="none"/>
        </w:rPr>
      </w:pPr>
      <w:r>
        <w:rPr>
          <w:rFonts w:hint="eastAsia" w:ascii="宋体"/>
          <w:bCs/>
          <w:color w:val="auto"/>
          <w:sz w:val="24"/>
          <w:highlight w:val="none"/>
        </w:rPr>
        <w:t>1.甲方（需方）即采购人，是指通过招标采购，接受服务的各级国家机关、事业单位和团体组织。</w:t>
      </w:r>
    </w:p>
    <w:p>
      <w:pPr>
        <w:pageBreakBefore w:val="0"/>
        <w:widowControl w:val="0"/>
        <w:kinsoku/>
        <w:wordWrap/>
        <w:overflowPunct/>
        <w:topLinePunct w:val="0"/>
        <w:autoSpaceDE/>
        <w:autoSpaceDN/>
        <w:bidi w:val="0"/>
        <w:snapToGrid w:val="0"/>
        <w:spacing w:line="500" w:lineRule="exact"/>
        <w:ind w:firstLine="480" w:firstLineChars="200"/>
        <w:textAlignment w:val="auto"/>
        <w:outlineLvl w:val="0"/>
        <w:rPr>
          <w:rFonts w:ascii="宋体"/>
          <w:bCs/>
          <w:color w:val="auto"/>
          <w:sz w:val="24"/>
          <w:highlight w:val="none"/>
        </w:rPr>
      </w:pPr>
      <w:r>
        <w:rPr>
          <w:rFonts w:hint="eastAsia" w:ascii="宋体"/>
          <w:bCs/>
          <w:color w:val="auto"/>
          <w:sz w:val="24"/>
          <w:highlight w:val="none"/>
        </w:rPr>
        <w:t>2.乙方（供方）即成交供应商，是指中标后提供服务的自然人、法人及其他组织。</w:t>
      </w:r>
    </w:p>
    <w:p>
      <w:pPr>
        <w:pageBreakBefore w:val="0"/>
        <w:widowControl w:val="0"/>
        <w:kinsoku/>
        <w:wordWrap/>
        <w:overflowPunct/>
        <w:topLinePunct w:val="0"/>
        <w:autoSpaceDE/>
        <w:autoSpaceDN/>
        <w:bidi w:val="0"/>
        <w:snapToGrid w:val="0"/>
        <w:spacing w:line="500" w:lineRule="exact"/>
        <w:ind w:firstLine="480" w:firstLineChars="200"/>
        <w:textAlignment w:val="auto"/>
        <w:outlineLvl w:val="0"/>
        <w:rPr>
          <w:rFonts w:ascii="宋体"/>
          <w:bCs/>
          <w:color w:val="auto"/>
          <w:sz w:val="24"/>
          <w:highlight w:val="none"/>
        </w:rPr>
      </w:pPr>
      <w:r>
        <w:rPr>
          <w:rFonts w:hint="eastAsia" w:ascii="宋体"/>
          <w:bCs/>
          <w:color w:val="auto"/>
          <w:sz w:val="24"/>
          <w:highlight w:val="none"/>
        </w:rPr>
        <w:t>3.合同是指由甲乙双方按照采购文件和响应文件的实质性内容，通过协商一致达成的书面协议。</w:t>
      </w:r>
    </w:p>
    <w:p>
      <w:pPr>
        <w:pageBreakBefore w:val="0"/>
        <w:widowControl w:val="0"/>
        <w:kinsoku/>
        <w:wordWrap/>
        <w:overflowPunct/>
        <w:topLinePunct w:val="0"/>
        <w:autoSpaceDE/>
        <w:autoSpaceDN/>
        <w:bidi w:val="0"/>
        <w:snapToGrid w:val="0"/>
        <w:spacing w:line="500" w:lineRule="exact"/>
        <w:ind w:firstLine="480" w:firstLineChars="200"/>
        <w:textAlignment w:val="auto"/>
        <w:outlineLvl w:val="0"/>
        <w:rPr>
          <w:rFonts w:ascii="宋体"/>
          <w:bCs/>
          <w:color w:val="auto"/>
          <w:sz w:val="24"/>
          <w:highlight w:val="none"/>
        </w:rPr>
      </w:pPr>
      <w:r>
        <w:rPr>
          <w:rFonts w:hint="eastAsia" w:ascii="宋体"/>
          <w:bCs/>
          <w:color w:val="auto"/>
          <w:sz w:val="24"/>
          <w:highlight w:val="none"/>
        </w:rPr>
        <w:t>4.合同价格指以中标价格为依据，在供方全面履行合同义务后，需方应支付给供方的金额。</w:t>
      </w:r>
    </w:p>
    <w:p>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（二）服务内容</w:t>
      </w:r>
    </w:p>
    <w:p>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 xml:space="preserve">合同包括以下服务内容： </w:t>
      </w:r>
    </w:p>
    <w:p>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（三）合同价格</w:t>
      </w:r>
    </w:p>
    <w:p>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1.合同价格即合同总价。</w:t>
      </w:r>
    </w:p>
    <w:p>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2.合同价格</w:t>
      </w:r>
      <w:r>
        <w:rPr>
          <w:rFonts w:hint="eastAsia" w:ascii="宋体"/>
          <w:color w:val="auto"/>
          <w:sz w:val="24"/>
          <w:szCs w:val="24"/>
          <w:highlight w:val="none"/>
        </w:rPr>
        <w:t>包括（但不限于）</w:t>
      </w:r>
      <w:r>
        <w:rPr>
          <w:rFonts w:hint="eastAsia" w:ascii="宋体"/>
          <w:color w:val="auto"/>
          <w:sz w:val="24"/>
          <w:szCs w:val="24"/>
          <w:highlight w:val="none"/>
          <w:lang w:val="en-US" w:eastAsia="zh-CN"/>
        </w:rPr>
        <w:t>差旅费、</w:t>
      </w:r>
      <w:r>
        <w:rPr>
          <w:rFonts w:hint="eastAsia" w:ascii="宋体"/>
          <w:color w:val="auto"/>
          <w:sz w:val="24"/>
          <w:szCs w:val="24"/>
          <w:highlight w:val="none"/>
        </w:rPr>
        <w:t>人工费、保险费、税费等所有费用。因乙方供应商自身原因造成漏报、少报皆由其自行承担责任，甲方不再补偿。</w:t>
      </w:r>
    </w:p>
    <w:p>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3.合同价为不变价。</w:t>
      </w:r>
    </w:p>
    <w:p>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（四）转包和分包</w:t>
      </w:r>
    </w:p>
    <w:p>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1.本合同范围的所有服务工作，应由乙方直接提供，不得转让他人提供。</w:t>
      </w:r>
    </w:p>
    <w:p>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2.非经甲方书面同意，乙方不得将本合同范围的服务工作全部或部分转包给他人提供。</w:t>
      </w:r>
    </w:p>
    <w:p>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3.如有转包和未经甲方同意的分包行为，甲方有权解除合同，没收履约保证金并追究乙方的违约责任。</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bCs/>
          <w:color w:val="auto"/>
          <w:sz w:val="24"/>
          <w:highlight w:val="none"/>
        </w:rPr>
        <w:t>（五）质量保证及售后服务</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1.乙方应按采购文件规定要求向甲方提供服务。</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2.在服务期内，乙方应对服务质量负责。</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3.如甲方要求乙方提供履约保证金的，履约保证金的收取和退还应按本项目采购文件第三篇“项目商务要求”的要求处理。</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（六）付款</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1.本合同使用货币币制如未作特别说明均为人民币。</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2.付款方式：银行转账、现金支票。</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3.付款方法：参照本项目采购文件第三篇“项目商务要求”中关于付款方式的约定。</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（七）检查验收</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（八）索赔</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供方对服务与合同要求不符负有责任，并且需方已于规定服务内期内提出索赔，供方应按需方同意的下述一种或多种方法解决索赔事宜。</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（九）知识产权</w:t>
      </w:r>
    </w:p>
    <w:p>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s="宋体"/>
          <w:color w:val="auto"/>
          <w:kern w:val="0"/>
          <w:sz w:val="24"/>
          <w:szCs w:val="24"/>
          <w:highlight w:val="none"/>
        </w:rPr>
        <w:t>甲方在中华人民共和国境内使用乙方提供的服务时免受第三方提出的侵犯其专利权或其它知识产权的起诉。如果第三方提出侵权指控，乙方应承担由此而引起的一切法律责任和费用。</w:t>
      </w:r>
    </w:p>
    <w:p>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（十）合同争议的解决</w:t>
      </w:r>
    </w:p>
    <w:p>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1.当事人友好协商达成一致；</w:t>
      </w:r>
    </w:p>
    <w:p>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2.在60天内当事人协商不能达成协议的，可提请采购人当地仲裁机构仲裁。</w:t>
      </w:r>
    </w:p>
    <w:p>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（十一）违约责任</w:t>
      </w:r>
    </w:p>
    <w:p>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按《中华人民共和国民法典》、《中华人民共和国政府采购法》有关条款，或由供需双方约定。</w:t>
      </w:r>
    </w:p>
    <w:p>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（十二）合同生效及其它</w:t>
      </w:r>
    </w:p>
    <w:p>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hint="eastAsia" w:ascii="宋体"/>
          <w:bCs/>
          <w:color w:val="auto"/>
          <w:sz w:val="24"/>
          <w:highlight w:val="none"/>
        </w:rPr>
      </w:pPr>
      <w:r>
        <w:rPr>
          <w:rFonts w:hint="eastAsia" w:ascii="宋体"/>
          <w:bCs/>
          <w:color w:val="auto"/>
          <w:sz w:val="24"/>
          <w:highlight w:val="none"/>
        </w:rPr>
        <w:t>1.合同生效及其效力应符合《中华人民共和国民法典》有关规定。</w:t>
      </w:r>
    </w:p>
    <w:p>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hint="eastAsia" w:ascii="宋体"/>
          <w:bCs/>
          <w:color w:val="auto"/>
          <w:sz w:val="24"/>
          <w:highlight w:val="none"/>
        </w:rPr>
      </w:pPr>
      <w:r>
        <w:rPr>
          <w:rFonts w:hint="eastAsia" w:ascii="宋体"/>
          <w:bCs/>
          <w:color w:val="auto"/>
          <w:sz w:val="24"/>
          <w:highlight w:val="none"/>
        </w:rPr>
        <w:t>2.合同应经当事人法定代表人或委托代理人签字，加盖双方合同专用章或公章。</w:t>
      </w:r>
    </w:p>
    <w:p>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hint="eastAsia" w:ascii="宋体"/>
          <w:bCs/>
          <w:color w:val="auto"/>
          <w:sz w:val="24"/>
          <w:highlight w:val="none"/>
        </w:rPr>
      </w:pPr>
      <w:r>
        <w:rPr>
          <w:rFonts w:hint="eastAsia" w:ascii="宋体"/>
          <w:bCs/>
          <w:color w:val="auto"/>
          <w:sz w:val="24"/>
          <w:highlight w:val="none"/>
        </w:rPr>
        <w:t>3.合同所包括附件，是合同不可分割的一部分，具有同等法法律效力。</w:t>
      </w:r>
    </w:p>
    <w:p>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hint="eastAsia" w:ascii="宋体"/>
          <w:bCs/>
          <w:color w:val="auto"/>
          <w:sz w:val="24"/>
          <w:highlight w:val="none"/>
        </w:rPr>
      </w:pPr>
      <w:r>
        <w:rPr>
          <w:rFonts w:hint="eastAsia" w:ascii="宋体"/>
          <w:bCs/>
          <w:color w:val="auto"/>
          <w:sz w:val="24"/>
          <w:highlight w:val="none"/>
        </w:rPr>
        <w:t>4.本合同条件未尽事宜依照《中华人民共和国民法典》，由供需双方共同协商确定。</w:t>
      </w:r>
    </w:p>
    <w:p>
      <w:pPr>
        <w:pageBreakBefore w:val="0"/>
        <w:widowControl w:val="0"/>
        <w:kinsoku/>
        <w:wordWrap/>
        <w:overflowPunct/>
        <w:topLinePunct w:val="0"/>
        <w:autoSpaceDE/>
        <w:autoSpaceDN/>
        <w:bidi w:val="0"/>
        <w:snapToGrid w:val="0"/>
        <w:spacing w:line="500" w:lineRule="exact"/>
        <w:ind w:firstLine="480" w:firstLineChars="200"/>
        <w:textAlignment w:val="auto"/>
        <w:outlineLvl w:val="0"/>
        <w:rPr>
          <w:rFonts w:hint="eastAsia" w:ascii="宋体"/>
          <w:bCs/>
          <w:color w:val="auto"/>
          <w:sz w:val="24"/>
          <w:highlight w:val="none"/>
        </w:rPr>
        <w:sectPr>
          <w:footerReference r:id="rId6" w:type="default"/>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12" w:charSpace="0"/>
        </w:sectPr>
      </w:pPr>
    </w:p>
    <w:p>
      <w:pPr>
        <w:spacing w:line="500" w:lineRule="exact"/>
        <w:rPr>
          <w:rFonts w:ascii="宋体" w:hAnsi="宋体" w:cs="宋体"/>
          <w:b/>
          <w:color w:val="auto"/>
          <w:sz w:val="30"/>
          <w:szCs w:val="30"/>
          <w:highlight w:val="none"/>
        </w:rPr>
      </w:pPr>
      <w:r>
        <w:rPr>
          <w:rFonts w:hint="eastAsia" w:ascii="宋体" w:hAnsi="宋体" w:cs="宋体"/>
          <w:b/>
          <w:color w:val="auto"/>
          <w:sz w:val="30"/>
          <w:szCs w:val="30"/>
          <w:highlight w:val="none"/>
        </w:rPr>
        <w:t>二、政府采购合同（格式）</w:t>
      </w:r>
    </w:p>
    <w:p>
      <w:pPr>
        <w:spacing w:line="500" w:lineRule="exact"/>
        <w:jc w:val="center"/>
        <w:rPr>
          <w:rFonts w:ascii="宋体" w:hAnsi="宋体" w:cs="宋体"/>
          <w:b/>
          <w:color w:val="auto"/>
          <w:sz w:val="44"/>
          <w:highlight w:val="none"/>
        </w:rPr>
      </w:pPr>
    </w:p>
    <w:p>
      <w:pPr>
        <w:spacing w:line="500" w:lineRule="exact"/>
        <w:jc w:val="center"/>
        <w:rPr>
          <w:rFonts w:ascii="宋体" w:hAnsi="宋体" w:cs="宋体"/>
          <w:b/>
          <w:color w:val="auto"/>
          <w:sz w:val="44"/>
          <w:highlight w:val="none"/>
        </w:rPr>
      </w:pPr>
      <w:r>
        <w:rPr>
          <w:rFonts w:hint="eastAsia" w:ascii="宋体" w:hAnsi="宋体" w:cs="宋体"/>
          <w:b/>
          <w:color w:val="auto"/>
          <w:sz w:val="44"/>
          <w:highlight w:val="none"/>
        </w:rPr>
        <w:t>重庆市政府采购合同</w:t>
      </w:r>
    </w:p>
    <w:p>
      <w:pPr>
        <w:spacing w:line="500" w:lineRule="exact"/>
        <w:jc w:val="center"/>
        <w:rPr>
          <w:rFonts w:ascii="宋体" w:hAnsi="宋体" w:cs="宋体"/>
          <w:color w:val="auto"/>
          <w:highlight w:val="none"/>
        </w:rPr>
      </w:pPr>
      <w:r>
        <w:rPr>
          <w:rFonts w:hint="eastAsia" w:ascii="宋体" w:hAnsi="宋体" w:cs="宋体"/>
          <w:color w:val="auto"/>
          <w:highlight w:val="none"/>
        </w:rPr>
        <w:t>（项目号：     ）</w:t>
      </w:r>
    </w:p>
    <w:p>
      <w:pPr>
        <w:spacing w:line="500" w:lineRule="exact"/>
        <w:rPr>
          <w:rFonts w:ascii="宋体" w:hAnsi="宋体" w:cs="宋体"/>
          <w:color w:val="auto"/>
          <w:sz w:val="24"/>
          <w:highlight w:val="none"/>
        </w:rPr>
      </w:pPr>
      <w:r>
        <w:rPr>
          <w:rFonts w:hint="eastAsia" w:ascii="宋体" w:hAnsi="宋体" w:cs="宋体"/>
          <w:color w:val="auto"/>
          <w:sz w:val="24"/>
          <w:highlight w:val="none"/>
        </w:rPr>
        <w:t>甲方（需方）：___________________________      计价单位：____________</w:t>
      </w:r>
    </w:p>
    <w:p>
      <w:pPr>
        <w:spacing w:line="500" w:lineRule="exact"/>
        <w:rPr>
          <w:rFonts w:ascii="宋体" w:hAnsi="宋体" w:cs="宋体"/>
          <w:color w:val="auto"/>
          <w:sz w:val="24"/>
          <w:highlight w:val="none"/>
        </w:rPr>
      </w:pPr>
      <w:r>
        <w:rPr>
          <w:rFonts w:hint="eastAsia" w:ascii="宋体" w:hAnsi="宋体" w:cs="宋体"/>
          <w:color w:val="auto"/>
          <w:sz w:val="24"/>
          <w:highlight w:val="none"/>
        </w:rPr>
        <w:t>乙方（供方）：___________________________      计量单位：_____________</w:t>
      </w:r>
    </w:p>
    <w:p>
      <w:pPr>
        <w:spacing w:line="500" w:lineRule="exact"/>
        <w:rPr>
          <w:rFonts w:ascii="宋体" w:hAnsi="宋体" w:cs="宋体"/>
          <w:color w:val="auto"/>
          <w:sz w:val="24"/>
          <w:highlight w:val="none"/>
        </w:rPr>
      </w:pPr>
    </w:p>
    <w:p>
      <w:pPr>
        <w:spacing w:line="500" w:lineRule="exact"/>
        <w:rPr>
          <w:rFonts w:ascii="宋体" w:hAnsi="宋体" w:cs="宋体"/>
          <w:color w:val="auto"/>
          <w:sz w:val="24"/>
          <w:highlight w:val="none"/>
        </w:rPr>
      </w:pPr>
      <w:r>
        <w:rPr>
          <w:rFonts w:hint="eastAsia" w:ascii="宋体" w:hAnsi="宋体" w:cs="宋体"/>
          <w:color w:val="auto"/>
          <w:sz w:val="24"/>
          <w:highlight w:val="none"/>
        </w:rPr>
        <w:t>经双方协商一致，达成以下购销合同：</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3071" w:type="dxa"/>
            <w:vAlign w:val="center"/>
          </w:tcPr>
          <w:p>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磋商项目名称</w:t>
            </w:r>
          </w:p>
        </w:tc>
        <w:tc>
          <w:tcPr>
            <w:tcW w:w="984" w:type="dxa"/>
            <w:vAlign w:val="center"/>
          </w:tcPr>
          <w:p>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数量</w:t>
            </w:r>
          </w:p>
        </w:tc>
        <w:tc>
          <w:tcPr>
            <w:tcW w:w="1298" w:type="dxa"/>
            <w:gridSpan w:val="2"/>
            <w:vAlign w:val="center"/>
          </w:tcPr>
          <w:p>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综合单价</w:t>
            </w:r>
          </w:p>
        </w:tc>
        <w:tc>
          <w:tcPr>
            <w:tcW w:w="1134" w:type="dxa"/>
            <w:vAlign w:val="center"/>
          </w:tcPr>
          <w:p>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总价</w:t>
            </w:r>
          </w:p>
        </w:tc>
        <w:tc>
          <w:tcPr>
            <w:tcW w:w="1559" w:type="dxa"/>
            <w:vAlign w:val="center"/>
          </w:tcPr>
          <w:p>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服务时间</w:t>
            </w:r>
          </w:p>
        </w:tc>
        <w:tc>
          <w:tcPr>
            <w:tcW w:w="1567" w:type="dxa"/>
            <w:vAlign w:val="center"/>
          </w:tcPr>
          <w:p>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3071" w:type="dxa"/>
            <w:vAlign w:val="center"/>
          </w:tcPr>
          <w:p>
            <w:pPr>
              <w:spacing w:line="240" w:lineRule="atLeast"/>
              <w:jc w:val="center"/>
              <w:rPr>
                <w:rFonts w:ascii="宋体" w:hAnsi="宋体" w:cs="宋体"/>
                <w:color w:val="auto"/>
                <w:sz w:val="21"/>
                <w:szCs w:val="21"/>
                <w:highlight w:val="none"/>
              </w:rPr>
            </w:pPr>
          </w:p>
        </w:tc>
        <w:tc>
          <w:tcPr>
            <w:tcW w:w="984" w:type="dxa"/>
            <w:vAlign w:val="center"/>
          </w:tcPr>
          <w:p>
            <w:pPr>
              <w:spacing w:line="240" w:lineRule="atLeast"/>
              <w:jc w:val="center"/>
              <w:rPr>
                <w:rFonts w:ascii="宋体" w:hAnsi="宋体" w:cs="宋体"/>
                <w:color w:val="auto"/>
                <w:sz w:val="21"/>
                <w:szCs w:val="21"/>
                <w:highlight w:val="none"/>
              </w:rPr>
            </w:pPr>
          </w:p>
        </w:tc>
        <w:tc>
          <w:tcPr>
            <w:tcW w:w="1298" w:type="dxa"/>
            <w:gridSpan w:val="2"/>
            <w:vAlign w:val="center"/>
          </w:tcPr>
          <w:p>
            <w:pPr>
              <w:spacing w:line="240" w:lineRule="atLeast"/>
              <w:jc w:val="center"/>
              <w:rPr>
                <w:rFonts w:ascii="宋体" w:hAnsi="宋体" w:cs="宋体"/>
                <w:color w:val="auto"/>
                <w:sz w:val="21"/>
                <w:szCs w:val="21"/>
                <w:highlight w:val="none"/>
              </w:rPr>
            </w:pPr>
          </w:p>
        </w:tc>
        <w:tc>
          <w:tcPr>
            <w:tcW w:w="1134" w:type="dxa"/>
            <w:vAlign w:val="center"/>
          </w:tcPr>
          <w:p>
            <w:pPr>
              <w:spacing w:line="240" w:lineRule="atLeast"/>
              <w:jc w:val="center"/>
              <w:rPr>
                <w:rFonts w:ascii="宋体" w:hAnsi="宋体" w:cs="宋体"/>
                <w:color w:val="auto"/>
                <w:sz w:val="21"/>
                <w:szCs w:val="21"/>
                <w:highlight w:val="none"/>
              </w:rPr>
            </w:pPr>
          </w:p>
        </w:tc>
        <w:tc>
          <w:tcPr>
            <w:tcW w:w="1559" w:type="dxa"/>
            <w:vAlign w:val="center"/>
          </w:tcPr>
          <w:p>
            <w:pPr>
              <w:spacing w:line="240" w:lineRule="atLeast"/>
              <w:jc w:val="center"/>
              <w:rPr>
                <w:rFonts w:ascii="宋体" w:hAnsi="宋体" w:cs="宋体"/>
                <w:color w:val="auto"/>
                <w:sz w:val="21"/>
                <w:szCs w:val="21"/>
                <w:highlight w:val="none"/>
              </w:rPr>
            </w:pPr>
          </w:p>
        </w:tc>
        <w:tc>
          <w:tcPr>
            <w:tcW w:w="1567" w:type="dxa"/>
            <w:vAlign w:val="center"/>
          </w:tcPr>
          <w:p>
            <w:pPr>
              <w:spacing w:line="240" w:lineRule="atLeas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3071" w:type="dxa"/>
            <w:vAlign w:val="center"/>
          </w:tcPr>
          <w:p>
            <w:pPr>
              <w:spacing w:line="240" w:lineRule="atLeast"/>
              <w:jc w:val="center"/>
              <w:rPr>
                <w:rFonts w:ascii="宋体" w:hAnsi="宋体" w:cs="宋体"/>
                <w:color w:val="auto"/>
                <w:sz w:val="21"/>
                <w:szCs w:val="21"/>
                <w:highlight w:val="none"/>
              </w:rPr>
            </w:pPr>
          </w:p>
        </w:tc>
        <w:tc>
          <w:tcPr>
            <w:tcW w:w="984" w:type="dxa"/>
            <w:vAlign w:val="center"/>
          </w:tcPr>
          <w:p>
            <w:pPr>
              <w:spacing w:line="240" w:lineRule="atLeast"/>
              <w:jc w:val="center"/>
              <w:rPr>
                <w:rFonts w:ascii="宋体" w:hAnsi="宋体" w:cs="宋体"/>
                <w:color w:val="auto"/>
                <w:sz w:val="21"/>
                <w:szCs w:val="21"/>
                <w:highlight w:val="none"/>
              </w:rPr>
            </w:pPr>
          </w:p>
        </w:tc>
        <w:tc>
          <w:tcPr>
            <w:tcW w:w="1298" w:type="dxa"/>
            <w:gridSpan w:val="2"/>
            <w:vAlign w:val="center"/>
          </w:tcPr>
          <w:p>
            <w:pPr>
              <w:spacing w:line="240" w:lineRule="atLeast"/>
              <w:jc w:val="center"/>
              <w:rPr>
                <w:rFonts w:ascii="宋体" w:hAnsi="宋体" w:cs="宋体"/>
                <w:color w:val="auto"/>
                <w:sz w:val="21"/>
                <w:szCs w:val="21"/>
                <w:highlight w:val="none"/>
              </w:rPr>
            </w:pPr>
          </w:p>
        </w:tc>
        <w:tc>
          <w:tcPr>
            <w:tcW w:w="1134" w:type="dxa"/>
            <w:vAlign w:val="center"/>
          </w:tcPr>
          <w:p>
            <w:pPr>
              <w:spacing w:line="240" w:lineRule="atLeast"/>
              <w:jc w:val="center"/>
              <w:rPr>
                <w:rFonts w:ascii="宋体" w:hAnsi="宋体" w:cs="宋体"/>
                <w:color w:val="auto"/>
                <w:sz w:val="21"/>
                <w:szCs w:val="21"/>
                <w:highlight w:val="none"/>
              </w:rPr>
            </w:pPr>
          </w:p>
        </w:tc>
        <w:tc>
          <w:tcPr>
            <w:tcW w:w="1559" w:type="dxa"/>
            <w:vAlign w:val="center"/>
          </w:tcPr>
          <w:p>
            <w:pPr>
              <w:spacing w:line="240" w:lineRule="atLeast"/>
              <w:jc w:val="center"/>
              <w:rPr>
                <w:rFonts w:ascii="宋体" w:hAnsi="宋体" w:cs="宋体"/>
                <w:color w:val="auto"/>
                <w:sz w:val="21"/>
                <w:szCs w:val="21"/>
                <w:highlight w:val="none"/>
              </w:rPr>
            </w:pPr>
          </w:p>
        </w:tc>
        <w:tc>
          <w:tcPr>
            <w:tcW w:w="1567" w:type="dxa"/>
            <w:vAlign w:val="center"/>
          </w:tcPr>
          <w:p>
            <w:pPr>
              <w:spacing w:line="240" w:lineRule="atLeas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9613" w:type="dxa"/>
            <w:gridSpan w:val="7"/>
            <w:vAlign w:val="center"/>
          </w:tcPr>
          <w:p>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9613" w:type="dxa"/>
            <w:gridSpan w:val="7"/>
            <w:vAlign w:val="center"/>
          </w:tcPr>
          <w:p>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9613" w:type="dxa"/>
            <w:gridSpan w:val="7"/>
          </w:tcPr>
          <w:p>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pPr>
              <w:spacing w:line="240" w:lineRule="atLeast"/>
              <w:rPr>
                <w:rFonts w:ascii="宋体" w:hAnsi="宋体" w:cs="宋体"/>
                <w:color w:val="auto"/>
                <w:highlight w:val="none"/>
              </w:rPr>
            </w:pPr>
            <w:r>
              <w:rPr>
                <w:rFonts w:hint="eastAsia" w:ascii="宋体" w:hAnsi="宋体" w:cs="宋体"/>
                <w:color w:val="auto"/>
                <w:sz w:val="21"/>
                <w:szCs w:val="21"/>
                <w:highlight w:val="none"/>
              </w:rPr>
              <w:t>三、付款方式：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pPr>
              <w:rPr>
                <w:rFonts w:ascii="宋体" w:hAnsi="宋体" w:cs="宋体"/>
                <w:color w:val="auto"/>
                <w:sz w:val="21"/>
                <w:szCs w:val="21"/>
                <w:highlight w:val="none"/>
              </w:rPr>
            </w:pPr>
            <w:r>
              <w:rPr>
                <w:rFonts w:hint="eastAsia" w:ascii="宋体" w:hAnsi="宋体" w:cs="宋体"/>
                <w:color w:val="auto"/>
                <w:sz w:val="21"/>
                <w:szCs w:val="21"/>
                <w:highlight w:val="none"/>
              </w:rPr>
              <w:t>X、履约保证金：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四、违约责任：</w:t>
            </w:r>
          </w:p>
          <w:p>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五、其他约定事项：</w:t>
            </w:r>
          </w:p>
          <w:p>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1.采购文件及其澄清文件、响应文件和承诺是本合同不可分割的部分。</w:t>
            </w:r>
          </w:p>
          <w:p>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2.本合同如发生争议由双方协商解决，协商不成向需方所在人民法院提请诉讼。</w:t>
            </w:r>
          </w:p>
          <w:p>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3.本合同一式__份， 需方__份，供方__份，具同等法律效力。</w:t>
            </w:r>
          </w:p>
          <w:p>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44" w:type="dxa"/>
            <w:gridSpan w:val="3"/>
          </w:tcPr>
          <w:p>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需方：</w:t>
            </w:r>
          </w:p>
          <w:p>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地址：</w:t>
            </w:r>
          </w:p>
          <w:p>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联系电话：</w:t>
            </w:r>
          </w:p>
          <w:p>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授权代表：</w:t>
            </w:r>
          </w:p>
        </w:tc>
        <w:tc>
          <w:tcPr>
            <w:tcW w:w="4984" w:type="dxa"/>
            <w:gridSpan w:val="5"/>
          </w:tcPr>
          <w:p>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供方：</w:t>
            </w:r>
          </w:p>
          <w:p>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地址：</w:t>
            </w:r>
          </w:p>
          <w:p>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电话：</w:t>
            </w:r>
          </w:p>
          <w:p>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传真：</w:t>
            </w:r>
          </w:p>
          <w:p>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开户银行：</w:t>
            </w:r>
          </w:p>
          <w:p>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账号：</w:t>
            </w:r>
          </w:p>
          <w:p>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授权代表：</w:t>
            </w:r>
          </w:p>
          <w:p>
            <w:pPr>
              <w:widowControl/>
              <w:spacing w:line="240" w:lineRule="atLeast"/>
              <w:jc w:val="left"/>
              <w:rPr>
                <w:rFonts w:ascii="宋体" w:hAnsi="宋体" w:cs="宋体"/>
                <w:color w:val="auto"/>
                <w:sz w:val="21"/>
                <w:szCs w:val="21"/>
                <w:highlight w:val="none"/>
              </w:rPr>
            </w:pPr>
            <w:r>
              <w:rPr>
                <w:rFonts w:hint="eastAsia" w:ascii="宋体" w:hAnsi="宋体" w:cs="宋体"/>
                <w:color w:val="auto"/>
                <w:sz w:val="21"/>
                <w:szCs w:val="21"/>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备注：</w:t>
            </w:r>
          </w:p>
          <w:p>
            <w:pPr>
              <w:spacing w:line="240" w:lineRule="atLeast"/>
              <w:rPr>
                <w:rFonts w:ascii="宋体" w:hAnsi="宋体" w:cs="宋体"/>
                <w:color w:val="auto"/>
                <w:sz w:val="21"/>
                <w:szCs w:val="21"/>
                <w:highlight w:val="none"/>
              </w:rPr>
            </w:pPr>
          </w:p>
          <w:p>
            <w:pPr>
              <w:spacing w:line="240" w:lineRule="atLeast"/>
              <w:rPr>
                <w:rFonts w:ascii="宋体" w:hAnsi="宋体" w:cs="宋体"/>
                <w:color w:val="auto"/>
                <w:sz w:val="21"/>
                <w:szCs w:val="21"/>
                <w:highlight w:val="none"/>
              </w:rPr>
            </w:pPr>
          </w:p>
        </w:tc>
      </w:tr>
    </w:tbl>
    <w:p>
      <w:pPr>
        <w:rPr>
          <w:rFonts w:ascii="宋体" w:hAnsi="宋体" w:cs="宋体"/>
          <w:color w:val="auto"/>
          <w:sz w:val="21"/>
          <w:szCs w:val="21"/>
          <w:highlight w:val="none"/>
        </w:rPr>
        <w:sectPr>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12" w:charSpace="0"/>
        </w:sectPr>
      </w:pPr>
      <w:r>
        <w:rPr>
          <w:rFonts w:hint="eastAsia" w:ascii="宋体" w:hAnsi="宋体" w:cs="宋体"/>
          <w:color w:val="auto"/>
          <w:sz w:val="24"/>
          <w:highlight w:val="none"/>
        </w:rPr>
        <w:t>签约时间：           年   月   日      签约地点：</w:t>
      </w:r>
    </w:p>
    <w:p>
      <w:pPr>
        <w:pStyle w:val="3"/>
        <w:spacing w:line="360" w:lineRule="auto"/>
        <w:jc w:val="center"/>
        <w:outlineLvl w:val="0"/>
        <w:rPr>
          <w:rFonts w:ascii="宋体" w:eastAsia="宋体"/>
          <w:b/>
          <w:bCs w:val="0"/>
          <w:color w:val="auto"/>
          <w:sz w:val="32"/>
          <w:szCs w:val="28"/>
          <w:highlight w:val="none"/>
        </w:rPr>
      </w:pPr>
      <w:bookmarkStart w:id="203" w:name="_Toc14130"/>
      <w:r>
        <w:rPr>
          <w:rFonts w:ascii="宋体" w:eastAsia="宋体"/>
          <w:b/>
          <w:bCs w:val="0"/>
          <w:color w:val="auto"/>
          <w:sz w:val="32"/>
          <w:szCs w:val="28"/>
          <w:highlight w:val="none"/>
        </w:rPr>
        <w:t>第七篇  响应文件编制要求</w:t>
      </w:r>
      <w:bookmarkEnd w:id="195"/>
      <w:bookmarkEnd w:id="203"/>
    </w:p>
    <w:p>
      <w:pPr>
        <w:spacing w:line="360" w:lineRule="auto"/>
        <w:ind w:firstLine="482" w:firstLineChars="200"/>
        <w:outlineLvl w:val="9"/>
        <w:rPr>
          <w:rFonts w:ascii="宋体" w:hAnsi="宋体" w:cs="宋体"/>
          <w:b/>
          <w:bCs/>
          <w:color w:val="auto"/>
          <w:sz w:val="24"/>
          <w:szCs w:val="24"/>
          <w:highlight w:val="none"/>
        </w:rPr>
      </w:pPr>
      <w:bookmarkStart w:id="204" w:name="_Toc9864"/>
      <w:r>
        <w:rPr>
          <w:rFonts w:hint="eastAsia" w:ascii="宋体" w:hAnsi="宋体" w:cs="宋体"/>
          <w:b/>
          <w:bCs/>
          <w:color w:val="auto"/>
          <w:sz w:val="24"/>
          <w:szCs w:val="24"/>
          <w:highlight w:val="none"/>
        </w:rPr>
        <w:t>一、经济部分</w:t>
      </w:r>
      <w:bookmarkEnd w:id="204"/>
    </w:p>
    <w:p>
      <w:pPr>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（一）竞争性磋商报价函</w:t>
      </w:r>
    </w:p>
    <w:p>
      <w:pPr>
        <w:spacing w:line="360" w:lineRule="auto"/>
        <w:ind w:firstLine="480" w:firstLineChars="200"/>
        <w:rPr>
          <w:color w:val="auto"/>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）最后报价表</w:t>
      </w:r>
    </w:p>
    <w:p>
      <w:pPr>
        <w:spacing w:line="360" w:lineRule="auto"/>
        <w:ind w:firstLine="482" w:firstLineChars="200"/>
        <w:outlineLvl w:val="9"/>
        <w:rPr>
          <w:rFonts w:ascii="宋体" w:hAnsi="宋体" w:cs="宋体"/>
          <w:b/>
          <w:bCs/>
          <w:color w:val="auto"/>
          <w:sz w:val="24"/>
          <w:szCs w:val="24"/>
          <w:highlight w:val="none"/>
        </w:rPr>
      </w:pPr>
      <w:bookmarkStart w:id="205" w:name="_Toc28266"/>
      <w:r>
        <w:rPr>
          <w:rFonts w:hint="eastAsia" w:ascii="宋体" w:hAnsi="宋体" w:cs="宋体"/>
          <w:b/>
          <w:bCs/>
          <w:color w:val="auto"/>
          <w:sz w:val="24"/>
          <w:szCs w:val="24"/>
          <w:highlight w:val="none"/>
        </w:rPr>
        <w:t>二、</w:t>
      </w:r>
      <w:r>
        <w:rPr>
          <w:rFonts w:hint="eastAsia" w:ascii="宋体" w:hAnsi="宋体" w:cs="宋体"/>
          <w:b/>
          <w:bCs/>
          <w:color w:val="auto"/>
          <w:sz w:val="24"/>
          <w:szCs w:val="24"/>
          <w:highlight w:val="none"/>
          <w:lang w:val="en-US" w:eastAsia="zh-CN"/>
        </w:rPr>
        <w:t>服务</w:t>
      </w:r>
      <w:r>
        <w:rPr>
          <w:rFonts w:hint="eastAsia" w:ascii="宋体" w:hAnsi="宋体" w:cs="宋体"/>
          <w:b/>
          <w:bCs/>
          <w:color w:val="auto"/>
          <w:sz w:val="24"/>
          <w:szCs w:val="24"/>
          <w:highlight w:val="none"/>
        </w:rPr>
        <w:t>部分</w:t>
      </w:r>
      <w:bookmarkEnd w:id="205"/>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响应偏离表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部分评分所需资料（格式自定）</w:t>
      </w:r>
    </w:p>
    <w:p>
      <w:pPr>
        <w:spacing w:line="360" w:lineRule="auto"/>
        <w:ind w:firstLine="482" w:firstLineChars="200"/>
        <w:outlineLvl w:val="9"/>
        <w:rPr>
          <w:rFonts w:ascii="宋体" w:hAnsi="宋体" w:cs="宋体"/>
          <w:b/>
          <w:bCs/>
          <w:color w:val="auto"/>
          <w:sz w:val="24"/>
          <w:szCs w:val="24"/>
          <w:highlight w:val="none"/>
        </w:rPr>
      </w:pPr>
      <w:bookmarkStart w:id="206" w:name="_Toc32373"/>
      <w:r>
        <w:rPr>
          <w:rFonts w:hint="eastAsia" w:ascii="宋体" w:hAnsi="宋体" w:cs="宋体"/>
          <w:b/>
          <w:bCs/>
          <w:color w:val="auto"/>
          <w:sz w:val="24"/>
          <w:szCs w:val="24"/>
          <w:highlight w:val="none"/>
        </w:rPr>
        <w:t>三、商务部分</w:t>
      </w:r>
      <w:bookmarkEnd w:id="206"/>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（二）商务部分评分所需资料（格式自定）</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（三）其它优惠服务承诺</w:t>
      </w:r>
    </w:p>
    <w:p>
      <w:pPr>
        <w:spacing w:line="360" w:lineRule="auto"/>
        <w:ind w:firstLine="482" w:firstLineChars="200"/>
        <w:outlineLvl w:val="9"/>
        <w:rPr>
          <w:rFonts w:ascii="宋体" w:hAnsi="宋体" w:cs="宋体"/>
          <w:b/>
          <w:bCs/>
          <w:color w:val="auto"/>
          <w:sz w:val="24"/>
          <w:szCs w:val="24"/>
          <w:highlight w:val="none"/>
        </w:rPr>
      </w:pPr>
      <w:bookmarkStart w:id="207" w:name="_Toc32427"/>
      <w:r>
        <w:rPr>
          <w:rFonts w:hint="eastAsia" w:ascii="宋体" w:hAnsi="宋体" w:cs="宋体"/>
          <w:b/>
          <w:bCs/>
          <w:color w:val="auto"/>
          <w:sz w:val="24"/>
          <w:szCs w:val="24"/>
          <w:highlight w:val="none"/>
        </w:rPr>
        <w:t>四、资格条件及其他</w:t>
      </w:r>
      <w:bookmarkEnd w:id="207"/>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pPr>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rPr>
        <w:t>（五）特定资格条件证书或证明文件</w:t>
      </w:r>
    </w:p>
    <w:p>
      <w:pPr>
        <w:spacing w:line="360" w:lineRule="auto"/>
        <w:ind w:firstLine="482" w:firstLineChars="200"/>
        <w:outlineLvl w:val="9"/>
        <w:rPr>
          <w:rFonts w:ascii="宋体" w:hAnsi="宋体" w:cs="宋体"/>
          <w:b/>
          <w:bCs/>
          <w:color w:val="auto"/>
          <w:sz w:val="24"/>
          <w:szCs w:val="24"/>
          <w:highlight w:val="none"/>
        </w:rPr>
      </w:pPr>
      <w:bookmarkStart w:id="208" w:name="_Toc30389"/>
      <w:r>
        <w:rPr>
          <w:rFonts w:hint="eastAsia" w:ascii="宋体" w:hAnsi="宋体" w:cs="宋体"/>
          <w:b/>
          <w:bCs/>
          <w:color w:val="auto"/>
          <w:sz w:val="24"/>
          <w:szCs w:val="24"/>
          <w:highlight w:val="none"/>
        </w:rPr>
        <w:t>五、其他资料</w:t>
      </w:r>
      <w:bookmarkEnd w:id="208"/>
    </w:p>
    <w:p>
      <w:pPr>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（一）中小企业声明函、监狱企业证明文件、残疾人福利性单位声明函</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（二）其他与项目有关的资料</w:t>
      </w:r>
    </w:p>
    <w:p>
      <w:pPr>
        <w:pStyle w:val="11"/>
        <w:spacing w:line="360" w:lineRule="auto"/>
        <w:ind w:firstLine="480" w:firstLineChars="200"/>
        <w:rPr>
          <w:rFonts w:ascii="方正仿宋_GBK" w:hAnsi="宋体" w:eastAsia="方正仿宋_GBK"/>
          <w:color w:val="auto"/>
          <w:sz w:val="24"/>
          <w:szCs w:val="24"/>
          <w:highlight w:val="none"/>
        </w:rPr>
      </w:pPr>
    </w:p>
    <w:p>
      <w:pPr>
        <w:snapToGrid w:val="0"/>
        <w:spacing w:line="360" w:lineRule="auto"/>
        <w:ind w:firstLine="480" w:firstLineChars="200"/>
        <w:rPr>
          <w:rFonts w:ascii="宋体" w:hAnsi="宋体"/>
          <w:color w:val="auto"/>
          <w:sz w:val="24"/>
          <w:szCs w:val="24"/>
          <w:highlight w:val="none"/>
        </w:rPr>
        <w:sectPr>
          <w:headerReference r:id="rId7" w:type="default"/>
          <w:pgSz w:w="11907" w:h="16840"/>
          <w:pgMar w:top="1417" w:right="1417" w:bottom="1417" w:left="1417" w:header="850" w:footer="992" w:gutter="0"/>
          <w:pgBorders>
            <w:top w:val="none" w:sz="0" w:space="0"/>
            <w:left w:val="none" w:sz="0" w:space="0"/>
            <w:bottom w:val="none" w:sz="0" w:space="0"/>
            <w:right w:val="none" w:sz="0" w:space="0"/>
          </w:pgBorders>
          <w:pgNumType w:fmt="numberInDash"/>
          <w:cols w:space="0" w:num="1"/>
          <w:rtlGutter w:val="0"/>
          <w:docGrid w:linePitch="380" w:charSpace="0"/>
        </w:sectPr>
      </w:pPr>
    </w:p>
    <w:p>
      <w:pPr>
        <w:spacing w:before="0" w:after="0" w:line="360" w:lineRule="auto"/>
        <w:ind w:firstLine="482" w:firstLineChars="200"/>
        <w:outlineLvl w:val="9"/>
        <w:rPr>
          <w:rFonts w:ascii="宋体" w:hAnsi="宋体" w:cs="宋体"/>
          <w:b/>
          <w:bCs/>
          <w:color w:val="auto"/>
          <w:sz w:val="24"/>
          <w:szCs w:val="24"/>
          <w:highlight w:val="none"/>
        </w:rPr>
      </w:pPr>
      <w:bookmarkStart w:id="209" w:name="_Toc18307"/>
      <w:bookmarkStart w:id="210" w:name="_Toc30513"/>
      <w:bookmarkStart w:id="211" w:name="_Toc313008356"/>
      <w:bookmarkStart w:id="212" w:name="_Toc342913419"/>
      <w:bookmarkStart w:id="213" w:name="_Toc20130567"/>
      <w:bookmarkStart w:id="214" w:name="_Toc20844"/>
      <w:bookmarkStart w:id="215" w:name="_Toc313888360"/>
      <w:bookmarkStart w:id="216" w:name="_Toc12789073"/>
      <w:bookmarkStart w:id="217" w:name="_Toc283382454"/>
      <w:bookmarkStart w:id="218" w:name="_Toc23764523"/>
      <w:bookmarkStart w:id="219" w:name="_Toc342913420"/>
      <w:bookmarkStart w:id="220" w:name="_Toc313888361"/>
      <w:bookmarkStart w:id="221" w:name="_Toc313008357"/>
      <w:r>
        <w:rPr>
          <w:rFonts w:hint="eastAsia" w:ascii="宋体" w:hAnsi="宋体" w:cs="宋体"/>
          <w:b/>
          <w:bCs/>
          <w:color w:val="auto"/>
          <w:sz w:val="24"/>
          <w:szCs w:val="24"/>
          <w:highlight w:val="none"/>
        </w:rPr>
        <w:t>一、经济部分</w:t>
      </w:r>
      <w:bookmarkEnd w:id="209"/>
      <w:bookmarkEnd w:id="210"/>
      <w:bookmarkEnd w:id="211"/>
      <w:bookmarkEnd w:id="212"/>
      <w:bookmarkEnd w:id="213"/>
      <w:bookmarkEnd w:id="214"/>
      <w:bookmarkEnd w:id="215"/>
    </w:p>
    <w:bookmarkEnd w:id="216"/>
    <w:bookmarkEnd w:id="217"/>
    <w:p>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pPr>
        <w:tabs>
          <w:tab w:val="left" w:pos="6300"/>
        </w:tabs>
        <w:snapToGrid w:val="0"/>
        <w:spacing w:line="520" w:lineRule="exact"/>
        <w:jc w:val="center"/>
        <w:outlineLvl w:val="9"/>
        <w:rPr>
          <w:rFonts w:ascii="宋体" w:hAnsi="宋体" w:cs="宋体"/>
          <w:b/>
          <w:color w:val="auto"/>
          <w:szCs w:val="28"/>
          <w:highlight w:val="none"/>
        </w:rPr>
      </w:pPr>
      <w:bookmarkStart w:id="222" w:name="_Toc391"/>
      <w:r>
        <w:rPr>
          <w:rFonts w:hint="eastAsia" w:ascii="宋体" w:hAnsi="宋体" w:cs="宋体"/>
          <w:b/>
          <w:color w:val="auto"/>
          <w:szCs w:val="28"/>
          <w:highlight w:val="none"/>
        </w:rPr>
        <w:t>竞争性磋商报价函</w:t>
      </w:r>
      <w:bookmarkEnd w:id="222"/>
    </w:p>
    <w:p>
      <w:pPr>
        <w:tabs>
          <w:tab w:val="left" w:pos="6300"/>
        </w:tabs>
        <w:snapToGrid w:val="0"/>
        <w:spacing w:line="52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我方收到____________________________（项目名称）的竞争性磋商文件，经</w:t>
      </w:r>
      <w:r>
        <w:rPr>
          <w:rFonts w:hint="eastAsia" w:ascii="宋体" w:hAnsi="宋体" w:cs="宋体"/>
          <w:color w:val="auto"/>
          <w:sz w:val="24"/>
          <w:szCs w:val="24"/>
          <w:highlight w:val="none"/>
          <w:lang w:val="en-US" w:eastAsia="zh-CN"/>
        </w:rPr>
        <w:t>考虑</w:t>
      </w:r>
      <w:r>
        <w:rPr>
          <w:rFonts w:hint="eastAsia" w:ascii="宋体" w:hAnsi="宋体" w:cs="宋体"/>
          <w:color w:val="auto"/>
          <w:sz w:val="24"/>
          <w:szCs w:val="24"/>
          <w:highlight w:val="none"/>
        </w:rPr>
        <w:t>，决定参加该项目的磋商。</w:t>
      </w:r>
    </w:p>
    <w:p>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1.愿意按照竞争性磋商文件中的一切要求，提供本项目的服务，初始报价为人民币大写：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元。以我公司最后报价为准。</w:t>
      </w:r>
    </w:p>
    <w:p>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电子文档</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份</w:t>
      </w:r>
      <w:r>
        <w:rPr>
          <w:rFonts w:hint="eastAsia" w:ascii="宋体" w:hAnsi="宋体" w:cs="宋体"/>
          <w:color w:val="auto"/>
          <w:sz w:val="24"/>
          <w:szCs w:val="24"/>
          <w:highlight w:val="none"/>
        </w:rPr>
        <w:t>。</w:t>
      </w:r>
    </w:p>
    <w:p>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3.我方承诺：本次磋商的有效期为90天。</w:t>
      </w:r>
    </w:p>
    <w:p>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4.我方完全理解和接受贵方竞争性磋商文件的一切规定和要求及评审办法。</w:t>
      </w:r>
    </w:p>
    <w:p>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5.在整个竞争性磋商过程中，我方若有违规行为，接受按照《中华人民共和国政府采购法》和《竞争性磋商文件》之规定给予惩罚。</w:t>
      </w:r>
    </w:p>
    <w:p>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7.如果我方成为成交供应商，保证在接到成交通知书后，向采购代理机构缴纳竞争性磋商文件规定的采购代理服务费。</w:t>
      </w:r>
    </w:p>
    <w:p>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8"/>
          <w:highlight w:val="none"/>
        </w:rPr>
        <w:t>我方未</w:t>
      </w:r>
      <w:r>
        <w:rPr>
          <w:rFonts w:hint="eastAsia" w:ascii="宋体" w:hAnsi="宋体" w:cs="宋体"/>
          <w:color w:val="auto"/>
          <w:sz w:val="24"/>
          <w:szCs w:val="24"/>
          <w:highlight w:val="none"/>
        </w:rPr>
        <w:t>为采购项目提供整体设计、规范编制或者项目管理、监理、检测等服务。</w:t>
      </w:r>
    </w:p>
    <w:p>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p>
    <w:p>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电话：                                             传真：</w:t>
      </w:r>
    </w:p>
    <w:p>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网址：                                             邮编：</w:t>
      </w:r>
    </w:p>
    <w:p>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联系人：</w:t>
      </w:r>
    </w:p>
    <w:p>
      <w:pPr>
        <w:tabs>
          <w:tab w:val="left" w:pos="6300"/>
        </w:tabs>
        <w:snapToGrid w:val="0"/>
        <w:spacing w:line="520" w:lineRule="exact"/>
        <w:ind w:firstLine="570"/>
        <w:rPr>
          <w:rFonts w:ascii="宋体" w:hAnsi="宋体" w:cs="宋体"/>
          <w:color w:val="auto"/>
          <w:sz w:val="24"/>
          <w:szCs w:val="24"/>
          <w:highlight w:val="none"/>
        </w:rPr>
      </w:pPr>
    </w:p>
    <w:p>
      <w:pPr>
        <w:snapToGrid w:val="0"/>
        <w:spacing w:line="520" w:lineRule="exact"/>
        <w:ind w:firstLine="480" w:firstLineChars="200"/>
        <w:rPr>
          <w:rFonts w:hint="eastAsia" w:ascii="宋体" w:hAnsi="宋体" w:cs="宋体"/>
          <w:color w:val="auto"/>
          <w:sz w:val="24"/>
          <w:szCs w:val="24"/>
          <w:highlight w:val="none"/>
        </w:rPr>
        <w:sectPr>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80" w:charSpace="0"/>
        </w:sectPr>
      </w:pPr>
      <w:r>
        <w:rPr>
          <w:rFonts w:hint="eastAsia" w:ascii="宋体" w:hAnsi="宋体" w:cs="宋体"/>
          <w:color w:val="auto"/>
          <w:sz w:val="24"/>
          <w:szCs w:val="24"/>
          <w:highlight w:val="none"/>
        </w:rPr>
        <w:t xml:space="preserve">                                                  年   月   日</w:t>
      </w:r>
    </w:p>
    <w:p>
      <w:pPr>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）最后报价表</w:t>
      </w:r>
    </w:p>
    <w:p>
      <w:pPr>
        <w:snapToGrid w:val="0"/>
        <w:spacing w:line="500" w:lineRule="exact"/>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最后报价表</w:t>
      </w:r>
    </w:p>
    <w:p>
      <w:pPr>
        <w:pStyle w:val="2"/>
        <w:rPr>
          <w:rFonts w:hAnsi="宋体" w:cs="宋体"/>
          <w:color w:val="auto"/>
          <w:highlight w:val="none"/>
        </w:rPr>
      </w:pPr>
    </w:p>
    <w:tbl>
      <w:tblPr>
        <w:tblStyle w:val="15"/>
        <w:tblW w:w="9292"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7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trPr>
        <w:tc>
          <w:tcPr>
            <w:tcW w:w="1523" w:type="dxa"/>
            <w:vAlign w:val="center"/>
          </w:tcPr>
          <w:p>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供应商全称</w:t>
            </w:r>
          </w:p>
        </w:tc>
        <w:tc>
          <w:tcPr>
            <w:tcW w:w="7769" w:type="dxa"/>
            <w:vAlign w:val="center"/>
          </w:tcPr>
          <w:p>
            <w:pPr>
              <w:spacing w:line="50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trPr>
        <w:tc>
          <w:tcPr>
            <w:tcW w:w="9292" w:type="dxa"/>
            <w:gridSpan w:val="2"/>
            <w:vAlign w:val="center"/>
          </w:tcPr>
          <w:p>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5" w:hRule="atLeast"/>
        </w:trPr>
        <w:tc>
          <w:tcPr>
            <w:tcW w:w="9292" w:type="dxa"/>
            <w:gridSpan w:val="2"/>
            <w:tcBorders>
              <w:bottom w:val="single" w:color="auto" w:sz="4" w:space="0"/>
            </w:tcBorders>
            <w:vAlign w:val="center"/>
          </w:tcPr>
          <w:p>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总价报价（大写）：                        小写：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trPr>
        <w:tc>
          <w:tcPr>
            <w:tcW w:w="9292" w:type="dxa"/>
            <w:gridSpan w:val="2"/>
            <w:vAlign w:val="center"/>
          </w:tcPr>
          <w:p>
            <w:pPr>
              <w:pStyle w:val="1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备注：</w:t>
            </w:r>
          </w:p>
        </w:tc>
      </w:tr>
    </w:tbl>
    <w:p>
      <w:pPr>
        <w:pStyle w:val="22"/>
        <w:rPr>
          <w:rFonts w:ascii="宋体" w:hAnsi="宋体" w:cs="宋体"/>
          <w:color w:val="auto"/>
          <w:sz w:val="24"/>
          <w:szCs w:val="24"/>
          <w:highlight w:val="none"/>
        </w:rPr>
      </w:pPr>
    </w:p>
    <w:p>
      <w:pPr>
        <w:pStyle w:val="22"/>
        <w:rPr>
          <w:rFonts w:ascii="宋体" w:hAnsi="宋体" w:cs="宋体"/>
          <w:color w:val="auto"/>
          <w:sz w:val="24"/>
          <w:szCs w:val="24"/>
          <w:highlight w:val="none"/>
        </w:rPr>
      </w:pPr>
    </w:p>
    <w:p>
      <w:pPr>
        <w:snapToGrid w:val="0"/>
        <w:spacing w:line="500" w:lineRule="exact"/>
        <w:ind w:firstLine="570"/>
        <w:jc w:val="center"/>
        <w:rPr>
          <w:rFonts w:ascii="宋体" w:hAnsi="宋体" w:cs="宋体"/>
          <w:b/>
          <w:bCs/>
          <w:color w:val="auto"/>
          <w:sz w:val="24"/>
          <w:szCs w:val="24"/>
          <w:highlight w:val="none"/>
        </w:rPr>
      </w:pPr>
    </w:p>
    <w:p>
      <w:pPr>
        <w:spacing w:line="500" w:lineRule="exact"/>
        <w:ind w:firstLine="241" w:firstLineChars="100"/>
        <w:rPr>
          <w:rFonts w:ascii="宋体" w:hAnsi="宋体" w:cs="宋体"/>
          <w:b/>
          <w:bCs/>
          <w:color w:val="auto"/>
          <w:sz w:val="24"/>
          <w:szCs w:val="24"/>
          <w:highlight w:val="none"/>
        </w:rPr>
      </w:pPr>
      <w:r>
        <w:rPr>
          <w:rFonts w:hint="eastAsia" w:ascii="宋体" w:hAnsi="宋体" w:cs="宋体"/>
          <w:b/>
          <w:bCs/>
          <w:color w:val="auto"/>
          <w:sz w:val="24"/>
          <w:szCs w:val="24"/>
          <w:highlight w:val="none"/>
        </w:rPr>
        <w:t>供应商：                            法人</w:t>
      </w:r>
      <w:r>
        <w:rPr>
          <w:rFonts w:hint="eastAsia" w:ascii="宋体" w:hAnsi="宋体" w:cs="宋体"/>
          <w:b/>
          <w:bCs/>
          <w:color w:val="auto"/>
          <w:sz w:val="24"/>
          <w:szCs w:val="24"/>
          <w:highlight w:val="none"/>
          <w:lang w:val="en-US" w:eastAsia="zh-CN"/>
        </w:rPr>
        <w:t>或法人</w:t>
      </w:r>
      <w:r>
        <w:rPr>
          <w:rFonts w:hint="eastAsia" w:ascii="宋体" w:hAnsi="宋体" w:cs="宋体"/>
          <w:b/>
          <w:bCs/>
          <w:color w:val="auto"/>
          <w:sz w:val="24"/>
          <w:szCs w:val="24"/>
          <w:highlight w:val="none"/>
        </w:rPr>
        <w:t>授权代表：</w:t>
      </w:r>
    </w:p>
    <w:p>
      <w:pPr>
        <w:spacing w:line="500" w:lineRule="exact"/>
        <w:rPr>
          <w:rFonts w:ascii="宋体" w:hAnsi="宋体" w:cs="宋体"/>
          <w:color w:val="auto"/>
          <w:sz w:val="24"/>
          <w:szCs w:val="24"/>
          <w:highlight w:val="none"/>
        </w:rPr>
      </w:pPr>
      <w:r>
        <w:rPr>
          <w:rFonts w:hint="eastAsia" w:ascii="宋体" w:hAnsi="宋体" w:cs="宋体"/>
          <w:b/>
          <w:bCs/>
          <w:color w:val="auto"/>
          <w:sz w:val="24"/>
          <w:szCs w:val="24"/>
          <w:highlight w:val="none"/>
        </w:rPr>
        <w:t xml:space="preserve">                               </w:t>
      </w:r>
    </w:p>
    <w:p>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snapToGrid w:val="0"/>
        <w:spacing w:line="500" w:lineRule="exact"/>
        <w:ind w:firstLine="480" w:firstLineChars="200"/>
        <w:rPr>
          <w:rFonts w:ascii="宋体" w:hAnsi="宋体" w:cs="宋体"/>
          <w:color w:val="auto"/>
          <w:sz w:val="24"/>
          <w:szCs w:val="24"/>
          <w:highlight w:val="none"/>
        </w:rPr>
      </w:pPr>
    </w:p>
    <w:p>
      <w:pPr>
        <w:snapToGrid w:val="0"/>
        <w:spacing w:line="500" w:lineRule="exact"/>
        <w:ind w:firstLine="480" w:firstLineChars="200"/>
        <w:rPr>
          <w:rFonts w:ascii="宋体" w:hAnsi="宋体" w:cs="宋体"/>
          <w:color w:val="auto"/>
          <w:sz w:val="24"/>
          <w:szCs w:val="24"/>
          <w:highlight w:val="none"/>
        </w:rPr>
      </w:pPr>
    </w:p>
    <w:p>
      <w:pPr>
        <w:spacing w:before="0" w:after="0" w:line="360" w:lineRule="auto"/>
        <w:ind w:firstLine="480" w:firstLineChars="200"/>
        <w:outlineLvl w:val="9"/>
        <w:rPr>
          <w:rFonts w:ascii="宋体" w:hAnsi="宋体" w:cs="宋体"/>
          <w:b w:val="0"/>
          <w:bCs/>
          <w:color w:val="auto"/>
          <w:sz w:val="24"/>
          <w:szCs w:val="24"/>
          <w:highlight w:val="none"/>
        </w:rPr>
        <w:sectPr>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80" w:charSpace="0"/>
        </w:sectPr>
      </w:pPr>
      <w:bookmarkStart w:id="223" w:name="_Toc3509"/>
      <w:bookmarkStart w:id="224" w:name="_Toc15778"/>
      <w:r>
        <w:rPr>
          <w:rFonts w:hint="eastAsia" w:ascii="宋体" w:hAnsi="宋体" w:cs="宋体"/>
          <w:b w:val="0"/>
          <w:bCs/>
          <w:color w:val="auto"/>
          <w:sz w:val="24"/>
          <w:szCs w:val="24"/>
          <w:highlight w:val="none"/>
        </w:rPr>
        <w:t>请各供应商将最后报价表单独打印（响应文件中不提供本表），并随身携带到开标现场，通过磋商后，在开标现场填写最后报价表，务必填写清楚，准确无</w:t>
      </w:r>
      <w:r>
        <w:rPr>
          <w:rFonts w:hint="eastAsia" w:ascii="宋体" w:hAnsi="宋体" w:eastAsia="宋体" w:cs="宋体"/>
          <w:b w:val="0"/>
          <w:bCs/>
          <w:color w:val="auto"/>
          <w:sz w:val="24"/>
          <w:szCs w:val="24"/>
          <w:highlight w:val="none"/>
        </w:rPr>
        <w:t>误。如在规定时间内不填写上交</w:t>
      </w:r>
      <w:r>
        <w:rPr>
          <w:rFonts w:hint="eastAsia" w:ascii="宋体" w:hAnsi="宋体" w:eastAsia="宋体" w:cs="宋体"/>
          <w:b w:val="0"/>
          <w:bCs/>
          <w:color w:val="auto"/>
          <w:sz w:val="24"/>
          <w:szCs w:val="24"/>
          <w:highlight w:val="none"/>
          <w:lang w:eastAsia="zh-CN"/>
        </w:rPr>
        <w:t>最后报价表</w:t>
      </w:r>
      <w:r>
        <w:rPr>
          <w:rFonts w:hint="eastAsia" w:ascii="宋体" w:hAnsi="宋体" w:eastAsia="宋体" w:cs="宋体"/>
          <w:b w:val="0"/>
          <w:bCs/>
          <w:color w:val="auto"/>
          <w:sz w:val="24"/>
          <w:szCs w:val="24"/>
          <w:highlight w:val="none"/>
        </w:rPr>
        <w:t>，以报价函的报价为准。最</w:t>
      </w:r>
      <w:r>
        <w:rPr>
          <w:rFonts w:hint="eastAsia" w:ascii="宋体" w:hAnsi="宋体" w:eastAsia="宋体" w:cs="宋体"/>
          <w:b w:val="0"/>
          <w:bCs/>
          <w:color w:val="auto"/>
          <w:sz w:val="24"/>
          <w:szCs w:val="24"/>
          <w:highlight w:val="none"/>
          <w:lang w:val="en-US" w:eastAsia="zh-CN"/>
        </w:rPr>
        <w:t>终</w:t>
      </w:r>
      <w:r>
        <w:rPr>
          <w:rFonts w:hint="eastAsia" w:ascii="宋体" w:hAnsi="宋体" w:eastAsia="宋体" w:cs="宋体"/>
          <w:b w:val="0"/>
          <w:bCs/>
          <w:color w:val="auto"/>
          <w:sz w:val="24"/>
          <w:szCs w:val="24"/>
          <w:highlight w:val="none"/>
        </w:rPr>
        <w:t>报价不得高于报价函的报价，否则按</w:t>
      </w:r>
      <w:r>
        <w:rPr>
          <w:rFonts w:hint="eastAsia" w:ascii="宋体" w:hAnsi="宋体" w:eastAsia="宋体" w:cs="宋体"/>
          <w:b w:val="0"/>
          <w:bCs/>
          <w:color w:val="auto"/>
          <w:sz w:val="24"/>
          <w:szCs w:val="24"/>
          <w:highlight w:val="none"/>
          <w:lang w:val="en-US" w:eastAsia="zh-CN"/>
        </w:rPr>
        <w:t>报价函的报价为准</w:t>
      </w:r>
      <w:r>
        <w:rPr>
          <w:rFonts w:hint="eastAsia" w:ascii="宋体" w:hAnsi="宋体" w:cs="宋体"/>
          <w:b w:val="0"/>
          <w:bCs/>
          <w:color w:val="auto"/>
          <w:sz w:val="24"/>
          <w:szCs w:val="24"/>
          <w:highlight w:val="none"/>
        </w:rPr>
        <w:t>。</w:t>
      </w:r>
      <w:bookmarkEnd w:id="223"/>
      <w:bookmarkEnd w:id="224"/>
    </w:p>
    <w:bookmarkEnd w:id="218"/>
    <w:bookmarkEnd w:id="219"/>
    <w:bookmarkEnd w:id="220"/>
    <w:bookmarkEnd w:id="221"/>
    <w:p>
      <w:pPr>
        <w:spacing w:before="0" w:after="0" w:line="360" w:lineRule="auto"/>
        <w:ind w:firstLine="482" w:firstLineChars="200"/>
        <w:outlineLvl w:val="9"/>
        <w:rPr>
          <w:rFonts w:ascii="宋体" w:hAnsi="宋体" w:cs="宋体"/>
          <w:b/>
          <w:bCs/>
          <w:color w:val="auto"/>
          <w:sz w:val="24"/>
          <w:szCs w:val="24"/>
          <w:highlight w:val="none"/>
        </w:rPr>
      </w:pPr>
      <w:bookmarkStart w:id="225" w:name="_Toc2214"/>
      <w:bookmarkStart w:id="226" w:name="_Toc21255"/>
      <w:bookmarkStart w:id="227" w:name="_Toc11266"/>
      <w:r>
        <w:rPr>
          <w:rFonts w:hint="eastAsia" w:ascii="宋体" w:hAnsi="宋体" w:cs="宋体"/>
          <w:b/>
          <w:bCs/>
          <w:color w:val="auto"/>
          <w:sz w:val="24"/>
          <w:szCs w:val="24"/>
          <w:highlight w:val="none"/>
        </w:rPr>
        <w:t>二、</w:t>
      </w:r>
      <w:r>
        <w:rPr>
          <w:rFonts w:hint="eastAsia" w:ascii="宋体" w:hAnsi="宋体" w:cs="宋体"/>
          <w:b/>
          <w:bCs/>
          <w:color w:val="auto"/>
          <w:sz w:val="24"/>
          <w:szCs w:val="24"/>
          <w:highlight w:val="none"/>
          <w:lang w:val="en-US" w:eastAsia="zh-CN"/>
        </w:rPr>
        <w:t>服务</w:t>
      </w:r>
      <w:r>
        <w:rPr>
          <w:rFonts w:hint="eastAsia" w:ascii="宋体" w:hAnsi="宋体" w:cs="宋体"/>
          <w:b/>
          <w:bCs/>
          <w:color w:val="auto"/>
          <w:sz w:val="24"/>
          <w:szCs w:val="24"/>
          <w:highlight w:val="none"/>
        </w:rPr>
        <w:t>部分</w:t>
      </w:r>
      <w:bookmarkEnd w:id="225"/>
      <w:bookmarkEnd w:id="226"/>
      <w:bookmarkEnd w:id="227"/>
    </w:p>
    <w:p>
      <w:pPr>
        <w:tabs>
          <w:tab w:val="left" w:pos="6300"/>
        </w:tabs>
        <w:snapToGrid w:val="0"/>
        <w:spacing w:line="500" w:lineRule="exact"/>
        <w:ind w:firstLine="480" w:firstLineChars="200"/>
        <w:rPr>
          <w:rFonts w:ascii="宋体" w:hAnsi="宋体" w:cs="宋体"/>
          <w:color w:val="auto"/>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响应偏离表</w:t>
      </w:r>
    </w:p>
    <w:p>
      <w:pPr>
        <w:pStyle w:val="10"/>
        <w:tabs>
          <w:tab w:val="left" w:pos="6300"/>
        </w:tabs>
        <w:snapToGrid w:val="0"/>
        <w:spacing w:line="500" w:lineRule="exact"/>
        <w:ind w:firstLine="480" w:firstLineChars="200"/>
        <w:outlineLvl w:val="9"/>
        <w:rPr>
          <w:rFonts w:ascii="宋体" w:hAnsi="宋体" w:cs="宋体"/>
          <w:color w:val="auto"/>
          <w:sz w:val="24"/>
          <w:highlight w:val="none"/>
        </w:rPr>
      </w:pPr>
      <w:bookmarkStart w:id="228" w:name="_Toc25717"/>
      <w:r>
        <w:rPr>
          <w:rFonts w:hint="eastAsia" w:ascii="宋体" w:hAnsi="宋体" w:cs="宋体"/>
          <w:color w:val="auto"/>
          <w:sz w:val="24"/>
          <w:highlight w:val="none"/>
        </w:rPr>
        <w:t>项目号：</w:t>
      </w:r>
      <w:bookmarkEnd w:id="228"/>
    </w:p>
    <w:p>
      <w:pPr>
        <w:pStyle w:val="10"/>
        <w:tabs>
          <w:tab w:val="left" w:pos="6300"/>
        </w:tabs>
        <w:snapToGrid w:val="0"/>
        <w:spacing w:line="500" w:lineRule="exact"/>
        <w:ind w:firstLine="480" w:firstLineChars="200"/>
        <w:outlineLvl w:val="9"/>
        <w:rPr>
          <w:rFonts w:ascii="宋体" w:hAnsi="宋体" w:cs="宋体"/>
          <w:color w:val="auto"/>
          <w:sz w:val="24"/>
          <w:highlight w:val="none"/>
        </w:rPr>
      </w:pPr>
      <w:bookmarkStart w:id="229" w:name="_Toc2935"/>
      <w:r>
        <w:rPr>
          <w:rFonts w:hint="eastAsia" w:ascii="宋体" w:hAnsi="宋体" w:cs="宋体"/>
          <w:color w:val="auto"/>
          <w:sz w:val="24"/>
          <w:highlight w:val="none"/>
        </w:rPr>
        <w:t>磋商项目名称：</w:t>
      </w:r>
      <w:bookmarkEnd w:id="229"/>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bookmarkStart w:id="230" w:name="_Toc32082"/>
            <w:r>
              <w:rPr>
                <w:rFonts w:hint="eastAsia" w:ascii="宋体" w:hAnsi="宋体" w:cs="宋体"/>
                <w:color w:val="auto"/>
                <w:sz w:val="21"/>
                <w:szCs w:val="21"/>
                <w:highlight w:val="none"/>
              </w:rPr>
              <w:t>序号</w:t>
            </w:r>
            <w:bookmarkEnd w:id="230"/>
          </w:p>
        </w:tc>
        <w:tc>
          <w:tcPr>
            <w:tcW w:w="2658"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bookmarkStart w:id="231" w:name="_Toc28814"/>
            <w:r>
              <w:rPr>
                <w:rFonts w:hint="eastAsia" w:ascii="宋体" w:hAnsi="宋体" w:cs="宋体"/>
                <w:color w:val="auto"/>
                <w:sz w:val="21"/>
                <w:szCs w:val="21"/>
                <w:highlight w:val="none"/>
              </w:rPr>
              <w:t>采购需求</w:t>
            </w:r>
            <w:bookmarkEnd w:id="231"/>
          </w:p>
        </w:tc>
        <w:tc>
          <w:tcPr>
            <w:tcW w:w="2759"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bookmarkStart w:id="232" w:name="_Toc1057"/>
            <w:r>
              <w:rPr>
                <w:rFonts w:hint="eastAsia" w:ascii="宋体" w:hAnsi="宋体" w:cs="宋体"/>
                <w:color w:val="auto"/>
                <w:sz w:val="21"/>
                <w:szCs w:val="21"/>
                <w:highlight w:val="none"/>
              </w:rPr>
              <w:t>响应情况</w:t>
            </w:r>
            <w:bookmarkEnd w:id="232"/>
          </w:p>
        </w:tc>
        <w:tc>
          <w:tcPr>
            <w:tcW w:w="2067"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bookmarkStart w:id="233" w:name="_Toc27270"/>
            <w:r>
              <w:rPr>
                <w:rFonts w:hint="eastAsia" w:ascii="宋体" w:hAnsi="宋体" w:cs="宋体"/>
                <w:color w:val="auto"/>
                <w:sz w:val="21"/>
                <w:szCs w:val="21"/>
                <w:highlight w:val="none"/>
              </w:rPr>
              <w:t>差异说明</w:t>
            </w:r>
            <w:bookmarkEnd w:id="2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pPr>
              <w:tabs>
                <w:tab w:val="left" w:pos="6300"/>
              </w:tabs>
              <w:snapToGrid w:val="0"/>
              <w:spacing w:line="50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pPr>
              <w:tabs>
                <w:tab w:val="left" w:pos="6300"/>
              </w:tabs>
              <w:snapToGrid w:val="0"/>
              <w:spacing w:line="50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pPr>
              <w:tabs>
                <w:tab w:val="left" w:pos="6300"/>
              </w:tabs>
              <w:snapToGrid w:val="0"/>
              <w:spacing w:line="50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pPr>
              <w:tabs>
                <w:tab w:val="left" w:pos="6300"/>
              </w:tabs>
              <w:snapToGrid w:val="0"/>
              <w:spacing w:line="50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pPr>
              <w:tabs>
                <w:tab w:val="left" w:pos="6300"/>
              </w:tabs>
              <w:snapToGrid w:val="0"/>
              <w:spacing w:line="50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pPr>
              <w:tabs>
                <w:tab w:val="left" w:pos="6300"/>
              </w:tabs>
              <w:snapToGrid w:val="0"/>
              <w:spacing w:line="50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pPr>
              <w:tabs>
                <w:tab w:val="left" w:pos="6300"/>
              </w:tabs>
              <w:snapToGrid w:val="0"/>
              <w:spacing w:line="50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pPr>
              <w:tabs>
                <w:tab w:val="left" w:pos="6300"/>
              </w:tabs>
              <w:snapToGrid w:val="0"/>
              <w:spacing w:line="500" w:lineRule="exact"/>
              <w:jc w:val="center"/>
              <w:rPr>
                <w:rFonts w:ascii="宋体" w:hAnsi="宋体" w:cs="宋体"/>
                <w:color w:val="auto"/>
                <w:sz w:val="21"/>
                <w:szCs w:val="21"/>
                <w:highlight w:val="none"/>
              </w:rPr>
            </w:pPr>
          </w:p>
        </w:tc>
      </w:tr>
    </w:tbl>
    <w:p>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供应商：                                      法人授权代表：</w:t>
      </w:r>
    </w:p>
    <w:p>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pPr>
        <w:spacing w:line="500" w:lineRule="exact"/>
        <w:ind w:firstLine="720" w:firstLineChars="300"/>
        <w:rPr>
          <w:rFonts w:ascii="宋体" w:hAnsi="宋体" w:cs="宋体"/>
          <w:color w:val="auto"/>
          <w:sz w:val="24"/>
          <w:szCs w:val="28"/>
          <w:highlight w:val="none"/>
        </w:rPr>
      </w:pPr>
      <w:r>
        <w:rPr>
          <w:rFonts w:hint="eastAsia" w:ascii="宋体" w:hAnsi="宋体" w:cs="宋体"/>
          <w:color w:val="auto"/>
          <w:sz w:val="24"/>
          <w:szCs w:val="28"/>
          <w:highlight w:val="none"/>
        </w:rPr>
        <w:t>（供应商公章）                               （签字或盖章）</w:t>
      </w: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1.本表即为对本项目“第二篇  项目</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需求”中所列条款进行比较和响应；</w:t>
      </w: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2.本表可扩展。</w:t>
      </w:r>
    </w:p>
    <w:p>
      <w:pPr>
        <w:tabs>
          <w:tab w:val="left" w:pos="6300"/>
        </w:tabs>
        <w:snapToGrid w:val="0"/>
        <w:spacing w:line="500" w:lineRule="exact"/>
        <w:rPr>
          <w:rFonts w:ascii="宋体" w:hAnsi="宋体" w:cs="宋体"/>
          <w:color w:val="auto"/>
          <w:sz w:val="24"/>
          <w:szCs w:val="24"/>
          <w:highlight w:val="none"/>
        </w:rPr>
      </w:pPr>
    </w:p>
    <w:p>
      <w:pPr>
        <w:pStyle w:val="5"/>
        <w:spacing w:before="0" w:after="0" w:line="360" w:lineRule="auto"/>
        <w:ind w:firstLine="482" w:firstLineChars="200"/>
        <w:rPr>
          <w:rFonts w:ascii="宋体" w:hAnsi="宋体" w:cs="宋体"/>
          <w:color w:val="auto"/>
          <w:sz w:val="24"/>
          <w:szCs w:val="24"/>
          <w:highlight w:val="none"/>
        </w:rPr>
        <w:sectPr>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80" w:charSpace="0"/>
        </w:sectPr>
      </w:pPr>
    </w:p>
    <w:p>
      <w:pPr>
        <w:spacing w:line="360" w:lineRule="auto"/>
        <w:ind w:firstLine="465"/>
        <w:rPr>
          <w:rFonts w:hint="eastAsia" w:ascii="宋体" w:hAnsi="宋体" w:cs="宋体"/>
          <w:color w:val="auto"/>
          <w:sz w:val="24"/>
          <w:szCs w:val="24"/>
          <w:highlight w:val="none"/>
        </w:rPr>
        <w:sectPr>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80" w:charSpace="0"/>
        </w:sect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部分评分所需资料（格式自定）</w:t>
      </w:r>
    </w:p>
    <w:p>
      <w:pPr>
        <w:spacing w:before="0" w:after="0" w:line="360" w:lineRule="auto"/>
        <w:ind w:firstLine="482" w:firstLineChars="200"/>
        <w:outlineLvl w:val="9"/>
        <w:rPr>
          <w:rFonts w:ascii="宋体" w:hAnsi="宋体" w:cs="宋体"/>
          <w:b/>
          <w:bCs/>
          <w:color w:val="auto"/>
          <w:sz w:val="24"/>
          <w:szCs w:val="24"/>
          <w:highlight w:val="none"/>
        </w:rPr>
      </w:pPr>
      <w:bookmarkStart w:id="234" w:name="_Toc5634"/>
      <w:bookmarkStart w:id="235" w:name="_Toc22826"/>
      <w:bookmarkStart w:id="236" w:name="_Toc9393"/>
      <w:bookmarkStart w:id="237" w:name="_Toc342913421"/>
      <w:bookmarkStart w:id="238" w:name="_Toc313888362"/>
      <w:bookmarkStart w:id="239" w:name="_Toc313008358"/>
      <w:r>
        <w:rPr>
          <w:rFonts w:hint="eastAsia" w:ascii="宋体" w:hAnsi="宋体" w:cs="宋体"/>
          <w:b/>
          <w:bCs/>
          <w:color w:val="auto"/>
          <w:sz w:val="24"/>
          <w:szCs w:val="24"/>
          <w:highlight w:val="none"/>
        </w:rPr>
        <w:t>三、商务部分</w:t>
      </w:r>
      <w:bookmarkEnd w:id="234"/>
      <w:bookmarkEnd w:id="235"/>
      <w:bookmarkEnd w:id="236"/>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pPr>
        <w:pStyle w:val="10"/>
        <w:tabs>
          <w:tab w:val="left" w:pos="6300"/>
        </w:tabs>
        <w:snapToGrid w:val="0"/>
        <w:spacing w:line="500" w:lineRule="exact"/>
        <w:ind w:firstLine="480" w:firstLineChars="200"/>
        <w:outlineLvl w:val="9"/>
        <w:rPr>
          <w:rFonts w:ascii="宋体" w:hAnsi="宋体" w:cs="宋体"/>
          <w:color w:val="auto"/>
          <w:sz w:val="24"/>
          <w:highlight w:val="none"/>
        </w:rPr>
      </w:pPr>
      <w:bookmarkStart w:id="240" w:name="_Toc22584"/>
      <w:r>
        <w:rPr>
          <w:rFonts w:hint="eastAsia" w:ascii="宋体" w:hAnsi="宋体" w:cs="宋体"/>
          <w:color w:val="auto"/>
          <w:sz w:val="24"/>
          <w:highlight w:val="none"/>
        </w:rPr>
        <w:t>项目号：</w:t>
      </w:r>
      <w:bookmarkEnd w:id="240"/>
    </w:p>
    <w:p>
      <w:pPr>
        <w:pStyle w:val="10"/>
        <w:tabs>
          <w:tab w:val="left" w:pos="6300"/>
        </w:tabs>
        <w:snapToGrid w:val="0"/>
        <w:spacing w:line="500" w:lineRule="exact"/>
        <w:ind w:firstLine="480" w:firstLineChars="200"/>
        <w:outlineLvl w:val="9"/>
        <w:rPr>
          <w:rFonts w:ascii="宋体" w:hAnsi="宋体" w:cs="宋体"/>
          <w:color w:val="auto"/>
          <w:sz w:val="24"/>
          <w:highlight w:val="none"/>
        </w:rPr>
      </w:pPr>
      <w:bookmarkStart w:id="241" w:name="_Toc10444"/>
      <w:r>
        <w:rPr>
          <w:rFonts w:hint="eastAsia" w:ascii="宋体" w:hAnsi="宋体" w:cs="宋体"/>
          <w:color w:val="auto"/>
          <w:sz w:val="24"/>
          <w:highlight w:val="none"/>
        </w:rPr>
        <w:t>磋商项目名称：</w:t>
      </w:r>
      <w:bookmarkEnd w:id="241"/>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bookmarkStart w:id="242" w:name="_Toc459"/>
            <w:r>
              <w:rPr>
                <w:rFonts w:hint="eastAsia" w:ascii="宋体" w:hAnsi="宋体" w:cs="宋体"/>
                <w:color w:val="auto"/>
                <w:sz w:val="21"/>
                <w:szCs w:val="21"/>
                <w:highlight w:val="none"/>
              </w:rPr>
              <w:t>序号</w:t>
            </w:r>
            <w:bookmarkEnd w:id="242"/>
          </w:p>
        </w:tc>
        <w:tc>
          <w:tcPr>
            <w:tcW w:w="2658"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bookmarkStart w:id="243" w:name="_Toc15051"/>
            <w:r>
              <w:rPr>
                <w:rFonts w:hint="eastAsia" w:ascii="宋体" w:hAnsi="宋体" w:cs="宋体"/>
                <w:color w:val="auto"/>
                <w:sz w:val="21"/>
                <w:szCs w:val="21"/>
                <w:highlight w:val="none"/>
              </w:rPr>
              <w:t>采购需求</w:t>
            </w:r>
            <w:bookmarkEnd w:id="243"/>
          </w:p>
        </w:tc>
        <w:tc>
          <w:tcPr>
            <w:tcW w:w="2759"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bookmarkStart w:id="244" w:name="_Toc5952"/>
            <w:r>
              <w:rPr>
                <w:rFonts w:hint="eastAsia" w:ascii="宋体" w:hAnsi="宋体" w:cs="宋体"/>
                <w:color w:val="auto"/>
                <w:sz w:val="21"/>
                <w:szCs w:val="21"/>
                <w:highlight w:val="none"/>
              </w:rPr>
              <w:t>响应情况</w:t>
            </w:r>
            <w:bookmarkEnd w:id="244"/>
          </w:p>
        </w:tc>
        <w:tc>
          <w:tcPr>
            <w:tcW w:w="2067" w:type="dxa"/>
            <w:vAlign w:val="center"/>
          </w:tcPr>
          <w:p>
            <w:pPr>
              <w:tabs>
                <w:tab w:val="left" w:pos="6300"/>
              </w:tabs>
              <w:snapToGrid w:val="0"/>
              <w:spacing w:line="500" w:lineRule="exact"/>
              <w:jc w:val="center"/>
              <w:outlineLvl w:val="0"/>
              <w:rPr>
                <w:rFonts w:ascii="宋体" w:hAnsi="宋体" w:cs="宋体"/>
                <w:color w:val="auto"/>
                <w:sz w:val="21"/>
                <w:szCs w:val="21"/>
                <w:highlight w:val="none"/>
              </w:rPr>
            </w:pPr>
            <w:bookmarkStart w:id="245" w:name="_Toc12592"/>
            <w:r>
              <w:rPr>
                <w:rFonts w:hint="eastAsia" w:ascii="宋体" w:hAnsi="宋体" w:cs="宋体"/>
                <w:color w:val="auto"/>
                <w:sz w:val="21"/>
                <w:szCs w:val="21"/>
                <w:highlight w:val="none"/>
              </w:rPr>
              <w:t>差异说明</w:t>
            </w:r>
            <w:bookmarkEnd w:id="2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pPr>
              <w:tabs>
                <w:tab w:val="left" w:pos="6300"/>
              </w:tabs>
              <w:snapToGrid w:val="0"/>
              <w:spacing w:line="50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pPr>
              <w:tabs>
                <w:tab w:val="left" w:pos="6300"/>
              </w:tabs>
              <w:snapToGrid w:val="0"/>
              <w:spacing w:line="50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pPr>
              <w:tabs>
                <w:tab w:val="left" w:pos="6300"/>
              </w:tabs>
              <w:snapToGrid w:val="0"/>
              <w:spacing w:line="50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pPr>
              <w:tabs>
                <w:tab w:val="left" w:pos="6300"/>
              </w:tabs>
              <w:snapToGrid w:val="0"/>
              <w:spacing w:line="50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pPr>
              <w:tabs>
                <w:tab w:val="left" w:pos="6300"/>
              </w:tabs>
              <w:snapToGrid w:val="0"/>
              <w:spacing w:line="50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pPr>
              <w:tabs>
                <w:tab w:val="left" w:pos="6300"/>
              </w:tabs>
              <w:snapToGrid w:val="0"/>
              <w:spacing w:line="50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pPr>
              <w:tabs>
                <w:tab w:val="left" w:pos="6300"/>
              </w:tabs>
              <w:snapToGrid w:val="0"/>
              <w:spacing w:line="50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pPr>
              <w:tabs>
                <w:tab w:val="left" w:pos="6300"/>
              </w:tabs>
              <w:snapToGrid w:val="0"/>
              <w:spacing w:line="500" w:lineRule="exact"/>
              <w:jc w:val="center"/>
              <w:rPr>
                <w:rFonts w:ascii="宋体" w:hAnsi="宋体" w:cs="宋体"/>
                <w:color w:val="auto"/>
                <w:sz w:val="21"/>
                <w:szCs w:val="21"/>
                <w:highlight w:val="none"/>
              </w:rPr>
            </w:pPr>
          </w:p>
        </w:tc>
      </w:tr>
    </w:tbl>
    <w:p>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供应商：                                      法人授权代表：</w:t>
      </w:r>
    </w:p>
    <w:p>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pPr>
        <w:spacing w:line="500" w:lineRule="exact"/>
        <w:ind w:firstLine="720" w:firstLineChars="300"/>
        <w:rPr>
          <w:rFonts w:ascii="宋体" w:hAnsi="宋体" w:cs="宋体"/>
          <w:color w:val="auto"/>
          <w:sz w:val="24"/>
          <w:szCs w:val="28"/>
          <w:highlight w:val="none"/>
        </w:rPr>
      </w:pPr>
      <w:r>
        <w:rPr>
          <w:rFonts w:hint="eastAsia" w:ascii="宋体" w:hAnsi="宋体" w:cs="宋体"/>
          <w:color w:val="auto"/>
          <w:sz w:val="24"/>
          <w:szCs w:val="28"/>
          <w:highlight w:val="none"/>
        </w:rPr>
        <w:t>（供应商公章）                               （签字或盖章）</w:t>
      </w: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1.本表即为对本项目“第二篇  项目商务需求”中所列条款进行比较和响应；</w:t>
      </w:r>
    </w:p>
    <w:p>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2.本表可扩展。</w:t>
      </w:r>
    </w:p>
    <w:p>
      <w:pPr>
        <w:spacing w:line="360" w:lineRule="auto"/>
        <w:rPr>
          <w:rFonts w:ascii="宋体" w:hAnsi="宋体" w:cs="宋体"/>
          <w:color w:val="auto"/>
          <w:highlight w:val="none"/>
        </w:rPr>
        <w:sectPr>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80" w:charSpace="0"/>
        </w:sectPr>
      </w:pPr>
    </w:p>
    <w:p>
      <w:pPr>
        <w:snapToGrid w:val="0"/>
        <w:spacing w:line="360" w:lineRule="auto"/>
        <w:ind w:left="465"/>
        <w:rPr>
          <w:rFonts w:ascii="宋体" w:hAnsi="宋体" w:cs="宋体"/>
          <w:color w:val="auto"/>
          <w:sz w:val="24"/>
          <w:szCs w:val="24"/>
          <w:highlight w:val="none"/>
        </w:rPr>
      </w:pPr>
      <w:r>
        <w:rPr>
          <w:rFonts w:hint="eastAsia" w:ascii="宋体" w:hAnsi="宋体" w:cs="宋体"/>
          <w:color w:val="auto"/>
          <w:sz w:val="24"/>
          <w:szCs w:val="24"/>
          <w:highlight w:val="none"/>
        </w:rPr>
        <w:t>（二）商务部分评分所需资料（格式自定）</w:t>
      </w:r>
    </w:p>
    <w:p>
      <w:pPr>
        <w:snapToGrid w:val="0"/>
        <w:spacing w:line="360" w:lineRule="auto"/>
        <w:ind w:left="465"/>
        <w:rPr>
          <w:rFonts w:ascii="宋体"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pStyle w:val="2"/>
        <w:rPr>
          <w:rFonts w:hAnsi="宋体"/>
          <w:color w:val="auto"/>
          <w:szCs w:val="28"/>
          <w:highlight w:val="none"/>
        </w:rPr>
      </w:pPr>
    </w:p>
    <w:p>
      <w:pPr>
        <w:snapToGrid w:val="0"/>
        <w:spacing w:line="360" w:lineRule="auto"/>
        <w:ind w:firstLine="480" w:firstLineChars="200"/>
        <w:rPr>
          <w:rFonts w:ascii="宋体" w:hAnsi="宋体" w:cs="宋体"/>
          <w:color w:val="auto"/>
          <w:sz w:val="24"/>
          <w:szCs w:val="24"/>
          <w:highlight w:val="none"/>
        </w:rPr>
        <w:sectPr>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80" w:charSpace="0"/>
        </w:sectPr>
      </w:pPr>
      <w:r>
        <w:rPr>
          <w:rFonts w:hint="eastAsia" w:ascii="宋体" w:hAnsi="宋体" w:cs="宋体"/>
          <w:color w:val="auto"/>
          <w:sz w:val="24"/>
          <w:szCs w:val="24"/>
          <w:highlight w:val="none"/>
        </w:rPr>
        <w:t>（三）其它优惠服务承诺</w:t>
      </w:r>
    </w:p>
    <w:p>
      <w:pPr>
        <w:snapToGrid w:val="0"/>
        <w:spacing w:line="360" w:lineRule="auto"/>
        <w:ind w:firstLine="482" w:firstLineChars="200"/>
        <w:outlineLvl w:val="9"/>
        <w:rPr>
          <w:rFonts w:ascii="宋体" w:hAnsi="宋体" w:cs="宋体"/>
          <w:color w:val="auto"/>
          <w:sz w:val="24"/>
          <w:highlight w:val="none"/>
        </w:rPr>
      </w:pPr>
      <w:bookmarkStart w:id="246" w:name="_Toc106030909"/>
      <w:bookmarkStart w:id="247" w:name="_Toc17509"/>
      <w:bookmarkStart w:id="248" w:name="_Toc76462353"/>
      <w:bookmarkStart w:id="249" w:name="_Toc18125"/>
      <w:bookmarkStart w:id="250" w:name="_Toc2082"/>
      <w:bookmarkStart w:id="251" w:name="_Toc65660382"/>
      <w:bookmarkStart w:id="252" w:name="_Toc20162"/>
      <w:bookmarkStart w:id="253" w:name="_Toc160701979"/>
      <w:r>
        <w:rPr>
          <w:rFonts w:hint="eastAsia" w:ascii="宋体" w:hAnsi="宋体" w:cs="宋体"/>
          <w:b/>
          <w:bCs/>
          <w:color w:val="auto"/>
          <w:sz w:val="24"/>
          <w:highlight w:val="none"/>
        </w:rPr>
        <w:t>四、资格条件</w:t>
      </w:r>
      <w:bookmarkEnd w:id="246"/>
      <w:bookmarkEnd w:id="247"/>
      <w:bookmarkEnd w:id="248"/>
    </w:p>
    <w:p>
      <w:pPr>
        <w:tabs>
          <w:tab w:val="left" w:pos="6300"/>
        </w:tabs>
        <w:snapToGrid w:val="0"/>
        <w:spacing w:line="4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ascii="宋体" w:hAnsi="宋体" w:cs="宋体"/>
          <w:color w:val="auto"/>
          <w:highlight w:val="none"/>
        </w:rPr>
      </w:pPr>
    </w:p>
    <w:p>
      <w:pPr>
        <w:tabs>
          <w:tab w:val="left" w:pos="6300"/>
        </w:tabs>
        <w:snapToGrid w:val="0"/>
        <w:spacing w:line="500" w:lineRule="exact"/>
        <w:ind w:firstLine="570"/>
        <w:rPr>
          <w:rFonts w:ascii="宋体" w:hAnsi="宋体" w:cs="宋体"/>
          <w:color w:val="auto"/>
          <w:highlight w:val="none"/>
        </w:rPr>
      </w:pPr>
    </w:p>
    <w:p>
      <w:pPr>
        <w:tabs>
          <w:tab w:val="left" w:pos="6300"/>
        </w:tabs>
        <w:snapToGrid w:val="0"/>
        <w:spacing w:line="500" w:lineRule="exact"/>
        <w:ind w:firstLine="570"/>
        <w:rPr>
          <w:rFonts w:ascii="宋体" w:hAnsi="宋体" w:cs="宋体"/>
          <w:color w:val="auto"/>
          <w:highlight w:val="none"/>
        </w:rPr>
      </w:pPr>
    </w:p>
    <w:p>
      <w:pPr>
        <w:tabs>
          <w:tab w:val="left" w:pos="6300"/>
        </w:tabs>
        <w:snapToGrid w:val="0"/>
        <w:spacing w:line="500" w:lineRule="exact"/>
        <w:ind w:firstLine="570"/>
        <w:rPr>
          <w:rFonts w:ascii="宋体" w:hAnsi="宋体" w:cs="宋体"/>
          <w:color w:val="auto"/>
          <w:highlight w:val="none"/>
        </w:rPr>
      </w:pPr>
    </w:p>
    <w:p>
      <w:pPr>
        <w:tabs>
          <w:tab w:val="left" w:pos="6300"/>
        </w:tabs>
        <w:snapToGrid w:val="0"/>
        <w:spacing w:line="500" w:lineRule="exact"/>
        <w:ind w:firstLine="570"/>
        <w:rPr>
          <w:rFonts w:ascii="宋体" w:hAnsi="宋体" w:cs="宋体"/>
          <w:color w:val="auto"/>
          <w:highlight w:val="none"/>
        </w:rPr>
      </w:pPr>
    </w:p>
    <w:p>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（二）法定代表人身份证明书（格式）</w:t>
      </w: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磋商项目名称：</w:t>
      </w:r>
      <w:r>
        <w:rPr>
          <w:rFonts w:hint="eastAsia" w:ascii="宋体" w:hAnsi="宋体" w:cs="宋体"/>
          <w:color w:val="auto"/>
          <w:sz w:val="24"/>
          <w:highlight w:val="none"/>
          <w:u w:val="single"/>
        </w:rPr>
        <w:t xml:space="preserve">                                                </w:t>
      </w: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（职务名称）职务，是（供应商名称）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特此证明。</w:t>
      </w: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（供应商公章）</w:t>
      </w: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年   月   日</w:t>
      </w: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法定代表人电话：XXXXXXX      电子邮箱：XXXXXX@XXXXX（若授权他人办理并签署响应文件的可不填写）</w:t>
      </w: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（附：法定代表人身份证正反面复印件）</w:t>
      </w: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p>
    <w:p>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（三）法定代表人授权委托书（格式）</w:t>
      </w:r>
    </w:p>
    <w:p>
      <w:pPr>
        <w:pStyle w:val="2"/>
        <w:rPr>
          <w:rFonts w:hAnsi="宋体" w:cs="宋体"/>
          <w:color w:val="auto"/>
          <w:highlight w:val="none"/>
        </w:rPr>
      </w:pPr>
      <w:r>
        <w:rPr>
          <w:rFonts w:hint="eastAsia" w:hAnsi="宋体" w:cs="宋体"/>
          <w:color w:val="auto"/>
          <w:highlight w:val="none"/>
        </w:rPr>
        <w:t xml:space="preserve">    </w:t>
      </w:r>
    </w:p>
    <w:p>
      <w:pPr>
        <w:pStyle w:val="2"/>
        <w:rPr>
          <w:color w:val="auto"/>
          <w:highlight w:val="none"/>
        </w:rPr>
      </w:pPr>
      <w:sdt>
        <w:sdtPr>
          <w:rPr>
            <w:rFonts w:hAnsi="宋体"/>
            <w:color w:val="auto"/>
            <w:kern w:val="2"/>
            <w:sz w:val="21"/>
            <w:highlight w:val="none"/>
          </w:rPr>
          <w:id w:val="147452959"/>
          <w:showingPlcHdr/>
          <w15:color w:val="DBDBDB"/>
          <w:docPartObj>
            <w:docPartGallery w:val="Table of Contents"/>
            <w:docPartUnique/>
          </w:docPartObj>
        </w:sdtPr>
        <w:sdtEndPr>
          <w:rPr>
            <w:rFonts w:hAnsi="Times New Roman"/>
            <w:color w:val="auto"/>
            <w:kern w:val="2"/>
            <w:sz w:val="24"/>
            <w:highlight w:val="none"/>
          </w:rPr>
        </w:sdtEndPr>
        <w:sdtContent/>
      </w:sdt>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8"/>
          <w:highlight w:val="none"/>
        </w:rPr>
        <w:t>磋商项目名称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（供应商法定代表人名称）是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我单位对被授权人的</w:t>
      </w:r>
      <w:r>
        <w:rPr>
          <w:rFonts w:hint="eastAsia" w:ascii="宋体" w:hAnsi="宋体" w:cs="宋体"/>
          <w:color w:val="auto"/>
          <w:sz w:val="24"/>
          <w:szCs w:val="28"/>
          <w:highlight w:val="none"/>
        </w:rPr>
        <w:t>签署</w:t>
      </w:r>
      <w:r>
        <w:rPr>
          <w:rFonts w:hint="eastAsia" w:ascii="宋体" w:hAnsi="宋体" w:cs="宋体"/>
          <w:color w:val="auto"/>
          <w:sz w:val="24"/>
          <w:highlight w:val="none"/>
        </w:rPr>
        <w:t>负全部责任。</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被授权人：                                 供应商法定代表人：</w:t>
      </w:r>
    </w:p>
    <w:p>
      <w:pPr>
        <w:tabs>
          <w:tab w:val="left" w:pos="6300"/>
        </w:tabs>
        <w:snapToGrid w:val="0"/>
        <w:spacing w:line="500" w:lineRule="exact"/>
        <w:ind w:firstLine="570"/>
        <w:rPr>
          <w:rFonts w:ascii="宋体" w:hAnsi="宋体" w:cs="宋体"/>
          <w:color w:val="auto"/>
          <w:sz w:val="24"/>
          <w:szCs w:val="28"/>
          <w:highlight w:val="none"/>
        </w:rPr>
      </w:pPr>
      <w:r>
        <w:rPr>
          <w:rFonts w:hint="eastAsia" w:ascii="宋体" w:hAnsi="宋体" w:cs="宋体"/>
          <w:color w:val="auto"/>
          <w:sz w:val="24"/>
          <w:szCs w:val="28"/>
          <w:highlight w:val="none"/>
        </w:rPr>
        <w:t>（签署或盖章）                                （签署或盖章）</w:t>
      </w:r>
    </w:p>
    <w:p>
      <w:pPr>
        <w:tabs>
          <w:tab w:val="left" w:pos="6300"/>
        </w:tabs>
        <w:snapToGrid w:val="0"/>
        <w:spacing w:line="500" w:lineRule="exact"/>
        <w:ind w:firstLine="570"/>
        <w:rPr>
          <w:rFonts w:ascii="宋体" w:hAnsi="宋体" w:cs="宋体"/>
          <w:color w:val="auto"/>
          <w:sz w:val="24"/>
          <w:szCs w:val="28"/>
          <w:highlight w:val="none"/>
        </w:rPr>
      </w:pP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（附：被授权人身份证正反面复印件）</w:t>
      </w:r>
    </w:p>
    <w:p>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w:t>
      </w: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firstLine="570"/>
        <w:rPr>
          <w:rFonts w:ascii="宋体" w:hAnsi="宋体" w:cs="宋体"/>
          <w:color w:val="auto"/>
          <w:sz w:val="24"/>
          <w:highlight w:val="none"/>
        </w:rPr>
      </w:pPr>
    </w:p>
    <w:p>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（供应商公章）</w:t>
      </w:r>
    </w:p>
    <w:p>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年   月   日</w:t>
      </w:r>
    </w:p>
    <w:p>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注：</w:t>
      </w:r>
    </w:p>
    <w:p>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1.若为法定代表人办理并签署响应文件的，不提供此文件。</w:t>
      </w:r>
    </w:p>
    <w:p>
      <w:pPr>
        <w:tabs>
          <w:tab w:val="left" w:pos="6300"/>
        </w:tabs>
        <w:snapToGrid w:val="0"/>
        <w:spacing w:line="500" w:lineRule="exact"/>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highlight w:val="none"/>
        </w:rPr>
        <w:t xml:space="preserve">   </w:t>
      </w:r>
      <w:r>
        <w:rPr>
          <w:rFonts w:hint="eastAsia" w:ascii="宋体" w:hAnsi="宋体" w:cs="宋体"/>
          <w:color w:val="auto"/>
          <w:sz w:val="24"/>
          <w:szCs w:val="24"/>
          <w:highlight w:val="none"/>
        </w:rPr>
        <w:t>（四）</w:t>
      </w:r>
      <w:r>
        <w:rPr>
          <w:rFonts w:hint="eastAsia" w:ascii="宋体" w:hAnsi="宋体" w:cs="宋体"/>
          <w:color w:val="auto"/>
          <w:sz w:val="24"/>
          <w:szCs w:val="28"/>
          <w:highlight w:val="none"/>
        </w:rPr>
        <w:t>基本资格条件承诺函</w:t>
      </w:r>
    </w:p>
    <w:p>
      <w:pPr>
        <w:tabs>
          <w:tab w:val="left" w:pos="6300"/>
        </w:tabs>
        <w:snapToGrid w:val="0"/>
        <w:spacing w:line="500" w:lineRule="exact"/>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基本资格条件承诺函</w:t>
      </w:r>
    </w:p>
    <w:p>
      <w:pPr>
        <w:tabs>
          <w:tab w:val="left" w:pos="6300"/>
        </w:tabs>
        <w:snapToGrid w:val="0"/>
        <w:spacing w:line="530" w:lineRule="exact"/>
        <w:rPr>
          <w:rFonts w:ascii="宋体" w:hAnsi="宋体" w:cs="宋体"/>
          <w:color w:val="auto"/>
          <w:sz w:val="24"/>
          <w:highlight w:val="none"/>
        </w:rPr>
      </w:pP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（供应商名称）郑重承诺：</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1.我方具有良好的商业信誉和健全的财务会计制度，具有履行合同所必需的设备和专业技术能力，具</w:t>
      </w:r>
      <w:r>
        <w:rPr>
          <w:rFonts w:hint="eastAsia" w:ascii="宋体" w:hAnsi="宋体" w:cs="宋体"/>
          <w:color w:val="auto"/>
          <w:sz w:val="24"/>
          <w:highlight w:val="none"/>
          <w:lang w:val="zh-CN"/>
        </w:rPr>
        <w:t>有依法缴纳税收和社会保障金的良好记录</w:t>
      </w:r>
      <w:r>
        <w:rPr>
          <w:rFonts w:hint="eastAsia" w:ascii="宋体" w:hAnsi="宋体" w:cs="宋体"/>
          <w:color w:val="auto"/>
          <w:sz w:val="24"/>
          <w:highlight w:val="none"/>
        </w:rPr>
        <w:t>，参加本项目采购活动前三年内无重大违法活动记录。</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我方对以上承诺负全部法律责任。</w:t>
      </w:r>
    </w:p>
    <w:p>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pPr>
        <w:tabs>
          <w:tab w:val="left" w:pos="6300"/>
        </w:tabs>
        <w:snapToGrid w:val="0"/>
        <w:spacing w:line="500" w:lineRule="exact"/>
        <w:ind w:firstLine="480" w:firstLineChars="200"/>
        <w:rPr>
          <w:rFonts w:ascii="宋体" w:hAnsi="宋体" w:cs="宋体"/>
          <w:color w:val="auto"/>
          <w:sz w:val="24"/>
          <w:highlight w:val="none"/>
        </w:rPr>
      </w:pPr>
    </w:p>
    <w:p>
      <w:pPr>
        <w:tabs>
          <w:tab w:val="left" w:pos="6300"/>
        </w:tabs>
        <w:snapToGrid w:val="0"/>
        <w:spacing w:line="50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（供应商公章）</w:t>
      </w:r>
    </w:p>
    <w:p>
      <w:pPr>
        <w:tabs>
          <w:tab w:val="left" w:pos="6300"/>
        </w:tabs>
        <w:snapToGrid w:val="0"/>
        <w:spacing w:line="500" w:lineRule="exact"/>
        <w:jc w:val="right"/>
        <w:rPr>
          <w:rFonts w:ascii="宋体" w:hAnsi="宋体" w:cs="宋体"/>
          <w:color w:val="auto"/>
          <w:sz w:val="24"/>
          <w:szCs w:val="24"/>
          <w:highlight w:val="none"/>
        </w:rPr>
      </w:pPr>
      <w:r>
        <w:rPr>
          <w:rFonts w:hint="eastAsia" w:ascii="宋体" w:hAnsi="宋体" w:cs="宋体"/>
          <w:color w:val="auto"/>
          <w:sz w:val="24"/>
          <w:highlight w:val="none"/>
        </w:rPr>
        <w:t>年   月   日</w:t>
      </w:r>
    </w:p>
    <w:p>
      <w:pPr>
        <w:snapToGrid w:val="0"/>
        <w:spacing w:line="400" w:lineRule="exact"/>
        <w:rPr>
          <w:rFonts w:hint="eastAsia" w:ascii="宋体" w:hAnsi="宋体" w:eastAsia="宋体" w:cs="宋体"/>
          <w:color w:val="auto"/>
          <w:sz w:val="24"/>
          <w:szCs w:val="24"/>
          <w:highlight w:val="none"/>
        </w:rPr>
        <w:sectPr>
          <w:headerReference r:id="rId8" w:type="default"/>
          <w:pgSz w:w="11907" w:h="16840"/>
          <w:pgMar w:top="1417" w:right="1417" w:bottom="1417" w:left="1417" w:header="850" w:footer="992" w:gutter="0"/>
          <w:pgBorders>
            <w:top w:val="none" w:sz="0" w:space="0"/>
            <w:left w:val="none" w:sz="0" w:space="0"/>
            <w:bottom w:val="none" w:sz="0" w:space="0"/>
            <w:right w:val="none" w:sz="0" w:space="0"/>
          </w:pgBorders>
          <w:pgNumType w:fmt="numberInDash"/>
          <w:cols w:space="0" w:num="1"/>
          <w:rtlGutter w:val="0"/>
          <w:docGrid w:linePitch="381" w:charSpace="0"/>
        </w:sectPr>
      </w:pPr>
      <w:bookmarkStart w:id="254" w:name="_Toc14422"/>
      <w:r>
        <w:rPr>
          <w:rFonts w:hint="eastAsia" w:ascii="宋体" w:hAnsi="宋体" w:eastAsia="宋体" w:cs="宋体"/>
          <w:b w:val="0"/>
          <w:color w:val="auto"/>
          <w:sz w:val="28"/>
          <w:highlight w:val="none"/>
        </w:rPr>
        <w:br w:type="page"/>
      </w:r>
      <w:bookmarkStart w:id="255" w:name="_Toc2552"/>
      <w:bookmarkStart w:id="256" w:name="_Toc106030910"/>
      <w:bookmarkStart w:id="257" w:name="_Toc76462354"/>
      <w:bookmarkStart w:id="258" w:name="_Toc23277"/>
      <w:bookmarkStart w:id="259" w:name="_Toc23123"/>
      <w:r>
        <w:rPr>
          <w:rFonts w:hint="eastAsia" w:ascii="宋体" w:hAnsi="宋体" w:eastAsia="宋体" w:cs="宋体"/>
          <w:color w:val="auto"/>
          <w:sz w:val="24"/>
          <w:szCs w:val="24"/>
          <w:highlight w:val="none"/>
        </w:rPr>
        <w:t>（五）特定资格条件证书或证明文件</w:t>
      </w:r>
    </w:p>
    <w:p>
      <w:pPr>
        <w:snapToGrid w:val="0"/>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五、其他资料</w:t>
      </w:r>
      <w:bookmarkEnd w:id="254"/>
      <w:bookmarkEnd w:id="255"/>
      <w:bookmarkEnd w:id="256"/>
      <w:bookmarkEnd w:id="257"/>
      <w:bookmarkEnd w:id="258"/>
      <w:bookmarkEnd w:id="259"/>
    </w:p>
    <w:p>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（一）中小企业声明函、监狱企业证明文件、残疾人福利性单位声明函</w:t>
      </w:r>
    </w:p>
    <w:p>
      <w:pPr>
        <w:tabs>
          <w:tab w:val="left" w:pos="6300"/>
        </w:tabs>
        <w:snapToGrid w:val="0"/>
        <w:spacing w:line="500" w:lineRule="exact"/>
        <w:ind w:firstLine="56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中小企业声明函</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本公司（联合体）郑重声明，根据《政府采购促进中小企业发展管理办法》（</w:t>
      </w:r>
      <w:r>
        <w:rPr>
          <w:rFonts w:hint="eastAsia" w:ascii="宋体" w:hAnsi="宋体" w:eastAsia="宋体" w:cs="宋体"/>
          <w:color w:val="auto"/>
          <w:sz w:val="24"/>
          <w:szCs w:val="24"/>
          <w:highlight w:val="none"/>
        </w:rPr>
        <w:t>财库〔2020〕46号</w:t>
      </w:r>
      <w:r>
        <w:rPr>
          <w:rFonts w:hint="eastAsia" w:ascii="宋体" w:hAnsi="宋体" w:eastAsia="宋体" w:cs="宋体"/>
          <w:color w:val="auto"/>
          <w:sz w:val="24"/>
          <w:szCs w:val="28"/>
          <w:highlight w:val="none"/>
        </w:rPr>
        <w:t>）的规定，本公司（联合体）参加</w:t>
      </w:r>
      <w:r>
        <w:rPr>
          <w:rFonts w:hint="eastAsia" w:ascii="宋体" w:hAnsi="宋体" w:eastAsia="宋体" w:cs="宋体"/>
          <w:i/>
          <w:color w:val="auto"/>
          <w:sz w:val="24"/>
          <w:szCs w:val="28"/>
          <w:highlight w:val="none"/>
          <w:u w:val="single"/>
        </w:rPr>
        <w:t>（单位名称）</w:t>
      </w:r>
      <w:r>
        <w:rPr>
          <w:rFonts w:hint="eastAsia" w:ascii="宋体" w:hAnsi="宋体" w:eastAsia="宋体" w:cs="宋体"/>
          <w:color w:val="auto"/>
          <w:sz w:val="24"/>
          <w:szCs w:val="28"/>
          <w:highlight w:val="none"/>
        </w:rPr>
        <w:t>的</w:t>
      </w:r>
      <w:r>
        <w:rPr>
          <w:rFonts w:hint="eastAsia" w:ascii="宋体" w:hAnsi="宋体" w:eastAsia="宋体" w:cs="宋体"/>
          <w:i/>
          <w:color w:val="auto"/>
          <w:sz w:val="24"/>
          <w:szCs w:val="28"/>
          <w:highlight w:val="none"/>
          <w:u w:val="single"/>
        </w:rPr>
        <w:t>（项目名称）</w:t>
      </w:r>
      <w:r>
        <w:rPr>
          <w:rFonts w:hint="eastAsia" w:ascii="宋体" w:hAnsi="宋体" w:eastAsia="宋体" w:cs="宋体"/>
          <w:color w:val="auto"/>
          <w:sz w:val="24"/>
          <w:szCs w:val="28"/>
          <w:highlight w:val="none"/>
        </w:rPr>
        <w:t>采购活动，服务全部由符合政策要求的中小企业承接。相关企业（含联合体中的中小企业、签订分包意向协议的中小企业）的具体情况如下：</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i/>
          <w:color w:val="auto"/>
          <w:sz w:val="24"/>
          <w:szCs w:val="28"/>
          <w:highlight w:val="none"/>
          <w:u w:val="single"/>
        </w:rPr>
        <w:t>（标的名称）</w:t>
      </w:r>
      <w:r>
        <w:rPr>
          <w:rFonts w:hint="eastAsia" w:ascii="宋体" w:hAnsi="宋体" w:eastAsia="宋体" w:cs="宋体"/>
          <w:color w:val="auto"/>
          <w:sz w:val="24"/>
          <w:szCs w:val="28"/>
          <w:highlight w:val="none"/>
        </w:rPr>
        <w:t>，属于</w:t>
      </w:r>
      <w:r>
        <w:rPr>
          <w:rFonts w:hint="eastAsia" w:ascii="宋体" w:hAnsi="宋体" w:eastAsia="宋体" w:cs="宋体"/>
          <w:i/>
          <w:color w:val="auto"/>
          <w:sz w:val="24"/>
          <w:szCs w:val="28"/>
          <w:highlight w:val="none"/>
          <w:u w:val="single"/>
        </w:rPr>
        <w:t>（采购文件中明确的所属行业）</w:t>
      </w:r>
      <w:r>
        <w:rPr>
          <w:rFonts w:hint="eastAsia" w:ascii="宋体" w:hAnsi="宋体" w:eastAsia="宋体" w:cs="宋体"/>
          <w:color w:val="auto"/>
          <w:sz w:val="24"/>
          <w:szCs w:val="28"/>
          <w:highlight w:val="none"/>
        </w:rPr>
        <w:t>；承接企业为</w:t>
      </w:r>
      <w:r>
        <w:rPr>
          <w:rFonts w:hint="eastAsia" w:ascii="宋体" w:hAnsi="宋体" w:eastAsia="宋体" w:cs="宋体"/>
          <w:i/>
          <w:color w:val="auto"/>
          <w:sz w:val="24"/>
          <w:szCs w:val="28"/>
          <w:highlight w:val="none"/>
          <w:u w:val="single"/>
        </w:rPr>
        <w:t>（企业名称）</w:t>
      </w:r>
      <w:r>
        <w:rPr>
          <w:rFonts w:hint="eastAsia" w:ascii="宋体" w:hAnsi="宋体" w:eastAsia="宋体" w:cs="宋体"/>
          <w:color w:val="auto"/>
          <w:sz w:val="24"/>
          <w:szCs w:val="28"/>
          <w:highlight w:val="none"/>
        </w:rPr>
        <w:t>，从业人员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人，营业收入为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万元，资产总额为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万元，属于</w:t>
      </w:r>
      <w:r>
        <w:rPr>
          <w:rFonts w:hint="eastAsia" w:ascii="宋体" w:hAnsi="宋体" w:eastAsia="宋体" w:cs="宋体"/>
          <w:i/>
          <w:color w:val="auto"/>
          <w:sz w:val="24"/>
          <w:szCs w:val="28"/>
          <w:highlight w:val="none"/>
          <w:u w:val="single"/>
        </w:rPr>
        <w:t>（中型企业、小型企业、微型企业）</w:t>
      </w:r>
      <w:r>
        <w:rPr>
          <w:rFonts w:hint="eastAsia" w:ascii="宋体" w:hAnsi="宋体" w:eastAsia="宋体" w:cs="宋体"/>
          <w:color w:val="auto"/>
          <w:sz w:val="24"/>
          <w:szCs w:val="28"/>
          <w:highlight w:val="none"/>
        </w:rPr>
        <w:t>；</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为本标的提供的服务人员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人，其中与本企业签订劳动合同</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人，其他人员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人。有其他人员的不符合中小企业扶持政策（适用于服务采购项目）;</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w:t>
      </w:r>
      <w:r>
        <w:rPr>
          <w:rFonts w:hint="eastAsia" w:ascii="宋体" w:hAnsi="宋体" w:eastAsia="宋体" w:cs="宋体"/>
          <w:i/>
          <w:color w:val="auto"/>
          <w:sz w:val="24"/>
          <w:szCs w:val="28"/>
          <w:highlight w:val="none"/>
          <w:u w:val="single"/>
        </w:rPr>
        <w:t xml:space="preserve"> （标的名称）</w:t>
      </w:r>
      <w:r>
        <w:rPr>
          <w:rFonts w:hint="eastAsia" w:ascii="宋体" w:hAnsi="宋体" w:eastAsia="宋体" w:cs="宋体"/>
          <w:color w:val="auto"/>
          <w:sz w:val="24"/>
          <w:szCs w:val="28"/>
          <w:highlight w:val="none"/>
        </w:rPr>
        <w:t>，属于</w:t>
      </w:r>
      <w:r>
        <w:rPr>
          <w:rFonts w:hint="eastAsia" w:ascii="宋体" w:hAnsi="宋体" w:eastAsia="宋体" w:cs="宋体"/>
          <w:i/>
          <w:color w:val="auto"/>
          <w:sz w:val="24"/>
          <w:szCs w:val="28"/>
          <w:highlight w:val="none"/>
          <w:u w:val="single"/>
        </w:rPr>
        <w:t>（采购文件中明确的所属行业）</w:t>
      </w:r>
      <w:r>
        <w:rPr>
          <w:rFonts w:hint="eastAsia" w:ascii="宋体" w:hAnsi="宋体" w:eastAsia="宋体" w:cs="宋体"/>
          <w:color w:val="auto"/>
          <w:sz w:val="24"/>
          <w:szCs w:val="28"/>
          <w:highlight w:val="none"/>
        </w:rPr>
        <w:t>；承接企业为</w:t>
      </w:r>
      <w:r>
        <w:rPr>
          <w:rFonts w:hint="eastAsia" w:ascii="宋体" w:hAnsi="宋体" w:eastAsia="宋体" w:cs="宋体"/>
          <w:i/>
          <w:color w:val="auto"/>
          <w:sz w:val="24"/>
          <w:szCs w:val="28"/>
          <w:highlight w:val="none"/>
          <w:u w:val="single"/>
        </w:rPr>
        <w:t>（企业名称）</w:t>
      </w:r>
      <w:r>
        <w:rPr>
          <w:rFonts w:hint="eastAsia" w:ascii="宋体" w:hAnsi="宋体" w:eastAsia="宋体" w:cs="宋体"/>
          <w:color w:val="auto"/>
          <w:sz w:val="24"/>
          <w:szCs w:val="28"/>
          <w:highlight w:val="none"/>
        </w:rPr>
        <w:t>，从业人员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人，营业收入为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万元，资产总额为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万元，属于</w:t>
      </w:r>
      <w:r>
        <w:rPr>
          <w:rFonts w:hint="eastAsia" w:ascii="宋体" w:hAnsi="宋体" w:eastAsia="宋体" w:cs="宋体"/>
          <w:i/>
          <w:color w:val="auto"/>
          <w:sz w:val="24"/>
          <w:szCs w:val="28"/>
          <w:highlight w:val="none"/>
          <w:u w:val="single"/>
        </w:rPr>
        <w:t>（中型企业、小型企业、微型企业）</w:t>
      </w:r>
      <w:r>
        <w:rPr>
          <w:rFonts w:hint="eastAsia" w:ascii="宋体" w:hAnsi="宋体" w:eastAsia="宋体" w:cs="宋体"/>
          <w:color w:val="auto"/>
          <w:sz w:val="24"/>
          <w:szCs w:val="28"/>
          <w:highlight w:val="none"/>
        </w:rPr>
        <w:t>；</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为本标的提供的服务人员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人，其中与本企业签订劳动合同</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人，其他人员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人。有其他人员的不符合中小企业扶持政策（适用于服务采购项目）;</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以上企业，不属于大企业的分支机构，不存在控股股东为大企业的情形，也不存在与大企业的负责人为同一人的情形。</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本企业对上述声明内容的真实性负责。如有虚假，将依法承担相应责任。</w:t>
      </w:r>
    </w:p>
    <w:p>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pPr>
        <w:tabs>
          <w:tab w:val="left" w:pos="6300"/>
        </w:tabs>
        <w:snapToGrid w:val="0"/>
        <w:spacing w:line="500" w:lineRule="exact"/>
        <w:ind w:firstLine="6120" w:firstLineChars="25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企业名称（盖章）： </w:t>
      </w:r>
    </w:p>
    <w:p>
      <w:pPr>
        <w:tabs>
          <w:tab w:val="left" w:pos="6300"/>
        </w:tabs>
        <w:snapToGrid w:val="0"/>
        <w:spacing w:line="500" w:lineRule="exact"/>
        <w:ind w:right="784" w:firstLine="6120" w:firstLineChars="255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日期：</w:t>
      </w:r>
    </w:p>
    <w:p>
      <w:pPr>
        <w:tabs>
          <w:tab w:val="left" w:pos="6300"/>
        </w:tabs>
        <w:snapToGrid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填写时应注意以下事项：</w:t>
      </w:r>
    </w:p>
    <w:p>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1.从业人员、营业收入、资产总额填报上一年度数据，无上一年度数据的新成立企业可不填报。</w:t>
      </w:r>
    </w:p>
    <w:p>
      <w:pPr>
        <w:tabs>
          <w:tab w:val="left" w:pos="6300"/>
        </w:tabs>
        <w:snapToGrid w:val="0"/>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2.中小企业应当按照《中小企业划型标准规定》（工信部联企业〔2011〕300号），如实填写并提交《中小企业声明函》。</w:t>
      </w:r>
    </w:p>
    <w:p>
      <w:pPr>
        <w:tabs>
          <w:tab w:val="left" w:pos="6300"/>
        </w:tabs>
        <w:snapToGrid w:val="0"/>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3.供应商填写《中小企业声明函》中所属行业时，应与采购文件第一篇“采购标的对应的中小企业划分标准所属行业”中填写的所属行业一致。</w:t>
      </w:r>
    </w:p>
    <w:p>
      <w:pPr>
        <w:tabs>
          <w:tab w:val="left" w:pos="6300"/>
        </w:tabs>
        <w:snapToGrid w:val="0"/>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4.本声明函“企业名称（盖章）”处为供应商盖章。</w:t>
      </w:r>
    </w:p>
    <w:p>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注：各行业划型标准：</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jc w:val="left"/>
        <w:textAlignment w:val="auto"/>
        <w:rPr>
          <w:rFonts w:ascii="宋体" w:hAnsi="宋体" w:cs="宋体"/>
          <w:color w:val="auto"/>
          <w:sz w:val="24"/>
          <w:szCs w:val="24"/>
          <w:highlight w:val="none"/>
        </w:rPr>
      </w:pPr>
      <w:r>
        <w:rPr>
          <w:rFonts w:hint="eastAsia" w:ascii="宋体" w:hAnsi="宋体" w:eastAsia="宋体" w:cs="宋体"/>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jc w:val="both"/>
        <w:rPr>
          <w:rFonts w:hint="eastAsia" w:ascii="宋体" w:hAnsi="宋体" w:cs="宋体"/>
          <w:color w:val="auto"/>
          <w:highlight w:val="none"/>
        </w:rPr>
        <w:sectPr>
          <w:pgSz w:w="11907" w:h="16840"/>
          <w:pgMar w:top="1417" w:right="1417" w:bottom="1417" w:left="1417" w:header="850" w:footer="992" w:gutter="0"/>
          <w:pgBorders>
            <w:top w:val="none" w:sz="0" w:space="0"/>
            <w:left w:val="none" w:sz="0" w:space="0"/>
            <w:bottom w:val="none" w:sz="0" w:space="0"/>
            <w:right w:val="none" w:sz="0" w:space="0"/>
          </w:pgBorders>
          <w:pgNumType w:fmt="numberInDash"/>
          <w:cols w:space="0" w:num="1"/>
          <w:rtlGutter w:val="0"/>
          <w:docGrid w:linePitch="381" w:charSpace="0"/>
        </w:sectPr>
      </w:pPr>
    </w:p>
    <w:p>
      <w:pPr>
        <w:tabs>
          <w:tab w:val="left" w:pos="6300"/>
        </w:tabs>
        <w:snapToGrid w:val="0"/>
        <w:spacing w:line="500" w:lineRule="exact"/>
        <w:ind w:firstLine="560" w:firstLineChars="200"/>
        <w:jc w:val="center"/>
        <w:rPr>
          <w:rFonts w:ascii="宋体" w:hAnsi="宋体" w:cs="宋体"/>
          <w:color w:val="auto"/>
          <w:highlight w:val="none"/>
        </w:rPr>
      </w:pPr>
      <w:r>
        <w:rPr>
          <w:rFonts w:hint="eastAsia" w:ascii="宋体" w:hAnsi="宋体" w:cs="宋体"/>
          <w:color w:val="auto"/>
          <w:highlight w:val="none"/>
        </w:rPr>
        <w:t>监狱企业证明文件</w:t>
      </w:r>
    </w:p>
    <w:p>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以省级以上监狱管理局、戒毒管理局（含新疆生产建设兵团）出具的属于监狱企业的证明文件为准。</w:t>
      </w:r>
    </w:p>
    <w:p>
      <w:pPr>
        <w:tabs>
          <w:tab w:val="left" w:pos="6300"/>
        </w:tabs>
        <w:snapToGrid w:val="0"/>
        <w:spacing w:line="500" w:lineRule="exact"/>
        <w:ind w:firstLine="480" w:firstLineChars="200"/>
        <w:jc w:val="center"/>
        <w:rPr>
          <w:rFonts w:hint="eastAsia" w:ascii="宋体" w:hAnsi="宋体" w:eastAsia="宋体" w:cs="宋体"/>
          <w:color w:val="auto"/>
          <w:highlight w:val="none"/>
        </w:rPr>
      </w:pPr>
      <w:r>
        <w:rPr>
          <w:rFonts w:hint="eastAsia" w:ascii="宋体" w:hAnsi="宋体" w:cs="宋体"/>
          <w:color w:val="auto"/>
          <w:sz w:val="24"/>
          <w:highlight w:val="none"/>
        </w:rPr>
        <w:br w:type="page"/>
      </w:r>
      <w:r>
        <w:rPr>
          <w:rFonts w:hint="eastAsia" w:ascii="宋体" w:hAnsi="宋体" w:eastAsia="宋体" w:cs="宋体"/>
          <w:color w:val="auto"/>
          <w:highlight w:val="none"/>
        </w:rPr>
        <w:t>残疾人福利性单位声明函</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tabs>
          <w:tab w:val="left" w:pos="6300"/>
        </w:tabs>
        <w:snapToGrid w:val="0"/>
        <w:spacing w:line="500" w:lineRule="exact"/>
        <w:ind w:firstLine="480" w:firstLineChars="200"/>
        <w:rPr>
          <w:rFonts w:hint="eastAsia" w:ascii="宋体" w:hAnsi="宋体" w:eastAsia="宋体" w:cs="宋体"/>
          <w:color w:val="auto"/>
          <w:sz w:val="24"/>
          <w:highlight w:val="none"/>
        </w:rPr>
      </w:pPr>
    </w:p>
    <w:p>
      <w:pPr>
        <w:tabs>
          <w:tab w:val="left" w:pos="6300"/>
        </w:tabs>
        <w:snapToGrid w:val="0"/>
        <w:spacing w:line="500" w:lineRule="exact"/>
        <w:ind w:firstLine="480" w:firstLineChars="200"/>
        <w:rPr>
          <w:rFonts w:hint="eastAsia" w:ascii="宋体" w:hAnsi="宋体" w:eastAsia="宋体" w:cs="宋体"/>
          <w:color w:val="auto"/>
          <w:sz w:val="24"/>
          <w:highlight w:val="none"/>
        </w:rPr>
      </w:pP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供应商名称（盖章）：</w:t>
      </w:r>
    </w:p>
    <w:p>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napToGrid w:val="0"/>
        <w:spacing w:line="440" w:lineRule="exact"/>
        <w:ind w:firstLine="480" w:firstLineChars="200"/>
        <w:rPr>
          <w:rFonts w:hint="eastAsia" w:ascii="宋体" w:hAnsi="宋体" w:eastAsia="宋体" w:cs="宋体"/>
          <w:color w:val="auto"/>
          <w:sz w:val="24"/>
          <w:highlight w:val="none"/>
        </w:rPr>
      </w:pPr>
    </w:p>
    <w:p>
      <w:pPr>
        <w:snapToGrid w:val="0"/>
        <w:spacing w:line="440" w:lineRule="exact"/>
        <w:ind w:firstLine="480" w:firstLineChars="200"/>
        <w:rPr>
          <w:rFonts w:hint="eastAsia" w:ascii="宋体" w:hAnsi="宋体" w:eastAsia="宋体" w:cs="宋体"/>
          <w:color w:val="auto"/>
          <w:sz w:val="24"/>
          <w:highlight w:val="none"/>
        </w:rPr>
      </w:pPr>
    </w:p>
    <w:p>
      <w:pPr>
        <w:snapToGrid w:val="0"/>
        <w:spacing w:line="440" w:lineRule="exact"/>
        <w:ind w:firstLine="480" w:firstLineChars="200"/>
        <w:rPr>
          <w:rFonts w:hint="eastAsia" w:ascii="宋体" w:hAnsi="宋体" w:eastAsia="宋体" w:cs="宋体"/>
          <w:color w:val="auto"/>
          <w:sz w:val="24"/>
          <w:highlight w:val="none"/>
        </w:rPr>
      </w:pPr>
    </w:p>
    <w:p>
      <w:pPr>
        <w:snapToGrid w:val="0"/>
        <w:spacing w:line="440" w:lineRule="exact"/>
        <w:ind w:firstLine="480" w:firstLineChars="200"/>
        <w:rPr>
          <w:rFonts w:hint="eastAsia" w:ascii="宋体" w:hAnsi="宋体" w:eastAsia="宋体" w:cs="宋体"/>
          <w:color w:val="auto"/>
          <w:sz w:val="24"/>
          <w:highlight w:val="none"/>
        </w:rPr>
      </w:pPr>
    </w:p>
    <w:p>
      <w:pPr>
        <w:snapToGrid w:val="0"/>
        <w:spacing w:line="440" w:lineRule="exact"/>
        <w:ind w:firstLine="480" w:firstLineChars="200"/>
        <w:rPr>
          <w:rFonts w:hint="eastAsia" w:ascii="宋体" w:hAnsi="宋体" w:eastAsia="宋体" w:cs="宋体"/>
          <w:color w:val="auto"/>
          <w:sz w:val="24"/>
          <w:highlight w:val="none"/>
        </w:rPr>
      </w:pPr>
    </w:p>
    <w:p>
      <w:pPr>
        <w:snapToGrid w:val="0"/>
        <w:spacing w:line="440" w:lineRule="exact"/>
        <w:ind w:firstLine="480" w:firstLineChars="200"/>
        <w:rPr>
          <w:rFonts w:hint="eastAsia" w:ascii="宋体" w:hAnsi="宋体" w:eastAsia="宋体" w:cs="宋体"/>
          <w:color w:val="auto"/>
          <w:sz w:val="24"/>
          <w:highlight w:val="none"/>
        </w:rPr>
      </w:pPr>
    </w:p>
    <w:p>
      <w:pPr>
        <w:snapToGrid w:val="0"/>
        <w:spacing w:line="440" w:lineRule="exact"/>
        <w:ind w:firstLine="480" w:firstLineChars="200"/>
        <w:rPr>
          <w:rFonts w:hint="eastAsia" w:ascii="宋体" w:hAnsi="宋体" w:eastAsia="宋体" w:cs="宋体"/>
          <w:color w:val="auto"/>
          <w:sz w:val="24"/>
          <w:highlight w:val="none"/>
        </w:rPr>
      </w:pPr>
    </w:p>
    <w:p>
      <w:pPr>
        <w:snapToGrid w:val="0"/>
        <w:spacing w:line="440" w:lineRule="exact"/>
        <w:ind w:firstLine="480" w:firstLineChars="200"/>
        <w:rPr>
          <w:rFonts w:hint="eastAsia" w:ascii="宋体" w:hAnsi="宋体" w:eastAsia="宋体" w:cs="宋体"/>
          <w:color w:val="auto"/>
          <w:sz w:val="24"/>
          <w:highlight w:val="none"/>
        </w:rPr>
      </w:pPr>
    </w:p>
    <w:p>
      <w:pPr>
        <w:snapToGrid w:val="0"/>
        <w:spacing w:line="440" w:lineRule="exact"/>
        <w:ind w:firstLine="480" w:firstLineChars="200"/>
        <w:rPr>
          <w:rFonts w:hint="eastAsia" w:ascii="宋体" w:hAnsi="宋体" w:eastAsia="宋体" w:cs="宋体"/>
          <w:color w:val="auto"/>
          <w:sz w:val="24"/>
          <w:highlight w:val="none"/>
        </w:rPr>
      </w:pPr>
    </w:p>
    <w:p>
      <w:pPr>
        <w:snapToGrid w:val="0"/>
        <w:spacing w:line="440" w:lineRule="exact"/>
        <w:ind w:firstLine="480" w:firstLineChars="200"/>
        <w:rPr>
          <w:rFonts w:hint="eastAsia" w:ascii="宋体" w:hAnsi="宋体" w:eastAsia="宋体" w:cs="宋体"/>
          <w:color w:val="auto"/>
          <w:sz w:val="24"/>
          <w:highlight w:val="none"/>
        </w:rPr>
      </w:pPr>
    </w:p>
    <w:p>
      <w:pPr>
        <w:snapToGrid w:val="0"/>
        <w:spacing w:line="440" w:lineRule="exact"/>
        <w:ind w:firstLine="480" w:firstLineChars="200"/>
        <w:rPr>
          <w:rFonts w:hint="eastAsia" w:ascii="宋体" w:hAnsi="宋体" w:eastAsia="宋体" w:cs="宋体"/>
          <w:color w:val="auto"/>
          <w:sz w:val="24"/>
          <w:highlight w:val="none"/>
        </w:rPr>
      </w:pPr>
    </w:p>
    <w:p>
      <w:pPr>
        <w:snapToGrid w:val="0"/>
        <w:spacing w:line="440" w:lineRule="exact"/>
        <w:ind w:firstLine="480" w:firstLineChars="200"/>
        <w:rPr>
          <w:rFonts w:hint="eastAsia" w:ascii="宋体" w:hAnsi="宋体" w:eastAsia="宋体" w:cs="宋体"/>
          <w:color w:val="auto"/>
          <w:sz w:val="24"/>
          <w:highlight w:val="none"/>
        </w:rPr>
      </w:pPr>
    </w:p>
    <w:p>
      <w:pPr>
        <w:snapToGrid w:val="0"/>
        <w:spacing w:line="440" w:lineRule="exact"/>
        <w:ind w:firstLine="480" w:firstLineChars="200"/>
        <w:rPr>
          <w:rFonts w:ascii="宋体" w:hAnsi="宋体" w:cs="宋体"/>
          <w:color w:val="auto"/>
          <w:sz w:val="24"/>
          <w:highlight w:val="none"/>
        </w:rPr>
      </w:pPr>
      <w:r>
        <w:rPr>
          <w:rFonts w:hint="eastAsia" w:ascii="宋体" w:hAnsi="宋体" w:eastAsia="宋体" w:cs="宋体"/>
          <w:color w:val="auto"/>
          <w:kern w:val="0"/>
          <w:sz w:val="24"/>
          <w:highlight w:val="none"/>
        </w:rPr>
        <w:t>若成交供应商为残疾人福利性单位的，将在结果公告时公告其《残疾人福利性单位声明函》。</w:t>
      </w:r>
    </w:p>
    <w:p>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（二）其他与项目有关的资料</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其他与项目有关的资料（自附）：供应商总体情况介绍、其他与本项目有关的资料等。</w:t>
      </w:r>
    </w:p>
    <w:p>
      <w:pPr>
        <w:spacing w:line="360" w:lineRule="auto"/>
        <w:ind w:firstLine="480" w:firstLineChars="200"/>
        <w:rPr>
          <w:rFonts w:ascii="宋体" w:hAnsi="宋体" w:cs="宋体"/>
          <w:color w:val="auto"/>
          <w:sz w:val="24"/>
          <w:szCs w:val="24"/>
          <w:highlight w:val="none"/>
        </w:rPr>
      </w:pPr>
    </w:p>
    <w:p>
      <w:pPr>
        <w:spacing w:line="360" w:lineRule="auto"/>
        <w:ind w:firstLine="480" w:firstLineChars="200"/>
        <w:jc w:val="center"/>
        <w:rPr>
          <w:rFonts w:ascii="宋体" w:hAnsi="宋体" w:cs="宋体"/>
          <w:color w:val="auto"/>
          <w:sz w:val="24"/>
          <w:szCs w:val="24"/>
          <w:highlight w:val="none"/>
        </w:rPr>
      </w:pPr>
    </w:p>
    <w:p>
      <w:pPr>
        <w:spacing w:line="360" w:lineRule="auto"/>
        <w:ind w:firstLine="480" w:firstLineChars="200"/>
        <w:jc w:val="center"/>
        <w:rPr>
          <w:rFonts w:ascii="宋体" w:hAnsi="宋体" w:cs="宋体"/>
          <w:color w:val="auto"/>
          <w:sz w:val="24"/>
          <w:szCs w:val="24"/>
          <w:highlight w:val="none"/>
        </w:rPr>
      </w:pPr>
    </w:p>
    <w:p>
      <w:pPr>
        <w:spacing w:line="360" w:lineRule="auto"/>
        <w:ind w:firstLine="480" w:firstLineChars="200"/>
        <w:jc w:val="center"/>
        <w:rPr>
          <w:rFonts w:ascii="宋体" w:hAnsi="宋体" w:cs="宋体"/>
          <w:color w:val="auto"/>
          <w:sz w:val="24"/>
          <w:szCs w:val="24"/>
          <w:highlight w:val="none"/>
        </w:rPr>
      </w:pPr>
    </w:p>
    <w:p>
      <w:pPr>
        <w:spacing w:line="360" w:lineRule="auto"/>
        <w:ind w:firstLine="480" w:firstLineChars="200"/>
        <w:jc w:val="center"/>
        <w:rPr>
          <w:rFonts w:ascii="宋体" w:hAnsi="宋体" w:cs="宋体"/>
          <w:color w:val="auto"/>
          <w:sz w:val="24"/>
          <w:szCs w:val="24"/>
          <w:highlight w:val="none"/>
        </w:rPr>
      </w:pPr>
    </w:p>
    <w:p>
      <w:pPr>
        <w:spacing w:line="360" w:lineRule="auto"/>
        <w:ind w:firstLine="480" w:firstLineChars="200"/>
        <w:jc w:val="center"/>
        <w:rPr>
          <w:rFonts w:ascii="宋体" w:hAnsi="宋体" w:cs="宋体"/>
          <w:color w:val="auto"/>
          <w:sz w:val="24"/>
          <w:szCs w:val="24"/>
          <w:highlight w:val="none"/>
        </w:rPr>
      </w:pPr>
    </w:p>
    <w:p>
      <w:pPr>
        <w:spacing w:line="360" w:lineRule="auto"/>
        <w:ind w:firstLine="480" w:firstLineChars="200"/>
        <w:jc w:val="center"/>
        <w:rPr>
          <w:rFonts w:ascii="宋体" w:hAnsi="宋体" w:cs="宋体"/>
          <w:color w:val="auto"/>
          <w:sz w:val="24"/>
          <w:szCs w:val="24"/>
          <w:highlight w:val="none"/>
        </w:rPr>
      </w:pPr>
    </w:p>
    <w:p>
      <w:pPr>
        <w:spacing w:line="360" w:lineRule="auto"/>
        <w:ind w:firstLine="480" w:firstLineChars="200"/>
        <w:jc w:val="center"/>
        <w:rPr>
          <w:rFonts w:ascii="宋体" w:hAnsi="宋体" w:cs="宋体"/>
          <w:color w:val="auto"/>
          <w:sz w:val="24"/>
          <w:szCs w:val="24"/>
          <w:highlight w:val="none"/>
        </w:rPr>
      </w:pPr>
    </w:p>
    <w:p>
      <w:pPr>
        <w:spacing w:line="360" w:lineRule="auto"/>
        <w:ind w:firstLine="480" w:firstLineChars="200"/>
        <w:jc w:val="center"/>
        <w:rPr>
          <w:rFonts w:ascii="宋体" w:hAnsi="宋体" w:cs="宋体"/>
          <w:color w:val="auto"/>
          <w:sz w:val="24"/>
          <w:szCs w:val="24"/>
          <w:highlight w:val="none"/>
        </w:rPr>
      </w:pPr>
    </w:p>
    <w:p>
      <w:pPr>
        <w:spacing w:line="360" w:lineRule="auto"/>
        <w:ind w:firstLine="480" w:firstLineChars="200"/>
        <w:jc w:val="center"/>
        <w:rPr>
          <w:rFonts w:ascii="宋体" w:hAnsi="宋体" w:cs="宋体"/>
          <w:color w:val="auto"/>
          <w:sz w:val="24"/>
          <w:szCs w:val="24"/>
          <w:highlight w:val="none"/>
        </w:rPr>
      </w:pPr>
    </w:p>
    <w:p>
      <w:pPr>
        <w:spacing w:line="360" w:lineRule="auto"/>
        <w:ind w:firstLine="480" w:firstLineChars="200"/>
        <w:jc w:val="center"/>
        <w:rPr>
          <w:rFonts w:ascii="宋体" w:hAnsi="宋体" w:cs="宋体"/>
          <w:color w:val="auto"/>
          <w:sz w:val="24"/>
          <w:szCs w:val="24"/>
          <w:highlight w:val="none"/>
        </w:rPr>
      </w:pPr>
    </w:p>
    <w:p>
      <w:pPr>
        <w:spacing w:line="360" w:lineRule="auto"/>
        <w:ind w:firstLine="480" w:firstLineChars="200"/>
        <w:jc w:val="center"/>
        <w:rPr>
          <w:rFonts w:ascii="宋体" w:hAnsi="宋体" w:cs="宋体"/>
          <w:color w:val="auto"/>
          <w:sz w:val="24"/>
          <w:szCs w:val="24"/>
          <w:highlight w:val="none"/>
        </w:rPr>
      </w:pPr>
    </w:p>
    <w:p>
      <w:pPr>
        <w:spacing w:line="360" w:lineRule="auto"/>
        <w:ind w:firstLine="480" w:firstLineChars="200"/>
        <w:jc w:val="center"/>
        <w:outlineLvl w:val="9"/>
        <w:rPr>
          <w:rFonts w:ascii="宋体" w:hAnsi="宋体" w:cs="宋体"/>
          <w:color w:val="auto"/>
          <w:highlight w:val="none"/>
        </w:rPr>
      </w:pPr>
      <w:bookmarkStart w:id="260" w:name="_Toc3407"/>
      <w:r>
        <w:rPr>
          <w:rFonts w:hint="eastAsia" w:ascii="宋体" w:hAnsi="宋体" w:cs="宋体"/>
          <w:color w:val="auto"/>
          <w:sz w:val="24"/>
          <w:szCs w:val="24"/>
          <w:highlight w:val="none"/>
        </w:rPr>
        <w:t>（结束）</w:t>
      </w:r>
      <w:bookmarkEnd w:id="260"/>
    </w:p>
    <w:p>
      <w:pPr>
        <w:tabs>
          <w:tab w:val="left" w:pos="6300"/>
        </w:tabs>
        <w:snapToGrid w:val="0"/>
        <w:spacing w:line="500" w:lineRule="exact"/>
        <w:ind w:firstLine="4560" w:firstLineChars="1900"/>
        <w:rPr>
          <w:rFonts w:ascii="宋体" w:hAnsi="宋体" w:cs="宋体"/>
          <w:color w:val="auto"/>
          <w:sz w:val="24"/>
          <w:szCs w:val="24"/>
          <w:highlight w:val="none"/>
        </w:rPr>
      </w:pPr>
    </w:p>
    <w:p>
      <w:pPr>
        <w:adjustRightInd w:val="0"/>
        <w:snapToGrid w:val="0"/>
        <w:spacing w:before="0" w:after="0" w:line="400" w:lineRule="exact"/>
        <w:ind w:firstLine="480" w:firstLineChars="200"/>
        <w:outlineLvl w:val="9"/>
        <w:rPr>
          <w:rFonts w:ascii="方正仿宋_GBK" w:hAnsi="宋体" w:eastAsia="方正仿宋_GBK"/>
          <w:color w:val="auto"/>
          <w:sz w:val="24"/>
          <w:highlight w:val="none"/>
        </w:rPr>
      </w:pPr>
    </w:p>
    <w:p>
      <w:pPr>
        <w:adjustRightInd w:val="0"/>
        <w:snapToGrid w:val="0"/>
        <w:spacing w:before="0" w:after="0" w:line="400" w:lineRule="exact"/>
        <w:ind w:firstLine="480" w:firstLineChars="200"/>
        <w:outlineLvl w:val="9"/>
        <w:rPr>
          <w:rFonts w:ascii="方正仿宋_GBK" w:hAnsi="宋体" w:eastAsia="方正仿宋_GBK"/>
          <w:color w:val="auto"/>
          <w:sz w:val="24"/>
          <w:highlight w:val="none"/>
        </w:rPr>
      </w:pPr>
    </w:p>
    <w:p>
      <w:pPr>
        <w:adjustRightInd w:val="0"/>
        <w:snapToGrid w:val="0"/>
        <w:spacing w:before="0" w:after="0" w:line="400" w:lineRule="exact"/>
        <w:ind w:firstLine="480" w:firstLineChars="200"/>
        <w:outlineLvl w:val="9"/>
        <w:rPr>
          <w:rFonts w:ascii="方正仿宋_GBK" w:hAnsi="宋体" w:eastAsia="方正仿宋_GBK"/>
          <w:color w:val="auto"/>
          <w:sz w:val="24"/>
          <w:highlight w:val="none"/>
        </w:rPr>
      </w:pPr>
    </w:p>
    <w:p>
      <w:pPr>
        <w:adjustRightInd w:val="0"/>
        <w:snapToGrid w:val="0"/>
        <w:spacing w:before="0" w:after="0" w:line="400" w:lineRule="exact"/>
        <w:ind w:firstLine="480" w:firstLineChars="200"/>
        <w:outlineLvl w:val="9"/>
        <w:rPr>
          <w:rFonts w:ascii="方正仿宋_GBK" w:hAnsi="宋体" w:eastAsia="方正仿宋_GBK"/>
          <w:color w:val="auto"/>
          <w:sz w:val="24"/>
          <w:highlight w:val="none"/>
        </w:rPr>
      </w:pPr>
    </w:p>
    <w:p>
      <w:pPr>
        <w:adjustRightInd w:val="0"/>
        <w:snapToGrid w:val="0"/>
        <w:spacing w:before="0" w:after="0" w:line="400" w:lineRule="exact"/>
        <w:ind w:firstLine="480" w:firstLineChars="200"/>
        <w:outlineLvl w:val="9"/>
        <w:rPr>
          <w:rFonts w:ascii="方正仿宋_GBK" w:hAnsi="宋体" w:eastAsia="方正仿宋_GBK"/>
          <w:color w:val="auto"/>
          <w:sz w:val="24"/>
          <w:highlight w:val="none"/>
        </w:rPr>
      </w:pPr>
    </w:p>
    <w:p>
      <w:pPr>
        <w:adjustRightInd w:val="0"/>
        <w:snapToGrid w:val="0"/>
        <w:spacing w:before="0" w:after="0" w:line="400" w:lineRule="exact"/>
        <w:ind w:firstLine="480" w:firstLineChars="200"/>
        <w:outlineLvl w:val="9"/>
        <w:rPr>
          <w:rFonts w:ascii="方正仿宋_GBK" w:hAnsi="宋体" w:eastAsia="方正仿宋_GBK"/>
          <w:color w:val="auto"/>
          <w:sz w:val="24"/>
          <w:highlight w:val="none"/>
        </w:rPr>
      </w:pPr>
    </w:p>
    <w:p>
      <w:pPr>
        <w:adjustRightInd w:val="0"/>
        <w:snapToGrid w:val="0"/>
        <w:spacing w:before="0" w:after="0" w:line="400" w:lineRule="exact"/>
        <w:ind w:firstLine="480" w:firstLineChars="200"/>
        <w:outlineLvl w:val="9"/>
        <w:rPr>
          <w:rFonts w:ascii="方正仿宋_GBK" w:hAnsi="宋体" w:eastAsia="方正仿宋_GBK"/>
          <w:color w:val="auto"/>
          <w:sz w:val="24"/>
          <w:highlight w:val="none"/>
        </w:rPr>
      </w:pPr>
    </w:p>
    <w:bookmarkEnd w:id="237"/>
    <w:bookmarkEnd w:id="238"/>
    <w:bookmarkEnd w:id="239"/>
    <w:bookmarkEnd w:id="249"/>
    <w:bookmarkEnd w:id="250"/>
    <w:bookmarkEnd w:id="251"/>
    <w:bookmarkEnd w:id="252"/>
    <w:bookmarkEnd w:id="253"/>
    <w:p>
      <w:pPr>
        <w:spacing w:line="360" w:lineRule="auto"/>
        <w:ind w:firstLine="480" w:firstLineChars="200"/>
        <w:jc w:val="center"/>
        <w:rPr>
          <w:rFonts w:ascii="方正仿宋_GBK" w:hAnsi="宋体" w:eastAsia="方正仿宋_GBK"/>
          <w:color w:val="auto"/>
          <w:sz w:val="24"/>
          <w:szCs w:val="24"/>
          <w:highlight w:val="none"/>
        </w:rPr>
      </w:pPr>
    </w:p>
    <w:p>
      <w:pPr>
        <w:tabs>
          <w:tab w:val="left" w:pos="6300"/>
        </w:tabs>
        <w:snapToGrid w:val="0"/>
        <w:spacing w:line="500" w:lineRule="exact"/>
        <w:jc w:val="center"/>
        <w:rPr>
          <w:b/>
          <w:color w:val="auto"/>
          <w:sz w:val="24"/>
          <w:szCs w:val="24"/>
          <w:highlight w:val="none"/>
        </w:rPr>
      </w:pPr>
    </w:p>
    <w:p>
      <w:pPr>
        <w:rPr>
          <w:color w:val="auto"/>
          <w:highlight w:val="none"/>
        </w:rPr>
      </w:pPr>
    </w:p>
    <w:sectPr>
      <w:pgSz w:w="11907" w:h="16840"/>
      <w:pgMar w:top="1417" w:right="1417" w:bottom="1417" w:left="1417" w:header="850" w:footer="992" w:gutter="0"/>
      <w:pgBorders>
        <w:top w:val="none" w:sz="0" w:space="0"/>
        <w:left w:val="none" w:sz="0" w:space="0"/>
        <w:bottom w:val="none" w:sz="0" w:space="0"/>
        <w:right w:val="none" w:sz="0" w:space="0"/>
      </w:pgBorders>
      <w:pgNumType w:fmt="numberInDash"/>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jc w:val="center"/>
      <w:rPr>
        <w:rStyle w:val="18"/>
        <w:rFonts w:ascii="宋体"/>
        <w:sz w:val="21"/>
        <w:szCs w:val="21"/>
      </w:rPr>
    </w:pPr>
    <w:r>
      <w:rPr>
        <w:rStyle w:val="18"/>
      </w:rPr>
      <w:fldChar w:fldCharType="begin"/>
    </w:r>
    <w:r>
      <w:rPr>
        <w:rStyle w:val="18"/>
        <w:rFonts w:ascii="宋体"/>
        <w:sz w:val="21"/>
        <w:szCs w:val="21"/>
      </w:rPr>
      <w:instrText xml:space="preserve">PAGE  </w:instrText>
    </w:r>
    <w:r>
      <w:rPr>
        <w:rFonts w:ascii="宋体"/>
        <w:sz w:val="21"/>
        <w:szCs w:val="21"/>
      </w:rPr>
      <w:fldChar w:fldCharType="separate"/>
    </w:r>
    <w:r>
      <w:rPr>
        <w:rStyle w:val="18"/>
        <w:rFonts w:ascii="宋体"/>
        <w:sz w:val="21"/>
        <w:szCs w:val="21"/>
      </w:rPr>
      <w:t>- 2 -</w:t>
    </w:r>
    <w:r>
      <w:rPr>
        <w:rFonts w:ascii="宋体"/>
        <w:sz w:val="21"/>
        <w:szCs w:val="21"/>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sz w:val="21"/>
        <w:szCs w:val="21"/>
      </w:rPr>
    </w:pPr>
    <w:r>
      <w:rPr>
        <w:rStyle w:val="18"/>
      </w:rPr>
      <w:fldChar w:fldCharType="begin"/>
    </w:r>
    <w:r>
      <w:rPr>
        <w:rStyle w:val="18"/>
        <w:rFonts w:ascii="宋体"/>
        <w:sz w:val="21"/>
        <w:szCs w:val="21"/>
      </w:rPr>
      <w:instrText xml:space="preserve"> PAGE </w:instrText>
    </w:r>
    <w:r>
      <w:rPr>
        <w:rFonts w:ascii="宋体"/>
        <w:sz w:val="21"/>
        <w:szCs w:val="21"/>
      </w:rPr>
      <w:fldChar w:fldCharType="separate"/>
    </w:r>
    <w:r>
      <w:rPr>
        <w:rStyle w:val="18"/>
        <w:rFonts w:ascii="宋体"/>
        <w:sz w:val="21"/>
        <w:szCs w:val="21"/>
      </w:rPr>
      <w:t>- 25 -</w:t>
    </w:r>
    <w:r>
      <w:rPr>
        <w:rFonts w:asci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27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宋体"/>
        <w:sz w:val="21"/>
        <w:szCs w:val="21"/>
      </w:rPr>
    </w:pPr>
    <w:r>
      <w:rPr>
        <w:rFonts w:hint="eastAsia" w:ascii="宋体"/>
        <w:sz w:val="21"/>
        <w:szCs w:val="21"/>
        <w:lang w:eastAsia="zh-CN"/>
      </w:rPr>
      <w:t>2025年重庆市无线电专用设备运维</w:t>
    </w:r>
    <w:r>
      <w:rPr>
        <w:rFonts w:hint="eastAsia" w:ascii="宋体"/>
        <w:sz w:val="21"/>
        <w:szCs w:val="21"/>
      </w:rPr>
      <w:t xml:space="preserve">        </w:t>
    </w:r>
    <w:r>
      <w:rPr>
        <w:rFonts w:hint="eastAsia" w:ascii="宋体"/>
        <w:sz w:val="21"/>
        <w:szCs w:val="21"/>
        <w:lang w:val="en-US" w:eastAsia="zh-CN"/>
      </w:rPr>
      <w:t xml:space="preserve">                     </w:t>
    </w:r>
    <w:r>
      <w:rPr>
        <w:rFonts w:hint="eastAsia" w:ascii="宋体"/>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ascii="宋体"/>
        <w:sz w:val="21"/>
        <w:szCs w:val="21"/>
      </w:rPr>
    </w:pPr>
    <w:r>
      <w:rPr>
        <w:rFonts w:hint="eastAsia" w:ascii="宋体"/>
        <w:sz w:val="21"/>
        <w:szCs w:val="21"/>
        <w:lang w:eastAsia="zh-CN"/>
      </w:rPr>
      <w:t>2025年重庆市无线电专用设备运维</w:t>
    </w:r>
    <w:r>
      <w:rPr>
        <w:rFonts w:hint="eastAsia" w:ascii="宋体"/>
        <w:sz w:val="21"/>
        <w:szCs w:val="21"/>
      </w:rPr>
      <w:t xml:space="preserve">           </w:t>
    </w:r>
    <w:r>
      <w:rPr>
        <w:rFonts w:hint="eastAsia" w:ascii="宋体"/>
        <w:sz w:val="21"/>
        <w:szCs w:val="21"/>
        <w:lang w:val="en-US" w:eastAsia="zh-CN"/>
      </w:rPr>
      <w:t xml:space="preserve">                     </w:t>
    </w:r>
    <w:r>
      <w:rPr>
        <w:rFonts w:hint="eastAsia" w:ascii="宋体"/>
        <w:sz w:val="21"/>
        <w:szCs w:val="21"/>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ascii="宋体"/>
        <w:sz w:val="21"/>
        <w:szCs w:val="21"/>
      </w:rPr>
    </w:pPr>
    <w:r>
      <w:rPr>
        <w:rFonts w:hint="eastAsia" w:ascii="宋体"/>
        <w:sz w:val="21"/>
        <w:szCs w:val="21"/>
        <w:lang w:eastAsia="zh-CN"/>
      </w:rPr>
      <w:t>2025年重庆市无线电专用设备运维</w:t>
    </w:r>
    <w:r>
      <w:rPr>
        <w:rFonts w:hint="eastAsia" w:ascii="宋体"/>
        <w:sz w:val="21"/>
        <w:szCs w:val="21"/>
      </w:rPr>
      <w:t xml:space="preserve">               </w:t>
    </w:r>
    <w:r>
      <w:rPr>
        <w:rFonts w:hint="eastAsia" w:ascii="宋体"/>
        <w:sz w:val="21"/>
        <w:szCs w:val="21"/>
        <w:lang w:val="en-US" w:eastAsia="zh-CN"/>
      </w:rPr>
      <w:t xml:space="preserve">                      </w:t>
    </w:r>
    <w:r>
      <w:rPr>
        <w:rFonts w:hint="eastAsia" w:ascii="宋体"/>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D74AE"/>
    <w:multiLevelType w:val="singleLevel"/>
    <w:tmpl w:val="942D74AE"/>
    <w:lvl w:ilvl="0" w:tentative="0">
      <w:start w:val="2"/>
      <w:numFmt w:val="decimal"/>
      <w:suff w:val="space"/>
      <w:lvlText w:val="%1."/>
      <w:lvlJc w:val="left"/>
    </w:lvl>
  </w:abstractNum>
  <w:abstractNum w:abstractNumId="1">
    <w:nsid w:val="F96E9B05"/>
    <w:multiLevelType w:val="singleLevel"/>
    <w:tmpl w:val="F96E9B05"/>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E0B19"/>
    <w:rsid w:val="001C2052"/>
    <w:rsid w:val="0072714E"/>
    <w:rsid w:val="01E53AAB"/>
    <w:rsid w:val="02E90220"/>
    <w:rsid w:val="03534387"/>
    <w:rsid w:val="040402EB"/>
    <w:rsid w:val="047343F5"/>
    <w:rsid w:val="04D32697"/>
    <w:rsid w:val="061834A6"/>
    <w:rsid w:val="066514EF"/>
    <w:rsid w:val="06862A75"/>
    <w:rsid w:val="068B7ADA"/>
    <w:rsid w:val="06A234EA"/>
    <w:rsid w:val="06FD4A88"/>
    <w:rsid w:val="074C7A52"/>
    <w:rsid w:val="08662D55"/>
    <w:rsid w:val="08B128A6"/>
    <w:rsid w:val="09BC4570"/>
    <w:rsid w:val="0A5B75D8"/>
    <w:rsid w:val="0A6547A5"/>
    <w:rsid w:val="0A8D39DF"/>
    <w:rsid w:val="0AB51320"/>
    <w:rsid w:val="0B6372A8"/>
    <w:rsid w:val="0B953E9F"/>
    <w:rsid w:val="0BAD4690"/>
    <w:rsid w:val="0BF56429"/>
    <w:rsid w:val="0C5B1651"/>
    <w:rsid w:val="0ED44466"/>
    <w:rsid w:val="0FE00F1C"/>
    <w:rsid w:val="10270FEE"/>
    <w:rsid w:val="1306263A"/>
    <w:rsid w:val="134C2455"/>
    <w:rsid w:val="142E658A"/>
    <w:rsid w:val="143B18C7"/>
    <w:rsid w:val="1553642E"/>
    <w:rsid w:val="15805A47"/>
    <w:rsid w:val="15ED6F84"/>
    <w:rsid w:val="178C6A30"/>
    <w:rsid w:val="17D15239"/>
    <w:rsid w:val="17DE7734"/>
    <w:rsid w:val="18452B6C"/>
    <w:rsid w:val="191915B7"/>
    <w:rsid w:val="192E299C"/>
    <w:rsid w:val="1940517D"/>
    <w:rsid w:val="19501B94"/>
    <w:rsid w:val="199003FF"/>
    <w:rsid w:val="199D12F1"/>
    <w:rsid w:val="19B95D40"/>
    <w:rsid w:val="19C52E58"/>
    <w:rsid w:val="1A001918"/>
    <w:rsid w:val="1A9447AA"/>
    <w:rsid w:val="1AEE4014"/>
    <w:rsid w:val="1B272B5B"/>
    <w:rsid w:val="1B385835"/>
    <w:rsid w:val="1B444FAC"/>
    <w:rsid w:val="1CC07414"/>
    <w:rsid w:val="1CD949E4"/>
    <w:rsid w:val="1D082D39"/>
    <w:rsid w:val="1D417584"/>
    <w:rsid w:val="1D9F56A6"/>
    <w:rsid w:val="1DB23D88"/>
    <w:rsid w:val="1EEC7EF9"/>
    <w:rsid w:val="1F2C573A"/>
    <w:rsid w:val="1F774C4B"/>
    <w:rsid w:val="200D07E9"/>
    <w:rsid w:val="207A2E7F"/>
    <w:rsid w:val="20920230"/>
    <w:rsid w:val="21110DC5"/>
    <w:rsid w:val="211754AB"/>
    <w:rsid w:val="21542D0F"/>
    <w:rsid w:val="21D04686"/>
    <w:rsid w:val="221D6484"/>
    <w:rsid w:val="23CF3FFE"/>
    <w:rsid w:val="247E276B"/>
    <w:rsid w:val="24E01587"/>
    <w:rsid w:val="253838FB"/>
    <w:rsid w:val="25DF10AE"/>
    <w:rsid w:val="26AD0802"/>
    <w:rsid w:val="270D629D"/>
    <w:rsid w:val="283D5FEB"/>
    <w:rsid w:val="287E64FF"/>
    <w:rsid w:val="287F6F5C"/>
    <w:rsid w:val="29442B4A"/>
    <w:rsid w:val="2C655642"/>
    <w:rsid w:val="2CCB09B8"/>
    <w:rsid w:val="2D1A6AB6"/>
    <w:rsid w:val="2D7A67E5"/>
    <w:rsid w:val="2E601123"/>
    <w:rsid w:val="2E871E0C"/>
    <w:rsid w:val="2EF00A12"/>
    <w:rsid w:val="2EF26AA3"/>
    <w:rsid w:val="2FFB6945"/>
    <w:rsid w:val="307D3A62"/>
    <w:rsid w:val="31763C33"/>
    <w:rsid w:val="31887EE1"/>
    <w:rsid w:val="31FE5396"/>
    <w:rsid w:val="33164B0C"/>
    <w:rsid w:val="376C0B36"/>
    <w:rsid w:val="37EB2336"/>
    <w:rsid w:val="380B5401"/>
    <w:rsid w:val="38312021"/>
    <w:rsid w:val="38C20E58"/>
    <w:rsid w:val="3A9A3B69"/>
    <w:rsid w:val="3AA10EBC"/>
    <w:rsid w:val="3B4167A1"/>
    <w:rsid w:val="3BAE6678"/>
    <w:rsid w:val="3C137CB2"/>
    <w:rsid w:val="3C663DEB"/>
    <w:rsid w:val="3C6E7F5A"/>
    <w:rsid w:val="3E0A18F7"/>
    <w:rsid w:val="3FD31247"/>
    <w:rsid w:val="406D2642"/>
    <w:rsid w:val="40B10A64"/>
    <w:rsid w:val="41A002AD"/>
    <w:rsid w:val="420D3E3B"/>
    <w:rsid w:val="42282918"/>
    <w:rsid w:val="426B5884"/>
    <w:rsid w:val="42983BC3"/>
    <w:rsid w:val="42B559FF"/>
    <w:rsid w:val="42ED123B"/>
    <w:rsid w:val="4302227B"/>
    <w:rsid w:val="43367252"/>
    <w:rsid w:val="44437E31"/>
    <w:rsid w:val="454342FE"/>
    <w:rsid w:val="45852C89"/>
    <w:rsid w:val="461F3847"/>
    <w:rsid w:val="46226106"/>
    <w:rsid w:val="473478B2"/>
    <w:rsid w:val="477F5AC5"/>
    <w:rsid w:val="482D5AF4"/>
    <w:rsid w:val="48AD604A"/>
    <w:rsid w:val="499D11D6"/>
    <w:rsid w:val="4ACA61F8"/>
    <w:rsid w:val="4BF33F92"/>
    <w:rsid w:val="4D776108"/>
    <w:rsid w:val="4E3C3405"/>
    <w:rsid w:val="4E785120"/>
    <w:rsid w:val="4F9F68AD"/>
    <w:rsid w:val="514968E8"/>
    <w:rsid w:val="51817B79"/>
    <w:rsid w:val="51E825ED"/>
    <w:rsid w:val="526E2B7A"/>
    <w:rsid w:val="52C368CB"/>
    <w:rsid w:val="52DC52BF"/>
    <w:rsid w:val="5496779C"/>
    <w:rsid w:val="555C5E19"/>
    <w:rsid w:val="557E0B19"/>
    <w:rsid w:val="56C77239"/>
    <w:rsid w:val="59D062E8"/>
    <w:rsid w:val="5AA0313D"/>
    <w:rsid w:val="5B2335F4"/>
    <w:rsid w:val="5BE76B1D"/>
    <w:rsid w:val="5C1E64FE"/>
    <w:rsid w:val="5D4362C0"/>
    <w:rsid w:val="5D542F98"/>
    <w:rsid w:val="5E4E18CC"/>
    <w:rsid w:val="5E843D1D"/>
    <w:rsid w:val="5EC8768F"/>
    <w:rsid w:val="5FC3256D"/>
    <w:rsid w:val="60B76A10"/>
    <w:rsid w:val="611F7F8F"/>
    <w:rsid w:val="617678F3"/>
    <w:rsid w:val="618D5BE9"/>
    <w:rsid w:val="62B63B02"/>
    <w:rsid w:val="62C01E93"/>
    <w:rsid w:val="6388493C"/>
    <w:rsid w:val="63F60BE0"/>
    <w:rsid w:val="640459A3"/>
    <w:rsid w:val="64D03DF2"/>
    <w:rsid w:val="650520CD"/>
    <w:rsid w:val="65844CAC"/>
    <w:rsid w:val="66D63CF1"/>
    <w:rsid w:val="684233E6"/>
    <w:rsid w:val="68A82244"/>
    <w:rsid w:val="69162878"/>
    <w:rsid w:val="69473047"/>
    <w:rsid w:val="696D5485"/>
    <w:rsid w:val="6A37024E"/>
    <w:rsid w:val="6ABC2ECE"/>
    <w:rsid w:val="6B0C16AE"/>
    <w:rsid w:val="6B29292E"/>
    <w:rsid w:val="6BA36088"/>
    <w:rsid w:val="6D585BD0"/>
    <w:rsid w:val="70537C68"/>
    <w:rsid w:val="7129425E"/>
    <w:rsid w:val="7188167D"/>
    <w:rsid w:val="71BA2FE4"/>
    <w:rsid w:val="71C730BB"/>
    <w:rsid w:val="71D976DF"/>
    <w:rsid w:val="727750AE"/>
    <w:rsid w:val="727E1565"/>
    <w:rsid w:val="72A51424"/>
    <w:rsid w:val="73122CDB"/>
    <w:rsid w:val="73B42C03"/>
    <w:rsid w:val="741D1829"/>
    <w:rsid w:val="74B00580"/>
    <w:rsid w:val="76EC21E5"/>
    <w:rsid w:val="77E65308"/>
    <w:rsid w:val="77EC13AA"/>
    <w:rsid w:val="781C15A8"/>
    <w:rsid w:val="7A186D5D"/>
    <w:rsid w:val="7AAB1B4F"/>
    <w:rsid w:val="7AAC3DA0"/>
    <w:rsid w:val="7B0E5D4A"/>
    <w:rsid w:val="7CF96E16"/>
    <w:rsid w:val="7D11228E"/>
    <w:rsid w:val="7D366C7B"/>
    <w:rsid w:val="7D622E8D"/>
    <w:rsid w:val="7DA2182D"/>
    <w:rsid w:val="7E802674"/>
    <w:rsid w:val="7E98303F"/>
    <w:rsid w:val="7EF07AAE"/>
    <w:rsid w:val="7FCB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6">
    <w:name w:val="Body Text"/>
    <w:basedOn w:val="1"/>
    <w:next w:val="7"/>
    <w:qFormat/>
    <w:uiPriority w:val="0"/>
    <w:rPr>
      <w:rFonts w:ascii="仿宋_GB2312" w:eastAsia="仿宋_GB2312"/>
      <w:sz w:val="32"/>
    </w:rPr>
  </w:style>
  <w:style w:type="paragraph" w:styleId="7">
    <w:name w:val="index 7"/>
    <w:basedOn w:val="1"/>
    <w:next w:val="1"/>
    <w:qFormat/>
    <w:uiPriority w:val="0"/>
    <w:pPr>
      <w:ind w:left="2520"/>
    </w:pPr>
  </w:style>
  <w:style w:type="paragraph" w:styleId="8">
    <w:name w:val="Body Text Indent"/>
    <w:basedOn w:val="1"/>
    <w:qFormat/>
    <w:uiPriority w:val="0"/>
    <w:pPr>
      <w:spacing w:line="700" w:lineRule="exact"/>
      <w:ind w:left="960"/>
    </w:pPr>
    <w:rPr>
      <w:sz w:val="44"/>
    </w:rPr>
  </w:style>
  <w:style w:type="paragraph" w:styleId="9">
    <w:name w:val="Plain Text"/>
    <w:basedOn w:val="1"/>
    <w:qFormat/>
    <w:uiPriority w:val="0"/>
    <w:rPr>
      <w:rFonts w:ascii="宋体"/>
      <w:sz w:val="21"/>
    </w:rPr>
  </w:style>
  <w:style w:type="paragraph" w:styleId="10">
    <w:name w:val="Date"/>
    <w:basedOn w:val="1"/>
    <w:next w:val="1"/>
    <w:qFormat/>
    <w:uiPriority w:val="0"/>
  </w:style>
  <w:style w:type="paragraph" w:styleId="11">
    <w:name w:val="Body Text Indent 2"/>
    <w:basedOn w:val="1"/>
    <w:qFormat/>
    <w:uiPriority w:val="0"/>
    <w:pPr>
      <w:snapToGrid w:val="0"/>
      <w:spacing w:line="560" w:lineRule="atLeast"/>
      <w:ind w:firstLine="540"/>
    </w:pPr>
  </w:style>
  <w:style w:type="paragraph" w:styleId="12">
    <w:name w:val="footer"/>
    <w:basedOn w:val="1"/>
    <w:qFormat/>
    <w:uiPriority w:val="99"/>
    <w:pPr>
      <w:tabs>
        <w:tab w:val="center" w:pos="4153"/>
        <w:tab w:val="right" w:pos="8306"/>
      </w:tabs>
      <w:snapToGrid w:val="0"/>
      <w:jc w:val="left"/>
    </w:pPr>
    <w:rPr>
      <w:sz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rPr>
  </w:style>
  <w:style w:type="paragraph" w:styleId="14">
    <w:name w:val="toc 2"/>
    <w:basedOn w:val="1"/>
    <w:next w:val="1"/>
    <w:qFormat/>
    <w:uiPriority w:val="39"/>
    <w:pPr>
      <w:ind w:left="200" w:leftChars="200"/>
    </w:p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paragraph" w:customStyle="1" w:styleId="19">
    <w:name w:val="图例"/>
    <w:basedOn w:val="1"/>
    <w:qFormat/>
    <w:uiPriority w:val="0"/>
    <w:pPr>
      <w:spacing w:before="120" w:after="120" w:line="360" w:lineRule="auto"/>
      <w:jc w:val="center"/>
    </w:pPr>
    <w:rPr>
      <w:rFonts w:eastAsia="仿宋_GB2312"/>
      <w:b/>
      <w:sz w:val="24"/>
    </w:rPr>
  </w:style>
  <w:style w:type="paragraph" w:customStyle="1" w:styleId="20">
    <w:name w:val="1"/>
    <w:basedOn w:val="1"/>
    <w:next w:val="9"/>
    <w:qFormat/>
    <w:uiPriority w:val="0"/>
    <w:rPr>
      <w:rFonts w:ascii="宋体"/>
      <w:sz w:val="21"/>
    </w:rPr>
  </w:style>
  <w:style w:type="paragraph" w:customStyle="1" w:styleId="2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22">
    <w:name w:val="无间隔2"/>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5974</Words>
  <Characters>6845</Characters>
  <Lines>0</Lines>
  <Paragraphs>0</Paragraphs>
  <TotalTime>2</TotalTime>
  <ScaleCrop>false</ScaleCrop>
  <LinksUpToDate>false</LinksUpToDate>
  <CharactersWithSpaces>6985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2025-02-25T03:16:00Z</dcterms:created>
  <dc:creator>22222</dc:creator>
  <cp:lastModifiedBy>WPS_1527936864</cp:lastModifiedBy>
  <dcterms:modified xsi:type="dcterms:W3CDTF">2025-03-10T07:18:24Z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7627135D7A764F04A6F73549F8209C39_11</vt:lpwstr>
  </property>
  <property fmtid="{D5CDD505-2E9C-101B-9397-08002B2CF9AE}" pid="4" name="KSOTemplateDocerSaveRecord">
    <vt:lpwstr>eyJoZGlkIjoiN2VlZWExM2ExZmYwNjAxYzlkOTI5M2RiZmZjNWExODUiLCJ1c2VySWQiOiIzMDQzODA4ODcifQ==</vt:lpwstr>
  </property>
</Properties>
</file>