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jc w:val="center"/>
        <w:rPr>
          <w:rFonts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履约结果公告</w:t>
      </w:r>
      <w:bookmarkStart w:id="0" w:name="_GoBack"/>
      <w:bookmarkEnd w:id="0"/>
    </w:p>
    <w:p>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一、合同编号：</w:t>
      </w:r>
      <w:r>
        <w:rPr>
          <w:rFonts w:hint="eastAsia" w:ascii="方正黑体_GBK" w:hAnsi="仿宋" w:eastAsia="方正黑体_GBK"/>
          <w:szCs w:val="32"/>
          <w:u w:val="single"/>
        </w:rPr>
        <w:t>　渝经信合同审〔2024 〕75号</w:t>
      </w:r>
    </w:p>
    <w:p>
      <w:pPr>
        <w:overflowPunct w:val="0"/>
        <w:spacing w:line="520" w:lineRule="exact"/>
        <w:rPr>
          <w:rFonts w:ascii="黑体" w:hAnsi="黑体" w:eastAsia="黑体"/>
          <w:szCs w:val="32"/>
        </w:rPr>
      </w:pPr>
      <w:r>
        <w:rPr>
          <w:rFonts w:hint="eastAsia" w:ascii="方正黑体_GBK" w:hAnsi="黑体" w:eastAsia="方正黑体_GBK"/>
          <w:szCs w:val="32"/>
        </w:rPr>
        <w:t>二、合同名称：</w:t>
      </w:r>
      <w:r>
        <w:rPr>
          <w:rFonts w:hint="eastAsia" w:ascii="仿宋" w:hAnsi="仿宋" w:eastAsia="仿宋"/>
          <w:szCs w:val="32"/>
          <w:u w:val="single"/>
        </w:rPr>
        <w:t>　</w:t>
      </w:r>
      <w:r>
        <w:rPr>
          <w:rFonts w:hint="eastAsia" w:ascii="方正黑体_GBK" w:hAnsi="仿宋" w:eastAsia="方正黑体_GBK"/>
          <w:szCs w:val="32"/>
          <w:u w:val="single"/>
        </w:rPr>
        <w:t>重庆市政府采购合同　</w:t>
      </w:r>
    </w:p>
    <w:p>
      <w:pPr>
        <w:overflowPunct w:val="0"/>
        <w:spacing w:line="520" w:lineRule="exact"/>
        <w:rPr>
          <w:rFonts w:ascii="仿宋" w:hAnsi="仿宋" w:eastAsia="仿宋"/>
          <w:szCs w:val="32"/>
          <w:u w:val="single"/>
        </w:rPr>
      </w:pPr>
      <w:r>
        <w:rPr>
          <w:rFonts w:hint="eastAsia" w:ascii="方正黑体_GBK" w:hAnsi="黑体" w:eastAsia="方正黑体_GBK"/>
          <w:szCs w:val="32"/>
        </w:rPr>
        <w:t>三、项目编号：</w:t>
      </w:r>
      <w:r>
        <w:rPr>
          <w:rFonts w:hint="eastAsia" w:ascii="黑体" w:hAnsi="黑体" w:eastAsia="黑体"/>
          <w:szCs w:val="32"/>
        </w:rPr>
        <w:t>（</w:t>
      </w:r>
      <w:r>
        <w:rPr>
          <w:rFonts w:ascii="Times New Roman" w:hAnsi="Times New Roman" w:eastAsia="宋体"/>
          <w:sz w:val="28"/>
          <w:szCs w:val="28"/>
        </w:rPr>
        <w:t>CQCBJQ2406-166</w:t>
      </w:r>
      <w:r>
        <w:rPr>
          <w:rFonts w:hint="eastAsia" w:ascii="黑体" w:hAnsi="黑体" w:eastAsia="黑体"/>
          <w:szCs w:val="32"/>
        </w:rPr>
        <w:t>）</w:t>
      </w:r>
    </w:p>
    <w:p>
      <w:pPr>
        <w:overflowPunct w:val="0"/>
        <w:spacing w:line="520" w:lineRule="exact"/>
        <w:rPr>
          <w:rFonts w:hint="eastAsia" w:ascii="方正黑体_GBK" w:hAnsi="仿宋" w:eastAsia="方正黑体_GBK"/>
          <w:szCs w:val="32"/>
          <w:u w:val="single"/>
        </w:rPr>
      </w:pPr>
      <w:r>
        <w:rPr>
          <w:rFonts w:hint="eastAsia" w:ascii="方正黑体_GBK" w:hAnsi="黑体" w:eastAsia="方正黑体_GBK"/>
          <w:szCs w:val="32"/>
        </w:rPr>
        <w:t>四、项目名称：</w:t>
      </w:r>
      <w:r>
        <w:rPr>
          <w:rFonts w:hint="eastAsia" w:ascii="仿宋" w:hAnsi="仿宋" w:eastAsia="仿宋"/>
          <w:szCs w:val="32"/>
          <w:u w:val="single"/>
        </w:rPr>
        <w:t>　</w:t>
      </w:r>
      <w:r>
        <w:rPr>
          <w:rFonts w:hint="eastAsia" w:ascii="方正黑体_GBK" w:hAnsi="仿宋" w:eastAsia="方正黑体_GBK"/>
          <w:szCs w:val="32"/>
          <w:u w:val="single"/>
        </w:rPr>
        <w:t>重庆市无线电发射设备管理配套服务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五、合同主体</w:t>
      </w:r>
    </w:p>
    <w:p>
      <w:pPr>
        <w:overflowPunct w:val="0"/>
        <w:spacing w:line="520" w:lineRule="exact"/>
        <w:ind w:firstLine="420" w:firstLineChars="200"/>
        <w:rPr>
          <w:rFonts w:ascii="方正仿宋_GBK" w:hAnsi="方正仿宋_GBK" w:cs="方正仿宋_GBK"/>
          <w:sz w:val="21"/>
          <w:szCs w:val="21"/>
          <w:u w:val="single"/>
        </w:rPr>
      </w:pPr>
      <w:r>
        <w:rPr>
          <w:rFonts w:hint="eastAsia" w:ascii="方正仿宋_GBK" w:hAnsi="方正仿宋_GBK" w:cs="方正仿宋_GBK"/>
          <w:szCs w:val="32"/>
        </w:rPr>
        <w:t>采购人（甲方）：</w:t>
      </w:r>
      <w:r>
        <w:rPr>
          <w:rFonts w:ascii="Times New Roman" w:hAnsi="Times New Roman" w:eastAsia="宋体"/>
          <w:sz w:val="21"/>
          <w:szCs w:val="21"/>
          <w:u w:val="single"/>
        </w:rPr>
        <w:t>重庆市经济和信息化委员会</w:t>
      </w:r>
      <w:r>
        <w:rPr>
          <w:rFonts w:hint="eastAsia" w:ascii="方正仿宋_GBK" w:hAnsi="方正仿宋_GBK" w:cs="方正仿宋_GBK"/>
          <w:sz w:val="21"/>
          <w:szCs w:val="21"/>
          <w:u w:val="single"/>
        </w:rPr>
        <w:t>　　　</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 w:val="21"/>
          <w:szCs w:val="21"/>
        </w:rPr>
        <w:t>地址：</w:t>
      </w:r>
      <w:r>
        <w:rPr>
          <w:rFonts w:ascii="Times New Roman" w:hAnsi="Times New Roman" w:eastAsia="宋体"/>
          <w:sz w:val="21"/>
          <w:szCs w:val="21"/>
          <w:u w:val="single"/>
        </w:rPr>
        <w:t>重庆市渝北区云杉南路12号</w:t>
      </w:r>
      <w:r>
        <w:rPr>
          <w:rFonts w:hint="eastAsia" w:ascii="方正仿宋_GBK" w:hAnsi="方正仿宋_GBK" w:cs="方正仿宋_GBK"/>
          <w:szCs w:val="32"/>
          <w:u w:val="single"/>
        </w:rPr>
        <w:t>　</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r>
        <w:rPr>
          <w:rFonts w:ascii="Times New Roman" w:hAnsi="Times New Roman" w:eastAsia="宋体"/>
          <w:sz w:val="21"/>
          <w:szCs w:val="21"/>
          <w:u w:val="single"/>
        </w:rPr>
        <w:t>023-63896647</w:t>
      </w:r>
      <w:r>
        <w:rPr>
          <w:rFonts w:hint="eastAsia" w:ascii="Times New Roman" w:hAnsi="Times New Roman" w:eastAsia="宋体"/>
          <w:sz w:val="21"/>
          <w:szCs w:val="21"/>
          <w:u w:val="single"/>
        </w:rPr>
        <w:t>　</w:t>
      </w:r>
    </w:p>
    <w:p>
      <w:pPr>
        <w:overflowPunct w:val="0"/>
        <w:spacing w:line="520" w:lineRule="exact"/>
        <w:ind w:firstLine="420" w:firstLineChars="200"/>
        <w:rPr>
          <w:rFonts w:ascii="Times New Roman" w:hAnsi="Times New Roman" w:eastAsia="宋体"/>
          <w:sz w:val="21"/>
          <w:szCs w:val="21"/>
          <w:u w:val="single"/>
        </w:rPr>
      </w:pPr>
      <w:r>
        <w:rPr>
          <w:rFonts w:hint="eastAsia" w:ascii="方正仿宋_GBK" w:hAnsi="方正仿宋_GBK" w:cs="方正仿宋_GBK"/>
          <w:szCs w:val="32"/>
        </w:rPr>
        <w:t>供应商（</w:t>
      </w:r>
      <w:r>
        <w:rPr>
          <w:rFonts w:hint="eastAsia" w:ascii="Times New Roman" w:hAnsi="Times New Roman" w:eastAsia="宋体"/>
          <w:sz w:val="21"/>
          <w:szCs w:val="21"/>
          <w:u w:val="single"/>
        </w:rPr>
        <w:t>乙方）：　</w:t>
      </w:r>
      <w:r>
        <w:rPr>
          <w:rFonts w:ascii="Times New Roman" w:hAnsi="Times New Roman" w:eastAsia="宋体"/>
          <w:sz w:val="21"/>
          <w:szCs w:val="21"/>
          <w:u w:val="single"/>
        </w:rPr>
        <w:t>重庆信息通信研究院</w:t>
      </w:r>
      <w:r>
        <w:rPr>
          <w:rFonts w:hint="eastAsia" w:ascii="Times New Roman" w:hAnsi="Times New Roman" w:eastAsia="宋体"/>
          <w:sz w:val="21"/>
          <w:szCs w:val="21"/>
          <w:u w:val="single"/>
        </w:rPr>
        <w:t>　</w:t>
      </w:r>
    </w:p>
    <w:p>
      <w:pPr>
        <w:overflowPunct w:val="0"/>
        <w:spacing w:line="520" w:lineRule="exact"/>
        <w:ind w:firstLine="420" w:firstLineChars="200"/>
        <w:rPr>
          <w:rFonts w:ascii="Times New Roman" w:hAnsi="Times New Roman" w:eastAsia="宋体"/>
          <w:sz w:val="21"/>
          <w:szCs w:val="21"/>
          <w:u w:val="single"/>
        </w:rPr>
      </w:pPr>
      <w:r>
        <w:rPr>
          <w:rFonts w:hint="eastAsia" w:ascii="Times New Roman" w:hAnsi="Times New Roman" w:eastAsia="宋体"/>
          <w:sz w:val="21"/>
          <w:szCs w:val="21"/>
          <w:u w:val="single"/>
        </w:rPr>
        <w:t>地址：</w:t>
      </w:r>
      <w:r>
        <w:rPr>
          <w:rFonts w:ascii="Times New Roman" w:hAnsi="Times New Roman" w:eastAsia="宋体"/>
          <w:sz w:val="21"/>
          <w:szCs w:val="21"/>
          <w:u w:val="single"/>
        </w:rPr>
        <w:t>重庆市南岸区玉马路8号</w:t>
      </w:r>
    </w:p>
    <w:p>
      <w:pPr>
        <w:overflowPunct w:val="0"/>
        <w:spacing w:line="520" w:lineRule="exact"/>
        <w:ind w:firstLine="420" w:firstLineChars="200"/>
        <w:rPr>
          <w:rFonts w:ascii="Times New Roman" w:hAnsi="Times New Roman" w:eastAsia="宋体"/>
          <w:sz w:val="21"/>
          <w:szCs w:val="21"/>
          <w:u w:val="single"/>
        </w:rPr>
      </w:pPr>
      <w:r>
        <w:rPr>
          <w:rFonts w:hint="eastAsia" w:ascii="Times New Roman" w:hAnsi="Times New Roman" w:eastAsia="宋体"/>
          <w:sz w:val="21"/>
          <w:szCs w:val="21"/>
          <w:u w:val="single"/>
        </w:rPr>
        <w:t>联系方式：</w:t>
      </w:r>
      <w:r>
        <w:rPr>
          <w:rFonts w:ascii="Times New Roman" w:hAnsi="Times New Roman" w:eastAsia="宋体"/>
          <w:sz w:val="21"/>
          <w:szCs w:val="21"/>
          <w:u w:val="single"/>
        </w:rPr>
        <w:t>023-88512610</w:t>
      </w:r>
      <w:r>
        <w:rPr>
          <w:rFonts w:hint="eastAsia" w:ascii="Times New Roman" w:hAnsi="Times New Roman" w:eastAsia="宋体"/>
          <w:sz w:val="21"/>
          <w:szCs w:val="21"/>
          <w:u w:val="single"/>
        </w:rPr>
        <w:t>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六、合同主要信息</w:t>
      </w:r>
    </w:p>
    <w:p>
      <w:pPr>
        <w:snapToGrid w:val="0"/>
        <w:ind w:firstLine="420" w:firstLineChars="200"/>
        <w:rPr>
          <w:rFonts w:ascii="Times New Roman" w:hAnsi="Times New Roman" w:eastAsia="宋体"/>
          <w:szCs w:val="21"/>
        </w:rPr>
      </w:pPr>
      <w:r>
        <w:rPr>
          <w:rFonts w:hint="eastAsia" w:ascii="方正仿宋_GBK" w:hAnsi="方正仿宋_GBK" w:cs="方正仿宋_GBK"/>
          <w:szCs w:val="32"/>
        </w:rPr>
        <w:t>服务内容</w:t>
      </w:r>
      <w:r>
        <w:rPr>
          <w:rFonts w:hint="eastAsia" w:ascii="方正仿宋_GBK" w:hAnsi="方正仿宋_GBK" w:cs="方正仿宋_GBK"/>
          <w:szCs w:val="32"/>
          <w:lang w:eastAsia="zh-CN"/>
        </w:rPr>
        <w:t>及要求</w:t>
      </w:r>
      <w:r>
        <w:rPr>
          <w:rFonts w:hint="eastAsia" w:ascii="方正仿宋_GBK" w:hAnsi="方正仿宋_GBK" w:cs="方正仿宋_GBK"/>
          <w:szCs w:val="32"/>
        </w:rPr>
        <w:t>：</w:t>
      </w:r>
      <w:r>
        <w:rPr>
          <w:rFonts w:ascii="Times New Roman" w:hAnsi="Times New Roman" w:eastAsia="宋体"/>
          <w:szCs w:val="21"/>
        </w:rPr>
        <w:t>（一）协助开展无线电发射设备生产企业管理监管工作。</w:t>
      </w:r>
    </w:p>
    <w:p>
      <w:pPr>
        <w:snapToGrid w:val="0"/>
        <w:ind w:firstLine="420" w:firstLineChars="200"/>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乙方</w:t>
      </w:r>
      <w:r>
        <w:rPr>
          <w:rFonts w:ascii="Times New Roman" w:hAnsi="Times New Roman" w:eastAsia="宋体"/>
          <w:szCs w:val="21"/>
        </w:rPr>
        <w:t>协助开展无线电发射设备型号核准自检自证试点工作，根据清单对我市无线电发射设备生产企业进行电话摸排，实地走访调研企业不少于5家。主要调研生产企业无线电发射设备生产经历，产品生产规模和市场占有率，是否拥有自主品牌，是否具有自主研发能力，是否有完善的生产能力、技术力量和质量保证体系，是否具有相关无线电设备的质量检测部门或者专职检测人员，是否具有独立开展型号核准测试的测试场地和测试仪表等设施，检测结果真实、准确、完整和可追溯。形成《重庆市无线电发射设备生产企业调研报告》。协助无线电管理机构遴选1家具备相关条件、具有良好质量管理水平和信用的无线电发射设备生产企业，按照型号核准自检自证的相应条件，协助企业查缺补漏，协助企业对提供的资料进行收集、整理。</w:t>
      </w:r>
    </w:p>
    <w:p>
      <w:pPr>
        <w:snapToGrid w:val="0"/>
        <w:ind w:firstLine="420" w:firstLineChars="200"/>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乙方</w:t>
      </w:r>
      <w:r>
        <w:rPr>
          <w:rFonts w:ascii="Times New Roman" w:hAnsi="Times New Roman" w:eastAsia="宋体"/>
          <w:szCs w:val="21"/>
        </w:rPr>
        <w:t>协助无线电管理机构在无线电发射设备生产环节开展“双随机、一公开”监督检查相关工作，提前对接企业，了解企业及产品信息等情况，为开展相关检查工作提供数据整理、信息核实等技术支撑工作。</w:t>
      </w:r>
    </w:p>
    <w:p>
      <w:pPr>
        <w:snapToGrid w:val="0"/>
        <w:ind w:firstLine="420" w:firstLineChars="200"/>
        <w:rPr>
          <w:rFonts w:ascii="Times New Roman" w:hAnsi="Times New Roman" w:eastAsia="宋体"/>
          <w:szCs w:val="21"/>
        </w:rPr>
      </w:pPr>
      <w:r>
        <w:rPr>
          <w:rFonts w:ascii="Times New Roman" w:hAnsi="Times New Roman" w:eastAsia="宋体"/>
          <w:szCs w:val="21"/>
        </w:rPr>
        <w:t>（二）协助开展无线电发射设备线上线下销售巡检工作</w:t>
      </w:r>
    </w:p>
    <w:p>
      <w:pPr>
        <w:snapToGrid w:val="0"/>
        <w:ind w:firstLine="420" w:firstLineChars="200"/>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乙方</w:t>
      </w:r>
      <w:r>
        <w:rPr>
          <w:rFonts w:ascii="Times New Roman" w:hAnsi="Times New Roman" w:eastAsia="宋体"/>
          <w:szCs w:val="21"/>
        </w:rPr>
        <w:t>协助无线电管理机构对注册地在重庆市行政区域内的电商平台、电商企业等（如京东、淘宝、天猫、拼多多、百度爱采购、重庆购物狂、苏宁易购、永辉生活、运营商商城）各种网络交易平台开展线上销售巡检工作，每季度不少于1次，巡检平台不少于7个。</w:t>
      </w:r>
    </w:p>
    <w:p>
      <w:pPr>
        <w:snapToGrid w:val="0"/>
        <w:ind w:firstLine="420" w:firstLineChars="200"/>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乙方</w:t>
      </w:r>
      <w:r>
        <w:rPr>
          <w:rFonts w:ascii="Times New Roman" w:hAnsi="Times New Roman" w:eastAsia="宋体"/>
          <w:szCs w:val="21"/>
        </w:rPr>
        <w:t>协助无线电管理机构开展线下巡检工作，对2个中心城区内的电子市场、手机卖场、电器商城等开展线下巡检。</w:t>
      </w:r>
    </w:p>
    <w:p>
      <w:pPr>
        <w:snapToGrid w:val="0"/>
        <w:ind w:firstLine="420" w:firstLineChars="200"/>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乙方</w:t>
      </w:r>
      <w:r>
        <w:rPr>
          <w:rFonts w:ascii="Times New Roman" w:hAnsi="Times New Roman" w:eastAsia="宋体"/>
          <w:szCs w:val="21"/>
        </w:rPr>
        <w:t>协助无线电管理机构对除中心城区的其他区县经营主体进行线下复查，重点复查超三年（含）未更新数据的经营主体（不少于70家），线下复查时对复查区县进行线下巡检；四是协助无线电管理机构开展“双随机、一公开”日常检查和专项检查工作，梳理销售备案平台数据，为执法人员开展相关检查工作提供数据整理、信息核实等技术支撑，协助需整改的经营主体进行整改工作。</w:t>
      </w:r>
    </w:p>
    <w:p>
      <w:pPr>
        <w:snapToGrid w:val="0"/>
        <w:ind w:firstLine="420" w:firstLineChars="200"/>
        <w:rPr>
          <w:rFonts w:ascii="Times New Roman" w:hAnsi="Times New Roman" w:eastAsia="宋体"/>
          <w:szCs w:val="21"/>
        </w:rPr>
      </w:pPr>
      <w:r>
        <w:rPr>
          <w:rFonts w:ascii="Times New Roman" w:hAnsi="Times New Roman" w:eastAsia="宋体"/>
          <w:szCs w:val="21"/>
        </w:rPr>
        <w:t>（三）协助打通“公众移动通信运营商”销售备案环节</w:t>
      </w:r>
    </w:p>
    <w:p>
      <w:pPr>
        <w:snapToGrid w:val="0"/>
        <w:ind w:firstLine="420" w:firstLineChars="200"/>
        <w:rPr>
          <w:rFonts w:ascii="Times New Roman" w:hAnsi="Times New Roman" w:eastAsia="宋体"/>
          <w:szCs w:val="21"/>
        </w:rPr>
      </w:pPr>
      <w:r>
        <w:rPr>
          <w:rFonts w:hint="eastAsia" w:ascii="Times New Roman" w:hAnsi="Times New Roman" w:eastAsia="宋体"/>
          <w:szCs w:val="21"/>
        </w:rPr>
        <w:t>乙方</w:t>
      </w:r>
      <w:r>
        <w:rPr>
          <w:rFonts w:ascii="Times New Roman" w:hAnsi="Times New Roman" w:eastAsia="宋体"/>
          <w:szCs w:val="21"/>
        </w:rPr>
        <w:t>协助无线电管理机构从四大运营商中选择一家打通销售备案渠道，深入调研运营商营业厅无线电发射设备销售市场，了解分销渠道和销售模式，从分销渠道入手，以运营商分销部门为切入口，协助无线电管理机构组织电子设备品牌分销部门主管、区域经理召开无线电发射设备销售备案专项工作会，宣贯无线电发射设备销售市场监管政策，强调工作重要性，明确责任分工，协助运营商区域经理、电子设备品牌部门主管落实无线电发射设备销售备案工作。</w:t>
      </w:r>
    </w:p>
    <w:p>
      <w:pPr>
        <w:snapToGrid w:val="0"/>
        <w:ind w:firstLine="420" w:firstLineChars="200"/>
        <w:rPr>
          <w:rFonts w:ascii="Times New Roman" w:hAnsi="Times New Roman" w:eastAsia="宋体"/>
          <w:szCs w:val="21"/>
        </w:rPr>
      </w:pPr>
      <w:r>
        <w:rPr>
          <w:rFonts w:ascii="Times New Roman" w:hAnsi="Times New Roman" w:eastAsia="宋体"/>
          <w:szCs w:val="21"/>
        </w:rPr>
        <w:t>（四）开展无线电发射设备管理规定的宣传</w:t>
      </w:r>
    </w:p>
    <w:p>
      <w:pPr>
        <w:overflowPunct w:val="0"/>
        <w:spacing w:line="520" w:lineRule="exact"/>
        <w:ind w:firstLine="420" w:firstLineChars="200"/>
        <w:rPr>
          <w:rFonts w:ascii="方正仿宋_GBK" w:hAnsi="方正仿宋_GBK" w:cs="方正仿宋_GBK"/>
          <w:szCs w:val="32"/>
        </w:rPr>
      </w:pPr>
      <w:r>
        <w:rPr>
          <w:rFonts w:hint="eastAsia" w:ascii="Times New Roman" w:hAnsi="Times New Roman" w:eastAsia="宋体"/>
          <w:szCs w:val="21"/>
        </w:rPr>
        <w:t>乙方需</w:t>
      </w:r>
      <w:r>
        <w:rPr>
          <w:rFonts w:ascii="Times New Roman" w:hAnsi="Times New Roman" w:eastAsia="宋体"/>
          <w:szCs w:val="21"/>
        </w:rPr>
        <w:t>根据《中华人民共和国无线电管理条例》《重庆市无线电管理办法》《无线电发射设备管理规定》等法律法规文件，开展无线电发射设备管理规定宣传，强调无线电发射设备管理的重要性，确保无线电设备的合法合规使用。设计制作宣传手册，利用实地调研5家企业、线下调查2个中心城区、店铺复查各区县、日常检查的时机向经营主体开展无线电发射设备管理规定政策宣贯，发放宣传册不少于500份，解读相关法律条款和政策文件</w:t>
      </w:r>
      <w:r>
        <w:rPr>
          <w:rFonts w:hint="eastAsia" w:ascii="Times New Roman" w:hAnsi="Times New Roman" w:eastAsia="宋体"/>
          <w:szCs w:val="21"/>
          <w:lang w:eastAsia="zh-CN"/>
        </w:rPr>
        <w:t>。</w:t>
      </w:r>
      <w:r>
        <w:rPr>
          <w:rFonts w:hint="eastAsia" w:ascii="方正仿宋_GBK" w:hAnsi="方正仿宋_GBK" w:cs="方正仿宋_GBK"/>
          <w:szCs w:val="32"/>
        </w:rPr>
        <w:t>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服务期限：</w:t>
      </w:r>
      <w:r>
        <w:rPr>
          <w:rFonts w:ascii="Times New Roman" w:hAnsi="Times New Roman" w:eastAsia="宋体"/>
          <w:szCs w:val="21"/>
        </w:rPr>
        <w:t>从项目合同签订日期起7个月内完成</w:t>
      </w:r>
      <w:r>
        <w:rPr>
          <w:rFonts w:hint="eastAsia" w:ascii="方正仿宋_GBK" w:hAnsi="方正仿宋_GBK" w:cs="方正仿宋_GBK"/>
          <w:szCs w:val="32"/>
        </w:rPr>
        <w:t>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服务地点：</w:t>
      </w:r>
      <w:r>
        <w:rPr>
          <w:rFonts w:ascii="Times New Roman" w:hAnsi="Times New Roman" w:eastAsia="宋体"/>
          <w:szCs w:val="21"/>
        </w:rPr>
        <w:t>甲方指定或同意地点。</w:t>
      </w:r>
      <w:r>
        <w:rPr>
          <w:rFonts w:hint="eastAsia" w:ascii="方正仿宋_GBK" w:hAnsi="方正仿宋_GBK" w:cs="方正仿宋_GBK"/>
          <w:szCs w:val="32"/>
        </w:rPr>
        <w:t>　　　　　　　　　　　</w:t>
      </w:r>
    </w:p>
    <w:p>
      <w:pPr>
        <w:overflowPunct w:val="0"/>
        <w:spacing w:line="520" w:lineRule="exact"/>
        <w:rPr>
          <w:rFonts w:ascii="Times New Roman" w:hAnsi="Times New Roman" w:eastAsia="宋体"/>
          <w:szCs w:val="21"/>
        </w:rPr>
      </w:pPr>
      <w:r>
        <w:rPr>
          <w:rFonts w:hint="eastAsia" w:ascii="方正黑体_GBK" w:hAnsi="黑体" w:eastAsia="方正黑体_GBK"/>
          <w:szCs w:val="32"/>
        </w:rPr>
        <w:t>七、验收（或终止）日期：</w:t>
      </w:r>
      <w:r>
        <w:rPr>
          <w:rFonts w:hint="eastAsia" w:ascii="仿宋" w:hAnsi="仿宋" w:eastAsia="仿宋"/>
          <w:szCs w:val="32"/>
          <w:u w:val="single"/>
        </w:rPr>
        <w:t>　</w:t>
      </w:r>
      <w:r>
        <w:rPr>
          <w:rFonts w:hint="default" w:ascii="Times New Roman" w:hAnsi="Times New Roman" w:eastAsia="仿宋" w:cs="Times New Roman"/>
          <w:szCs w:val="32"/>
          <w:u w:val="single"/>
          <w:lang w:val="en-US" w:eastAsia="zh-CN"/>
        </w:rPr>
        <w:t>2024年12月6日</w:t>
      </w:r>
      <w:r>
        <w:rPr>
          <w:rFonts w:hint="eastAsia" w:ascii="仿宋" w:hAnsi="仿宋" w:eastAsia="仿宋"/>
          <w:szCs w:val="32"/>
          <w:u w:val="single"/>
        </w:rPr>
        <w:t>　</w:t>
      </w:r>
      <w:r>
        <w:rPr>
          <w:rFonts w:hint="eastAsia" w:ascii="Times New Roman" w:hAnsi="Times New Roman" w:eastAsia="宋体"/>
          <w:szCs w:val="21"/>
        </w:rPr>
        <w:t>　</w:t>
      </w:r>
    </w:p>
    <w:p>
      <w:pPr>
        <w:overflowPunct w:val="0"/>
        <w:spacing w:line="520" w:lineRule="exact"/>
        <w:rPr>
          <w:rFonts w:ascii="黑体" w:hAnsi="黑体" w:eastAsia="黑体"/>
          <w:szCs w:val="32"/>
        </w:rPr>
      </w:pPr>
      <w:r>
        <w:rPr>
          <w:rFonts w:hint="eastAsia" w:ascii="方正黑体_GBK" w:hAnsi="黑体" w:eastAsia="方正黑体_GBK"/>
          <w:szCs w:val="32"/>
        </w:rPr>
        <w:t>八、验收组成员：</w:t>
      </w:r>
      <w:r>
        <w:rPr>
          <w:rFonts w:hint="eastAsia" w:ascii="仿宋" w:hAnsi="仿宋" w:eastAsia="仿宋"/>
          <w:szCs w:val="32"/>
          <w:u w:val="single"/>
        </w:rPr>
        <w:t>　尹华川</w:t>
      </w:r>
      <w:r>
        <w:rPr>
          <w:rFonts w:hint="eastAsia" w:ascii="仿宋" w:hAnsi="仿宋" w:eastAsia="仿宋"/>
          <w:szCs w:val="32"/>
          <w:u w:val="single"/>
          <w:lang w:eastAsia="zh-CN"/>
        </w:rPr>
        <w:t>、曹型兵、郑建宏</w:t>
      </w:r>
    </w:p>
    <w:p>
      <w:pPr>
        <w:overflowPunct w:val="0"/>
        <w:spacing w:line="520" w:lineRule="exact"/>
        <w:rPr>
          <w:rFonts w:ascii="仿宋" w:hAnsi="仿宋" w:eastAsia="仿宋"/>
          <w:szCs w:val="32"/>
          <w:u w:val="single"/>
        </w:rPr>
      </w:pPr>
      <w:r>
        <w:rPr>
          <w:rFonts w:hint="eastAsia" w:ascii="方正黑体_GBK" w:hAnsi="黑体" w:eastAsia="方正黑体_GBK"/>
          <w:szCs w:val="32"/>
        </w:rPr>
        <w:t>九、验收（或终止）意见：</w:t>
      </w:r>
      <w:r>
        <w:rPr>
          <w:rFonts w:hint="eastAsia" w:ascii="仿宋" w:hAnsi="仿宋" w:eastAsia="仿宋"/>
          <w:szCs w:val="32"/>
          <w:u w:val="single"/>
        </w:rPr>
        <w:t>　</w:t>
      </w:r>
      <w:r>
        <w:rPr>
          <w:rFonts w:hint="eastAsia" w:ascii="仿宋" w:hAnsi="仿宋" w:eastAsia="仿宋"/>
          <w:szCs w:val="32"/>
          <w:u w:val="single"/>
          <w:lang w:eastAsia="zh-CN"/>
        </w:rPr>
        <w:t>同意验收</w:t>
      </w:r>
      <w:r>
        <w:rPr>
          <w:rFonts w:hint="eastAsia" w:ascii="仿宋" w:hAnsi="仿宋" w:eastAsia="仿宋"/>
          <w:szCs w:val="32"/>
          <w:u w:val="single"/>
        </w:rPr>
        <w:t>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十、公告期限</w:t>
      </w:r>
    </w:p>
    <w:p>
      <w:pPr>
        <w:overflowPunct w:val="0"/>
        <w:spacing w:line="520" w:lineRule="exact"/>
        <w:ind w:firstLine="420" w:firstLineChars="200"/>
        <w:rPr>
          <w:rFonts w:ascii="仿宋" w:hAnsi="仿宋" w:eastAsia="仿宋"/>
          <w:szCs w:val="32"/>
          <w:u w:val="single"/>
        </w:rPr>
      </w:pPr>
      <w:r>
        <w:rPr>
          <w:rFonts w:hint="eastAsia"/>
          <w:color w:val="000000"/>
          <w:szCs w:val="32"/>
          <w:shd w:val="clear" w:color="auto" w:fill="FFFFFF"/>
        </w:rPr>
        <w:t>自本公告发布之日起2个工作日。</w:t>
      </w:r>
    </w:p>
    <w:p>
      <w:pPr>
        <w:overflowPunct w:val="0"/>
        <w:spacing w:line="520" w:lineRule="exact"/>
        <w:rPr>
          <w:rFonts w:ascii="方正仿宋_GBK" w:hAnsi="方正仿宋_GBK" w:eastAsia="方正仿宋_GBK" w:cs="方正仿宋_GBK"/>
          <w:sz w:val="32"/>
          <w:szCs w:val="32"/>
        </w:rPr>
      </w:pPr>
      <w:r>
        <w:rPr>
          <w:rFonts w:hint="eastAsia" w:ascii="方正黑体_GBK" w:hAnsi="黑体" w:eastAsia="方正黑体_GBK"/>
          <w:szCs w:val="32"/>
        </w:rPr>
        <w:t>十一、</w:t>
      </w:r>
      <w:r>
        <w:rPr>
          <w:rFonts w:ascii="方正黑体_GBK" w:hAnsi="黑体" w:eastAsia="方正黑体_GBK"/>
          <w:szCs w:val="32"/>
        </w:rPr>
        <w:t>其他</w:t>
      </w:r>
      <w:r>
        <w:rPr>
          <w:rFonts w:hint="eastAsia" w:ascii="方正黑体_GBK" w:hAnsi="黑体" w:eastAsia="方正黑体_GBK"/>
          <w:szCs w:val="32"/>
        </w:rPr>
        <w:t>补充事宜：</w:t>
      </w:r>
      <w:r>
        <w:rPr>
          <w:rFonts w:hint="eastAsia" w:ascii="仿宋" w:hAnsi="仿宋" w:eastAsia="仿宋"/>
          <w:szCs w:val="32"/>
          <w:u w:val="single"/>
        </w:rPr>
        <w:t>　　　</w:t>
      </w:r>
      <w:r>
        <w:rPr>
          <w:rFonts w:hint="eastAsia" w:ascii="仿宋" w:hAnsi="仿宋" w:eastAsia="仿宋"/>
          <w:szCs w:val="32"/>
          <w:u w:val="single"/>
          <w:lang w:eastAsia="zh-CN"/>
        </w:rPr>
        <w:t>无</w:t>
      </w:r>
      <w:r>
        <w:rPr>
          <w:rFonts w:hint="eastAsia" w:ascii="仿宋" w:hAnsi="仿宋" w:eastAsia="仿宋"/>
          <w:szCs w:val="32"/>
          <w:u w:val="single"/>
        </w:rPr>
        <w:t>　　</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7FF7782A"/>
    <w:rsid w:val="92DD1CEF"/>
    <w:rsid w:val="9FC5CB07"/>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4">
    <w:name w:val="annotation text"/>
    <w:basedOn w:val="1"/>
    <w:qFormat/>
    <w:uiPriority w:val="0"/>
    <w:pPr>
      <w:jc w:val="left"/>
    </w:pPr>
  </w:style>
  <w:style w:type="paragraph" w:styleId="5">
    <w:name w:val="Body Text Indent"/>
    <w:basedOn w:val="1"/>
    <w:link w:val="13"/>
    <w:unhideWhenUsed/>
    <w:qFormat/>
    <w:uiPriority w:val="99"/>
    <w:pPr>
      <w:spacing w:after="120"/>
      <w:ind w:left="420" w:leftChars="200"/>
    </w:pPr>
    <w:rPr>
      <w:rFonts w:ascii="Calibri" w:hAnsi="Calibri" w:eastAsia="宋体"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正文文本缩进 字符"/>
    <w:basedOn w:val="10"/>
    <w:link w:val="5"/>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2084</Words>
  <Characters>2132</Characters>
  <Lines>5</Lines>
  <Paragraphs>1</Paragraphs>
  <TotalTime>2</TotalTime>
  <ScaleCrop>false</ScaleCrop>
  <LinksUpToDate>false</LinksUpToDate>
  <CharactersWithSpaces>2616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jxw</cp:lastModifiedBy>
  <cp:lastPrinted>2022-05-12T16:46:00Z</cp:lastPrinted>
  <dcterms:modified xsi:type="dcterms:W3CDTF">2024-12-09T15:03:52Z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