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center"/>
      </w:pPr>
    </w:p>
    <w:p>
      <w:pPr>
        <w:jc w:val="center"/>
        <w:outlineLvl w:val="0"/>
        <w:rPr>
          <w:sz w:val="44"/>
          <w:szCs w:val="44"/>
        </w:rPr>
      </w:pPr>
    </w:p>
    <w:p>
      <w:pPr>
        <w:jc w:val="center"/>
        <w:outlineLvl w:val="0"/>
        <w:rPr>
          <w:rFonts w:hint="eastAsia" w:ascii="宋体" w:hAnsi="宋体" w:eastAsia="宋体"/>
          <w:b/>
          <w:sz w:val="52"/>
          <w:szCs w:val="52"/>
          <w:lang w:eastAsia="zh-CN"/>
        </w:rPr>
      </w:pPr>
      <w:r>
        <w:rPr>
          <w:rFonts w:hint="eastAsia" w:ascii="宋体" w:hAnsi="宋体"/>
          <w:b/>
          <w:sz w:val="52"/>
          <w:szCs w:val="52"/>
          <w:lang w:eastAsia="zh-CN"/>
        </w:rPr>
        <w:t>《重庆市电动汽车充换电基础设施建设运营管理办法》立法研究项目</w:t>
      </w:r>
    </w:p>
    <w:p>
      <w:pPr>
        <w:jc w:val="center"/>
        <w:outlineLvl w:val="0"/>
        <w:rPr>
          <w:rFonts w:ascii="宋体" w:hAnsi="宋体"/>
          <w:spacing w:val="80"/>
          <w:sz w:val="52"/>
          <w:szCs w:val="52"/>
        </w:rPr>
      </w:pPr>
    </w:p>
    <w:p>
      <w:pPr>
        <w:jc w:val="center"/>
        <w:outlineLvl w:val="0"/>
        <w:rPr>
          <w:rFonts w:ascii="宋体" w:hAnsi="宋体"/>
          <w:spacing w:val="80"/>
          <w:sz w:val="72"/>
          <w:szCs w:val="72"/>
        </w:rPr>
      </w:pPr>
    </w:p>
    <w:p>
      <w:pPr>
        <w:jc w:val="center"/>
        <w:outlineLvl w:val="0"/>
        <w:rPr>
          <w:rFonts w:ascii="宋体" w:hAnsi="宋体"/>
          <w:spacing w:val="80"/>
          <w:sz w:val="72"/>
          <w:szCs w:val="72"/>
        </w:rPr>
      </w:pPr>
    </w:p>
    <w:p>
      <w:pPr>
        <w:jc w:val="center"/>
        <w:outlineLvl w:val="0"/>
        <w:rPr>
          <w:rFonts w:ascii="Calibri" w:hAnsi="Calibri"/>
          <w:b/>
          <w:spacing w:val="80"/>
          <w:sz w:val="72"/>
          <w:szCs w:val="72"/>
        </w:rPr>
      </w:pPr>
      <w:r>
        <w:rPr>
          <w:rFonts w:ascii="Calibri" w:hAnsi="Calibri"/>
          <w:b/>
          <w:spacing w:val="80"/>
          <w:sz w:val="72"/>
          <w:szCs w:val="72"/>
        </w:rPr>
        <w:t>竞争性磋商文件</w:t>
      </w:r>
    </w:p>
    <w:p>
      <w:pPr>
        <w:spacing w:line="700" w:lineRule="exact"/>
        <w:jc w:val="center"/>
        <w:rPr>
          <w:rFonts w:ascii="Calibri" w:hAnsi="Calibri"/>
          <w:sz w:val="36"/>
          <w:szCs w:val="30"/>
        </w:rPr>
      </w:pPr>
    </w:p>
    <w:p>
      <w:pPr>
        <w:spacing w:line="700" w:lineRule="exact"/>
        <w:jc w:val="center"/>
        <w:rPr>
          <w:rFonts w:hint="eastAsia" w:ascii="Calibri" w:hAnsi="Calibri" w:eastAsia="宋体"/>
          <w:sz w:val="36"/>
          <w:szCs w:val="30"/>
          <w:lang w:eastAsia="zh-CN"/>
        </w:rPr>
      </w:pPr>
      <w:r>
        <w:rPr>
          <w:rFonts w:ascii="Calibri" w:hAnsi="Calibri"/>
          <w:sz w:val="36"/>
          <w:szCs w:val="30"/>
        </w:rPr>
        <w:t>项</w:t>
      </w:r>
      <w:r>
        <w:rPr>
          <w:rFonts w:ascii="宋体" w:hAnsi="宋体"/>
          <w:sz w:val="36"/>
          <w:szCs w:val="30"/>
        </w:rPr>
        <w:t>目号：CQCBJQ</w:t>
      </w:r>
      <w:r>
        <w:rPr>
          <w:rFonts w:hint="eastAsia" w:ascii="宋体" w:hAnsi="宋体"/>
          <w:sz w:val="36"/>
          <w:szCs w:val="30"/>
          <w:highlight w:val="none"/>
          <w:lang w:eastAsia="zh-CN"/>
        </w:rPr>
        <w:t>2411-398</w:t>
      </w: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849" w:firstLineChars="236"/>
        <w:jc w:val="left"/>
        <w:rPr>
          <w:rFonts w:ascii="Calibri" w:hAnsi="Calibri"/>
          <w:sz w:val="36"/>
          <w:szCs w:val="30"/>
        </w:rPr>
      </w:pPr>
      <w:r>
        <w:rPr>
          <w:rFonts w:ascii="Calibri" w:hAnsi="Calibri"/>
          <w:sz w:val="36"/>
          <w:szCs w:val="30"/>
        </w:rPr>
        <w:t>采</w:t>
      </w:r>
      <w:r>
        <w:rPr>
          <w:rFonts w:hint="eastAsia" w:ascii="Calibri" w:hAnsi="Calibri"/>
          <w:sz w:val="36"/>
          <w:szCs w:val="30"/>
        </w:rPr>
        <w:t xml:space="preserve">   </w:t>
      </w:r>
      <w:r>
        <w:rPr>
          <w:rFonts w:ascii="Calibri" w:hAnsi="Calibri"/>
          <w:sz w:val="36"/>
          <w:szCs w:val="30"/>
        </w:rPr>
        <w:t>购</w:t>
      </w:r>
      <w:r>
        <w:rPr>
          <w:rFonts w:hint="eastAsia" w:ascii="Calibri" w:hAnsi="Calibri"/>
          <w:sz w:val="36"/>
          <w:szCs w:val="30"/>
        </w:rPr>
        <w:t xml:space="preserve">   </w:t>
      </w:r>
      <w:r>
        <w:rPr>
          <w:rFonts w:ascii="Calibri" w:hAnsi="Calibri"/>
          <w:sz w:val="36"/>
          <w:szCs w:val="30"/>
        </w:rPr>
        <w:t>人：</w:t>
      </w:r>
      <w:r>
        <w:rPr>
          <w:rFonts w:hint="eastAsia" w:ascii="Calibri" w:hAnsi="Calibri"/>
          <w:sz w:val="36"/>
          <w:szCs w:val="30"/>
        </w:rPr>
        <w:t>重庆市经济和信息化委员会</w:t>
      </w:r>
    </w:p>
    <w:p>
      <w:pPr>
        <w:spacing w:line="700" w:lineRule="exact"/>
        <w:jc w:val="center"/>
        <w:rPr>
          <w:rFonts w:ascii="Calibri" w:hAnsi="Calibri"/>
          <w:sz w:val="36"/>
          <w:szCs w:val="30"/>
        </w:rPr>
      </w:pPr>
      <w:r>
        <w:rPr>
          <w:rFonts w:ascii="Calibri" w:hAnsi="Calibri"/>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ascii="Calibri" w:hAnsi="Calibri"/>
          <w:sz w:val="36"/>
          <w:szCs w:val="30"/>
        </w:rPr>
        <w:t>二</w:t>
      </w:r>
      <w:r>
        <w:rPr>
          <w:rFonts w:hint="eastAsia" w:ascii="Calibri" w:hAnsi="Calibri"/>
          <w:sz w:val="36"/>
          <w:szCs w:val="30"/>
        </w:rPr>
        <w:t>〇</w:t>
      </w:r>
      <w:r>
        <w:rPr>
          <w:rFonts w:ascii="Calibri" w:hAnsi="Calibri"/>
          <w:sz w:val="36"/>
          <w:szCs w:val="30"/>
        </w:rPr>
        <w:t>二</w:t>
      </w:r>
      <w:r>
        <w:rPr>
          <w:rFonts w:hint="eastAsia" w:ascii="Calibri" w:hAnsi="Calibri"/>
          <w:sz w:val="36"/>
          <w:szCs w:val="30"/>
          <w:lang w:val="en-US" w:eastAsia="zh-CN"/>
        </w:rPr>
        <w:t>四</w:t>
      </w:r>
      <w:r>
        <w:rPr>
          <w:rFonts w:ascii="Calibri" w:hAnsi="Calibri"/>
          <w:sz w:val="36"/>
          <w:szCs w:val="30"/>
        </w:rPr>
        <w:t>年</w:t>
      </w:r>
      <w:r>
        <w:rPr>
          <w:rFonts w:hint="eastAsia" w:ascii="Calibri" w:hAnsi="Calibri"/>
          <w:sz w:val="36"/>
          <w:szCs w:val="30"/>
          <w:lang w:val="en-US" w:eastAsia="zh-CN"/>
        </w:rPr>
        <w:t>十一</w:t>
      </w:r>
      <w:r>
        <w:rPr>
          <w:rFonts w:ascii="Calibri" w:hAnsi="Calibri"/>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9"/>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_Toc14481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_Toc14481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_Toc20039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_Toc20039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_Toc13258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_Toc13258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_Toc23424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_Toc23424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_Toc14094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_Toc14094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_Toc23044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_Toc23044 \h </w:instrText>
      </w:r>
      <w:r>
        <w:fldChar w:fldCharType="separate"/>
      </w:r>
      <w:r>
        <w:t>- 2 -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_Toc1841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_Toc1841 \h </w:instrText>
      </w:r>
      <w:r>
        <w:fldChar w:fldCharType="separate"/>
      </w:r>
      <w:r>
        <w:t>- 2 -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_Toc22705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_Toc22705 \h </w:instrText>
      </w:r>
      <w:r>
        <w:fldChar w:fldCharType="separate"/>
      </w:r>
      <w:r>
        <w:t>- 3 -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_Toc18310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_Toc18310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_Toc17847 </w:instrText>
      </w:r>
      <w:r>
        <w:rPr>
          <w:rFonts w:hint="eastAsia" w:ascii="宋体" w:hAnsi="宋体"/>
          <w:szCs w:val="24"/>
        </w:rPr>
        <w:fldChar w:fldCharType="separate"/>
      </w:r>
      <w:r>
        <w:rPr>
          <w:rFonts w:hint="eastAsia" w:ascii="宋体" w:hAnsi="宋体"/>
          <w:szCs w:val="24"/>
        </w:rPr>
        <w:t>一、项目背景</w:t>
      </w:r>
      <w:r>
        <w:tab/>
      </w:r>
      <w:r>
        <w:fldChar w:fldCharType="begin"/>
      </w:r>
      <w:r>
        <w:instrText xml:space="preserve"> PAGEREF _Toc17847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_Toc19718 </w:instrText>
      </w:r>
      <w:r>
        <w:rPr>
          <w:rFonts w:hint="eastAsia" w:ascii="宋体" w:hAnsi="宋体"/>
          <w:szCs w:val="24"/>
        </w:rPr>
        <w:fldChar w:fldCharType="separate"/>
      </w:r>
      <w:r>
        <w:rPr>
          <w:rFonts w:hint="eastAsia" w:ascii="宋体" w:hAnsi="宋体"/>
          <w:szCs w:val="24"/>
          <w:highlight w:val="none"/>
        </w:rPr>
        <w:t>※二、</w:t>
      </w:r>
      <w:r>
        <w:rPr>
          <w:rFonts w:hint="eastAsia" w:ascii="宋体" w:hAnsi="宋体"/>
          <w:szCs w:val="24"/>
          <w:highlight w:val="none"/>
          <w:lang w:val="en-US" w:eastAsia="zh-CN"/>
        </w:rPr>
        <w:t>服务内容及要求</w:t>
      </w:r>
      <w:r>
        <w:tab/>
      </w:r>
      <w:r>
        <w:fldChar w:fldCharType="begin"/>
      </w:r>
      <w:r>
        <w:instrText xml:space="preserve"> PAGEREF _Toc19718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_Toc19366 </w:instrText>
      </w:r>
      <w:r>
        <w:rPr>
          <w:rFonts w:hint="eastAsia" w:ascii="宋体" w:hAnsi="宋体"/>
          <w:szCs w:val="24"/>
        </w:rPr>
        <w:fldChar w:fldCharType="separate"/>
      </w:r>
      <w:r>
        <w:rPr>
          <w:rFonts w:hint="eastAsia" w:ascii="宋体" w:hAnsi="宋体"/>
          <w:szCs w:val="24"/>
        </w:rPr>
        <w:t>※三、项目成果</w:t>
      </w:r>
      <w:r>
        <w:tab/>
      </w:r>
      <w:r>
        <w:fldChar w:fldCharType="begin"/>
      </w:r>
      <w:r>
        <w:instrText xml:space="preserve"> PAGEREF _Toc19366 \h </w:instrText>
      </w:r>
      <w:r>
        <w:fldChar w:fldCharType="separate"/>
      </w:r>
      <w:r>
        <w:t>- 4 -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_Toc909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_Toc909 \h </w:instrText>
      </w:r>
      <w:r>
        <w:fldChar w:fldCharType="separate"/>
      </w:r>
      <w:r>
        <w:t>- 5 -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_Toc11315 </w:instrText>
      </w:r>
      <w:r>
        <w:rPr>
          <w:rFonts w:hint="eastAsia" w:ascii="宋体" w:hAnsi="宋体"/>
          <w:szCs w:val="24"/>
        </w:rPr>
        <w:fldChar w:fldCharType="separate"/>
      </w:r>
      <w:r>
        <w:rPr>
          <w:rFonts w:hint="eastAsia" w:ascii="宋体" w:hAnsi="宋体"/>
          <w:szCs w:val="24"/>
        </w:rPr>
        <w:t>※一、服务时间、服务地点及验收方式</w:t>
      </w:r>
      <w:r>
        <w:tab/>
      </w:r>
      <w:r>
        <w:fldChar w:fldCharType="begin"/>
      </w:r>
      <w:r>
        <w:instrText xml:space="preserve"> PAGEREF _Toc11315 \h </w:instrText>
      </w:r>
      <w:r>
        <w:fldChar w:fldCharType="separate"/>
      </w:r>
      <w:r>
        <w:t>- 5 -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_Toc15907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_Toc15907 \h </w:instrText>
      </w:r>
      <w:r>
        <w:fldChar w:fldCharType="separate"/>
      </w:r>
      <w:r>
        <w:t>- 5 -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_Toc11745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_Toc11745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_Toc21099 </w:instrText>
      </w:r>
      <w:r>
        <w:rPr>
          <w:rFonts w:hint="eastAsia" w:ascii="宋体" w:hAnsi="宋体"/>
          <w:szCs w:val="24"/>
        </w:rPr>
        <w:fldChar w:fldCharType="separate"/>
      </w:r>
      <w:r>
        <w:rPr>
          <w:rFonts w:hint="eastAsia" w:ascii="宋体" w:hAnsi="宋体"/>
          <w:szCs w:val="24"/>
        </w:rPr>
        <w:t>※四、履约保证金</w:t>
      </w:r>
      <w:r>
        <w:tab/>
      </w:r>
      <w:r>
        <w:fldChar w:fldCharType="begin"/>
      </w:r>
      <w:r>
        <w:instrText xml:space="preserve"> PAGEREF _Toc21099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_Toc7215 </w:instrText>
      </w:r>
      <w:r>
        <w:rPr>
          <w:rFonts w:hint="eastAsia" w:ascii="宋体" w:hAnsi="宋体"/>
          <w:szCs w:val="24"/>
        </w:rPr>
        <w:fldChar w:fldCharType="separate"/>
      </w:r>
      <w:r>
        <w:rPr>
          <w:rFonts w:hint="eastAsia" w:ascii="宋体" w:hAnsi="宋体"/>
          <w:szCs w:val="24"/>
        </w:rPr>
        <w:t>※五、违约条款</w:t>
      </w:r>
      <w:r>
        <w:tab/>
      </w:r>
      <w:r>
        <w:fldChar w:fldCharType="begin"/>
      </w:r>
      <w:r>
        <w:instrText xml:space="preserve"> PAGEREF _Toc7215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_Toc8366 </w:instrText>
      </w:r>
      <w:r>
        <w:rPr>
          <w:rFonts w:hint="eastAsia" w:ascii="宋体" w:hAnsi="宋体"/>
          <w:szCs w:val="24"/>
        </w:rPr>
        <w:fldChar w:fldCharType="separate"/>
      </w:r>
      <w:r>
        <w:rPr>
          <w:rFonts w:hint="eastAsia" w:ascii="宋体" w:hAnsi="宋体"/>
          <w:szCs w:val="24"/>
        </w:rPr>
        <w:t>※六、保密要求</w:t>
      </w:r>
      <w:r>
        <w:tab/>
      </w:r>
      <w:r>
        <w:fldChar w:fldCharType="begin"/>
      </w:r>
      <w:r>
        <w:instrText xml:space="preserve"> PAGEREF _Toc8366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_Toc5629 </w:instrText>
      </w:r>
      <w:r>
        <w:rPr>
          <w:rFonts w:hint="eastAsia" w:ascii="宋体" w:hAnsi="宋体"/>
          <w:szCs w:val="24"/>
        </w:rPr>
        <w:fldChar w:fldCharType="separate"/>
      </w:r>
      <w:r>
        <w:rPr>
          <w:rFonts w:ascii="宋体" w:hAnsi="宋体"/>
          <w:szCs w:val="24"/>
        </w:rPr>
        <w:t>※</w:t>
      </w:r>
      <w:r>
        <w:rPr>
          <w:rFonts w:hint="eastAsia" w:ascii="宋体" w:hAnsi="宋体"/>
          <w:szCs w:val="24"/>
        </w:rPr>
        <w:t>七、知识产权</w:t>
      </w:r>
      <w:r>
        <w:tab/>
      </w:r>
      <w:r>
        <w:fldChar w:fldCharType="begin"/>
      </w:r>
      <w:r>
        <w:instrText xml:space="preserve"> PAGEREF _Toc5629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_Toc29982 </w:instrText>
      </w:r>
      <w:r>
        <w:rPr>
          <w:rFonts w:hint="eastAsia" w:ascii="宋体" w:hAnsi="宋体"/>
          <w:szCs w:val="24"/>
        </w:rPr>
        <w:fldChar w:fldCharType="separate"/>
      </w:r>
      <w:r>
        <w:rPr>
          <w:rFonts w:hint="eastAsia" w:ascii="宋体" w:hAnsi="宋体"/>
          <w:szCs w:val="24"/>
        </w:rPr>
        <w:t>※八、不可抗力</w:t>
      </w:r>
      <w:r>
        <w:tab/>
      </w:r>
      <w:r>
        <w:fldChar w:fldCharType="begin"/>
      </w:r>
      <w:r>
        <w:instrText xml:space="preserve"> PAGEREF _Toc29982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_Toc1087 </w:instrText>
      </w:r>
      <w:r>
        <w:rPr>
          <w:rFonts w:hint="eastAsia" w:ascii="宋体" w:hAnsi="宋体"/>
          <w:szCs w:val="24"/>
        </w:rPr>
        <w:fldChar w:fldCharType="separate"/>
      </w:r>
      <w:r>
        <w:rPr>
          <w:rFonts w:hint="eastAsia" w:ascii="宋体" w:hAnsi="宋体"/>
          <w:szCs w:val="24"/>
        </w:rPr>
        <w:t>九、其他</w:t>
      </w:r>
      <w:r>
        <w:tab/>
      </w:r>
      <w:r>
        <w:fldChar w:fldCharType="begin"/>
      </w:r>
      <w:r>
        <w:instrText xml:space="preserve"> PAGEREF _Toc1087 \h </w:instrText>
      </w:r>
      <w:r>
        <w:fldChar w:fldCharType="separate"/>
      </w:r>
      <w:r>
        <w:t>- 8 -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_Toc21568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_Toc21568 \h </w:instrText>
      </w:r>
      <w:r>
        <w:fldChar w:fldCharType="separate"/>
      </w:r>
      <w:r>
        <w:t>- 9 -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_Toc9025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_Toc9025 \h </w:instrText>
      </w:r>
      <w:r>
        <w:fldChar w:fldCharType="separate"/>
      </w:r>
      <w:r>
        <w:t>- 9 -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_Toc5026 </w:instrText>
      </w:r>
      <w:r>
        <w:rPr>
          <w:rFonts w:hint="eastAsia" w:ascii="宋体" w:hAnsi="宋体"/>
          <w:szCs w:val="24"/>
        </w:rPr>
        <w:fldChar w:fldCharType="separate"/>
      </w:r>
      <w:r>
        <w:rPr>
          <w:rFonts w:hint="eastAsia" w:ascii="宋体" w:hAnsi="宋体"/>
          <w:szCs w:val="24"/>
          <w:highlight w:val="none"/>
        </w:rPr>
        <w:t>二、评审标准</w:t>
      </w:r>
      <w:r>
        <w:tab/>
      </w:r>
      <w:r>
        <w:fldChar w:fldCharType="begin"/>
      </w:r>
      <w:r>
        <w:instrText xml:space="preserve"> PAGEREF _Toc5026 \h </w:instrText>
      </w:r>
      <w:r>
        <w:fldChar w:fldCharType="separate"/>
      </w:r>
      <w:r>
        <w:t>- 11 -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_Toc6915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_Toc6915 \h </w:instrText>
      </w:r>
      <w:r>
        <w:fldChar w:fldCharType="separate"/>
      </w:r>
      <w:r>
        <w:t>- 12 -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_Toc26950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_Toc26950 \h </w:instrText>
      </w:r>
      <w:r>
        <w:fldChar w:fldCharType="separate"/>
      </w:r>
      <w:r>
        <w:t>- 13 -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_Toc18293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_Toc18293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_Toc12143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_Toc12143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_Toc6046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_Toc6046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_Toc18344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_Toc18344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_Toc25332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_Toc25332 \h </w:instrText>
      </w:r>
      <w:r>
        <w:fldChar w:fldCharType="separate"/>
      </w:r>
      <w:r>
        <w:t>- 15 -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_Toc8004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_Toc8004 \h </w:instrText>
      </w:r>
      <w:r>
        <w:fldChar w:fldCharType="separate"/>
      </w:r>
      <w:r>
        <w:t>- 16 -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_Toc20074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_Toc20074 \h </w:instrText>
      </w:r>
      <w:r>
        <w:fldChar w:fldCharType="separate"/>
      </w:r>
      <w:r>
        <w:t>- 16 -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_Toc10409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_Toc10409 \h </w:instrText>
      </w:r>
      <w:r>
        <w:fldChar w:fldCharType="separate"/>
      </w:r>
      <w:r>
        <w:t>- 17 -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_Toc26371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_Toc26371 \h </w:instrText>
      </w:r>
      <w:r>
        <w:fldChar w:fldCharType="separate"/>
      </w:r>
      <w:r>
        <w:t>- 18 -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_Toc30755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_Toc30755 \h </w:instrText>
      </w:r>
      <w:r>
        <w:fldChar w:fldCharType="separate"/>
      </w:r>
      <w:r>
        <w:t>- 19 -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_Toc1515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_Toc1515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_Toc26639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_Toc26639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_Toc29281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_Toc29281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_Toc1948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_Toc1948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_Toc6145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_Toc6145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_Toc28803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_Toc28803 \h </w:instrText>
      </w:r>
      <w:r>
        <w:fldChar w:fldCharType="separate"/>
      </w:r>
      <w:r>
        <w:t>- 24 -</w:t>
      </w:r>
      <w:r>
        <w:fldChar w:fldCharType="end"/>
      </w:r>
      <w:r>
        <w:rPr>
          <w:rFonts w:hint="eastAsia" w:ascii="宋体" w:hAnsi="宋体"/>
          <w:szCs w:val="24"/>
        </w:rPr>
        <w:fldChar w:fldCharType="end"/>
      </w:r>
    </w:p>
    <w:p>
      <w:pPr>
        <w:pStyle w:val="49"/>
        <w:tabs>
          <w:tab w:val="right" w:leader="dot" w:pos="9402"/>
        </w:tabs>
        <w:spacing w:line="480" w:lineRule="exact"/>
        <w:ind w:left="560"/>
        <w:jc w:val="center"/>
        <w:rPr>
          <w:rFonts w:ascii="宋体" w:hAnsi="宋体"/>
          <w:szCs w:val="24"/>
        </w:rPr>
        <w:sectPr>
          <w:footerReference r:id="rId7" w:type="default"/>
          <w:pgSz w:w="11907" w:h="16840"/>
          <w:pgMar w:top="1134" w:right="1191" w:bottom="1134" w:left="1191"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宋体" w:hAnsi="宋体"/>
          <w:szCs w:val="24"/>
        </w:rPr>
        <w:fldChar w:fldCharType="end"/>
      </w:r>
    </w:p>
    <w:p>
      <w:pPr>
        <w:pStyle w:val="3"/>
        <w:pageBreakBefore/>
        <w:spacing w:line="360" w:lineRule="auto"/>
        <w:jc w:val="center"/>
        <w:rPr>
          <w:rFonts w:ascii="宋体" w:hAnsi="宋体" w:eastAsia="宋体"/>
          <w:sz w:val="36"/>
          <w:szCs w:val="30"/>
        </w:rPr>
      </w:pPr>
      <w:bookmarkStart w:id="0" w:name="_Toc12789052"/>
      <w:bookmarkStart w:id="1" w:name="_Toc14481"/>
      <w:bookmarkStart w:id="2" w:name="_Toc11641050"/>
      <w:r>
        <w:rPr>
          <w:rFonts w:hint="eastAsia" w:ascii="宋体" w:hAnsi="宋体" w:eastAsia="宋体"/>
          <w:sz w:val="36"/>
          <w:szCs w:val="30"/>
        </w:rPr>
        <w:t>第一篇  采购邀请书</w:t>
      </w:r>
      <w:bookmarkEnd w:id="0"/>
      <w:bookmarkEnd w:id="1"/>
      <w:bookmarkEnd w:id="2"/>
    </w:p>
    <w:p>
      <w:pPr>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w:t>
      </w:r>
      <w:r>
        <w:rPr>
          <w:rFonts w:hint="eastAsia" w:ascii="宋体" w:hAnsi="宋体"/>
          <w:sz w:val="24"/>
          <w:szCs w:val="24"/>
          <w:lang w:eastAsia="zh-CN"/>
        </w:rPr>
        <w:t>《重庆市电动汽车充换电基础设施建设运营管理办法》立法研究项目</w:t>
      </w:r>
      <w:r>
        <w:rPr>
          <w:rFonts w:hint="eastAsia" w:ascii="宋体" w:hAnsi="宋体"/>
          <w:sz w:val="24"/>
          <w:szCs w:val="24"/>
        </w:rPr>
        <w:t>（项目号：CQCBJQ</w:t>
      </w:r>
      <w:r>
        <w:rPr>
          <w:rFonts w:hint="eastAsia" w:ascii="宋体" w:hAnsi="宋体"/>
          <w:sz w:val="24"/>
          <w:szCs w:val="24"/>
          <w:highlight w:val="none"/>
          <w:lang w:eastAsia="zh-CN"/>
        </w:rPr>
        <w:t>2411-398</w:t>
      </w:r>
      <w:r>
        <w:rPr>
          <w:rFonts w:hint="eastAsia" w:ascii="宋体" w:hAnsi="宋体"/>
          <w:sz w:val="24"/>
          <w:szCs w:val="24"/>
        </w:rPr>
        <w:t>）进行竞争性磋商采购。欢迎有资格的供应商前来参与磋商。</w:t>
      </w:r>
    </w:p>
    <w:p>
      <w:pPr>
        <w:pStyle w:val="4"/>
        <w:spacing w:before="0" w:after="0" w:line="360" w:lineRule="auto"/>
        <w:ind w:firstLine="482" w:firstLineChars="200"/>
        <w:rPr>
          <w:rFonts w:ascii="宋体" w:hAnsi="宋体"/>
          <w:sz w:val="24"/>
          <w:szCs w:val="24"/>
        </w:rPr>
      </w:pPr>
      <w:bookmarkStart w:id="3" w:name="_Toc20039"/>
      <w:bookmarkStart w:id="4" w:name="_Toc313893526"/>
      <w:bookmarkStart w:id="5" w:name="_Toc317775175"/>
      <w:r>
        <w:rPr>
          <w:rFonts w:hint="eastAsia" w:ascii="宋体" w:hAnsi="宋体"/>
          <w:sz w:val="24"/>
          <w:szCs w:val="24"/>
        </w:rPr>
        <w:t>一、竞争性磋商内容</w:t>
      </w:r>
      <w:bookmarkEnd w:id="3"/>
      <w:bookmarkEnd w:id="4"/>
      <w:bookmarkEnd w:id="5"/>
    </w:p>
    <w:tbl>
      <w:tblPr>
        <w:tblStyle w:val="6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261"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bookmarkStart w:id="6" w:name="_Toc373860293"/>
            <w:bookmarkStart w:id="7" w:name="_Toc317775178"/>
            <w:r>
              <w:rPr>
                <w:rFonts w:hint="eastAsia" w:ascii="宋体" w:hAnsi="宋体" w:cs="宋体"/>
                <w:b/>
                <w:bCs/>
                <w:kern w:val="0"/>
                <w:sz w:val="21"/>
                <w:szCs w:val="24"/>
              </w:rPr>
              <w:t>项目内容</w:t>
            </w:r>
          </w:p>
        </w:tc>
        <w:tc>
          <w:tcPr>
            <w:tcW w:w="1842"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w:t>
            </w:r>
          </w:p>
          <w:p>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84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269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261"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ascii="宋体" w:hAnsi="宋体"/>
                <w:sz w:val="21"/>
                <w:szCs w:val="21"/>
              </w:rPr>
            </w:pPr>
            <w:bookmarkStart w:id="8" w:name="_Hlk344477914"/>
            <w:r>
              <w:rPr>
                <w:rFonts w:hint="eastAsia" w:ascii="宋体" w:hAnsi="宋体"/>
                <w:sz w:val="21"/>
                <w:szCs w:val="21"/>
                <w:lang w:eastAsia="zh-CN"/>
              </w:rPr>
              <w:t>《重庆市电动汽车充换电基础设施建设运营管理办法》立法研究</w:t>
            </w:r>
          </w:p>
        </w:tc>
        <w:tc>
          <w:tcPr>
            <w:tcW w:w="1842"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default" w:ascii="宋体" w:hAnsi="宋体" w:eastAsia="宋体"/>
                <w:sz w:val="21"/>
                <w:szCs w:val="21"/>
                <w:lang w:val="en-US" w:eastAsia="zh-CN"/>
              </w:rPr>
            </w:pPr>
            <w:r>
              <w:rPr>
                <w:rFonts w:hint="eastAsia" w:ascii="宋体" w:hAnsi="宋体"/>
                <w:sz w:val="21"/>
                <w:szCs w:val="21"/>
                <w:highlight w:val="none"/>
                <w:lang w:val="en-US" w:eastAsia="zh-CN"/>
              </w:rPr>
              <w:t>30.13</w:t>
            </w:r>
          </w:p>
        </w:tc>
        <w:tc>
          <w:tcPr>
            <w:tcW w:w="1843"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ascii="宋体" w:hAnsi="宋体"/>
                <w:sz w:val="21"/>
                <w:szCs w:val="21"/>
              </w:rPr>
            </w:pPr>
            <w:r>
              <w:rPr>
                <w:rFonts w:ascii="宋体" w:hAnsi="宋体"/>
                <w:sz w:val="21"/>
                <w:szCs w:val="21"/>
              </w:rPr>
              <w:t>1</w:t>
            </w:r>
          </w:p>
        </w:tc>
        <w:tc>
          <w:tcPr>
            <w:tcW w:w="2693"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ascii="宋体" w:hAnsi="宋体"/>
                <w:sz w:val="21"/>
                <w:szCs w:val="21"/>
              </w:rPr>
            </w:pPr>
            <w:r>
              <w:rPr>
                <w:rFonts w:hint="eastAsia" w:ascii="宋体" w:hAnsi="宋体"/>
                <w:sz w:val="21"/>
                <w:szCs w:val="21"/>
              </w:rPr>
              <w:t>其他未列明行业</w:t>
            </w:r>
          </w:p>
        </w:tc>
      </w:tr>
      <w:bookmarkEnd w:id="8"/>
    </w:tbl>
    <w:p>
      <w:pPr>
        <w:pStyle w:val="4"/>
        <w:snapToGrid w:val="0"/>
        <w:spacing w:before="0" w:after="0" w:line="360" w:lineRule="auto"/>
        <w:ind w:firstLine="482" w:firstLineChars="200"/>
        <w:rPr>
          <w:rFonts w:ascii="宋体" w:hAnsi="宋体"/>
          <w:sz w:val="24"/>
          <w:szCs w:val="24"/>
        </w:rPr>
      </w:pPr>
      <w:bookmarkStart w:id="9" w:name="_Toc13258"/>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财政资金,预算金额为：</w:t>
      </w:r>
      <w:r>
        <w:rPr>
          <w:rFonts w:hint="eastAsia" w:ascii="宋体" w:hAnsi="宋体"/>
          <w:sz w:val="24"/>
          <w:szCs w:val="24"/>
          <w:u w:val="single"/>
        </w:rPr>
        <w:t xml:space="preserve"> </w:t>
      </w:r>
      <w:r>
        <w:rPr>
          <w:rFonts w:hint="eastAsia" w:ascii="宋体" w:hAnsi="宋体"/>
          <w:sz w:val="24"/>
          <w:szCs w:val="24"/>
          <w:u w:val="single"/>
          <w:lang w:val="en-US" w:eastAsia="zh-CN"/>
        </w:rPr>
        <w:t>30.13</w:t>
      </w:r>
      <w:r>
        <w:rPr>
          <w:rFonts w:hint="eastAsia" w:ascii="宋体" w:hAnsi="宋体"/>
          <w:sz w:val="24"/>
          <w:szCs w:val="24"/>
          <w:u w:val="single"/>
        </w:rPr>
        <w:t xml:space="preserve"> </w:t>
      </w:r>
      <w:r>
        <w:rPr>
          <w:rFonts w:hint="eastAsia" w:ascii="宋体" w:hAnsi="宋体"/>
          <w:sz w:val="24"/>
          <w:szCs w:val="24"/>
        </w:rPr>
        <w:t>万元（含税金额）。</w:t>
      </w:r>
    </w:p>
    <w:bookmarkEnd w:id="6"/>
    <w:bookmarkEnd w:id="7"/>
    <w:p>
      <w:pPr>
        <w:pStyle w:val="4"/>
        <w:snapToGrid w:val="0"/>
        <w:spacing w:before="0" w:after="0" w:line="360" w:lineRule="auto"/>
        <w:ind w:firstLine="482" w:firstLineChars="200"/>
        <w:rPr>
          <w:rFonts w:ascii="宋体" w:hAnsi="宋体"/>
          <w:sz w:val="24"/>
          <w:szCs w:val="24"/>
        </w:rPr>
      </w:pPr>
      <w:bookmarkStart w:id="10" w:name="_Toc75258773"/>
      <w:bookmarkStart w:id="11" w:name="_Toc23424"/>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4"/>
        <w:snapToGrid w:val="0"/>
        <w:spacing w:before="0" w:after="0" w:line="360" w:lineRule="auto"/>
        <w:ind w:firstLine="482" w:firstLineChars="200"/>
        <w:rPr>
          <w:rFonts w:ascii="宋体" w:hAnsi="宋体"/>
          <w:sz w:val="24"/>
          <w:szCs w:val="24"/>
        </w:rPr>
      </w:pPr>
      <w:bookmarkStart w:id="13" w:name="_Toc14094"/>
      <w:r>
        <w:rPr>
          <w:rFonts w:hint="eastAsia" w:ascii="宋体" w:hAnsi="宋体"/>
          <w:sz w:val="24"/>
          <w:szCs w:val="24"/>
        </w:rPr>
        <w:t>四、磋商有关说明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pPr>
        <w:snapToGrid w:val="0"/>
        <w:spacing w:line="360" w:lineRule="auto"/>
        <w:ind w:firstLine="480" w:firstLineChars="200"/>
        <w:rPr>
          <w:rFonts w:ascii="宋体" w:hAnsi="宋体"/>
          <w:sz w:val="24"/>
          <w:szCs w:val="24"/>
        </w:rPr>
      </w:pPr>
      <w:r>
        <w:rPr>
          <w:rFonts w:hint="eastAsia" w:ascii="宋体" w:hAnsi="宋体"/>
          <w:sz w:val="24"/>
          <w:szCs w:val="24"/>
        </w:rPr>
        <w:t>（二）竞争性磋商公告期限：自采购公告发布之日起三个工作日。</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（三）竞争性磋商文件提供期限</w:t>
      </w:r>
    </w:p>
    <w:p>
      <w:pPr>
        <w:snapToGrid w:val="0"/>
        <w:spacing w:line="360" w:lineRule="auto"/>
        <w:ind w:firstLine="480" w:firstLineChars="200"/>
        <w:rPr>
          <w:rFonts w:ascii="宋体" w:hAnsi="宋体"/>
          <w:sz w:val="24"/>
          <w:szCs w:val="24"/>
        </w:rPr>
      </w:pPr>
      <w:r>
        <w:rPr>
          <w:rFonts w:hint="eastAsia" w:ascii="宋体" w:hAnsi="宋体"/>
          <w:sz w:val="24"/>
          <w:szCs w:val="24"/>
        </w:rPr>
        <w:t>1.竞争性磋商文件提供期限：202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日（9:00-17:00）。</w:t>
      </w:r>
    </w:p>
    <w:p>
      <w:pPr>
        <w:snapToGrid w:val="0"/>
        <w:spacing w:line="360" w:lineRule="auto"/>
        <w:ind w:firstLine="480" w:firstLineChars="200"/>
        <w:rPr>
          <w:rFonts w:ascii="宋体" w:hAnsi="宋体"/>
          <w:sz w:val="24"/>
          <w:szCs w:val="24"/>
        </w:rPr>
      </w:pPr>
      <w:r>
        <w:rPr>
          <w:rFonts w:hint="eastAsia" w:ascii="宋体" w:hAnsi="宋体"/>
          <w:sz w:val="24"/>
          <w:szCs w:val="24"/>
        </w:rPr>
        <w:t>2.竞争性磋商文件提供期限内，供应商</w:t>
      </w:r>
      <w:r>
        <w:rPr>
          <w:rFonts w:hint="eastAsia" w:ascii="宋体" w:hAnsi="宋体" w:cs="宋体"/>
          <w:sz w:val="24"/>
          <w:szCs w:val="24"/>
        </w:rPr>
        <w:t>将标书费转账凭证扫描后发送至hulin@cqchinabase.com。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3.竞争性磋商文件售价：人民币300元/包，</w:t>
      </w:r>
      <w:r>
        <w:rPr>
          <w:rFonts w:hint="eastAsia" w:ascii="宋体" w:hAnsi="宋体"/>
          <w:b/>
          <w:bCs/>
          <w:sz w:val="24"/>
          <w:szCs w:val="24"/>
        </w:rPr>
        <w:t>缴纳标书费时请务必备注项目号（售后不退）。</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pacing w:line="360" w:lineRule="auto"/>
        <w:ind w:firstLine="480" w:firstLineChars="200"/>
        <w:rPr>
          <w:rFonts w:ascii="宋体" w:hAnsi="宋体"/>
          <w:sz w:val="24"/>
          <w:szCs w:val="24"/>
        </w:rPr>
      </w:pPr>
      <w:r>
        <w:rPr>
          <w:rFonts w:hint="eastAsia" w:ascii="宋体" w:hAnsi="宋体"/>
          <w:sz w:val="24"/>
          <w:szCs w:val="24"/>
        </w:rPr>
        <w:t>（四）递交响应文件地点：重庆市经济和信息化委员会</w:t>
      </w:r>
      <w:r>
        <w:rPr>
          <w:rFonts w:hint="eastAsia" w:ascii="宋体" w:hAnsi="宋体"/>
          <w:sz w:val="24"/>
          <w:szCs w:val="24"/>
          <w:lang w:val="en-US" w:eastAsia="zh-CN"/>
        </w:rPr>
        <w:t>5010</w:t>
      </w:r>
      <w:r>
        <w:rPr>
          <w:rFonts w:hint="eastAsia" w:ascii="宋体" w:hAnsi="宋体"/>
          <w:sz w:val="24"/>
          <w:szCs w:val="24"/>
        </w:rPr>
        <w:t>会议室</w:t>
      </w:r>
    </w:p>
    <w:p>
      <w:pPr>
        <w:spacing w:line="360" w:lineRule="auto"/>
        <w:ind w:firstLine="480" w:firstLineChars="200"/>
        <w:rPr>
          <w:rFonts w:ascii="宋体" w:hAnsi="宋体"/>
          <w:sz w:val="24"/>
          <w:szCs w:val="24"/>
        </w:rPr>
      </w:pPr>
      <w:r>
        <w:rPr>
          <w:rFonts w:hint="eastAsia" w:ascii="宋体" w:hAnsi="宋体"/>
          <w:sz w:val="24"/>
          <w:szCs w:val="24"/>
        </w:rPr>
        <w:t>（五）响应文件递交开始和截止时间：</w:t>
      </w:r>
      <w:r>
        <w:rPr>
          <w:rFonts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日北京时间9:3</w:t>
      </w:r>
      <w:r>
        <w:rPr>
          <w:rFonts w:ascii="宋体" w:hAnsi="宋体"/>
          <w:sz w:val="24"/>
          <w:szCs w:val="24"/>
        </w:rPr>
        <w:t>0</w:t>
      </w:r>
      <w:r>
        <w:rPr>
          <w:rFonts w:hint="eastAsia" w:ascii="宋体" w:hAnsi="宋体"/>
          <w:sz w:val="24"/>
          <w:szCs w:val="24"/>
        </w:rPr>
        <w:t>-10:00</w:t>
      </w:r>
    </w:p>
    <w:p>
      <w:pPr>
        <w:spacing w:line="360" w:lineRule="auto"/>
        <w:ind w:firstLine="480" w:firstLineChars="200"/>
        <w:rPr>
          <w:rFonts w:ascii="宋体" w:hAnsi="宋体"/>
          <w:sz w:val="24"/>
          <w:szCs w:val="24"/>
        </w:rPr>
      </w:pPr>
      <w:r>
        <w:rPr>
          <w:rFonts w:hint="eastAsia" w:ascii="宋体" w:hAnsi="宋体"/>
          <w:sz w:val="24"/>
          <w:szCs w:val="24"/>
        </w:rPr>
        <w:t>（六）响应文件开启时间：</w:t>
      </w:r>
      <w:r>
        <w:rPr>
          <w:rFonts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日北京时间10:00</w:t>
      </w:r>
    </w:p>
    <w:p>
      <w:pPr>
        <w:pStyle w:val="4"/>
        <w:spacing w:before="0" w:after="0" w:line="360" w:lineRule="auto"/>
        <w:ind w:firstLine="482" w:firstLineChars="200"/>
        <w:rPr>
          <w:rFonts w:ascii="宋体" w:hAnsi="宋体"/>
          <w:sz w:val="24"/>
          <w:szCs w:val="24"/>
        </w:rPr>
      </w:pPr>
      <w:bookmarkStart w:id="14" w:name="_Toc530038692"/>
      <w:bookmarkStart w:id="15" w:name="_Toc75258776"/>
      <w:bookmarkStart w:id="16" w:name="_Toc23044"/>
      <w:r>
        <w:rPr>
          <w:rFonts w:hint="eastAsia" w:ascii="宋体" w:hAnsi="宋体"/>
          <w:sz w:val="24"/>
          <w:szCs w:val="24"/>
        </w:rPr>
        <w:t>五、采购项目需落实的政府采购政策</w:t>
      </w:r>
      <w:bookmarkEnd w:id="14"/>
      <w:bookmarkEnd w:id="15"/>
      <w:bookmarkEnd w:id="16"/>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4"/>
        <w:spacing w:before="0" w:after="0" w:line="360" w:lineRule="auto"/>
        <w:ind w:firstLine="482" w:firstLineChars="200"/>
        <w:rPr>
          <w:rFonts w:ascii="宋体" w:hAnsi="宋体"/>
          <w:sz w:val="24"/>
          <w:szCs w:val="24"/>
        </w:rPr>
      </w:pPr>
      <w:bookmarkStart w:id="17" w:name="_Toc75258777"/>
      <w:bookmarkStart w:id="18" w:name="_Toc1841"/>
      <w:r>
        <w:rPr>
          <w:rFonts w:hint="eastAsia" w:ascii="宋体" w:hAnsi="宋体"/>
          <w:sz w:val="24"/>
          <w:szCs w:val="24"/>
        </w:rPr>
        <w:t>六、其它有关规定</w:t>
      </w:r>
      <w:bookmarkEnd w:id="17"/>
      <w:bookmarkEnd w:id="18"/>
    </w:p>
    <w:p>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pPr>
        <w:snapToGrid w:val="0"/>
        <w:spacing w:line="360" w:lineRule="auto"/>
        <w:ind w:firstLine="482" w:firstLineChars="200"/>
        <w:rPr>
          <w:rFonts w:ascii="宋体" w:hAnsi="宋体"/>
          <w:b/>
          <w:sz w:val="24"/>
          <w:szCs w:val="24"/>
        </w:rPr>
      </w:pPr>
      <w:r>
        <w:rPr>
          <w:rFonts w:hint="eastAsia" w:ascii="宋体" w:hAnsi="宋体"/>
          <w:b/>
          <w:sz w:val="24"/>
          <w:szCs w:val="24"/>
        </w:rPr>
        <w:t>（六）本项目不接受联合体磋商，否则按无效处理。</w:t>
      </w:r>
    </w:p>
    <w:p>
      <w:pPr>
        <w:snapToGrid w:val="0"/>
        <w:spacing w:line="360" w:lineRule="auto"/>
        <w:ind w:firstLine="482" w:firstLineChars="200"/>
        <w:rPr>
          <w:rFonts w:ascii="宋体" w:hAnsi="宋体"/>
          <w:b/>
          <w:sz w:val="24"/>
          <w:szCs w:val="24"/>
        </w:rPr>
      </w:pPr>
      <w:r>
        <w:rPr>
          <w:rFonts w:hint="eastAsia" w:ascii="宋体" w:hAnsi="宋体"/>
          <w:b/>
          <w:sz w:val="24"/>
          <w:szCs w:val="24"/>
        </w:rPr>
        <w:t>（七）本项目不接受合同分包，否则按无效处理。</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60" w:lineRule="auto"/>
        <w:ind w:firstLine="482" w:firstLineChars="200"/>
        <w:rPr>
          <w:rFonts w:ascii="宋体" w:hAnsi="宋体"/>
          <w:sz w:val="24"/>
          <w:szCs w:val="24"/>
        </w:rPr>
      </w:pPr>
      <w:bookmarkStart w:id="19" w:name="_Toc22705"/>
      <w:r>
        <w:rPr>
          <w:rFonts w:hint="eastAsia" w:ascii="宋体" w:hAnsi="宋体"/>
          <w:sz w:val="24"/>
          <w:szCs w:val="24"/>
        </w:rPr>
        <w:t>七、联系方式</w:t>
      </w:r>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联系人：</w:t>
      </w:r>
      <w:bookmarkStart w:id="20" w:name="_Hlk517516737"/>
      <w:r>
        <w:rPr>
          <w:rFonts w:hint="eastAsia" w:ascii="宋体" w:hAnsi="宋体"/>
          <w:color w:val="auto"/>
          <w:sz w:val="24"/>
          <w:szCs w:val="24"/>
          <w:lang w:val="en-US" w:eastAsia="zh-CN"/>
        </w:rPr>
        <w:t>王</w:t>
      </w:r>
      <w:r>
        <w:rPr>
          <w:rFonts w:hint="eastAsia" w:ascii="宋体" w:hAnsi="宋体"/>
          <w:color w:val="auto"/>
          <w:sz w:val="24"/>
          <w:szCs w:val="24"/>
        </w:rPr>
        <w:t>老师</w:t>
      </w:r>
    </w:p>
    <w:p>
      <w:pPr>
        <w:snapToGrid w:val="0"/>
        <w:spacing w:line="360" w:lineRule="auto"/>
        <w:ind w:firstLine="480" w:firstLineChars="200"/>
        <w:rPr>
          <w:rFonts w:hint="default" w:ascii="宋体" w:hAnsi="宋体" w:eastAsia="宋体"/>
          <w:color w:val="auto"/>
          <w:sz w:val="24"/>
          <w:szCs w:val="24"/>
          <w:lang w:val="en-US" w:eastAsia="zh-CN"/>
        </w:rPr>
      </w:pPr>
      <w:r>
        <w:rPr>
          <w:rFonts w:ascii="宋体" w:hAnsi="宋体"/>
          <w:color w:val="auto"/>
          <w:sz w:val="24"/>
          <w:szCs w:val="24"/>
        </w:rPr>
        <w:t>电  话：</w:t>
      </w:r>
      <w:r>
        <w:rPr>
          <w:rFonts w:hint="eastAsia" w:ascii="宋体" w:hAnsi="宋体"/>
          <w:color w:val="auto"/>
          <w:sz w:val="24"/>
          <w:szCs w:val="24"/>
        </w:rPr>
        <w:t>（0</w:t>
      </w:r>
      <w:r>
        <w:rPr>
          <w:rFonts w:ascii="宋体" w:hAnsi="宋体"/>
          <w:color w:val="auto"/>
          <w:sz w:val="24"/>
          <w:szCs w:val="24"/>
        </w:rPr>
        <w:t>23</w:t>
      </w:r>
      <w:r>
        <w:rPr>
          <w:rFonts w:hint="eastAsia" w:ascii="宋体" w:hAnsi="宋体"/>
          <w:color w:val="auto"/>
          <w:sz w:val="24"/>
          <w:szCs w:val="24"/>
        </w:rPr>
        <w:t>）</w:t>
      </w:r>
      <w:bookmarkEnd w:id="20"/>
      <w:r>
        <w:rPr>
          <w:rFonts w:hint="eastAsia" w:ascii="宋体" w:hAnsi="宋体"/>
          <w:color w:val="auto"/>
          <w:sz w:val="24"/>
          <w:szCs w:val="24"/>
          <w:lang w:val="en-US" w:eastAsia="zh-CN"/>
        </w:rPr>
        <w:t>63899523</w:t>
      </w:r>
    </w:p>
    <w:p>
      <w:pPr>
        <w:snapToGrid w:val="0"/>
        <w:spacing w:line="360" w:lineRule="auto"/>
        <w:ind w:firstLine="480" w:firstLineChars="200"/>
        <w:rPr>
          <w:rFonts w:ascii="宋体" w:hAnsi="宋体"/>
          <w:sz w:val="24"/>
          <w:szCs w:val="24"/>
        </w:rPr>
      </w:pPr>
      <w:r>
        <w:rPr>
          <w:rFonts w:ascii="宋体" w:hAnsi="宋体"/>
          <w:sz w:val="24"/>
          <w:szCs w:val="24"/>
        </w:rPr>
        <w:t>地  址：</w:t>
      </w:r>
      <w:r>
        <w:rPr>
          <w:rFonts w:hint="eastAsia" w:ascii="宋体" w:hAnsi="宋体"/>
          <w:sz w:val="24"/>
          <w:szCs w:val="24"/>
        </w:rPr>
        <w:t>重庆市渝北区云杉南路12号</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联系人：周老师、胡老师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话：（023）88505900、88758852</w:t>
      </w:r>
    </w:p>
    <w:p>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pPr>
        <w:snapToGrid w:val="0"/>
        <w:spacing w:line="360" w:lineRule="auto"/>
        <w:ind w:firstLine="480" w:firstLineChars="200"/>
        <w:rPr>
          <w:rFonts w:ascii="宋体" w:hAnsi="宋体"/>
          <w:sz w:val="24"/>
          <w:szCs w:val="24"/>
        </w:rPr>
      </w:pPr>
      <w:bookmarkStart w:id="21" w:name="_Toc178828108"/>
      <w:bookmarkStart w:id="22" w:name="_Toc216163282"/>
      <w:bookmarkStart w:id="23" w:name="_Toc180051219"/>
      <w:r>
        <w:rPr>
          <w:rFonts w:hint="eastAsia" w:ascii="宋体" w:hAnsi="宋体"/>
          <w:sz w:val="24"/>
          <w:szCs w:val="24"/>
        </w:rPr>
        <w:t>地  址：重庆市渝北区财富大道2号财富大厦A座九楼</w:t>
      </w:r>
    </w:p>
    <w:bookmarkEnd w:id="21"/>
    <w:bookmarkEnd w:id="22"/>
    <w:bookmarkEnd w:id="23"/>
    <w:p>
      <w:pPr>
        <w:pStyle w:val="3"/>
        <w:pageBreakBefore/>
        <w:spacing w:line="360" w:lineRule="auto"/>
        <w:jc w:val="center"/>
        <w:rPr>
          <w:rFonts w:ascii="宋体" w:hAnsi="宋体" w:eastAsia="宋体"/>
          <w:sz w:val="36"/>
          <w:szCs w:val="30"/>
        </w:rPr>
      </w:pPr>
      <w:bookmarkStart w:id="24" w:name="_Toc18310"/>
      <w:r>
        <w:rPr>
          <w:rFonts w:hint="eastAsia" w:ascii="宋体" w:hAnsi="宋体" w:eastAsia="宋体"/>
          <w:sz w:val="36"/>
          <w:szCs w:val="30"/>
        </w:rPr>
        <w:t>第二篇  项目服务需求</w:t>
      </w:r>
      <w:bookmarkEnd w:id="24"/>
    </w:p>
    <w:p>
      <w:pPr>
        <w:snapToGrid w:val="0"/>
        <w:spacing w:line="360" w:lineRule="auto"/>
        <w:ind w:firstLine="422" w:firstLineChars="200"/>
        <w:rPr>
          <w:rFonts w:ascii="宋体" w:hAnsi="宋体"/>
          <w:b/>
          <w:sz w:val="21"/>
          <w:szCs w:val="21"/>
        </w:rPr>
      </w:pPr>
      <w:bookmarkStart w:id="25" w:name="_Toc6232092"/>
      <w:bookmarkStart w:id="26" w:name="_Toc5006885"/>
      <w:bookmarkStart w:id="27" w:name="_Toc12789058"/>
      <w:r>
        <w:rPr>
          <w:rFonts w:hint="eastAsia" w:ascii="宋体" w:hAnsi="宋体"/>
          <w:b/>
          <w:sz w:val="21"/>
          <w:szCs w:val="21"/>
        </w:rPr>
        <w:t>“※”标注部分为符合性审查中的实质性要求，响应文件若不满足按无效响应处理。</w:t>
      </w:r>
      <w:bookmarkStart w:id="28" w:name="_Toc78194435"/>
      <w:bookmarkStart w:id="29" w:name="_Toc30016"/>
      <w:bookmarkStart w:id="30" w:name="_Toc18057005"/>
    </w:p>
    <w:p>
      <w:pPr>
        <w:pStyle w:val="4"/>
        <w:spacing w:before="0" w:after="0" w:line="360" w:lineRule="auto"/>
        <w:ind w:firstLine="482" w:firstLineChars="200"/>
        <w:rPr>
          <w:rFonts w:ascii="宋体" w:hAnsi="宋体"/>
          <w:sz w:val="24"/>
          <w:szCs w:val="24"/>
        </w:rPr>
      </w:pPr>
      <w:bookmarkStart w:id="31" w:name="_Toc17847"/>
      <w:r>
        <w:rPr>
          <w:rFonts w:hint="eastAsia" w:ascii="宋体" w:hAnsi="宋体"/>
          <w:sz w:val="24"/>
          <w:szCs w:val="24"/>
        </w:rPr>
        <w:t>一、项目背景</w:t>
      </w:r>
      <w:bookmarkEnd w:id="31"/>
    </w:p>
    <w:bookmarkEnd w:id="28"/>
    <w:bookmarkEnd w:id="29"/>
    <w:bookmarkEnd w:id="30"/>
    <w:p>
      <w:pPr>
        <w:snapToGrid w:val="0"/>
        <w:spacing w:line="360" w:lineRule="auto"/>
        <w:ind w:firstLine="480" w:firstLineChars="200"/>
        <w:rPr>
          <w:rFonts w:ascii="宋体" w:hAnsi="宋体"/>
          <w:sz w:val="24"/>
          <w:szCs w:val="24"/>
        </w:rPr>
      </w:pPr>
      <w:bookmarkStart w:id="32" w:name="_Toc68879882"/>
      <w:r>
        <w:rPr>
          <w:rFonts w:hint="eastAsia" w:ascii="宋体" w:hAnsi="宋体"/>
          <w:sz w:val="24"/>
          <w:szCs w:val="24"/>
        </w:rPr>
        <w:t>为加快我市电动汽车充换电基础设施建设，构建布局完善、结构合理、服务均衡、运营规范的高质量充换电基础设施体系，规范电动汽车充换电基础设施的投资、建设、运营，保证电动汽车充电基础设施安全高效运营，创造良好的电动汽车使用环境，有必要制定《重庆市电动汽车充电基础设施建设运营管理办法》为电动汽车充电基础设施运营管理提供制度保障。</w:t>
      </w:r>
    </w:p>
    <w:p>
      <w:pPr>
        <w:pStyle w:val="4"/>
        <w:spacing w:before="0" w:after="0" w:line="360" w:lineRule="auto"/>
        <w:ind w:firstLine="482"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bookmarkStart w:id="33" w:name="_Toc19718"/>
      <w:r>
        <w:rPr>
          <w:rFonts w:hint="eastAsia" w:ascii="宋体" w:hAnsi="宋体"/>
          <w:color w:val="000000" w:themeColor="text1"/>
          <w:sz w:val="24"/>
          <w:szCs w:val="24"/>
          <w:highlight w:val="none"/>
          <w14:textFill>
            <w14:solidFill>
              <w14:schemeClr w14:val="tx1"/>
            </w14:solidFill>
          </w14:textFill>
        </w:rPr>
        <w:t>※二、</w:t>
      </w:r>
      <w:bookmarkEnd w:id="32"/>
      <w:r>
        <w:rPr>
          <w:rFonts w:hint="eastAsia" w:ascii="宋体" w:hAnsi="宋体"/>
          <w:color w:val="000000" w:themeColor="text1"/>
          <w:sz w:val="24"/>
          <w:szCs w:val="24"/>
          <w:highlight w:val="none"/>
          <w:lang w:val="en-US" w:eastAsia="zh-CN"/>
          <w14:textFill>
            <w14:solidFill>
              <w14:schemeClr w14:val="tx1"/>
            </w14:solidFill>
          </w14:textFill>
        </w:rPr>
        <w:t>服务内容及要求</w:t>
      </w:r>
      <w:bookmarkEnd w:id="33"/>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通过运用科学的研究方法，制定合理的《重庆市电动汽车充电基础设施建设运营管理办法》立法调研方案，组织市内外调研，开展国家和地方相关法律法规及政策分析，研究论证立法必要性和可行性，学习总结各省市电动汽车充换电基础设施建设运营管理的成功经验，以及存在的问题或不足，协助开展《重庆市电动汽车充电基础设施建设运营管理办法》立法审议阶段的起草、制定、释义、征求意见、重点条款调研、专家论证、沟通协调、印发实施等工作。主要服务内容包括但不限于以下事项：</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收集相关领域国内外、市内外电动汽车充换电基础设施最新立法与政策；深入开展调查研究，系统梳理电动汽车充换电行业的现状与发展趋势，对重庆市电动汽车充换电基础设施建设运营管理现状、存在问题、改进建议等进行全面客观的分析和总结，形成《重庆市电动汽车充电基础设施建设运营管理办法》立法工作的背景资料。</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（二）撰写《重庆市电动汽车充电基础设施建设运营管理办法》立法征求意见稿、起草说明、条文依据对照表、论证材料、参考资料汇编等立法材料。</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（三）配合完成《重庆市电动汽车充电基础设施建设运营管理办法》立法征求意见工作及意见梳理、反馈工作。</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（四）配合完成《重庆市电动汽车充电基础设施建设运营管理办法》立法审议中的过程性、事务性工作。</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（五）在规定时间内完成《重庆市电动汽车充电基础设施建设运营管理办法》立法工作。</w:t>
      </w:r>
    </w:p>
    <w:p>
      <w:pPr>
        <w:pStyle w:val="4"/>
        <w:snapToGrid/>
        <w:spacing w:before="0" w:after="0" w:line="360" w:lineRule="auto"/>
        <w:ind w:firstLine="482"/>
        <w:rPr>
          <w:rFonts w:ascii="宋体" w:hAnsi="宋体"/>
          <w:color w:val="auto"/>
          <w:sz w:val="24"/>
          <w:szCs w:val="24"/>
        </w:rPr>
      </w:pPr>
      <w:bookmarkStart w:id="34" w:name="_Toc89245513"/>
      <w:bookmarkStart w:id="35" w:name="_Toc19366"/>
      <w:r>
        <w:rPr>
          <w:rFonts w:hint="eastAsia" w:ascii="宋体" w:hAnsi="宋体"/>
          <w:color w:val="auto"/>
          <w:sz w:val="24"/>
          <w:szCs w:val="24"/>
        </w:rPr>
        <w:t>※三、</w:t>
      </w:r>
      <w:bookmarkEnd w:id="34"/>
      <w:r>
        <w:rPr>
          <w:rFonts w:hint="eastAsia" w:ascii="宋体" w:hAnsi="宋体"/>
          <w:color w:val="auto"/>
          <w:sz w:val="24"/>
          <w:szCs w:val="24"/>
        </w:rPr>
        <w:t>项目成果</w:t>
      </w:r>
      <w:bookmarkEnd w:id="35"/>
    </w:p>
    <w:p>
      <w:pPr>
        <w:snapToGrid w:val="0"/>
        <w:spacing w:line="360" w:lineRule="auto"/>
        <w:ind w:firstLine="480" w:firstLineChars="200"/>
        <w:rPr>
          <w:rFonts w:hint="eastAsia" w:ascii="宋体" w:hAnsi="宋体" w:eastAsia="宋体"/>
          <w:color w:val="FF0000"/>
          <w:sz w:val="24"/>
          <w:szCs w:val="24"/>
          <w:lang w:val="en-US" w:eastAsia="zh-CN"/>
        </w:rPr>
      </w:pPr>
      <w:r>
        <w:rPr>
          <w:rFonts w:hint="eastAsia" w:ascii="宋体" w:hAnsi="宋体"/>
          <w:color w:val="auto"/>
          <w:sz w:val="24"/>
          <w:szCs w:val="24"/>
          <w:lang w:val="en-US" w:eastAsia="zh-CN"/>
        </w:rPr>
        <w:t>起草完成</w:t>
      </w:r>
      <w:r>
        <w:rPr>
          <w:rFonts w:hint="eastAsia" w:ascii="宋体" w:hAnsi="宋体"/>
          <w:color w:val="auto"/>
          <w:sz w:val="24"/>
          <w:szCs w:val="24"/>
        </w:rPr>
        <w:t>《重庆市电动汽车充电基础设施建设运营管理办法》</w:t>
      </w:r>
      <w:r>
        <w:rPr>
          <w:rFonts w:hint="eastAsia" w:ascii="宋体" w:hAnsi="宋体"/>
          <w:color w:val="auto"/>
          <w:sz w:val="24"/>
          <w:szCs w:val="24"/>
          <w:lang w:eastAsia="zh-CN"/>
        </w:rPr>
        <w:t>。</w:t>
      </w:r>
    </w:p>
    <w:p>
      <w:pPr>
        <w:snapToGrid w:val="0"/>
        <w:spacing w:line="360" w:lineRule="auto"/>
        <w:ind w:firstLine="480" w:firstLineChars="200"/>
        <w:rPr>
          <w:rFonts w:ascii="宋体" w:hAnsi="宋体"/>
          <w:sz w:val="24"/>
          <w:szCs w:val="24"/>
        </w:rPr>
      </w:pPr>
    </w:p>
    <w:bookmarkEnd w:id="25"/>
    <w:bookmarkEnd w:id="26"/>
    <w:p>
      <w:pPr>
        <w:pStyle w:val="3"/>
        <w:pageBreakBefore/>
        <w:spacing w:line="360" w:lineRule="auto"/>
        <w:jc w:val="center"/>
        <w:rPr>
          <w:rFonts w:ascii="宋体" w:hAnsi="宋体" w:eastAsia="宋体"/>
          <w:sz w:val="36"/>
          <w:szCs w:val="30"/>
        </w:rPr>
      </w:pPr>
      <w:bookmarkStart w:id="36" w:name="_Toc909"/>
      <w:r>
        <w:rPr>
          <w:rFonts w:hint="eastAsia" w:ascii="宋体" w:hAnsi="宋体" w:eastAsia="宋体"/>
          <w:sz w:val="36"/>
          <w:szCs w:val="30"/>
        </w:rPr>
        <w:t>第三篇  项目商务需求</w:t>
      </w:r>
      <w:bookmarkEnd w:id="27"/>
      <w:bookmarkEnd w:id="36"/>
    </w:p>
    <w:p>
      <w:pPr>
        <w:snapToGrid w:val="0"/>
        <w:spacing w:line="360" w:lineRule="auto"/>
        <w:ind w:firstLine="422" w:firstLineChars="200"/>
        <w:rPr>
          <w:rFonts w:ascii="宋体" w:hAnsi="宋体"/>
          <w:b/>
          <w:sz w:val="24"/>
          <w:szCs w:val="24"/>
        </w:rPr>
      </w:pPr>
      <w:bookmarkStart w:id="37" w:name="_Toc267320049"/>
      <w:r>
        <w:rPr>
          <w:rFonts w:hint="eastAsia" w:ascii="宋体" w:hAnsi="宋体"/>
          <w:b/>
          <w:sz w:val="21"/>
          <w:szCs w:val="21"/>
        </w:rPr>
        <w:t>“※”标注部分为符合性审查中的实质性要求，响应文件若不满足按无效响应处理。</w:t>
      </w:r>
    </w:p>
    <w:bookmarkEnd w:id="37"/>
    <w:p>
      <w:pPr>
        <w:pStyle w:val="4"/>
        <w:spacing w:before="0" w:after="0" w:line="360" w:lineRule="auto"/>
        <w:ind w:firstLine="482" w:firstLineChars="200"/>
        <w:rPr>
          <w:rFonts w:ascii="宋体" w:hAnsi="宋体"/>
          <w:sz w:val="24"/>
          <w:szCs w:val="24"/>
        </w:rPr>
      </w:pPr>
      <w:bookmarkStart w:id="38" w:name="_Toc5135"/>
      <w:bookmarkStart w:id="39" w:name="_Toc11315"/>
      <w:bookmarkStart w:id="40" w:name="_Toc78194439"/>
      <w:r>
        <w:rPr>
          <w:rFonts w:hint="eastAsia" w:ascii="宋体" w:hAnsi="宋体"/>
          <w:sz w:val="24"/>
          <w:szCs w:val="24"/>
        </w:rPr>
        <w:t>※一、服务时间、服务地点及验收方式</w:t>
      </w:r>
      <w:bookmarkEnd w:id="38"/>
      <w:bookmarkEnd w:id="39"/>
      <w:bookmarkEnd w:id="40"/>
    </w:p>
    <w:p>
      <w:pPr>
        <w:snapToGrid w:val="0"/>
        <w:spacing w:line="360" w:lineRule="auto"/>
        <w:ind w:firstLine="480" w:firstLineChars="200"/>
        <w:rPr>
          <w:rFonts w:ascii="宋体" w:hAnsi="宋体"/>
          <w:sz w:val="24"/>
          <w:szCs w:val="24"/>
        </w:rPr>
      </w:pPr>
      <w:r>
        <w:rPr>
          <w:rFonts w:hint="eastAsia" w:ascii="宋体" w:hAnsi="宋体"/>
          <w:sz w:val="24"/>
          <w:szCs w:val="24"/>
        </w:rPr>
        <w:t>（一）服务时间</w:t>
      </w:r>
    </w:p>
    <w:p>
      <w:pPr>
        <w:snapToGrid w:val="0"/>
        <w:spacing w:line="360" w:lineRule="auto"/>
        <w:ind w:firstLine="480" w:firstLineChars="200"/>
        <w:rPr>
          <w:color w:val="FF0000"/>
        </w:rPr>
      </w:pPr>
      <w:r>
        <w:rPr>
          <w:rFonts w:hint="eastAsia" w:ascii="宋体" w:hAnsi="宋体"/>
          <w:color w:val="auto"/>
          <w:sz w:val="24"/>
          <w:szCs w:val="24"/>
        </w:rPr>
        <w:t>合同签订之日起至完成本项目的所有工作</w:t>
      </w:r>
      <w:r>
        <w:rPr>
          <w:rFonts w:hint="eastAsia" w:ascii="宋体" w:hAnsi="宋体"/>
          <w:color w:val="auto"/>
          <w:sz w:val="24"/>
          <w:szCs w:val="24"/>
          <w:lang w:val="en-US" w:eastAsia="zh-CN"/>
        </w:rPr>
        <w:t>为止</w:t>
      </w:r>
      <w:r>
        <w:rPr>
          <w:rFonts w:hint="eastAsia" w:ascii="宋体" w:hAnsi="宋体"/>
          <w:color w:val="auto"/>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ascii="宋体" w:hAnsi="宋体"/>
          <w:sz w:val="24"/>
          <w:szCs w:val="24"/>
        </w:rPr>
      </w:pPr>
      <w:r>
        <w:rPr>
          <w:rFonts w:hint="eastAsia" w:ascii="宋体" w:hAnsi="宋体"/>
          <w:sz w:val="24"/>
          <w:szCs w:val="24"/>
        </w:rPr>
        <w:t>采购人指定或同意地点。</w:t>
      </w:r>
    </w:p>
    <w:p>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pPr>
        <w:snapToGrid w:val="0"/>
        <w:spacing w:line="360" w:lineRule="auto"/>
        <w:ind w:firstLine="480" w:firstLineChars="200"/>
        <w:rPr>
          <w:rFonts w:ascii="宋体" w:hAnsi="宋体"/>
          <w:sz w:val="24"/>
          <w:szCs w:val="24"/>
        </w:rPr>
      </w:pPr>
      <w:r>
        <w:rPr>
          <w:rFonts w:hint="eastAsia" w:ascii="宋体" w:hAnsi="宋体"/>
          <w:sz w:val="24"/>
          <w:szCs w:val="24"/>
        </w:rPr>
        <w:t>1.验收组织单位：重庆市经济和信息化委员会。</w:t>
      </w:r>
    </w:p>
    <w:p>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以经确认的合同、国家及行业相关标准、采购文件规定，由市经信委进行验收。如验收达不到相关规定要求的，成交供应商不仅无权要求支付后续款项，而且成交供应商应立即进行整改，整改后仍不合格的，则视为验收不合格，采购人有权立即终止合同，并追究其相关法律责任。以上对采购人造成的所有损失，由成交供应商赔偿。</w:t>
      </w:r>
    </w:p>
    <w:p>
      <w:pPr>
        <w:snapToGrid w:val="0"/>
        <w:spacing w:line="360" w:lineRule="auto"/>
        <w:ind w:firstLine="480" w:firstLineChars="200"/>
        <w:rPr>
          <w:rFonts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pPr>
        <w:snapToGrid w:val="0"/>
        <w:spacing w:line="360" w:lineRule="auto"/>
        <w:ind w:firstLine="480" w:firstLineChars="200"/>
        <w:rPr>
          <w:rFonts w:ascii="宋体" w:hAnsi="宋体"/>
          <w:sz w:val="24"/>
          <w:szCs w:val="24"/>
        </w:rPr>
      </w:pPr>
      <w:r>
        <w:rPr>
          <w:rFonts w:hint="eastAsia" w:ascii="宋体" w:hAnsi="宋体"/>
          <w:sz w:val="24"/>
          <w:szCs w:val="24"/>
        </w:rPr>
        <w:t>3.若有需要，成交供应商应配合采购人完成项目审计。</w:t>
      </w:r>
    </w:p>
    <w:p>
      <w:pPr>
        <w:pStyle w:val="4"/>
        <w:spacing w:before="0" w:after="0" w:line="360" w:lineRule="auto"/>
        <w:ind w:firstLine="482" w:firstLineChars="200"/>
        <w:rPr>
          <w:rFonts w:ascii="宋体" w:hAnsi="宋体"/>
          <w:sz w:val="24"/>
          <w:szCs w:val="24"/>
        </w:rPr>
      </w:pPr>
      <w:bookmarkStart w:id="41" w:name="_Toc78194440"/>
      <w:bookmarkStart w:id="42" w:name="_Toc30891"/>
      <w:bookmarkStart w:id="43" w:name="_Toc15907"/>
      <w:r>
        <w:rPr>
          <w:rFonts w:hint="eastAsia" w:ascii="宋体" w:hAnsi="宋体"/>
          <w:sz w:val="24"/>
          <w:szCs w:val="24"/>
        </w:rPr>
        <w:t>※二、报价要求</w:t>
      </w:r>
      <w:bookmarkEnd w:id="41"/>
      <w:bookmarkEnd w:id="42"/>
      <w:bookmarkEnd w:id="43"/>
    </w:p>
    <w:p>
      <w:pPr>
        <w:snapToGrid w:val="0"/>
        <w:spacing w:line="360" w:lineRule="auto"/>
        <w:ind w:firstLine="480" w:firstLineChars="200"/>
        <w:rPr>
          <w:rFonts w:ascii="宋体" w:hAnsi="宋体"/>
          <w:sz w:val="24"/>
          <w:szCs w:val="24"/>
        </w:rPr>
      </w:pPr>
      <w:r>
        <w:rPr>
          <w:rFonts w:hint="eastAsia" w:ascii="宋体" w:hAnsi="宋体"/>
          <w:sz w:val="24"/>
          <w:szCs w:val="24"/>
        </w:rPr>
        <w:t>（一）供应商的报价应包括完成项目的全部费用，包括但不限于</w:t>
      </w:r>
      <w:r>
        <w:rPr>
          <w:rFonts w:hint="eastAsia" w:ascii="宋体" w:hAnsi="宋体"/>
          <w:sz w:val="24"/>
          <w:szCs w:val="24"/>
          <w:lang w:val="en-US" w:eastAsia="zh-CN"/>
        </w:rPr>
        <w:t>政策研究</w:t>
      </w:r>
      <w:r>
        <w:rPr>
          <w:rFonts w:hint="eastAsia" w:ascii="宋体" w:hAnsi="宋体"/>
          <w:sz w:val="24"/>
          <w:szCs w:val="24"/>
        </w:rPr>
        <w:t>费、</w:t>
      </w:r>
      <w:r>
        <w:rPr>
          <w:rFonts w:hint="eastAsia" w:ascii="宋体" w:hAnsi="宋体"/>
          <w:sz w:val="24"/>
          <w:szCs w:val="24"/>
          <w:lang w:val="en-US" w:eastAsia="zh-CN"/>
        </w:rPr>
        <w:t>专家顾问费、调研费、资料费、</w:t>
      </w:r>
      <w:r>
        <w:rPr>
          <w:rFonts w:hint="eastAsia" w:ascii="宋体" w:hAnsi="宋体"/>
          <w:sz w:val="24"/>
          <w:szCs w:val="24"/>
        </w:rPr>
        <w:t>税费及其它与本项目相关的一切费用。采购人除此以外不支付其它费用。因供应商自身原因造成漏报、少报皆由其自行承担责任，采购人不再补偿。</w:t>
      </w:r>
    </w:p>
    <w:p>
      <w:pPr>
        <w:snapToGrid w:val="0"/>
        <w:spacing w:line="360" w:lineRule="auto"/>
        <w:ind w:firstLine="480" w:firstLineChars="200"/>
        <w:rPr>
          <w:rFonts w:ascii="宋体" w:hAnsi="宋体"/>
          <w:sz w:val="24"/>
          <w:szCs w:val="24"/>
        </w:rPr>
      </w:pPr>
      <w:r>
        <w:rPr>
          <w:rFonts w:hint="eastAsia" w:ascii="宋体" w:hAnsi="宋体"/>
          <w:sz w:val="24"/>
          <w:szCs w:val="24"/>
        </w:rPr>
        <w:t>（二）供应商的分项报价为含税价（</w:t>
      </w:r>
      <w:r>
        <w:rPr>
          <w:rFonts w:hint="eastAsia" w:ascii="宋体" w:hAnsi="宋体"/>
          <w:b/>
          <w:sz w:val="24"/>
          <w:szCs w:val="24"/>
        </w:rPr>
        <w:t>即税费不单列</w:t>
      </w:r>
      <w:r>
        <w:rPr>
          <w:rFonts w:hint="eastAsia" w:ascii="宋体" w:hAnsi="宋体"/>
          <w:sz w:val="24"/>
          <w:szCs w:val="24"/>
        </w:rPr>
        <w:t>），应包含本篇“</w:t>
      </w:r>
      <w:r>
        <w:rPr>
          <w:rFonts w:hint="eastAsia" w:ascii="宋体" w:hAnsi="宋体"/>
          <w:b/>
          <w:sz w:val="24"/>
          <w:szCs w:val="24"/>
        </w:rPr>
        <w:t>二、报价要求（一）</w:t>
      </w:r>
      <w:r>
        <w:rPr>
          <w:rFonts w:hint="eastAsia" w:ascii="宋体" w:hAnsi="宋体"/>
          <w:sz w:val="24"/>
          <w:szCs w:val="24"/>
        </w:rPr>
        <w:t>”所列的所有费用。供应商响应文件中提供的分项报价表明细至少包括以下内容，</w:t>
      </w:r>
      <w:r>
        <w:rPr>
          <w:rFonts w:hint="eastAsia" w:ascii="宋体" w:hAnsi="宋体"/>
          <w:b/>
          <w:bCs/>
          <w:color w:val="FF0000"/>
          <w:sz w:val="24"/>
          <w:szCs w:val="24"/>
        </w:rPr>
        <w:t>且单项价格不得超过分项最高限价</w:t>
      </w:r>
      <w:r>
        <w:rPr>
          <w:rFonts w:hint="eastAsia" w:ascii="宋体" w:hAnsi="宋体"/>
          <w:sz w:val="24"/>
          <w:szCs w:val="24"/>
        </w:rPr>
        <w:t>。分项最高限价为：</w:t>
      </w:r>
    </w:p>
    <w:tbl>
      <w:tblPr>
        <w:tblStyle w:val="66"/>
        <w:tblW w:w="964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669"/>
        <w:gridCol w:w="3637"/>
        <w:gridCol w:w="1668"/>
        <w:gridCol w:w="450"/>
        <w:gridCol w:w="450"/>
        <w:gridCol w:w="450"/>
        <w:gridCol w:w="450"/>
        <w:gridCol w:w="716"/>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具体事项</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内容说明</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审核前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18"/>
                <w:szCs w:val="18"/>
                <w:u w:val="none"/>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71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政策研究费用</w:t>
            </w: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行业分析、国内主要城市分析、市场运营主体分析、国家法律以及主要省市地方法规分析等，研究起草《重庆市电动汽车充换电基础设施建设运营管理办法》。</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副高级职称及以上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中级职称及以上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初级职称及以上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调研费</w:t>
            </w: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制定合理的立法调研方案，组织市内外调研，梳理国内主要城市电动汽车充换电基础设施建设运营管理情况、国内主要充换电建设运营企业情况。</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项目组拟调研北京、上海、广州等先进地区，每次三天两夜。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73"/>
                <w:lang w:val="en-US" w:eastAsia="zh-CN" w:bidi="ar"/>
              </w:rPr>
              <w:t>项目组调研重庆市各区县，市内每次两天一夜。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法律专家顾问费</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向地方行政立法方面专家，以及投资、法律、监管等方面专家咨询行业意见，并组织专家论证会。</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二级律师及以上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技术专家顾问费</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向汽车、电力、建筑工程等领域专家咨询行业意见，并组织专家论证会。</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副高级职称及以上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业务资料费</w:t>
            </w: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项目研究过程中有关政策、规划、文件等资料收集、编印等费用。</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购买书籍资料费用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打印收集资料以及过程汇报费用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73"/>
                <w:lang w:val="en-US" w:eastAsia="zh-CN" w:bidi="ar"/>
              </w:rPr>
              <w:t>会议资料费用：要求每套编印装订成册</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管理费</w:t>
            </w:r>
          </w:p>
        </w:tc>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项目研究提供的现有仪器设备及房屋，水、电、气消耗，有关管理费用的补助支出等。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w:t>
            </w:r>
          </w:p>
        </w:tc>
      </w:tr>
    </w:tbl>
    <w:p>
      <w:pPr>
        <w:snapToGrid w:val="0"/>
        <w:spacing w:line="360" w:lineRule="auto"/>
        <w:ind w:firstLine="480" w:firstLineChars="200"/>
        <w:rPr>
          <w:rFonts w:ascii="宋体" w:hAnsi="宋体"/>
          <w:sz w:val="24"/>
          <w:szCs w:val="24"/>
        </w:rPr>
      </w:pPr>
      <w:r>
        <w:rPr>
          <w:rFonts w:hint="eastAsia" w:ascii="宋体" w:hAnsi="宋体"/>
          <w:bCs/>
          <w:sz w:val="24"/>
          <w:szCs w:val="24"/>
        </w:rPr>
        <w:t>（三）供应商须在响应文件“分项报价明细表”的“相关信息”一栏中详细列出明细报价组成情况。若明细内容较多的，供应商可自行增加列表。</w:t>
      </w:r>
    </w:p>
    <w:p>
      <w:pPr>
        <w:pStyle w:val="4"/>
        <w:spacing w:before="0" w:after="0" w:line="360" w:lineRule="auto"/>
        <w:ind w:firstLine="482" w:firstLineChars="200"/>
        <w:rPr>
          <w:rFonts w:ascii="宋体" w:hAnsi="宋体"/>
          <w:sz w:val="24"/>
          <w:szCs w:val="24"/>
        </w:rPr>
      </w:pPr>
      <w:bookmarkStart w:id="44" w:name="_Toc15896"/>
      <w:bookmarkStart w:id="45" w:name="_Toc11745"/>
      <w:bookmarkStart w:id="46" w:name="_Toc78194441"/>
      <w:r>
        <w:rPr>
          <w:rFonts w:hint="eastAsia" w:ascii="宋体" w:hAnsi="宋体"/>
          <w:sz w:val="24"/>
          <w:szCs w:val="24"/>
        </w:rPr>
        <w:t>※三、付款方式</w:t>
      </w:r>
      <w:bookmarkEnd w:id="44"/>
      <w:bookmarkEnd w:id="45"/>
      <w:bookmarkEnd w:id="46"/>
    </w:p>
    <w:p>
      <w:pPr>
        <w:snapToGrid w:val="0"/>
        <w:spacing w:line="360" w:lineRule="auto"/>
        <w:ind w:firstLine="480" w:firstLineChars="200"/>
        <w:rPr>
          <w:rFonts w:ascii="宋体" w:hAnsi="宋体"/>
          <w:sz w:val="24"/>
          <w:szCs w:val="24"/>
        </w:rPr>
      </w:pPr>
      <w:r>
        <w:rPr>
          <w:rFonts w:hint="eastAsia" w:ascii="宋体" w:hAnsi="宋体"/>
          <w:sz w:val="24"/>
          <w:szCs w:val="24"/>
        </w:rPr>
        <w:t>（一）合同签订后成交供应商向采购人提供合同总额</w:t>
      </w:r>
      <w:r>
        <w:rPr>
          <w:rFonts w:hint="eastAsia" w:ascii="宋体" w:hAnsi="宋体"/>
          <w:sz w:val="24"/>
          <w:szCs w:val="24"/>
          <w:lang w:val="en-US" w:eastAsia="zh-CN"/>
        </w:rPr>
        <w:t>5</w:t>
      </w:r>
      <w:r>
        <w:rPr>
          <w:rFonts w:hint="eastAsia" w:ascii="宋体" w:hAnsi="宋体"/>
          <w:sz w:val="24"/>
          <w:szCs w:val="24"/>
        </w:rPr>
        <w:t>0%的</w:t>
      </w:r>
      <w:r>
        <w:rPr>
          <w:rFonts w:hint="eastAsia" w:ascii="宋体" w:hAnsi="宋体"/>
          <w:sz w:val="24"/>
          <w:szCs w:val="24"/>
          <w:lang w:val="en-US" w:eastAsia="zh-CN"/>
        </w:rPr>
        <w:t>正规</w:t>
      </w:r>
      <w:r>
        <w:rPr>
          <w:rFonts w:hint="eastAsia" w:ascii="宋体" w:hAnsi="宋体"/>
          <w:sz w:val="24"/>
          <w:szCs w:val="24"/>
        </w:rPr>
        <w:t>发票及与预</w:t>
      </w:r>
      <w:bookmarkStart w:id="137" w:name="_GoBack"/>
      <w:r>
        <w:rPr>
          <w:rFonts w:hint="eastAsia" w:ascii="宋体" w:hAnsi="宋体"/>
          <w:sz w:val="24"/>
          <w:szCs w:val="24"/>
        </w:rPr>
        <w:t>（送审稿）</w:t>
      </w:r>
      <w:bookmarkEnd w:id="137"/>
      <w:r>
        <w:rPr>
          <w:rFonts w:hint="eastAsia" w:ascii="宋体" w:hAnsi="宋体"/>
          <w:sz w:val="24"/>
          <w:szCs w:val="24"/>
        </w:rPr>
        <w:t>付款同等额度的担保函，采购人原则上在收到发票及担保函后5个工作日内按程序办理支付手续，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支付合同金额的</w:t>
      </w:r>
      <w:r>
        <w:rPr>
          <w:rFonts w:hint="eastAsia" w:ascii="宋体" w:hAnsi="宋体"/>
          <w:sz w:val="24"/>
          <w:szCs w:val="24"/>
          <w:lang w:val="en-US" w:eastAsia="zh-CN"/>
        </w:rPr>
        <w:t>5</w:t>
      </w:r>
      <w:r>
        <w:rPr>
          <w:rFonts w:hint="eastAsia" w:ascii="宋体" w:hAnsi="宋体"/>
          <w:sz w:val="24"/>
          <w:szCs w:val="24"/>
        </w:rPr>
        <w:t>0%作为预付款；</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（二）成交供应商完成《重庆市电动汽车充换电基础设施建设运营管理办法》拟定</w:t>
      </w:r>
      <w:r>
        <w:rPr>
          <w:rFonts w:hint="eastAsia" w:ascii="宋体" w:hAnsi="宋体"/>
          <w:sz w:val="24"/>
          <w:szCs w:val="24"/>
          <w:lang w:val="en-US" w:eastAsia="zh-CN"/>
        </w:rPr>
        <w:t>并</w:t>
      </w:r>
      <w:r>
        <w:rPr>
          <w:rFonts w:hint="eastAsia" w:ascii="宋体" w:hAnsi="宋体"/>
          <w:sz w:val="24"/>
          <w:szCs w:val="24"/>
        </w:rPr>
        <w:t>通过采购人</w:t>
      </w:r>
      <w:r>
        <w:rPr>
          <w:rFonts w:hint="eastAsia" w:ascii="宋体" w:hAnsi="宋体"/>
          <w:color w:val="auto"/>
          <w:sz w:val="24"/>
          <w:szCs w:val="24"/>
        </w:rPr>
        <w:t>审议</w:t>
      </w:r>
      <w:r>
        <w:rPr>
          <w:rFonts w:hint="eastAsia" w:ascii="宋体" w:hAnsi="宋体"/>
          <w:sz w:val="24"/>
          <w:szCs w:val="24"/>
          <w:lang w:val="en-US" w:eastAsia="zh-CN"/>
        </w:rPr>
        <w:t>后</w:t>
      </w:r>
      <w:r>
        <w:rPr>
          <w:rFonts w:hint="eastAsia" w:ascii="宋体" w:hAnsi="宋体"/>
          <w:sz w:val="24"/>
          <w:szCs w:val="24"/>
        </w:rPr>
        <w:t>，</w:t>
      </w:r>
      <w:r>
        <w:rPr>
          <w:rFonts w:hint="eastAsia" w:ascii="宋体" w:hAnsi="宋体"/>
          <w:sz w:val="24"/>
          <w:szCs w:val="24"/>
          <w:lang w:val="en-US" w:eastAsia="zh-CN"/>
        </w:rPr>
        <w:t>向采购人</w:t>
      </w:r>
      <w:r>
        <w:rPr>
          <w:rFonts w:hint="eastAsia" w:ascii="宋体" w:hAnsi="宋体"/>
          <w:sz w:val="24"/>
          <w:szCs w:val="24"/>
        </w:rPr>
        <w:t>提供</w:t>
      </w:r>
      <w:r>
        <w:rPr>
          <w:rFonts w:hint="eastAsia" w:ascii="宋体" w:hAnsi="宋体"/>
          <w:sz w:val="24"/>
          <w:szCs w:val="24"/>
          <w:lang w:val="en-US" w:eastAsia="zh-CN"/>
        </w:rPr>
        <w:t>足额正规</w:t>
      </w:r>
      <w:r>
        <w:rPr>
          <w:rFonts w:hint="eastAsia" w:ascii="宋体" w:hAnsi="宋体"/>
          <w:sz w:val="24"/>
          <w:szCs w:val="24"/>
        </w:rPr>
        <w:t>发票，采购人原则上在收到发票后5个工作日内按程序办理支付手续，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支付至合同金额的8</w:t>
      </w:r>
      <w:r>
        <w:rPr>
          <w:rFonts w:ascii="宋体" w:hAnsi="宋体"/>
          <w:sz w:val="24"/>
          <w:szCs w:val="24"/>
        </w:rPr>
        <w:t>0%</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（三）成交供应商完成所有工作内容、提交项目成果资料（包括但不限于文字资料、图片资料、影像资料和产权移交清单等）且项目验收完成，成交供应商提供剩余合同金额足额</w:t>
      </w:r>
      <w:r>
        <w:rPr>
          <w:rFonts w:hint="eastAsia" w:ascii="宋体" w:hAnsi="宋体"/>
          <w:sz w:val="24"/>
          <w:szCs w:val="24"/>
          <w:lang w:val="en-US" w:eastAsia="zh-CN"/>
        </w:rPr>
        <w:t>正规</w:t>
      </w:r>
      <w:r>
        <w:rPr>
          <w:rFonts w:hint="eastAsia" w:ascii="宋体" w:hAnsi="宋体"/>
          <w:sz w:val="24"/>
          <w:szCs w:val="24"/>
        </w:rPr>
        <w:t>发票，采购人原则上在收到发票后5个工作日内按程序办理支付手续，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支付剩余合同金额；</w:t>
      </w:r>
    </w:p>
    <w:p>
      <w:pPr>
        <w:snapToGrid w:val="0"/>
        <w:spacing w:line="360" w:lineRule="auto"/>
        <w:ind w:firstLine="480" w:firstLineChars="200"/>
        <w:rPr>
          <w:rFonts w:ascii="宋体" w:hAnsi="宋体"/>
          <w:sz w:val="24"/>
          <w:szCs w:val="24"/>
        </w:rPr>
      </w:pPr>
      <w:r>
        <w:rPr>
          <w:rFonts w:hint="eastAsia" w:ascii="宋体" w:hAnsi="宋体"/>
          <w:sz w:val="24"/>
          <w:szCs w:val="24"/>
        </w:rPr>
        <w:t>（四）如成交供应商收到预付款后不履行相关义务，采购人可通过担保函收回已支付的预付款；</w:t>
      </w:r>
    </w:p>
    <w:p>
      <w:pPr>
        <w:snapToGrid w:val="0"/>
        <w:spacing w:line="360" w:lineRule="auto"/>
        <w:ind w:firstLine="480" w:firstLineChars="200"/>
        <w:rPr>
          <w:rFonts w:ascii="宋体" w:hAnsi="宋体"/>
          <w:sz w:val="24"/>
          <w:szCs w:val="24"/>
        </w:rPr>
      </w:pPr>
      <w:r>
        <w:rPr>
          <w:rFonts w:hint="eastAsia" w:ascii="宋体" w:hAnsi="宋体"/>
          <w:sz w:val="24"/>
          <w:szCs w:val="24"/>
        </w:rPr>
        <w:t>（五）在签订合同时，成交供应商主动提出不支付预付款的，则无需提交预付款保函；成交供应商主动提出降低预付款比例的，支付比例按约定比例执行。</w:t>
      </w:r>
    </w:p>
    <w:p>
      <w:pPr>
        <w:pStyle w:val="4"/>
        <w:spacing w:before="0" w:after="0" w:line="360" w:lineRule="auto"/>
        <w:ind w:firstLine="482" w:firstLineChars="200"/>
        <w:rPr>
          <w:rFonts w:ascii="宋体" w:hAnsi="宋体"/>
          <w:sz w:val="24"/>
          <w:szCs w:val="24"/>
        </w:rPr>
      </w:pPr>
      <w:bookmarkStart w:id="47" w:name="_Toc21099"/>
      <w:r>
        <w:rPr>
          <w:rFonts w:hint="eastAsia" w:ascii="宋体" w:hAnsi="宋体"/>
          <w:sz w:val="24"/>
          <w:szCs w:val="24"/>
        </w:rPr>
        <w:t>※四、履约保证金</w:t>
      </w:r>
      <w:bookmarkEnd w:id="47"/>
    </w:p>
    <w:p>
      <w:pPr>
        <w:snapToGrid w:val="0"/>
        <w:spacing w:line="360" w:lineRule="auto"/>
        <w:ind w:firstLine="482" w:firstLineChars="200"/>
        <w:rPr>
          <w:rFonts w:ascii="宋体" w:hAnsi="宋体"/>
          <w:b/>
          <w:sz w:val="24"/>
          <w:szCs w:val="24"/>
        </w:rPr>
      </w:pPr>
      <w:r>
        <w:rPr>
          <w:rFonts w:hint="eastAsia" w:ascii="宋体" w:hAnsi="宋体"/>
          <w:b/>
          <w:sz w:val="24"/>
          <w:szCs w:val="24"/>
        </w:rPr>
        <w:t>若本项目无需支付预付款，则供应商需按以下要求提交履约保证金。</w:t>
      </w:r>
    </w:p>
    <w:p>
      <w:pPr>
        <w:snapToGrid w:val="0"/>
        <w:spacing w:line="360" w:lineRule="auto"/>
        <w:ind w:firstLine="480" w:firstLineChars="200"/>
        <w:rPr>
          <w:rFonts w:ascii="宋体" w:hAnsi="宋体"/>
          <w:sz w:val="24"/>
          <w:szCs w:val="24"/>
        </w:rPr>
      </w:pPr>
      <w:r>
        <w:rPr>
          <w:rFonts w:hint="eastAsia" w:ascii="宋体" w:hAnsi="宋体"/>
          <w:sz w:val="24"/>
          <w:szCs w:val="24"/>
        </w:rPr>
        <w:t>金额：成交金额的5%；</w:t>
      </w:r>
    </w:p>
    <w:p>
      <w:pPr>
        <w:snapToGrid w:val="0"/>
        <w:spacing w:line="360" w:lineRule="auto"/>
        <w:ind w:firstLine="480" w:firstLineChars="200"/>
        <w:rPr>
          <w:rFonts w:ascii="宋体" w:hAnsi="宋体"/>
          <w:sz w:val="24"/>
          <w:szCs w:val="24"/>
        </w:rPr>
      </w:pPr>
      <w:r>
        <w:rPr>
          <w:rFonts w:hint="eastAsia" w:ascii="宋体" w:hAnsi="宋体"/>
          <w:sz w:val="24"/>
          <w:szCs w:val="24"/>
        </w:rPr>
        <w:t>缴纳时间：采购合同签订前；</w:t>
      </w:r>
    </w:p>
    <w:p>
      <w:pPr>
        <w:snapToGrid w:val="0"/>
        <w:spacing w:line="360" w:lineRule="auto"/>
        <w:ind w:firstLine="480" w:firstLineChars="200"/>
        <w:rPr>
          <w:rFonts w:ascii="宋体" w:hAnsi="宋体"/>
          <w:sz w:val="24"/>
          <w:szCs w:val="24"/>
        </w:rPr>
      </w:pPr>
      <w:r>
        <w:rPr>
          <w:rFonts w:hint="eastAsia" w:ascii="宋体" w:hAnsi="宋体"/>
          <w:sz w:val="24"/>
          <w:szCs w:val="24"/>
        </w:rPr>
        <w:t>缴纳方式：支票、汇票、本票或保函等非现金形式；</w:t>
      </w:r>
    </w:p>
    <w:p>
      <w:pPr>
        <w:snapToGrid w:val="0"/>
        <w:spacing w:line="360" w:lineRule="auto"/>
        <w:ind w:firstLine="480" w:firstLineChars="200"/>
        <w:rPr>
          <w:rFonts w:ascii="宋体" w:hAnsi="宋体"/>
          <w:sz w:val="24"/>
          <w:szCs w:val="24"/>
        </w:rPr>
      </w:pPr>
      <w:r>
        <w:rPr>
          <w:rFonts w:hint="eastAsia" w:ascii="宋体" w:hAnsi="宋体"/>
          <w:sz w:val="24"/>
          <w:szCs w:val="24"/>
        </w:rPr>
        <w:t>退还时间：项目验收合格后3个工作日内按程序办理退还手续，一次性无息退还；</w:t>
      </w:r>
    </w:p>
    <w:p>
      <w:pPr>
        <w:snapToGrid w:val="0"/>
        <w:spacing w:line="360" w:lineRule="auto"/>
        <w:ind w:firstLine="480" w:firstLineChars="200"/>
        <w:rPr>
          <w:rFonts w:ascii="宋体" w:hAnsi="宋体"/>
          <w:sz w:val="24"/>
          <w:szCs w:val="24"/>
        </w:rPr>
      </w:pPr>
      <w:r>
        <w:rPr>
          <w:rFonts w:hint="eastAsia" w:ascii="宋体" w:hAnsi="宋体"/>
          <w:sz w:val="24"/>
          <w:szCs w:val="24"/>
        </w:rPr>
        <w:t>不予退还情形：成交供应商出现四次及以上服务质量审核不达标的。</w:t>
      </w:r>
    </w:p>
    <w:p>
      <w:pPr>
        <w:snapToGrid w:val="0"/>
        <w:spacing w:line="360" w:lineRule="auto"/>
        <w:ind w:firstLine="480" w:firstLineChars="200"/>
        <w:rPr>
          <w:rFonts w:ascii="宋体" w:hAnsi="宋体"/>
          <w:sz w:val="24"/>
          <w:szCs w:val="24"/>
        </w:rPr>
      </w:pPr>
      <w:r>
        <w:rPr>
          <w:rFonts w:hint="eastAsia" w:ascii="宋体" w:hAnsi="宋体"/>
          <w:sz w:val="24"/>
          <w:szCs w:val="24"/>
        </w:rPr>
        <w:t>若成交供应商未按要求递交履约保证金的，视为成交供应商成交后无正当理由拒不与采购人签订政府采购合同，采购人可依照《中华人民共和国政府采购法》第七十七条第一款的规定追究其法律责任。</w:t>
      </w:r>
    </w:p>
    <w:p>
      <w:pPr>
        <w:pStyle w:val="4"/>
        <w:spacing w:before="0" w:after="0" w:line="360" w:lineRule="auto"/>
        <w:ind w:firstLine="482" w:firstLineChars="200"/>
        <w:rPr>
          <w:rFonts w:ascii="宋体" w:hAnsi="宋体"/>
          <w:sz w:val="24"/>
          <w:szCs w:val="24"/>
        </w:rPr>
      </w:pPr>
      <w:bookmarkStart w:id="48" w:name="_Toc28867"/>
      <w:bookmarkStart w:id="49" w:name="_Toc7215"/>
      <w:bookmarkStart w:id="50" w:name="_Toc78194443"/>
      <w:r>
        <w:rPr>
          <w:rFonts w:hint="eastAsia" w:ascii="宋体" w:hAnsi="宋体"/>
          <w:sz w:val="24"/>
          <w:szCs w:val="24"/>
        </w:rPr>
        <w:t>※五、违约条款</w:t>
      </w:r>
      <w:bookmarkEnd w:id="48"/>
      <w:bookmarkEnd w:id="49"/>
      <w:bookmarkEnd w:id="50"/>
    </w:p>
    <w:p>
      <w:pPr>
        <w:snapToGrid w:val="0"/>
        <w:spacing w:line="360" w:lineRule="auto"/>
        <w:ind w:firstLine="480" w:firstLineChars="200"/>
        <w:rPr>
          <w:rFonts w:ascii="宋体" w:hAnsi="宋体"/>
          <w:sz w:val="24"/>
          <w:szCs w:val="24"/>
        </w:rPr>
      </w:pPr>
      <w:r>
        <w:rPr>
          <w:rFonts w:hint="eastAsia" w:ascii="宋体" w:hAnsi="宋体"/>
          <w:sz w:val="24"/>
          <w:szCs w:val="24"/>
        </w:rPr>
        <w:t>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并追究相关法律责任。</w:t>
      </w:r>
    </w:p>
    <w:p>
      <w:pPr>
        <w:pStyle w:val="4"/>
        <w:spacing w:before="0" w:after="0" w:line="360" w:lineRule="auto"/>
        <w:ind w:firstLine="482" w:firstLineChars="200"/>
        <w:rPr>
          <w:rFonts w:ascii="宋体" w:hAnsi="宋体"/>
          <w:sz w:val="24"/>
          <w:szCs w:val="24"/>
        </w:rPr>
      </w:pPr>
      <w:bookmarkStart w:id="51" w:name="_Toc74638456"/>
      <w:bookmarkStart w:id="52" w:name="_Toc8366"/>
      <w:bookmarkStart w:id="53" w:name="_Toc12980464"/>
      <w:bookmarkStart w:id="54" w:name="_Toc73626116"/>
      <w:bookmarkStart w:id="55" w:name="_Toc78194444"/>
      <w:bookmarkStart w:id="56" w:name="_Toc69287475"/>
      <w:r>
        <w:rPr>
          <w:rFonts w:hint="eastAsia" w:ascii="宋体" w:hAnsi="宋体"/>
          <w:sz w:val="24"/>
          <w:szCs w:val="24"/>
        </w:rPr>
        <w:t>※六、保密要求</w:t>
      </w:r>
      <w:bookmarkEnd w:id="51"/>
      <w:bookmarkEnd w:id="52"/>
      <w:bookmarkEnd w:id="53"/>
      <w:bookmarkEnd w:id="54"/>
      <w:bookmarkEnd w:id="55"/>
      <w:bookmarkEnd w:id="56"/>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pPr>
        <w:pStyle w:val="4"/>
        <w:spacing w:before="0" w:after="0" w:line="360" w:lineRule="auto"/>
        <w:ind w:firstLine="482" w:firstLineChars="200"/>
        <w:rPr>
          <w:rFonts w:ascii="宋体" w:hAnsi="宋体"/>
          <w:sz w:val="24"/>
          <w:szCs w:val="24"/>
        </w:rPr>
      </w:pPr>
      <w:bookmarkStart w:id="57" w:name="_Toc26845"/>
      <w:bookmarkStart w:id="58" w:name="_Toc78194445"/>
      <w:bookmarkStart w:id="59" w:name="_Toc5629"/>
      <w:r>
        <w:rPr>
          <w:rFonts w:ascii="宋体" w:hAnsi="宋体"/>
          <w:sz w:val="24"/>
          <w:szCs w:val="24"/>
        </w:rPr>
        <w:t>※</w:t>
      </w:r>
      <w:r>
        <w:rPr>
          <w:rFonts w:hint="eastAsia" w:ascii="宋体" w:hAnsi="宋体"/>
          <w:sz w:val="24"/>
          <w:szCs w:val="24"/>
        </w:rPr>
        <w:t>七、知识产权</w:t>
      </w:r>
      <w:bookmarkEnd w:id="57"/>
      <w:bookmarkEnd w:id="58"/>
      <w:bookmarkEnd w:id="59"/>
    </w:p>
    <w:p>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w:t>
      </w:r>
      <w:r>
        <w:rPr>
          <w:rFonts w:hint="eastAsia" w:ascii="宋体" w:hAnsi="宋体"/>
          <w:sz w:val="24"/>
          <w:szCs w:val="24"/>
          <w:lang w:val="en-US" w:eastAsia="zh-CN"/>
        </w:rPr>
        <w:t>或索赔</w:t>
      </w:r>
      <w:r>
        <w:rPr>
          <w:rFonts w:hint="eastAsia" w:ascii="宋体" w:hAnsi="宋体"/>
          <w:sz w:val="24"/>
          <w:szCs w:val="24"/>
        </w:rPr>
        <w:t>。如果第三方提出侵权指控，成交供应商应承担由此而引起的一切法律责任和费用。</w:t>
      </w:r>
    </w:p>
    <w:p>
      <w:pPr>
        <w:snapToGrid w:val="0"/>
        <w:spacing w:line="360" w:lineRule="auto"/>
        <w:ind w:firstLine="480" w:firstLineChars="200"/>
        <w:rPr>
          <w:rFonts w:ascii="宋体" w:hAnsi="宋体"/>
          <w:sz w:val="24"/>
          <w:szCs w:val="24"/>
        </w:rPr>
      </w:pPr>
      <w:r>
        <w:rPr>
          <w:rFonts w:hint="eastAsia" w:ascii="宋体" w:hAnsi="宋体"/>
          <w:sz w:val="24"/>
          <w:szCs w:val="24"/>
        </w:rPr>
        <w:t>本项目知识产权归采购人所有，成交供应商需配合采购人对本项目知识产权进行保护。</w:t>
      </w:r>
    </w:p>
    <w:p>
      <w:pPr>
        <w:pStyle w:val="4"/>
        <w:spacing w:before="0" w:after="0" w:line="360" w:lineRule="auto"/>
        <w:ind w:firstLine="482" w:firstLineChars="200"/>
        <w:rPr>
          <w:rFonts w:ascii="宋体" w:hAnsi="宋体"/>
          <w:sz w:val="24"/>
          <w:szCs w:val="24"/>
        </w:rPr>
      </w:pPr>
      <w:bookmarkStart w:id="60" w:name="_Toc29982"/>
      <w:r>
        <w:rPr>
          <w:rFonts w:hint="eastAsia" w:ascii="宋体" w:hAnsi="宋体"/>
          <w:sz w:val="24"/>
          <w:szCs w:val="24"/>
        </w:rPr>
        <w:t>※八、不可抗力</w:t>
      </w:r>
      <w:bookmarkEnd w:id="60"/>
    </w:p>
    <w:p>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b/>
          <w:color w:val="FF0000"/>
          <w:sz w:val="24"/>
          <w:szCs w:val="24"/>
        </w:rPr>
        <w:t>供应商提供承诺函原件</w:t>
      </w:r>
      <w:r>
        <w:rPr>
          <w:rFonts w:hint="eastAsia" w:ascii="宋体" w:hAnsi="宋体"/>
          <w:b/>
          <w:color w:val="FF0000"/>
          <w:sz w:val="24"/>
          <w:szCs w:val="24"/>
          <w:lang w:eastAsia="zh-CN"/>
        </w:rPr>
        <w:t>，</w:t>
      </w:r>
      <w:r>
        <w:rPr>
          <w:rFonts w:hint="eastAsia" w:ascii="宋体" w:hAnsi="宋体"/>
          <w:b/>
          <w:color w:val="FF0000"/>
          <w:sz w:val="24"/>
          <w:szCs w:val="24"/>
          <w:lang w:val="en-US" w:eastAsia="zh-CN"/>
        </w:rPr>
        <w:t>加盖供应商公章</w:t>
      </w:r>
      <w:r>
        <w:rPr>
          <w:rFonts w:hint="eastAsia" w:ascii="宋体" w:hAnsi="宋体"/>
          <w:sz w:val="24"/>
          <w:szCs w:val="24"/>
        </w:rPr>
        <w:t>）。</w:t>
      </w:r>
    </w:p>
    <w:p>
      <w:pPr>
        <w:pStyle w:val="4"/>
        <w:spacing w:before="0" w:after="0" w:line="360" w:lineRule="auto"/>
        <w:ind w:firstLine="482" w:firstLineChars="200"/>
        <w:rPr>
          <w:rFonts w:ascii="宋体" w:hAnsi="宋体"/>
          <w:sz w:val="24"/>
          <w:szCs w:val="24"/>
        </w:rPr>
      </w:pPr>
      <w:bookmarkStart w:id="61" w:name="_Toc78194446"/>
      <w:bookmarkStart w:id="62" w:name="_Toc1087"/>
      <w:bookmarkStart w:id="63" w:name="_Toc17774"/>
      <w:r>
        <w:rPr>
          <w:rFonts w:hint="eastAsia" w:ascii="宋体" w:hAnsi="宋体"/>
          <w:sz w:val="24"/>
          <w:szCs w:val="24"/>
        </w:rPr>
        <w:t>九、其他</w:t>
      </w:r>
      <w:bookmarkEnd w:id="61"/>
      <w:bookmarkEnd w:id="62"/>
      <w:bookmarkEnd w:id="63"/>
    </w:p>
    <w:p>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pPr>
        <w:pStyle w:val="3"/>
        <w:pageBreakBefore/>
        <w:spacing w:line="360" w:lineRule="auto"/>
        <w:jc w:val="center"/>
        <w:rPr>
          <w:rFonts w:ascii="宋体" w:hAnsi="宋体" w:eastAsia="宋体"/>
          <w:sz w:val="36"/>
          <w:szCs w:val="30"/>
        </w:rPr>
      </w:pPr>
      <w:bookmarkStart w:id="64" w:name="_Toc21568"/>
      <w:r>
        <w:rPr>
          <w:rFonts w:hint="eastAsia" w:ascii="宋体" w:hAnsi="宋体" w:eastAsia="宋体"/>
          <w:sz w:val="36"/>
          <w:szCs w:val="30"/>
        </w:rPr>
        <w:t>第四篇  磋商程序及方法、评审标准、无效响应和采购终止</w:t>
      </w:r>
      <w:bookmarkEnd w:id="64"/>
    </w:p>
    <w:p>
      <w:pPr>
        <w:pStyle w:val="4"/>
        <w:snapToGrid w:val="0"/>
        <w:spacing w:before="0" w:after="0" w:line="360" w:lineRule="auto"/>
        <w:ind w:firstLine="482" w:firstLineChars="200"/>
        <w:rPr>
          <w:rFonts w:ascii="宋体" w:hAnsi="宋体"/>
          <w:sz w:val="24"/>
          <w:szCs w:val="24"/>
        </w:rPr>
      </w:pPr>
      <w:bookmarkStart w:id="65" w:name="_Toc9025"/>
      <w:r>
        <w:rPr>
          <w:rFonts w:hint="eastAsia" w:ascii="宋体" w:hAnsi="宋体"/>
          <w:sz w:val="24"/>
          <w:szCs w:val="24"/>
        </w:rPr>
        <w:t>一、磋商程序及方法</w:t>
      </w:r>
      <w:bookmarkEnd w:id="65"/>
    </w:p>
    <w:p>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hint="eastAsia" w:ascii="宋体" w:hAnsi="宋体"/>
          <w:sz w:val="24"/>
          <w:szCs w:val="24"/>
        </w:rPr>
        <w:t>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6"/>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6" w:type="dxa"/>
            <w:gridSpan w:val="2"/>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sz w:val="21"/>
                <w:szCs w:val="21"/>
              </w:rPr>
            </w:pPr>
            <w:r>
              <w:rPr>
                <w:rFonts w:hint="eastAsia" w:ascii="宋体" w:hAnsi="宋体"/>
                <w:sz w:val="21"/>
                <w:szCs w:val="21"/>
              </w:rPr>
              <w:t>（一）</w:t>
            </w:r>
          </w:p>
        </w:tc>
        <w:tc>
          <w:tcPr>
            <w:tcW w:w="855" w:type="dxa"/>
            <w:vMerge w:val="restart"/>
            <w:vAlign w:val="center"/>
          </w:tcPr>
          <w:p>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pPr>
              <w:snapToGrid w:val="0"/>
              <w:rPr>
                <w:rFonts w:ascii="宋体" w:hAnsi="宋体"/>
                <w:sz w:val="21"/>
                <w:szCs w:val="21"/>
              </w:rPr>
            </w:pPr>
            <w:r>
              <w:rPr>
                <w:rFonts w:hint="eastAsia" w:ascii="宋体" w:hAnsi="宋体"/>
                <w:sz w:val="21"/>
                <w:szCs w:val="21"/>
              </w:rPr>
              <w:t>1.具有独立承担民事责任的能力</w:t>
            </w:r>
          </w:p>
        </w:tc>
        <w:tc>
          <w:tcPr>
            <w:tcW w:w="3579" w:type="dxa"/>
            <w:vAlign w:val="center"/>
          </w:tcPr>
          <w:p>
            <w:pPr>
              <w:snapToGrid w:val="0"/>
              <w:rPr>
                <w:rFonts w:ascii="宋体" w:hAnsi="宋体"/>
                <w:color w:val="auto"/>
                <w:sz w:val="21"/>
                <w:szCs w:val="21"/>
                <w:highlight w:val="none"/>
              </w:rPr>
            </w:pPr>
            <w:r>
              <w:rPr>
                <w:rFonts w:hint="eastAsia" w:ascii="宋体" w:hAnsi="宋体"/>
                <w:color w:val="auto"/>
                <w:sz w:val="21"/>
                <w:szCs w:val="21"/>
                <w:highlight w:val="none"/>
              </w:rPr>
              <w:t>1.供应商法人营业执照（副本）或事业单位法人证书（副本）</w:t>
            </w:r>
            <w:r>
              <w:rPr>
                <w:rFonts w:hint="eastAsia" w:ascii="宋体" w:hAnsi="宋体"/>
                <w:color w:val="auto"/>
                <w:sz w:val="21"/>
                <w:szCs w:val="21"/>
                <w:highlight w:val="none"/>
                <w:lang w:val="en-US" w:eastAsia="zh-CN"/>
              </w:rPr>
              <w:t>或</w:t>
            </w:r>
            <w:r>
              <w:rPr>
                <w:rFonts w:hint="eastAsia" w:ascii="宋体" w:hAnsi="宋体" w:eastAsia="宋体" w:cs="宋体"/>
                <w:sz w:val="21"/>
                <w:szCs w:val="21"/>
                <w:highlight w:val="none"/>
              </w:rPr>
              <w:t>《律师事务所执业许可证》或《律师事务所分所执业许可证》（副本）</w:t>
            </w:r>
            <w:r>
              <w:rPr>
                <w:rFonts w:hint="eastAsia" w:ascii="宋体" w:hAnsi="宋体"/>
                <w:color w:val="auto"/>
                <w:sz w:val="21"/>
                <w:szCs w:val="21"/>
                <w:highlight w:val="none"/>
              </w:rPr>
              <w:t>或个体工商户营业执照或有效的自然人身份证明或社会团体法人登记证书（提供复印件）；</w:t>
            </w:r>
          </w:p>
          <w:p>
            <w:pPr>
              <w:snapToGrid w:val="0"/>
              <w:rPr>
                <w:rFonts w:ascii="宋体" w:hAnsi="宋体"/>
                <w:sz w:val="21"/>
                <w:szCs w:val="21"/>
              </w:rPr>
            </w:pPr>
            <w:r>
              <w:rPr>
                <w:rFonts w:hint="eastAsia" w:ascii="宋体" w:hAnsi="宋体"/>
                <w:color w:val="auto"/>
                <w:sz w:val="21"/>
                <w:szCs w:val="21"/>
                <w:highlight w:val="none"/>
              </w:rPr>
              <w:t>2.供应商法定代表人</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负责人</w:t>
            </w:r>
            <w:r>
              <w:rPr>
                <w:rFonts w:hint="eastAsia" w:ascii="宋体" w:hAnsi="宋体"/>
                <w:color w:val="auto"/>
                <w:sz w:val="21"/>
                <w:szCs w:val="21"/>
                <w:highlight w:val="none"/>
                <w:lang w:eastAsia="zh-CN"/>
              </w:rPr>
              <w:t>）</w:t>
            </w:r>
            <w:r>
              <w:rPr>
                <w:rFonts w:hint="eastAsia" w:ascii="宋体" w:hAnsi="宋体"/>
                <w:color w:val="auto"/>
                <w:sz w:val="21"/>
                <w:szCs w:val="21"/>
                <w:highlight w:val="none"/>
              </w:rPr>
              <w:t>身份证明和法定代表人</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或负责人</w:t>
            </w:r>
            <w:r>
              <w:rPr>
                <w:rFonts w:hint="eastAsia" w:ascii="宋体" w:hAnsi="宋体"/>
                <w:color w:val="auto"/>
                <w:sz w:val="21"/>
                <w:szCs w:val="21"/>
                <w:highlight w:val="none"/>
                <w:lang w:eastAsia="zh-CN"/>
              </w:rPr>
              <w:t>）</w:t>
            </w:r>
            <w:r>
              <w:rPr>
                <w:rFonts w:hint="eastAsia" w:ascii="宋体" w:hAnsi="宋体"/>
                <w:color w:val="auto"/>
                <w:sz w:val="21"/>
                <w:szCs w:val="21"/>
                <w:highlight w:val="none"/>
              </w:rPr>
              <w:t>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pPr>
              <w:snapToGrid w:val="0"/>
              <w:rPr>
                <w:rFonts w:ascii="宋体" w:hAnsi="宋体"/>
                <w:sz w:val="21"/>
                <w:szCs w:val="21"/>
              </w:rPr>
            </w:pPr>
            <w:r>
              <w:rPr>
                <w:rFonts w:hint="eastAsia" w:ascii="宋体" w:hAnsi="宋体"/>
                <w:sz w:val="21"/>
                <w:szCs w:val="21"/>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vAlign w:val="center"/>
          </w:tcPr>
          <w:p>
            <w:pPr>
              <w:snapToGrid w:val="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sz w:val="21"/>
                <w:szCs w:val="21"/>
              </w:rPr>
            </w:pPr>
            <w:r>
              <w:rPr>
                <w:rFonts w:hint="eastAsia" w:ascii="宋体" w:hAnsi="宋体"/>
                <w:sz w:val="21"/>
                <w:szCs w:val="21"/>
              </w:rPr>
              <w:t>6.法律、行政法规规定的其他条件</w:t>
            </w:r>
          </w:p>
        </w:tc>
        <w:tc>
          <w:tcPr>
            <w:tcW w:w="3579"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trPr>
        <w:tc>
          <w:tcPr>
            <w:tcW w:w="817" w:type="dxa"/>
            <w:vAlign w:val="center"/>
          </w:tcPr>
          <w:p>
            <w:pPr>
              <w:snapToGrid w:val="0"/>
              <w:jc w:val="center"/>
              <w:rPr>
                <w:rFonts w:ascii="宋体" w:hAnsi="宋体"/>
                <w:sz w:val="21"/>
                <w:szCs w:val="21"/>
              </w:rPr>
            </w:pPr>
            <w:r>
              <w:rPr>
                <w:rFonts w:hint="eastAsia" w:ascii="宋体" w:hAnsi="宋体"/>
                <w:sz w:val="21"/>
                <w:szCs w:val="21"/>
              </w:rPr>
              <w:t>（二）</w:t>
            </w:r>
          </w:p>
        </w:tc>
        <w:tc>
          <w:tcPr>
            <w:tcW w:w="5276" w:type="dxa"/>
            <w:gridSpan w:val="2"/>
            <w:vAlign w:val="center"/>
          </w:tcPr>
          <w:p>
            <w:pPr>
              <w:snapToGrid w:val="0"/>
              <w:rPr>
                <w:rFonts w:ascii="宋体" w:hAnsi="宋体"/>
                <w:sz w:val="21"/>
                <w:szCs w:val="21"/>
              </w:rPr>
            </w:pPr>
            <w:r>
              <w:rPr>
                <w:rFonts w:hint="eastAsia" w:ascii="宋体" w:hAnsi="宋体"/>
                <w:sz w:val="21"/>
                <w:szCs w:val="21"/>
              </w:rPr>
              <w:t>本项目的特定资格条件</w:t>
            </w:r>
          </w:p>
        </w:tc>
        <w:tc>
          <w:tcPr>
            <w:tcW w:w="3579" w:type="dxa"/>
            <w:vAlign w:val="center"/>
          </w:tcPr>
          <w:p>
            <w:pPr>
              <w:adjustRightInd w:val="0"/>
              <w:snapToGrid w:val="0"/>
            </w:pPr>
            <w:r>
              <w:rPr>
                <w:rFonts w:hint="eastAsia" w:ascii="宋体" w:hAnsi="宋体" w:cs="宋体"/>
                <w:sz w:val="21"/>
                <w:szCs w:val="21"/>
              </w:rPr>
              <w:t>按第一篇“三、供应商资格条件（二）本项目的特定资格条件”的要求提交（如果有）。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2" w:hRule="atLeast"/>
        </w:trPr>
        <w:tc>
          <w:tcPr>
            <w:tcW w:w="817" w:type="dxa"/>
            <w:vAlign w:val="center"/>
          </w:tcPr>
          <w:p>
            <w:pPr>
              <w:snapToGrid w:val="0"/>
              <w:jc w:val="center"/>
              <w:rPr>
                <w:rFonts w:ascii="宋体" w:hAnsi="宋体"/>
                <w:sz w:val="21"/>
                <w:szCs w:val="21"/>
              </w:rPr>
            </w:pPr>
            <w:r>
              <w:rPr>
                <w:rFonts w:hint="eastAsia" w:ascii="宋体" w:hAnsi="宋体"/>
                <w:sz w:val="21"/>
                <w:szCs w:val="21"/>
              </w:rPr>
              <w:t>（三）</w:t>
            </w:r>
          </w:p>
        </w:tc>
        <w:tc>
          <w:tcPr>
            <w:tcW w:w="5276" w:type="dxa"/>
            <w:gridSpan w:val="2"/>
            <w:vAlign w:val="center"/>
          </w:tcPr>
          <w:p>
            <w:pPr>
              <w:snapToGrid w:val="0"/>
              <w:rPr>
                <w:rFonts w:ascii="宋体" w:hAnsi="宋体"/>
                <w:sz w:val="21"/>
                <w:szCs w:val="21"/>
              </w:rPr>
            </w:pPr>
            <w:r>
              <w:rPr>
                <w:rFonts w:hint="eastAsia" w:ascii="宋体" w:hAnsi="宋体"/>
                <w:sz w:val="21"/>
                <w:szCs w:val="21"/>
              </w:rPr>
              <w:t>落实政府采购政策需满足的资格要求</w:t>
            </w:r>
          </w:p>
        </w:tc>
        <w:tc>
          <w:tcPr>
            <w:tcW w:w="3579" w:type="dxa"/>
            <w:vAlign w:val="center"/>
          </w:tcPr>
          <w:p>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686"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103"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2113" w:type="dxa"/>
            <w:vAlign w:val="center"/>
          </w:tcPr>
          <w:p>
            <w:pPr>
              <w:spacing w:line="240" w:lineRule="exact"/>
              <w:rPr>
                <w:rFonts w:ascii="宋体" w:hAnsi="宋体" w:cs="宋体"/>
                <w:kern w:val="0"/>
                <w:sz w:val="21"/>
                <w:szCs w:val="21"/>
              </w:rPr>
            </w:pPr>
            <w:r>
              <w:rPr>
                <w:rFonts w:hint="eastAsia" w:ascii="宋体" w:hAnsi="宋体"/>
                <w:sz w:val="21"/>
                <w:szCs w:val="21"/>
              </w:rPr>
              <w:t>响应文件签字和盖章</w:t>
            </w:r>
          </w:p>
        </w:tc>
        <w:tc>
          <w:tcPr>
            <w:tcW w:w="5103" w:type="dxa"/>
            <w:vAlign w:val="center"/>
          </w:tcPr>
          <w:p>
            <w:pPr>
              <w:spacing w:line="240" w:lineRule="exact"/>
              <w:rPr>
                <w:rFonts w:ascii="宋体" w:hAnsi="宋体" w:cs="宋体"/>
                <w:kern w:val="0"/>
                <w:sz w:val="21"/>
                <w:szCs w:val="21"/>
              </w:rPr>
            </w:pPr>
            <w:r>
              <w:rPr>
                <w:rFonts w:hint="eastAsia" w:ascii="宋体" w:hAnsi="宋体"/>
                <w:sz w:val="21"/>
                <w:szCs w:val="21"/>
              </w:rPr>
              <w:t>响应文件上的签字和盖章满足竞争性磋商文件要求。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2113" w:type="dxa"/>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103"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2113" w:type="dxa"/>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103"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2113"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103"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103" w:type="dxa"/>
            <w:vAlign w:val="center"/>
          </w:tcPr>
          <w:p>
            <w:pPr>
              <w:pStyle w:val="35"/>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仿宋_GB2312"/>
                <w:sz w:val="21"/>
                <w:szCs w:val="21"/>
                <w:lang w:val="zh-CN"/>
              </w:rPr>
            </w:pPr>
          </w:p>
        </w:tc>
        <w:tc>
          <w:tcPr>
            <w:tcW w:w="211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10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napToGrid w:val="0"/>
        <w:spacing w:line="360" w:lineRule="auto"/>
        <w:ind w:firstLine="480" w:firstLineChars="200"/>
        <w:rPr>
          <w:rFonts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napToGrid w:val="0"/>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hint="eastAsia" w:ascii="宋体" w:hAnsi="宋体"/>
          <w:sz w:val="24"/>
          <w:szCs w:val="24"/>
        </w:rPr>
        <w:t>或其授权代表签字或者加盖公章。由授权代表签字的，应当附法定代表人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hint="eastAsia" w:ascii="宋体" w:hAnsi="宋体"/>
          <w:sz w:val="24"/>
          <w:szCs w:val="24"/>
        </w:rPr>
        <w:t>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hint="eastAsia" w:ascii="宋体" w:hAnsi="宋体"/>
          <w:sz w:val="24"/>
          <w:szCs w:val="24"/>
        </w:rPr>
        <w:t>或其授权代表签字。</w:t>
      </w:r>
    </w:p>
    <w:p>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napToGrid w:val="0"/>
        <w:spacing w:line="360" w:lineRule="auto"/>
        <w:ind w:firstLine="480" w:firstLineChars="200"/>
        <w:rPr>
          <w:rFonts w:ascii="宋体" w:hAnsi="宋体"/>
          <w:sz w:val="24"/>
          <w:szCs w:val="24"/>
          <w:highlight w:val="none"/>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w:t>
      </w:r>
      <w:r>
        <w:rPr>
          <w:rFonts w:hint="eastAsia" w:ascii="宋体" w:hAnsi="宋体"/>
          <w:sz w:val="24"/>
          <w:szCs w:val="24"/>
          <w:highlight w:val="none"/>
        </w:rPr>
        <w:t>服务条款的优劣顺序排列推荐。</w:t>
      </w:r>
    </w:p>
    <w:p>
      <w:pPr>
        <w:pStyle w:val="4"/>
        <w:snapToGrid w:val="0"/>
        <w:spacing w:before="0" w:after="0" w:line="360" w:lineRule="auto"/>
        <w:ind w:firstLine="482" w:firstLineChars="200"/>
        <w:rPr>
          <w:rFonts w:ascii="宋体" w:hAnsi="宋体"/>
          <w:sz w:val="24"/>
          <w:szCs w:val="24"/>
          <w:highlight w:val="none"/>
        </w:rPr>
      </w:pPr>
      <w:bookmarkStart w:id="66" w:name="_Toc5026"/>
      <w:r>
        <w:rPr>
          <w:rFonts w:hint="eastAsia" w:ascii="宋体" w:hAnsi="宋体"/>
          <w:sz w:val="24"/>
          <w:szCs w:val="24"/>
          <w:highlight w:val="none"/>
        </w:rPr>
        <w:t>二、</w:t>
      </w:r>
      <w:bookmarkStart w:id="67" w:name="_Toc102227320"/>
      <w:bookmarkStart w:id="68" w:name="_Toc342913394"/>
      <w:r>
        <w:rPr>
          <w:rFonts w:hint="eastAsia" w:ascii="宋体" w:hAnsi="宋体"/>
          <w:sz w:val="24"/>
          <w:szCs w:val="24"/>
          <w:highlight w:val="none"/>
        </w:rPr>
        <w:t>评审标准</w:t>
      </w:r>
      <w:bookmarkEnd w:id="66"/>
    </w:p>
    <w:tbl>
      <w:tblPr>
        <w:tblStyle w:val="6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73"/>
        <w:gridCol w:w="1155"/>
        <w:gridCol w:w="514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line="240" w:lineRule="atLeast"/>
              <w:ind w:firstLine="28"/>
              <w:jc w:val="center"/>
              <w:rPr>
                <w:rFonts w:ascii="宋体" w:hAnsi="宋体"/>
                <w:b/>
                <w:sz w:val="21"/>
                <w:szCs w:val="21"/>
              </w:rPr>
            </w:pPr>
            <w:r>
              <w:rPr>
                <w:rFonts w:hint="eastAsia" w:ascii="宋体" w:hAnsi="宋体"/>
                <w:b/>
                <w:sz w:val="21"/>
                <w:szCs w:val="21"/>
              </w:rPr>
              <w:t>序号</w:t>
            </w:r>
          </w:p>
        </w:tc>
        <w:tc>
          <w:tcPr>
            <w:tcW w:w="1073"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评分因素</w:t>
            </w:r>
          </w:p>
          <w:p>
            <w:pPr>
              <w:spacing w:line="240" w:lineRule="atLeast"/>
              <w:ind w:firstLine="28"/>
              <w:jc w:val="center"/>
              <w:rPr>
                <w:rFonts w:ascii="宋体" w:hAnsi="宋体"/>
                <w:b/>
                <w:sz w:val="21"/>
                <w:szCs w:val="21"/>
              </w:rPr>
            </w:pPr>
            <w:r>
              <w:rPr>
                <w:rFonts w:hint="eastAsia" w:ascii="宋体" w:hAnsi="宋体"/>
                <w:b/>
                <w:sz w:val="21"/>
                <w:szCs w:val="21"/>
              </w:rPr>
              <w:t>及权重</w:t>
            </w:r>
          </w:p>
        </w:tc>
        <w:tc>
          <w:tcPr>
            <w:tcW w:w="1155" w:type="dxa"/>
            <w:vAlign w:val="center"/>
          </w:tcPr>
          <w:p>
            <w:pPr>
              <w:spacing w:line="240" w:lineRule="atLeast"/>
              <w:ind w:firstLine="28"/>
              <w:jc w:val="center"/>
              <w:rPr>
                <w:rFonts w:ascii="宋体" w:hAnsi="宋体"/>
                <w:b/>
                <w:sz w:val="21"/>
                <w:szCs w:val="21"/>
              </w:rPr>
            </w:pPr>
            <w:r>
              <w:rPr>
                <w:rFonts w:hint="eastAsia" w:ascii="宋体" w:hAnsi="宋体"/>
                <w:b/>
                <w:sz w:val="21"/>
                <w:szCs w:val="21"/>
              </w:rPr>
              <w:t>分值</w:t>
            </w:r>
          </w:p>
        </w:tc>
        <w:tc>
          <w:tcPr>
            <w:tcW w:w="5143"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1723" w:type="dxa"/>
            <w:vAlign w:val="center"/>
          </w:tcPr>
          <w:p>
            <w:pPr>
              <w:pStyle w:val="216"/>
              <w:spacing w:before="0" w:after="0" w:line="240" w:lineRule="atLeast"/>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534" w:type="dxa"/>
            <w:vAlign w:val="center"/>
          </w:tcPr>
          <w:p>
            <w:pPr>
              <w:spacing w:line="240" w:lineRule="atLeast"/>
              <w:ind w:firstLine="28"/>
              <w:jc w:val="center"/>
              <w:rPr>
                <w:rFonts w:ascii="宋体" w:hAnsi="宋体"/>
                <w:sz w:val="21"/>
                <w:szCs w:val="21"/>
              </w:rPr>
            </w:pPr>
            <w:r>
              <w:rPr>
                <w:rFonts w:hint="eastAsia" w:ascii="宋体" w:hAnsi="宋体"/>
                <w:sz w:val="21"/>
                <w:szCs w:val="21"/>
              </w:rPr>
              <w:t>1</w:t>
            </w:r>
          </w:p>
        </w:tc>
        <w:tc>
          <w:tcPr>
            <w:tcW w:w="1073" w:type="dxa"/>
            <w:vAlign w:val="center"/>
          </w:tcPr>
          <w:p>
            <w:pPr>
              <w:spacing w:line="240" w:lineRule="atLeast"/>
              <w:jc w:val="center"/>
              <w:rPr>
                <w:rFonts w:ascii="宋体" w:hAnsi="宋体" w:cs="宋体;SimSun"/>
                <w:sz w:val="21"/>
                <w:szCs w:val="21"/>
              </w:rPr>
            </w:pPr>
            <w:r>
              <w:rPr>
                <w:rFonts w:ascii="宋体" w:hAnsi="宋体" w:cs="宋体;SimSun"/>
                <w:sz w:val="21"/>
                <w:szCs w:val="21"/>
              </w:rPr>
              <w:t>磋商报价</w:t>
            </w:r>
          </w:p>
          <w:p>
            <w:pPr>
              <w:spacing w:line="240" w:lineRule="atLeast"/>
              <w:jc w:val="center"/>
              <w:rPr>
                <w:rFonts w:ascii="宋体" w:hAnsi="宋体" w:cs="宋体;SimSun"/>
                <w:sz w:val="21"/>
                <w:szCs w:val="21"/>
              </w:rPr>
            </w:pPr>
            <w:r>
              <w:rPr>
                <w:rFonts w:ascii="宋体" w:hAnsi="宋体" w:cs="宋体;SimSun"/>
                <w:sz w:val="21"/>
                <w:szCs w:val="21"/>
              </w:rPr>
              <w:t>（</w:t>
            </w:r>
            <w:r>
              <w:rPr>
                <w:rFonts w:hint="eastAsia" w:ascii="宋体" w:hAnsi="宋体" w:cs="宋体;SimSun"/>
                <w:sz w:val="21"/>
                <w:szCs w:val="21"/>
              </w:rPr>
              <w:t>30</w:t>
            </w:r>
            <w:r>
              <w:rPr>
                <w:rFonts w:ascii="宋体" w:hAnsi="宋体" w:cs="宋体;SimSun"/>
                <w:sz w:val="21"/>
                <w:szCs w:val="21"/>
              </w:rPr>
              <w:t>%）</w:t>
            </w:r>
          </w:p>
        </w:tc>
        <w:tc>
          <w:tcPr>
            <w:tcW w:w="1155" w:type="dxa"/>
            <w:vAlign w:val="center"/>
          </w:tcPr>
          <w:p>
            <w:pPr>
              <w:spacing w:line="240" w:lineRule="atLeast"/>
              <w:jc w:val="center"/>
              <w:rPr>
                <w:rFonts w:ascii="宋体" w:hAnsi="宋体" w:cs="宋体;SimSun"/>
                <w:sz w:val="21"/>
                <w:szCs w:val="21"/>
              </w:rPr>
            </w:pPr>
            <w:r>
              <w:rPr>
                <w:rFonts w:hint="eastAsia" w:ascii="宋体" w:hAnsi="宋体" w:cs="宋体;SimSun"/>
                <w:sz w:val="21"/>
                <w:szCs w:val="21"/>
              </w:rPr>
              <w:t>30</w:t>
            </w:r>
            <w:r>
              <w:rPr>
                <w:rFonts w:ascii="宋体" w:hAnsi="宋体" w:cs="宋体;SimSun"/>
                <w:sz w:val="21"/>
                <w:szCs w:val="21"/>
              </w:rPr>
              <w:t>分</w:t>
            </w:r>
          </w:p>
        </w:tc>
        <w:tc>
          <w:tcPr>
            <w:tcW w:w="5143" w:type="dxa"/>
            <w:vAlign w:val="center"/>
          </w:tcPr>
          <w:p>
            <w:pPr>
              <w:spacing w:line="240" w:lineRule="atLeast"/>
              <w:rPr>
                <w:rFonts w:ascii="宋体" w:hAnsi="宋体" w:cs="宋体;SimSun"/>
                <w:sz w:val="21"/>
                <w:szCs w:val="21"/>
              </w:rPr>
            </w:pPr>
            <w:r>
              <w:rPr>
                <w:rFonts w:ascii="宋体" w:hAnsi="宋体" w:cs="宋体;SimSun"/>
                <w:sz w:val="21"/>
                <w:szCs w:val="21"/>
              </w:rPr>
              <w:t>满足磋商文件资格要求且最后报价最低的供应商的价格为磋商基准价，</w:t>
            </w:r>
            <w:r>
              <w:rPr>
                <w:rFonts w:hint="eastAsia" w:ascii="宋体" w:hAnsi="宋体" w:cs="宋体;SimSun"/>
                <w:sz w:val="21"/>
                <w:szCs w:val="21"/>
                <w:lang w:val="en-US" w:eastAsia="zh-CN"/>
              </w:rPr>
              <w:t>其价格分为满分。</w:t>
            </w:r>
            <w:r>
              <w:rPr>
                <w:rFonts w:ascii="宋体" w:hAnsi="宋体" w:cs="宋体;SimSun"/>
                <w:sz w:val="21"/>
                <w:szCs w:val="21"/>
              </w:rPr>
              <w:t>按照下列公式计算每个供应商的磋商报价得分。</w:t>
            </w:r>
          </w:p>
          <w:p>
            <w:pPr>
              <w:spacing w:line="240" w:lineRule="atLeast"/>
              <w:rPr>
                <w:rFonts w:ascii="宋体" w:hAnsi="宋体" w:cs="宋体;SimSun"/>
                <w:sz w:val="21"/>
                <w:szCs w:val="21"/>
              </w:rPr>
            </w:pPr>
            <w:r>
              <w:rPr>
                <w:rFonts w:ascii="宋体" w:hAnsi="宋体" w:cs="宋体;SimSun"/>
                <w:sz w:val="21"/>
                <w:szCs w:val="21"/>
              </w:rPr>
              <w:t>磋商报价得分=（磋商基准价/最后磋商报价）×价格权值×100</w:t>
            </w:r>
          </w:p>
        </w:tc>
        <w:tc>
          <w:tcPr>
            <w:tcW w:w="1723"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534"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2</w:t>
            </w:r>
          </w:p>
        </w:tc>
        <w:tc>
          <w:tcPr>
            <w:tcW w:w="1073" w:type="dxa"/>
            <w:vMerge w:val="restart"/>
            <w:vAlign w:val="center"/>
          </w:tcPr>
          <w:p>
            <w:pPr>
              <w:spacing w:line="240" w:lineRule="atLeast"/>
              <w:jc w:val="center"/>
              <w:rPr>
                <w:rFonts w:ascii="宋体" w:hAnsi="宋体"/>
                <w:sz w:val="21"/>
                <w:szCs w:val="21"/>
              </w:rPr>
            </w:pPr>
            <w:r>
              <w:rPr>
                <w:rFonts w:hint="eastAsia" w:ascii="宋体" w:hAnsi="宋体"/>
                <w:sz w:val="21"/>
                <w:szCs w:val="21"/>
                <w:lang w:val="en-US" w:eastAsia="zh-CN"/>
              </w:rPr>
              <w:t>服务</w:t>
            </w:r>
            <w:r>
              <w:rPr>
                <w:rFonts w:hint="eastAsia" w:ascii="宋体" w:hAnsi="宋体"/>
                <w:sz w:val="21"/>
                <w:szCs w:val="21"/>
              </w:rPr>
              <w:t>部分</w:t>
            </w:r>
          </w:p>
          <w:p>
            <w:pPr>
              <w:spacing w:line="240" w:lineRule="atLeast"/>
              <w:jc w:val="center"/>
              <w:rPr>
                <w:rFonts w:ascii="宋体" w:hAnsi="宋体"/>
                <w:sz w:val="21"/>
                <w:szCs w:val="21"/>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45</w:t>
            </w:r>
            <w:r>
              <w:rPr>
                <w:rFonts w:hint="eastAsia" w:ascii="宋体" w:hAnsi="宋体"/>
                <w:color w:val="auto"/>
                <w:sz w:val="21"/>
                <w:szCs w:val="21"/>
                <w:highlight w:val="none"/>
              </w:rPr>
              <w:t>%）</w:t>
            </w:r>
          </w:p>
        </w:tc>
        <w:tc>
          <w:tcPr>
            <w:tcW w:w="1155" w:type="dxa"/>
            <w:vMerge w:val="restart"/>
            <w:vAlign w:val="center"/>
          </w:tcPr>
          <w:p>
            <w:pPr>
              <w:pStyle w:val="16"/>
              <w:jc w:val="center"/>
              <w:rPr>
                <w:rFonts w:ascii="宋体" w:hAnsi="宋体" w:eastAsia="宋体"/>
                <w:sz w:val="21"/>
                <w:szCs w:val="21"/>
              </w:rPr>
            </w:pPr>
            <w:r>
              <w:rPr>
                <w:rFonts w:hint="eastAsia" w:ascii="宋体" w:hAnsi="宋体" w:eastAsia="宋体"/>
                <w:sz w:val="21"/>
                <w:szCs w:val="21"/>
                <w:lang w:val="en-US" w:eastAsia="zh-CN"/>
              </w:rPr>
              <w:t>45</w:t>
            </w:r>
            <w:r>
              <w:rPr>
                <w:rFonts w:hint="eastAsia" w:ascii="宋体" w:hAnsi="宋体" w:eastAsia="宋体"/>
                <w:sz w:val="21"/>
                <w:szCs w:val="21"/>
              </w:rPr>
              <w:t>分</w:t>
            </w:r>
          </w:p>
        </w:tc>
        <w:tc>
          <w:tcPr>
            <w:tcW w:w="5143" w:type="dxa"/>
            <w:vAlign w:val="center"/>
          </w:tcPr>
          <w:p>
            <w:pPr>
              <w:pStyle w:val="16"/>
              <w:widowControl/>
              <w:rPr>
                <w:rFonts w:ascii="宋体" w:hAnsi="宋体" w:eastAsia="宋体" w:cs="宋体;SimSun"/>
                <w:sz w:val="21"/>
                <w:szCs w:val="21"/>
              </w:rPr>
            </w:pPr>
            <w:r>
              <w:rPr>
                <w:rFonts w:hint="eastAsia" w:ascii="宋体" w:hAnsi="宋体" w:eastAsia="宋体" w:cs="宋体;SimSun"/>
                <w:sz w:val="21"/>
                <w:szCs w:val="21"/>
              </w:rPr>
              <w:t>1.总体理解（15分）</w:t>
            </w:r>
          </w:p>
          <w:p>
            <w:pPr>
              <w:spacing w:line="240" w:lineRule="exact"/>
              <w:rPr>
                <w:rFonts w:ascii="宋体" w:hAnsi="宋体"/>
                <w:sz w:val="21"/>
                <w:szCs w:val="21"/>
              </w:rPr>
            </w:pPr>
            <w:r>
              <w:rPr>
                <w:rFonts w:hint="eastAsia" w:ascii="宋体" w:hAnsi="宋体"/>
                <w:sz w:val="21"/>
                <w:szCs w:val="21"/>
              </w:rPr>
              <w:t>供应商结合本项目第二篇的“</w:t>
            </w:r>
            <w:r>
              <w:rPr>
                <w:rFonts w:hint="eastAsia" w:ascii="宋体" w:hAnsi="宋体"/>
                <w:sz w:val="21"/>
                <w:szCs w:val="21"/>
                <w:lang w:val="en-US" w:eastAsia="zh-CN"/>
              </w:rPr>
              <w:t>工作内容及要求</w:t>
            </w:r>
            <w:r>
              <w:rPr>
                <w:rFonts w:hint="eastAsia" w:ascii="宋体" w:hAnsi="宋体"/>
                <w:sz w:val="21"/>
                <w:szCs w:val="21"/>
              </w:rPr>
              <w:t>”，提出对本项目的总体理解。内容至少包括目的</w:t>
            </w:r>
            <w:r>
              <w:rPr>
                <w:rFonts w:hint="eastAsia" w:ascii="宋体" w:hAnsi="宋体"/>
                <w:sz w:val="21"/>
                <w:szCs w:val="21"/>
                <w:lang w:val="en-US" w:eastAsia="zh-CN"/>
              </w:rPr>
              <w:t>背景、</w:t>
            </w:r>
            <w:r>
              <w:rPr>
                <w:rFonts w:hint="eastAsia" w:ascii="宋体" w:hAnsi="宋体"/>
                <w:sz w:val="21"/>
                <w:szCs w:val="21"/>
              </w:rPr>
              <w:t>意义、相关</w:t>
            </w:r>
            <w:r>
              <w:rPr>
                <w:rFonts w:hint="eastAsia" w:ascii="宋体" w:hAnsi="宋体"/>
                <w:sz w:val="21"/>
                <w:szCs w:val="21"/>
                <w:lang w:val="en-US" w:eastAsia="zh-CN"/>
              </w:rPr>
              <w:t>政策</w:t>
            </w:r>
            <w:r>
              <w:rPr>
                <w:rFonts w:hint="eastAsia" w:ascii="宋体" w:hAnsi="宋体"/>
                <w:sz w:val="21"/>
                <w:szCs w:val="21"/>
              </w:rPr>
              <w:t>法规</w:t>
            </w:r>
            <w:r>
              <w:rPr>
                <w:rFonts w:hint="eastAsia" w:ascii="宋体" w:hAnsi="宋体"/>
                <w:sz w:val="21"/>
                <w:szCs w:val="21"/>
                <w:lang w:val="en-US" w:eastAsia="zh-CN"/>
              </w:rPr>
              <w:t>的</w:t>
            </w:r>
            <w:r>
              <w:rPr>
                <w:rFonts w:hint="eastAsia" w:ascii="宋体" w:hAnsi="宋体"/>
                <w:sz w:val="21"/>
                <w:szCs w:val="21"/>
              </w:rPr>
              <w:t>理解、现状</w:t>
            </w:r>
            <w:r>
              <w:rPr>
                <w:rFonts w:hint="eastAsia" w:ascii="宋体" w:hAnsi="宋体"/>
                <w:sz w:val="21"/>
                <w:szCs w:val="21"/>
                <w:lang w:val="en-US" w:eastAsia="zh-CN"/>
              </w:rPr>
              <w:t>等。</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pStyle w:val="16"/>
              <w:widowControl/>
              <w:rPr>
                <w:rFonts w:ascii="宋体" w:hAnsi="宋体" w:cs="宋体"/>
                <w:sz w:val="21"/>
                <w:szCs w:val="21"/>
              </w:rPr>
            </w:pPr>
            <w:r>
              <w:rPr>
                <w:rFonts w:hint="eastAsia" w:ascii="宋体" w:hAnsi="宋体" w:eastAsia="宋体" w:cs="宋体"/>
                <w:color w:val="auto"/>
                <w:sz w:val="21"/>
                <w:szCs w:val="21"/>
                <w:highlight w:val="none"/>
              </w:rPr>
              <w:t>内容存在3处及以上瑕疵的或未提供得0分。</w:t>
            </w:r>
          </w:p>
        </w:tc>
        <w:tc>
          <w:tcPr>
            <w:tcW w:w="1723" w:type="dxa"/>
            <w:vMerge w:val="restart"/>
            <w:vAlign w:val="center"/>
          </w:tcPr>
          <w:p>
            <w:pPr>
              <w:rPr>
                <w:rFonts w:ascii="宋体" w:hAnsi="宋体"/>
                <w:color w:val="auto"/>
                <w:sz w:val="21"/>
                <w:szCs w:val="21"/>
                <w:highlight w:val="none"/>
              </w:rPr>
            </w:pPr>
            <w:r>
              <w:rPr>
                <w:rFonts w:hint="eastAsia" w:ascii="宋体" w:hAnsi="宋体"/>
                <w:color w:val="auto"/>
                <w:sz w:val="21"/>
                <w:szCs w:val="21"/>
                <w:highlight w:val="none"/>
              </w:rPr>
              <w:t>1.提供方案（格式自定）</w:t>
            </w:r>
          </w:p>
          <w:p>
            <w:pPr>
              <w:widowControl/>
              <w:rPr>
                <w:rFonts w:ascii="宋体" w:hAnsi="宋体" w:cs="宋体"/>
                <w:sz w:val="21"/>
                <w:szCs w:val="21"/>
              </w:rPr>
            </w:pPr>
            <w:r>
              <w:rPr>
                <w:rFonts w:hint="eastAsia" w:ascii="宋体" w:hAnsi="宋体"/>
                <w:color w:val="auto"/>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34" w:type="dxa"/>
            <w:vMerge w:val="continue"/>
            <w:vAlign w:val="center"/>
          </w:tcPr>
          <w:p>
            <w:pPr>
              <w:spacing w:line="240" w:lineRule="atLeast"/>
              <w:ind w:firstLine="28"/>
              <w:jc w:val="center"/>
              <w:rPr>
                <w:rFonts w:ascii="宋体" w:hAnsi="宋体"/>
                <w:sz w:val="21"/>
                <w:szCs w:val="21"/>
              </w:rPr>
            </w:pPr>
          </w:p>
        </w:tc>
        <w:tc>
          <w:tcPr>
            <w:tcW w:w="1073" w:type="dxa"/>
            <w:vMerge w:val="continue"/>
            <w:vAlign w:val="center"/>
          </w:tcPr>
          <w:p>
            <w:pPr>
              <w:spacing w:line="240" w:lineRule="atLeast"/>
              <w:jc w:val="center"/>
              <w:rPr>
                <w:rFonts w:ascii="宋体" w:hAnsi="宋体"/>
                <w:sz w:val="21"/>
                <w:szCs w:val="21"/>
              </w:rPr>
            </w:pPr>
          </w:p>
        </w:tc>
        <w:tc>
          <w:tcPr>
            <w:tcW w:w="1155" w:type="dxa"/>
            <w:vMerge w:val="continue"/>
            <w:vAlign w:val="center"/>
          </w:tcPr>
          <w:p>
            <w:pPr>
              <w:pStyle w:val="16"/>
              <w:jc w:val="center"/>
              <w:rPr>
                <w:rFonts w:ascii="宋体" w:hAnsi="宋体" w:eastAsia="宋体"/>
                <w:sz w:val="21"/>
                <w:szCs w:val="21"/>
              </w:rPr>
            </w:pPr>
          </w:p>
        </w:tc>
        <w:tc>
          <w:tcPr>
            <w:tcW w:w="5143" w:type="dxa"/>
            <w:vAlign w:val="center"/>
          </w:tcPr>
          <w:p>
            <w:pPr>
              <w:pStyle w:val="16"/>
              <w:widowControl/>
              <w:rPr>
                <w:rFonts w:ascii="宋体" w:hAnsi="宋体" w:eastAsia="宋体" w:cs="宋体"/>
                <w:sz w:val="21"/>
                <w:szCs w:val="21"/>
              </w:rPr>
            </w:pPr>
            <w:r>
              <w:rPr>
                <w:rFonts w:hint="eastAsia" w:ascii="宋体" w:hAnsi="宋体" w:eastAsia="宋体" w:cs="宋体"/>
                <w:sz w:val="21"/>
                <w:szCs w:val="21"/>
              </w:rPr>
              <w:t>2.实施方案（</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pPr>
              <w:snapToGrid w:val="0"/>
              <w:rPr>
                <w:rFonts w:hint="eastAsia" w:ascii="宋体" w:hAnsi="宋体" w:eastAsia="宋体" w:cs="宋体"/>
                <w:color w:val="auto"/>
                <w:sz w:val="21"/>
                <w:szCs w:val="21"/>
                <w:highlight w:val="none"/>
                <w:lang w:val="en-US" w:eastAsia="zh-CN"/>
              </w:rPr>
            </w:pPr>
            <w:r>
              <w:rPr>
                <w:rFonts w:hint="eastAsia" w:ascii="宋体" w:hAnsi="宋体" w:eastAsia="宋体"/>
                <w:sz w:val="21"/>
                <w:szCs w:val="21"/>
              </w:rPr>
              <w:t>供</w:t>
            </w:r>
            <w:r>
              <w:rPr>
                <w:rFonts w:hint="eastAsia" w:ascii="宋体" w:hAnsi="宋体" w:eastAsia="宋体" w:cs="宋体"/>
                <w:color w:val="auto"/>
                <w:sz w:val="21"/>
                <w:szCs w:val="21"/>
                <w:highlight w:val="none"/>
              </w:rPr>
              <w:t>应商结合本项目第二篇的“</w:t>
            </w:r>
            <w:r>
              <w:rPr>
                <w:rFonts w:hint="eastAsia" w:ascii="宋体" w:hAnsi="宋体" w:eastAsia="宋体" w:cs="宋体"/>
                <w:color w:val="auto"/>
                <w:sz w:val="21"/>
                <w:szCs w:val="21"/>
                <w:highlight w:val="none"/>
                <w:lang w:val="en-US" w:eastAsia="zh-CN"/>
              </w:rPr>
              <w:t>工作内容及要求</w:t>
            </w:r>
            <w:r>
              <w:rPr>
                <w:rFonts w:hint="eastAsia" w:ascii="宋体" w:hAnsi="宋体" w:eastAsia="宋体" w:cs="宋体"/>
                <w:color w:val="auto"/>
                <w:sz w:val="21"/>
                <w:szCs w:val="21"/>
                <w:highlight w:val="none"/>
              </w:rPr>
              <w:t>”，提出对本项目的实施方案。内容至少包括工作思路及流程、</w:t>
            </w:r>
            <w:r>
              <w:rPr>
                <w:rFonts w:hint="eastAsia" w:ascii="宋体" w:hAnsi="宋体" w:cs="宋体"/>
                <w:color w:val="auto"/>
                <w:sz w:val="21"/>
                <w:szCs w:val="21"/>
                <w:highlight w:val="none"/>
                <w:lang w:val="en-US" w:eastAsia="zh-CN"/>
              </w:rPr>
              <w:t>立法</w:t>
            </w:r>
            <w:r>
              <w:rPr>
                <w:rFonts w:hint="eastAsia" w:ascii="宋体" w:hAnsi="宋体" w:eastAsia="宋体" w:cs="宋体"/>
                <w:color w:val="auto"/>
                <w:sz w:val="21"/>
                <w:szCs w:val="21"/>
                <w:highlight w:val="none"/>
              </w:rPr>
              <w:t>调研</w:t>
            </w:r>
            <w:r>
              <w:rPr>
                <w:rFonts w:hint="eastAsia" w:ascii="宋体" w:hAnsi="宋体" w:cs="宋体"/>
                <w:color w:val="auto"/>
                <w:sz w:val="21"/>
                <w:szCs w:val="21"/>
                <w:highlight w:val="none"/>
                <w:lang w:eastAsia="zh-CN"/>
              </w:rPr>
              <w:t>安排</w:t>
            </w:r>
            <w:r>
              <w:rPr>
                <w:rFonts w:hint="eastAsia" w:ascii="宋体" w:hAnsi="宋体" w:eastAsia="宋体" w:cs="宋体"/>
                <w:color w:val="auto"/>
                <w:sz w:val="21"/>
                <w:szCs w:val="21"/>
                <w:highlight w:val="none"/>
              </w:rPr>
              <w:t>、资料收集整理、法条制定流程</w:t>
            </w:r>
            <w:r>
              <w:rPr>
                <w:rFonts w:hint="eastAsia" w:ascii="宋体" w:hAnsi="宋体" w:eastAsia="宋体" w:cs="宋体"/>
                <w:color w:val="auto"/>
                <w:sz w:val="21"/>
                <w:szCs w:val="21"/>
                <w:highlight w:val="none"/>
                <w:lang w:val="en-US" w:eastAsia="zh-CN"/>
              </w:rPr>
              <w:t>等。</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napToGrid w:val="0"/>
              <w:rPr>
                <w:rFonts w:hint="eastAsia" w:ascii="宋体" w:hAnsi="宋体" w:eastAsia="方正仿宋_GBK" w:cs="宋体"/>
                <w:sz w:val="21"/>
                <w:szCs w:val="21"/>
                <w:lang w:eastAsia="zh-CN"/>
              </w:rPr>
            </w:pPr>
            <w:r>
              <w:rPr>
                <w:rFonts w:hint="eastAsia" w:ascii="宋体" w:hAnsi="宋体" w:eastAsia="宋体" w:cs="宋体"/>
                <w:color w:val="auto"/>
                <w:sz w:val="21"/>
                <w:szCs w:val="21"/>
                <w:highlight w:val="none"/>
              </w:rPr>
              <w:t>内容存在3处及以上瑕疵的或未提供得0分。</w:t>
            </w:r>
          </w:p>
        </w:tc>
        <w:tc>
          <w:tcPr>
            <w:tcW w:w="1723"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534" w:type="dxa"/>
            <w:vMerge w:val="continue"/>
            <w:vAlign w:val="center"/>
          </w:tcPr>
          <w:p>
            <w:pPr>
              <w:spacing w:line="240" w:lineRule="atLeast"/>
              <w:ind w:firstLine="28"/>
              <w:jc w:val="center"/>
              <w:rPr>
                <w:rFonts w:ascii="宋体" w:hAnsi="宋体"/>
                <w:sz w:val="21"/>
                <w:szCs w:val="21"/>
              </w:rPr>
            </w:pPr>
          </w:p>
        </w:tc>
        <w:tc>
          <w:tcPr>
            <w:tcW w:w="1073" w:type="dxa"/>
            <w:vMerge w:val="continue"/>
            <w:vAlign w:val="center"/>
          </w:tcPr>
          <w:p>
            <w:pPr>
              <w:spacing w:line="240" w:lineRule="atLeast"/>
              <w:jc w:val="center"/>
              <w:rPr>
                <w:rFonts w:ascii="宋体" w:hAnsi="宋体"/>
                <w:sz w:val="21"/>
                <w:szCs w:val="21"/>
              </w:rPr>
            </w:pPr>
          </w:p>
        </w:tc>
        <w:tc>
          <w:tcPr>
            <w:tcW w:w="1155" w:type="dxa"/>
            <w:vMerge w:val="continue"/>
            <w:vAlign w:val="center"/>
          </w:tcPr>
          <w:p>
            <w:pPr>
              <w:pStyle w:val="16"/>
              <w:jc w:val="center"/>
              <w:rPr>
                <w:rFonts w:ascii="宋体" w:hAnsi="宋体" w:eastAsia="宋体"/>
                <w:sz w:val="21"/>
                <w:szCs w:val="21"/>
              </w:rPr>
            </w:pPr>
          </w:p>
        </w:tc>
        <w:tc>
          <w:tcPr>
            <w:tcW w:w="5143" w:type="dxa"/>
            <w:vAlign w:val="center"/>
          </w:tcPr>
          <w:p>
            <w:pPr>
              <w:pStyle w:val="16"/>
              <w:widowControl/>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重难点分析</w:t>
            </w:r>
            <w:r>
              <w:rPr>
                <w:rFonts w:hint="eastAsia" w:ascii="宋体" w:hAnsi="宋体" w:eastAsia="宋体" w:cs="宋体"/>
                <w:sz w:val="21"/>
                <w:szCs w:val="21"/>
              </w:rPr>
              <w:t>（15分）</w:t>
            </w:r>
          </w:p>
          <w:p>
            <w:pPr>
              <w:snapToGrid w:val="0"/>
              <w:rPr>
                <w:rFonts w:hint="eastAsia" w:ascii="宋体" w:hAnsi="宋体" w:cs="宋体"/>
                <w:color w:val="auto"/>
                <w:sz w:val="21"/>
                <w:szCs w:val="21"/>
                <w:highlight w:val="none"/>
                <w:lang w:val="en-US" w:eastAsia="zh-CN"/>
              </w:rPr>
            </w:pPr>
            <w:r>
              <w:rPr>
                <w:rFonts w:hint="eastAsia" w:ascii="宋体" w:hAnsi="宋体" w:eastAsia="宋体"/>
                <w:sz w:val="21"/>
                <w:szCs w:val="21"/>
              </w:rPr>
              <w:t>供</w:t>
            </w:r>
            <w:r>
              <w:rPr>
                <w:rFonts w:hint="eastAsia" w:ascii="宋体" w:hAnsi="宋体" w:eastAsia="宋体" w:cs="宋体"/>
                <w:color w:val="auto"/>
                <w:sz w:val="21"/>
                <w:szCs w:val="21"/>
                <w:highlight w:val="none"/>
              </w:rPr>
              <w:t>应商结合本项目第二篇的“</w:t>
            </w:r>
            <w:r>
              <w:rPr>
                <w:rFonts w:hint="eastAsia" w:ascii="宋体" w:hAnsi="宋体" w:eastAsia="宋体" w:cs="宋体"/>
                <w:color w:val="auto"/>
                <w:sz w:val="21"/>
                <w:szCs w:val="21"/>
                <w:highlight w:val="none"/>
                <w:lang w:val="en-US" w:eastAsia="zh-CN"/>
              </w:rPr>
              <w:t>工作内容及要求</w:t>
            </w:r>
            <w:r>
              <w:rPr>
                <w:rFonts w:hint="eastAsia" w:ascii="宋体" w:hAnsi="宋体" w:eastAsia="宋体" w:cs="宋体"/>
                <w:color w:val="auto"/>
                <w:sz w:val="21"/>
                <w:szCs w:val="21"/>
                <w:highlight w:val="none"/>
              </w:rPr>
              <w:t>”，提出对本项目的</w:t>
            </w:r>
            <w:r>
              <w:rPr>
                <w:rFonts w:hint="eastAsia" w:ascii="宋体" w:hAnsi="宋体" w:cs="宋体"/>
                <w:color w:val="auto"/>
                <w:sz w:val="21"/>
                <w:szCs w:val="21"/>
                <w:highlight w:val="none"/>
                <w:lang w:val="en-US" w:eastAsia="zh-CN"/>
              </w:rPr>
              <w:t>重难点分析方案。内容至少包括重难点问题梳理、分析思路、解决方案等。</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line="240" w:lineRule="exact"/>
              <w:rPr>
                <w:rFonts w:ascii="宋体" w:hAnsi="宋体" w:cs="宋体"/>
                <w:sz w:val="21"/>
                <w:szCs w:val="21"/>
              </w:rPr>
            </w:pPr>
            <w:r>
              <w:rPr>
                <w:rFonts w:hint="eastAsia" w:ascii="宋体" w:hAnsi="宋体" w:eastAsia="宋体" w:cs="宋体"/>
                <w:color w:val="auto"/>
                <w:sz w:val="21"/>
                <w:szCs w:val="21"/>
                <w:highlight w:val="none"/>
              </w:rPr>
              <w:t>内容存在3处及以上瑕疵的或未提供得0分</w:t>
            </w:r>
            <w:r>
              <w:rPr>
                <w:rFonts w:hint="eastAsia" w:ascii="宋体" w:hAnsi="宋体" w:cs="宋体"/>
                <w:color w:val="auto"/>
                <w:sz w:val="21"/>
                <w:szCs w:val="21"/>
                <w:highlight w:val="none"/>
                <w:lang w:val="en-US" w:eastAsia="zh-CN"/>
              </w:rPr>
              <w:t>。</w:t>
            </w:r>
          </w:p>
        </w:tc>
        <w:tc>
          <w:tcPr>
            <w:tcW w:w="1723"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073" w:type="dxa"/>
            <w:vMerge w:val="restart"/>
            <w:vAlign w:val="center"/>
          </w:tcPr>
          <w:p>
            <w:pPr>
              <w:spacing w:line="240" w:lineRule="atLeast"/>
              <w:ind w:firstLine="28"/>
              <w:jc w:val="center"/>
              <w:rPr>
                <w:rFonts w:hint="eastAsia" w:ascii="宋体" w:hAnsi="宋体"/>
                <w:color w:val="auto"/>
                <w:sz w:val="21"/>
                <w:szCs w:val="21"/>
              </w:rPr>
            </w:pPr>
            <w:r>
              <w:rPr>
                <w:rFonts w:hint="eastAsia" w:ascii="宋体" w:hAnsi="宋体"/>
                <w:color w:val="auto"/>
                <w:sz w:val="21"/>
                <w:szCs w:val="21"/>
              </w:rPr>
              <w:t>商务部分</w:t>
            </w:r>
          </w:p>
          <w:p>
            <w:pPr>
              <w:spacing w:line="240" w:lineRule="atLeast"/>
              <w:ind w:firstLine="28"/>
              <w:jc w:val="center"/>
              <w:rPr>
                <w:rFonts w:ascii="宋体" w:hAnsi="宋体"/>
                <w:color w:val="auto"/>
                <w:sz w:val="21"/>
                <w:szCs w:val="21"/>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w:t>
            </w:r>
          </w:p>
        </w:tc>
        <w:tc>
          <w:tcPr>
            <w:tcW w:w="1155" w:type="dxa"/>
            <w:vAlign w:val="center"/>
          </w:tcPr>
          <w:p>
            <w:pPr>
              <w:spacing w:line="240" w:lineRule="atLeast"/>
              <w:jc w:val="center"/>
              <w:rPr>
                <w:color w:val="auto"/>
                <w:highlight w:val="none"/>
              </w:rPr>
            </w:pPr>
            <w:r>
              <w:rPr>
                <w:rFonts w:hint="eastAsia" w:ascii="宋体" w:hAnsi="宋体"/>
                <w:color w:val="auto"/>
                <w:sz w:val="21"/>
                <w:szCs w:val="21"/>
                <w:highlight w:val="none"/>
                <w:lang w:val="en-US" w:eastAsia="zh-CN"/>
              </w:rPr>
              <w:t>人员实力</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分）</w:t>
            </w:r>
          </w:p>
        </w:tc>
        <w:tc>
          <w:tcPr>
            <w:tcW w:w="5143" w:type="dxa"/>
            <w:vAlign w:val="center"/>
          </w:tcPr>
          <w:p>
            <w:pPr>
              <w:snapToGrid w:val="0"/>
              <w:rPr>
                <w:rFonts w:ascii="宋体" w:hAnsi="宋体"/>
                <w:color w:val="auto"/>
                <w:sz w:val="21"/>
                <w:szCs w:val="21"/>
                <w:highlight w:val="none"/>
              </w:rPr>
            </w:pPr>
            <w:r>
              <w:rPr>
                <w:rFonts w:hint="eastAsia" w:ascii="宋体" w:hAnsi="宋体" w:cs="宋体"/>
                <w:color w:val="auto"/>
                <w:sz w:val="21"/>
                <w:szCs w:val="21"/>
                <w:highlight w:val="none"/>
                <w:lang w:val="en-US" w:eastAsia="zh-CN"/>
              </w:rPr>
              <w:t>至响应文件递交截止时间，供应商拟派服务团队负责人主持过立法起草或修订项目的，每提供一个项目经验得2分，本项最多得12分。</w:t>
            </w:r>
          </w:p>
        </w:tc>
        <w:tc>
          <w:tcPr>
            <w:tcW w:w="1723" w:type="dxa"/>
            <w:vAlign w:val="center"/>
          </w:tcPr>
          <w:p>
            <w:pPr>
              <w:snapToGrid w:val="0"/>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提供项目合同复印件</w:t>
            </w:r>
            <w:r>
              <w:rPr>
                <w:rFonts w:hint="eastAsia" w:ascii="宋体" w:hAnsi="宋体" w:cs="宋体"/>
                <w:color w:val="auto"/>
                <w:sz w:val="21"/>
                <w:szCs w:val="21"/>
                <w:lang w:val="en-US" w:eastAsia="zh-CN"/>
              </w:rPr>
              <w:t>或其他证明其工作经验的证明材料。</w:t>
            </w:r>
          </w:p>
          <w:p>
            <w:pPr>
              <w:snapToGrid w:val="0"/>
              <w:rPr>
                <w:rFonts w:ascii="宋体" w:hAnsi="宋体" w:cs="宋体"/>
                <w:sz w:val="21"/>
                <w:szCs w:val="21"/>
              </w:rPr>
            </w:pPr>
            <w:r>
              <w:rPr>
                <w:rFonts w:hint="eastAsia" w:ascii="宋体" w:hAnsi="宋体" w:cs="宋体"/>
                <w:color w:val="auto"/>
                <w:sz w:val="21"/>
                <w:szCs w:val="21"/>
                <w:lang w:val="en-US" w:eastAsia="zh-CN"/>
              </w:rPr>
              <w:t>2.以上材料均须加盖供应商公章</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34" w:type="dxa"/>
            <w:vMerge w:val="continue"/>
            <w:vAlign w:val="center"/>
          </w:tcPr>
          <w:p>
            <w:pPr>
              <w:spacing w:line="240" w:lineRule="atLeast"/>
              <w:ind w:firstLine="28"/>
              <w:jc w:val="center"/>
              <w:rPr>
                <w:rFonts w:ascii="宋体" w:hAnsi="宋体"/>
                <w:sz w:val="21"/>
                <w:szCs w:val="21"/>
              </w:rPr>
            </w:pPr>
          </w:p>
        </w:tc>
        <w:tc>
          <w:tcPr>
            <w:tcW w:w="1073" w:type="dxa"/>
            <w:vMerge w:val="continue"/>
            <w:vAlign w:val="center"/>
          </w:tcPr>
          <w:p>
            <w:pPr>
              <w:spacing w:line="240" w:lineRule="atLeast"/>
              <w:ind w:firstLine="28"/>
              <w:jc w:val="center"/>
              <w:rPr>
                <w:rFonts w:ascii="宋体" w:hAnsi="宋体"/>
                <w:color w:val="auto"/>
                <w:sz w:val="21"/>
                <w:szCs w:val="21"/>
              </w:rPr>
            </w:pPr>
          </w:p>
        </w:tc>
        <w:tc>
          <w:tcPr>
            <w:tcW w:w="1155" w:type="dxa"/>
            <w:vMerge w:val="restart"/>
            <w:vAlign w:val="center"/>
          </w:tcPr>
          <w:p>
            <w:pPr>
              <w:spacing w:line="240" w:lineRule="atLeast"/>
              <w:jc w:val="center"/>
              <w:rPr>
                <w:rFonts w:ascii="宋体" w:hAnsi="宋体"/>
                <w:color w:val="auto"/>
                <w:sz w:val="21"/>
                <w:szCs w:val="21"/>
              </w:rPr>
            </w:pPr>
            <w:r>
              <w:rPr>
                <w:rFonts w:hint="eastAsia" w:ascii="宋体" w:hAnsi="宋体"/>
                <w:color w:val="auto"/>
                <w:sz w:val="21"/>
                <w:szCs w:val="21"/>
              </w:rPr>
              <w:t>人员配置</w:t>
            </w:r>
          </w:p>
          <w:p>
            <w:pPr>
              <w:spacing w:line="240" w:lineRule="atLeast"/>
              <w:jc w:val="center"/>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lang w:val="en-US" w:eastAsia="zh-CN"/>
              </w:rPr>
              <w:t>3</w:t>
            </w:r>
            <w:r>
              <w:rPr>
                <w:rFonts w:hint="eastAsia" w:ascii="宋体" w:hAnsi="宋体"/>
                <w:color w:val="auto"/>
                <w:sz w:val="21"/>
                <w:szCs w:val="21"/>
              </w:rPr>
              <w:t>分）</w:t>
            </w:r>
          </w:p>
        </w:tc>
        <w:tc>
          <w:tcPr>
            <w:tcW w:w="5143" w:type="dxa"/>
            <w:vAlign w:val="center"/>
          </w:tcPr>
          <w:p>
            <w:pPr>
              <w:snapToGrid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供应商拟派服务团队成员具备副高级及以上职称，每提供1名，得2分，本项最多得6分。</w:t>
            </w:r>
          </w:p>
        </w:tc>
        <w:tc>
          <w:tcPr>
            <w:tcW w:w="1723" w:type="dxa"/>
            <w:vAlign w:val="center"/>
          </w:tcPr>
          <w:p>
            <w:pPr>
              <w:snapToGrid w:val="0"/>
              <w:rPr>
                <w:rFonts w:ascii="宋体" w:hAnsi="宋体" w:cs="宋体"/>
                <w:sz w:val="21"/>
                <w:szCs w:val="21"/>
              </w:rPr>
            </w:pPr>
            <w:r>
              <w:rPr>
                <w:rFonts w:hint="eastAsia" w:ascii="宋体" w:hAnsi="宋体" w:cs="宋体"/>
                <w:sz w:val="21"/>
                <w:szCs w:val="21"/>
              </w:rPr>
              <w:t>提供人员名单、</w:t>
            </w:r>
            <w:r>
              <w:rPr>
                <w:rFonts w:hint="eastAsia" w:ascii="宋体" w:hAnsi="宋体" w:cs="宋体"/>
                <w:sz w:val="21"/>
                <w:szCs w:val="21"/>
                <w:lang w:val="en-US" w:eastAsia="zh-CN"/>
              </w:rPr>
              <w:t>职称证书复印件</w:t>
            </w:r>
            <w:r>
              <w:rPr>
                <w:rFonts w:hint="eastAsia" w:ascii="宋体" w:hAnsi="宋体" w:cs="宋体"/>
                <w:sz w:val="21"/>
                <w:szCs w:val="21"/>
              </w:rPr>
              <w:t>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34" w:type="dxa"/>
            <w:vMerge w:val="continue"/>
            <w:vAlign w:val="center"/>
          </w:tcPr>
          <w:p>
            <w:pPr>
              <w:pStyle w:val="2"/>
            </w:pPr>
          </w:p>
        </w:tc>
        <w:tc>
          <w:tcPr>
            <w:tcW w:w="1073" w:type="dxa"/>
            <w:vMerge w:val="continue"/>
            <w:vAlign w:val="center"/>
          </w:tcPr>
          <w:p>
            <w:pPr>
              <w:pStyle w:val="2"/>
              <w:rPr>
                <w:color w:val="auto"/>
              </w:rPr>
            </w:pPr>
          </w:p>
        </w:tc>
        <w:tc>
          <w:tcPr>
            <w:tcW w:w="1155" w:type="dxa"/>
            <w:vMerge w:val="continue"/>
            <w:vAlign w:val="center"/>
          </w:tcPr>
          <w:p>
            <w:pPr>
              <w:pStyle w:val="2"/>
              <w:rPr>
                <w:color w:val="auto"/>
              </w:rPr>
            </w:pPr>
          </w:p>
        </w:tc>
        <w:tc>
          <w:tcPr>
            <w:tcW w:w="5143" w:type="dxa"/>
            <w:vAlign w:val="center"/>
          </w:tcPr>
          <w:p>
            <w:pPr>
              <w:snapToGrid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供应商拟派服务团队成员中，具有属于省级（自治区、直辖市）及以上立法咨询专家或法律顾问的得7分。</w:t>
            </w:r>
          </w:p>
        </w:tc>
        <w:tc>
          <w:tcPr>
            <w:tcW w:w="1723" w:type="dxa"/>
            <w:vAlign w:val="center"/>
          </w:tcPr>
          <w:p>
            <w:pPr>
              <w:snapToGrid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提供人员聘书或者聘任文件复印件，并加盖供应商公章。</w:t>
            </w:r>
          </w:p>
        </w:tc>
      </w:tr>
    </w:tbl>
    <w:p>
      <w:pPr>
        <w:snapToGrid w:val="0"/>
        <w:spacing w:line="360" w:lineRule="auto"/>
        <w:ind w:firstLine="465"/>
        <w:rPr>
          <w:rFonts w:ascii="宋体" w:hAnsi="宋体"/>
          <w:sz w:val="24"/>
          <w:szCs w:val="24"/>
        </w:rPr>
      </w:pPr>
      <w:r>
        <w:rPr>
          <w:rFonts w:hint="eastAsia" w:ascii="宋体" w:hAnsi="宋体"/>
          <w:sz w:val="24"/>
          <w:szCs w:val="24"/>
        </w:rPr>
        <w:t>注：关于小微企业报价扣除比例说明</w:t>
      </w:r>
    </w:p>
    <w:p>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（3）在服务采购项目中，服务由中小企业承接，即提供服务的人员为与中小企业订立劳动合同的从业人员。</w:t>
      </w:r>
    </w:p>
    <w:p>
      <w:pPr>
        <w:snapToGrid w:val="0"/>
        <w:spacing w:line="360" w:lineRule="auto"/>
        <w:ind w:firstLine="465"/>
        <w:rPr>
          <w:rFonts w:hint="eastAsia" w:ascii="宋体" w:hAnsi="宋体" w:eastAsia="宋体"/>
          <w:sz w:val="24"/>
          <w:szCs w:val="24"/>
          <w:lang w:eastAsia="zh-CN"/>
        </w:rPr>
      </w:pPr>
      <w:r>
        <w:rPr>
          <w:rFonts w:hint="eastAsia" w:ascii="宋体" w:hAnsi="宋体"/>
          <w:sz w:val="24"/>
          <w:szCs w:val="24"/>
        </w:rPr>
        <w:t>2.对小微型企业供应商给予</w:t>
      </w:r>
      <w:r>
        <w:rPr>
          <w:rFonts w:hint="eastAsia" w:ascii="宋体" w:hAnsi="宋体"/>
          <w:b/>
          <w:bCs/>
          <w:sz w:val="24"/>
          <w:szCs w:val="24"/>
          <w:u w:val="single"/>
        </w:rPr>
        <w:t xml:space="preserve"> 20 %</w:t>
      </w:r>
      <w:r>
        <w:rPr>
          <w:rFonts w:hint="eastAsia" w:ascii="宋体" w:hAnsi="宋体"/>
          <w:sz w:val="24"/>
          <w:szCs w:val="24"/>
        </w:rPr>
        <w:t>的扣除，以扣除后的报价参加评审</w:t>
      </w:r>
      <w:r>
        <w:rPr>
          <w:rFonts w:hint="eastAsia" w:ascii="宋体" w:hAnsi="宋体"/>
          <w:sz w:val="24"/>
          <w:szCs w:val="24"/>
          <w:lang w:eastAsia="zh-CN"/>
        </w:rPr>
        <w:t>。</w:t>
      </w:r>
    </w:p>
    <w:p>
      <w:pPr>
        <w:snapToGrid w:val="0"/>
        <w:spacing w:line="360" w:lineRule="auto"/>
        <w:ind w:firstLine="465"/>
        <w:rPr>
          <w:rFonts w:ascii="宋体" w:hAnsi="宋体"/>
          <w:sz w:val="24"/>
          <w:szCs w:val="24"/>
        </w:rPr>
      </w:pPr>
      <w:r>
        <w:rPr>
          <w:rFonts w:hint="eastAsia" w:ascii="宋体" w:hAnsi="宋体" w:eastAsia="宋体" w:cs="Times New Roman"/>
          <w:color w:val="auto"/>
          <w:sz w:val="24"/>
          <w:szCs w:val="24"/>
          <w:highlight w:val="none"/>
        </w:rPr>
        <w:t>3.监狱企业、残疾人福利性单位视同小型、微型企业</w:t>
      </w:r>
      <w:r>
        <w:rPr>
          <w:rFonts w:hint="eastAsia" w:ascii="宋体" w:hAnsi="宋体"/>
          <w:sz w:val="24"/>
          <w:szCs w:val="24"/>
        </w:rPr>
        <w:t>。</w:t>
      </w:r>
    </w:p>
    <w:p>
      <w:pPr>
        <w:pStyle w:val="4"/>
        <w:spacing w:before="0" w:after="0" w:line="360" w:lineRule="auto"/>
        <w:ind w:firstLine="482" w:firstLineChars="200"/>
        <w:rPr>
          <w:rFonts w:ascii="宋体" w:hAnsi="宋体"/>
          <w:sz w:val="24"/>
          <w:szCs w:val="24"/>
        </w:rPr>
      </w:pPr>
      <w:bookmarkStart w:id="69" w:name="_Toc6915"/>
      <w:r>
        <w:rPr>
          <w:rFonts w:hint="eastAsia" w:ascii="宋体" w:hAnsi="宋体"/>
          <w:sz w:val="24"/>
          <w:szCs w:val="24"/>
        </w:rPr>
        <w:t>三、无效响应</w:t>
      </w:r>
      <w:bookmarkEnd w:id="69"/>
    </w:p>
    <w:p>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供应商发生以下条款情况之一者，视为无效响应，其响应文件将被拒绝：</w:t>
      </w:r>
    </w:p>
    <w:p>
      <w:pPr>
        <w:snapToGrid w:val="0"/>
        <w:spacing w:line="360" w:lineRule="auto"/>
        <w:ind w:firstLine="465"/>
        <w:rPr>
          <w:rFonts w:ascii="宋体" w:hAnsi="宋体"/>
          <w:sz w:val="24"/>
          <w:szCs w:val="24"/>
        </w:rPr>
      </w:pPr>
      <w:r>
        <w:rPr>
          <w:rFonts w:hint="eastAsia" w:ascii="宋体" w:hAnsi="宋体"/>
          <w:sz w:val="24"/>
          <w:szCs w:val="24"/>
        </w:rPr>
        <w:t>（一）供应商不符合规定的资格条件的；</w:t>
      </w:r>
    </w:p>
    <w:p>
      <w:pPr>
        <w:snapToGrid w:val="0"/>
        <w:spacing w:line="360" w:lineRule="auto"/>
        <w:ind w:firstLine="465"/>
        <w:rPr>
          <w:rFonts w:ascii="宋体" w:hAnsi="宋体"/>
          <w:sz w:val="24"/>
          <w:szCs w:val="24"/>
        </w:rPr>
      </w:pPr>
      <w:r>
        <w:rPr>
          <w:rFonts w:hint="eastAsia" w:ascii="宋体" w:hAnsi="宋体"/>
          <w:sz w:val="24"/>
          <w:szCs w:val="24"/>
        </w:rPr>
        <w:t>（二）供应商的法定代表人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hint="eastAsia" w:ascii="宋体" w:hAnsi="宋体"/>
          <w:sz w:val="24"/>
          <w:szCs w:val="24"/>
        </w:rPr>
        <w:t>（或其授权代表）或自然人未参加磋商；</w:t>
      </w:r>
    </w:p>
    <w:p>
      <w:pPr>
        <w:snapToGrid w:val="0"/>
        <w:spacing w:line="360" w:lineRule="auto"/>
        <w:ind w:firstLine="465"/>
        <w:rPr>
          <w:rFonts w:ascii="宋体" w:hAnsi="宋体"/>
          <w:sz w:val="24"/>
          <w:szCs w:val="24"/>
        </w:rPr>
      </w:pPr>
      <w:r>
        <w:rPr>
          <w:rFonts w:hint="eastAsia" w:ascii="宋体" w:hAnsi="宋体"/>
          <w:sz w:val="24"/>
          <w:szCs w:val="24"/>
        </w:rPr>
        <w:t>（三）供应商所提交的响应文件不按“第七篇响应文件编制要求”要求签署或盖章；</w:t>
      </w:r>
    </w:p>
    <w:p>
      <w:pPr>
        <w:snapToGrid w:val="0"/>
        <w:spacing w:line="360" w:lineRule="auto"/>
        <w:ind w:firstLine="465"/>
        <w:rPr>
          <w:rFonts w:ascii="宋体" w:hAnsi="宋体"/>
          <w:sz w:val="24"/>
          <w:szCs w:val="24"/>
        </w:rPr>
      </w:pPr>
      <w:r>
        <w:rPr>
          <w:rFonts w:hint="eastAsia" w:ascii="宋体" w:hAnsi="宋体"/>
          <w:sz w:val="24"/>
          <w:szCs w:val="24"/>
        </w:rPr>
        <w:t>（四）供应商的最后报价超过采购预算或最高限价的；</w:t>
      </w:r>
    </w:p>
    <w:p>
      <w:pPr>
        <w:snapToGrid w:val="0"/>
        <w:spacing w:line="360" w:lineRule="auto"/>
        <w:ind w:firstLine="465"/>
        <w:rPr>
          <w:rFonts w:ascii="宋体" w:hAnsi="宋体"/>
          <w:sz w:val="24"/>
          <w:szCs w:val="24"/>
        </w:rPr>
      </w:pPr>
      <w:r>
        <w:rPr>
          <w:rFonts w:hint="eastAsia" w:ascii="宋体" w:hAnsi="宋体"/>
          <w:sz w:val="24"/>
          <w:szCs w:val="24"/>
        </w:rPr>
        <w:t>（五）法定代表人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hint="eastAsia" w:ascii="宋体" w:hAnsi="宋体"/>
          <w:sz w:val="24"/>
          <w:szCs w:val="24"/>
        </w:rPr>
        <w:t>为同一个人的两个及两个以上法人，母公司、全资子公司及其控股公司，在同一包采购中同时参与磋商；</w:t>
      </w:r>
    </w:p>
    <w:p>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65"/>
        <w:rPr>
          <w:rFonts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w:t>
      </w:r>
    </w:p>
    <w:p>
      <w:pPr>
        <w:snapToGrid w:val="0"/>
        <w:spacing w:line="360" w:lineRule="auto"/>
        <w:ind w:firstLine="465"/>
        <w:rPr>
          <w:rFonts w:ascii="宋体" w:hAnsi="宋体"/>
          <w:sz w:val="24"/>
          <w:szCs w:val="24"/>
        </w:rPr>
      </w:pPr>
      <w:r>
        <w:rPr>
          <w:rFonts w:hint="eastAsia" w:ascii="宋体" w:hAnsi="宋体"/>
          <w:sz w:val="24"/>
          <w:szCs w:val="24"/>
        </w:rPr>
        <w:t>（八）供应商磋商有效期不满足竞争性磋商文件要求的；</w:t>
      </w:r>
    </w:p>
    <w:p>
      <w:pPr>
        <w:snapToGrid w:val="0"/>
        <w:spacing w:line="360" w:lineRule="auto"/>
        <w:ind w:firstLine="465"/>
        <w:rPr>
          <w:rFonts w:ascii="宋体" w:hAnsi="宋体"/>
          <w:sz w:val="24"/>
          <w:szCs w:val="24"/>
        </w:rPr>
      </w:pPr>
      <w:r>
        <w:rPr>
          <w:rFonts w:hint="eastAsia" w:ascii="宋体" w:hAnsi="宋体"/>
          <w:sz w:val="24"/>
          <w:szCs w:val="24"/>
        </w:rPr>
        <w:t>（九）供应商响应文件内容有与国家现行法律法规相违背的内容，或附有采购人无法接受的条件；</w:t>
      </w:r>
    </w:p>
    <w:p>
      <w:pPr>
        <w:snapToGrid w:val="0"/>
        <w:spacing w:line="360" w:lineRule="auto"/>
        <w:ind w:firstLine="465"/>
        <w:rPr>
          <w:rFonts w:ascii="宋体" w:hAnsi="宋体"/>
          <w:sz w:val="24"/>
          <w:szCs w:val="24"/>
        </w:rPr>
      </w:pPr>
      <w:r>
        <w:rPr>
          <w:rFonts w:hint="eastAsia" w:ascii="宋体" w:hAnsi="宋体"/>
          <w:sz w:val="24"/>
          <w:szCs w:val="24"/>
        </w:rPr>
        <w:t>（十）法律、法规和竞争性磋商文件规定的其他无效情形。</w:t>
      </w:r>
    </w:p>
    <w:p>
      <w:pPr>
        <w:pStyle w:val="4"/>
        <w:spacing w:before="0" w:after="0" w:line="360" w:lineRule="auto"/>
        <w:ind w:firstLine="482" w:firstLineChars="200"/>
        <w:rPr>
          <w:rFonts w:ascii="宋体" w:hAnsi="宋体"/>
          <w:sz w:val="24"/>
          <w:szCs w:val="24"/>
        </w:rPr>
      </w:pPr>
      <w:bookmarkStart w:id="70" w:name="_Toc26950"/>
      <w:r>
        <w:rPr>
          <w:rFonts w:hint="eastAsia" w:ascii="宋体" w:hAnsi="宋体"/>
          <w:sz w:val="24"/>
          <w:szCs w:val="24"/>
        </w:rPr>
        <w:t>四、</w:t>
      </w:r>
      <w:bookmarkEnd w:id="67"/>
      <w:bookmarkEnd w:id="68"/>
      <w:r>
        <w:rPr>
          <w:rFonts w:hint="eastAsia" w:ascii="宋体" w:hAnsi="宋体"/>
          <w:sz w:val="24"/>
          <w:szCs w:val="24"/>
        </w:rPr>
        <w:t>采购终止</w:t>
      </w:r>
      <w:bookmarkEnd w:id="70"/>
    </w:p>
    <w:p>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（一）因情况变化，不再符合规定的竞争性磋商采购方式适用情形的；</w:t>
      </w:r>
    </w:p>
    <w:p>
      <w:pPr>
        <w:snapToGrid w:val="0"/>
        <w:spacing w:line="360" w:lineRule="auto"/>
        <w:ind w:firstLine="465"/>
        <w:rPr>
          <w:rFonts w:ascii="宋体" w:hAnsi="宋体"/>
          <w:sz w:val="24"/>
          <w:szCs w:val="24"/>
        </w:rPr>
      </w:pPr>
      <w:r>
        <w:rPr>
          <w:rFonts w:hint="eastAsia" w:ascii="宋体" w:hAnsi="宋体"/>
          <w:sz w:val="24"/>
          <w:szCs w:val="24"/>
        </w:rPr>
        <w:t>（二）出现影响采购公正的违法、违规行为的；</w:t>
      </w:r>
    </w:p>
    <w:p>
      <w:pPr>
        <w:snapToGrid w:val="0"/>
        <w:spacing w:line="360" w:lineRule="auto"/>
        <w:ind w:firstLine="465"/>
        <w:rPr>
          <w:rFonts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pPr>
        <w:pStyle w:val="3"/>
        <w:spacing w:line="360" w:lineRule="auto"/>
        <w:jc w:val="center"/>
        <w:rPr>
          <w:rFonts w:ascii="宋体" w:hAnsi="宋体" w:eastAsia="宋体"/>
          <w:sz w:val="36"/>
          <w:szCs w:val="30"/>
        </w:rPr>
      </w:pPr>
      <w:bookmarkStart w:id="71" w:name="_Toc18293"/>
      <w:bookmarkStart w:id="72" w:name="_Toc102227313"/>
      <w:r>
        <w:rPr>
          <w:rFonts w:hint="eastAsia" w:ascii="宋体" w:hAnsi="宋体" w:eastAsia="宋体"/>
          <w:sz w:val="36"/>
          <w:szCs w:val="30"/>
        </w:rPr>
        <w:t>第五篇  供应商须知</w:t>
      </w:r>
      <w:bookmarkEnd w:id="71"/>
      <w:bookmarkEnd w:id="72"/>
    </w:p>
    <w:p>
      <w:pPr>
        <w:pStyle w:val="4"/>
        <w:spacing w:before="0" w:after="0" w:line="360" w:lineRule="auto"/>
        <w:ind w:firstLine="482" w:firstLineChars="200"/>
        <w:rPr>
          <w:rFonts w:ascii="宋体" w:hAnsi="宋体"/>
          <w:sz w:val="24"/>
          <w:szCs w:val="24"/>
        </w:rPr>
      </w:pPr>
      <w:bookmarkStart w:id="73" w:name="_Toc12143"/>
      <w:bookmarkStart w:id="74" w:name="_Toc342913389"/>
      <w:bookmarkStart w:id="75" w:name="_Toc342913391"/>
      <w:r>
        <w:rPr>
          <w:rFonts w:hint="eastAsia" w:ascii="宋体" w:hAnsi="宋体"/>
          <w:sz w:val="24"/>
          <w:szCs w:val="24"/>
        </w:rPr>
        <w:t>一、磋商费用</w:t>
      </w:r>
      <w:bookmarkEnd w:id="73"/>
      <w:bookmarkEnd w:id="74"/>
    </w:p>
    <w:p>
      <w:pPr>
        <w:pStyle w:val="182"/>
        <w:spacing w:line="360" w:lineRule="auto"/>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360" w:lineRule="auto"/>
        <w:ind w:firstLine="482" w:firstLineChars="200"/>
        <w:rPr>
          <w:rFonts w:ascii="宋体" w:hAnsi="宋体"/>
          <w:sz w:val="24"/>
          <w:szCs w:val="24"/>
        </w:rPr>
      </w:pPr>
      <w:bookmarkStart w:id="76" w:name="_Toc6046"/>
      <w:r>
        <w:rPr>
          <w:rFonts w:hint="eastAsia" w:ascii="宋体" w:hAnsi="宋体"/>
          <w:sz w:val="24"/>
          <w:szCs w:val="24"/>
        </w:rPr>
        <w:t>二、竞争性磋商文件</w:t>
      </w:r>
      <w:bookmarkEnd w:id="75"/>
      <w:bookmarkEnd w:id="76"/>
    </w:p>
    <w:p>
      <w:pPr>
        <w:snapToGrid w:val="0"/>
        <w:spacing w:line="360" w:lineRule="auto"/>
        <w:ind w:firstLine="480" w:firstLineChars="200"/>
        <w:rPr>
          <w:rFonts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w:t>
      </w:r>
      <w:r>
        <w:rPr>
          <w:rFonts w:hint="eastAsia" w:ascii="宋体" w:hAnsi="宋体"/>
          <w:sz w:val="24"/>
          <w:szCs w:val="24"/>
          <w:lang w:val="en-US" w:eastAsia="zh-CN"/>
        </w:rPr>
        <w:t>政府采购合同</w:t>
      </w:r>
      <w:r>
        <w:rPr>
          <w:rFonts w:hint="eastAsia" w:ascii="宋体" w:hAnsi="宋体"/>
          <w:sz w:val="24"/>
          <w:szCs w:val="24"/>
        </w:rPr>
        <w:t>；响应文件编制要求共七部分组成。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7" w:name="_Toc318166429"/>
      <w:bookmarkStart w:id="78" w:name="_Toc318159160"/>
      <w:bookmarkStart w:id="79" w:name="_Toc318159780"/>
      <w:bookmarkStart w:id="80" w:name="_Toc318159349"/>
    </w:p>
    <w:p>
      <w:pPr>
        <w:spacing w:line="360" w:lineRule="auto"/>
        <w:ind w:firstLine="480" w:firstLineChars="200"/>
        <w:rPr>
          <w:rFonts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77"/>
    <w:bookmarkEnd w:id="78"/>
    <w:bookmarkEnd w:id="79"/>
    <w:bookmarkEnd w:id="80"/>
    <w:p>
      <w:pPr>
        <w:pStyle w:val="4"/>
        <w:spacing w:before="0" w:after="0" w:line="360" w:lineRule="auto"/>
        <w:ind w:firstLine="482" w:firstLineChars="200"/>
        <w:rPr>
          <w:rFonts w:ascii="宋体" w:hAnsi="宋体"/>
          <w:sz w:val="24"/>
          <w:szCs w:val="24"/>
        </w:rPr>
      </w:pPr>
      <w:bookmarkStart w:id="81" w:name="_Toc342913392"/>
      <w:bookmarkStart w:id="82" w:name="_Toc18344"/>
      <w:bookmarkStart w:id="83" w:name="_Toc102227318"/>
      <w:bookmarkStart w:id="84" w:name="_Toc179714297"/>
      <w:r>
        <w:rPr>
          <w:rFonts w:hint="eastAsia" w:ascii="宋体" w:hAnsi="宋体"/>
          <w:sz w:val="24"/>
          <w:szCs w:val="24"/>
        </w:rPr>
        <w:t>三、磋商要求</w:t>
      </w:r>
      <w:bookmarkEnd w:id="81"/>
      <w:bookmarkEnd w:id="82"/>
      <w:bookmarkEnd w:id="83"/>
      <w:bookmarkEnd w:id="84"/>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本项目不接受联合体磋商。</w:t>
      </w:r>
    </w:p>
    <w:p>
      <w:pPr>
        <w:spacing w:line="360" w:lineRule="auto"/>
        <w:ind w:firstLine="480" w:firstLineChars="200"/>
        <w:rPr>
          <w:rFonts w:ascii="宋体" w:hAnsi="宋体"/>
          <w:sz w:val="24"/>
          <w:szCs w:val="24"/>
        </w:rPr>
      </w:pPr>
      <w:r>
        <w:rPr>
          <w:rFonts w:hint="eastAsia" w:ascii="宋体" w:hAnsi="宋体"/>
          <w:sz w:val="24"/>
          <w:szCs w:val="24"/>
        </w:rPr>
        <w:t>（三）磋商有效期</w:t>
      </w:r>
    </w:p>
    <w:p>
      <w:pPr>
        <w:spacing w:line="360" w:lineRule="auto"/>
        <w:ind w:firstLine="480" w:firstLineChars="200"/>
        <w:rPr>
          <w:rFonts w:ascii="宋体" w:hAnsi="宋体"/>
          <w:sz w:val="24"/>
          <w:szCs w:val="24"/>
        </w:rPr>
      </w:pPr>
      <w:r>
        <w:rPr>
          <w:rFonts w:hint="eastAsia" w:ascii="宋体" w:hAnsi="宋体"/>
          <w:sz w:val="24"/>
          <w:szCs w:val="24"/>
        </w:rPr>
        <w:t>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响应文件的正本、副本和电子文档统一密封在一个密封袋中。信封上注明项目名称、供应商名称、响应文件份数等。信封的封口应加盖供应商公章或法人授权代表签字。</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各个供应商可派1-2名代表参与磋商，至少1人应为法定代表人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hint="eastAsia" w:ascii="宋体" w:hAnsi="宋体"/>
          <w:sz w:val="24"/>
          <w:szCs w:val="24"/>
        </w:rPr>
        <w:t>或具有法定代表人</w:t>
      </w:r>
      <w:r>
        <w:rPr>
          <w:rFonts w:hint="eastAsia" w:ascii="宋体" w:hAnsi="宋体"/>
          <w:sz w:val="24"/>
          <w:szCs w:val="24"/>
          <w:lang w:eastAsia="zh-CN"/>
        </w:rPr>
        <w:t>（</w:t>
      </w:r>
      <w:r>
        <w:rPr>
          <w:rFonts w:hint="eastAsia" w:ascii="宋体" w:hAnsi="宋体"/>
          <w:sz w:val="24"/>
          <w:szCs w:val="24"/>
          <w:lang w:val="en-US" w:eastAsia="zh-CN"/>
        </w:rPr>
        <w:t>或负责人</w:t>
      </w:r>
      <w:r>
        <w:rPr>
          <w:rFonts w:hint="eastAsia" w:ascii="宋体" w:hAnsi="宋体"/>
          <w:sz w:val="24"/>
          <w:szCs w:val="24"/>
          <w:lang w:eastAsia="zh-CN"/>
        </w:rPr>
        <w:t>）</w:t>
      </w:r>
      <w:r>
        <w:rPr>
          <w:rFonts w:hint="eastAsia" w:ascii="宋体" w:hAnsi="宋体"/>
          <w:sz w:val="24"/>
          <w:szCs w:val="24"/>
        </w:rPr>
        <w:t>授权委托书的授权代表。</w:t>
      </w:r>
    </w:p>
    <w:p>
      <w:pPr>
        <w:pStyle w:val="4"/>
        <w:spacing w:before="0" w:after="0" w:line="360" w:lineRule="auto"/>
        <w:ind w:firstLine="482" w:firstLineChars="200"/>
        <w:rPr>
          <w:rFonts w:ascii="宋体" w:hAnsi="宋体"/>
          <w:sz w:val="24"/>
          <w:szCs w:val="24"/>
        </w:rPr>
      </w:pPr>
      <w:bookmarkStart w:id="85" w:name="_Toc25332"/>
      <w:r>
        <w:rPr>
          <w:rFonts w:hint="eastAsia" w:ascii="宋体" w:hAnsi="宋体"/>
          <w:sz w:val="24"/>
          <w:szCs w:val="24"/>
        </w:rPr>
        <w:t>四、成交供应商的确认和变更</w:t>
      </w:r>
      <w:bookmarkEnd w:id="85"/>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4"/>
        <w:spacing w:before="0" w:after="0" w:line="360" w:lineRule="auto"/>
        <w:ind w:firstLine="482" w:firstLineChars="200"/>
        <w:rPr>
          <w:rFonts w:ascii="宋体" w:hAnsi="宋体"/>
          <w:sz w:val="24"/>
          <w:szCs w:val="24"/>
        </w:rPr>
      </w:pPr>
      <w:bookmarkStart w:id="86" w:name="_Toc8004"/>
      <w:bookmarkStart w:id="87" w:name="_Toc102227321"/>
      <w:bookmarkStart w:id="88" w:name="_Toc342913395"/>
      <w:r>
        <w:rPr>
          <w:rFonts w:hint="eastAsia" w:ascii="宋体" w:hAnsi="宋体"/>
          <w:sz w:val="24"/>
          <w:szCs w:val="24"/>
        </w:rPr>
        <w:t>五、成交通知</w:t>
      </w:r>
      <w:bookmarkEnd w:id="86"/>
      <w:bookmarkEnd w:id="87"/>
      <w:bookmarkEnd w:id="88"/>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（一）成交供应商确定后，采购代理机构将在重庆市经济和信息化委员会网上发布成交结果公告。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w:t>
      </w:r>
      <w:r>
        <w:rPr>
          <w:rFonts w:hint="eastAsia" w:ascii="宋体" w:hAnsi="宋体"/>
          <w:sz w:val="24"/>
          <w:szCs w:val="24"/>
          <w:lang w:val="en-US" w:eastAsia="zh-CN"/>
        </w:rPr>
        <w:t>发布的同时</w:t>
      </w:r>
      <w:r>
        <w:rPr>
          <w:rFonts w:hint="eastAsia" w:ascii="宋体" w:hAnsi="宋体"/>
          <w:sz w:val="24"/>
          <w:szCs w:val="24"/>
        </w:rPr>
        <w:t>，采购代理机构将以书面形式发出《成交通知书》。《成交通知书》一经发出即发生法律效力。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pStyle w:val="4"/>
        <w:spacing w:before="0" w:after="0" w:line="360" w:lineRule="auto"/>
        <w:ind w:firstLine="482" w:firstLineChars="200"/>
        <w:rPr>
          <w:rFonts w:ascii="宋体" w:hAnsi="宋体"/>
          <w:sz w:val="24"/>
          <w:szCs w:val="24"/>
        </w:rPr>
      </w:pPr>
      <w:bookmarkStart w:id="89" w:name="_Toc20074"/>
      <w:r>
        <w:rPr>
          <w:rFonts w:hint="eastAsia" w:ascii="宋体" w:hAnsi="宋体"/>
          <w:sz w:val="24"/>
          <w:szCs w:val="24"/>
        </w:rPr>
        <w:t>六、关于质疑和投诉</w:t>
      </w:r>
      <w:bookmarkEnd w:id="89"/>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w:t>
      </w:r>
      <w:r>
        <w:rPr>
          <w:rFonts w:hint="eastAsia" w:ascii="宋体" w:hAnsi="宋体"/>
          <w:sz w:val="24"/>
          <w:szCs w:val="24"/>
          <w:lang w:val="en-US" w:eastAsia="zh-CN"/>
        </w:rPr>
        <w:t>受到</w:t>
      </w:r>
      <w:r>
        <w:rPr>
          <w:rFonts w:hint="eastAsia" w:ascii="宋体" w:hAnsi="宋体"/>
          <w:sz w:val="24"/>
          <w:szCs w:val="24"/>
        </w:rPr>
        <w:t>伤害的，可向采购人或采购代理机构以书面形式提出质疑。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hint="eastAsia" w:ascii="宋体" w:hAnsi="宋体"/>
          <w:sz w:val="24"/>
          <w:szCs w:val="24"/>
        </w:rPr>
        <w:t>授权委托书原件、法定代表人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hint="eastAsia" w:ascii="宋体" w:hAnsi="宋体"/>
          <w:sz w:val="24"/>
          <w:szCs w:val="24"/>
        </w:rPr>
        <w:t>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4"/>
        <w:spacing w:before="0" w:after="0" w:line="360" w:lineRule="auto"/>
        <w:ind w:firstLine="482" w:firstLineChars="200"/>
        <w:rPr>
          <w:rFonts w:ascii="宋体" w:hAnsi="宋体"/>
          <w:sz w:val="24"/>
          <w:szCs w:val="24"/>
        </w:rPr>
      </w:pPr>
      <w:bookmarkStart w:id="90" w:name="_Toc10409"/>
      <w:r>
        <w:rPr>
          <w:rFonts w:hint="eastAsia" w:ascii="宋体" w:hAnsi="宋体"/>
          <w:sz w:val="24"/>
          <w:szCs w:val="24"/>
        </w:rPr>
        <w:t>七、采购代理服务费</w:t>
      </w:r>
      <w:bookmarkEnd w:id="90"/>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供应商中标后向采购代理机构缴纳招标代理服务费，采购代理服务费的收取标准按照以下标准执行:</w:t>
      </w:r>
    </w:p>
    <w:tbl>
      <w:tblPr>
        <w:tblStyle w:val="6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8++YPWAAAACAEAAA8AAAAAAAAAAQAgAAAAIgAAAGRycy9kb3ducmV2LnhtbFBL&#10;AQIUABQAAAAIAIdO4kA2q55ovwEAAH8DAAAOAAAAAAAAAAEAIAAAACUBAABkcnMvZTJvRG9jLnht&#10;bFBLBQYAAAAABgAGAFkBAABWBQ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成交金额（万元）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170"/>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注：采购代理服务收费按差额定率累进法计算。采购代理服务费按上表计算出不足3500元的，按3500元记取。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pPr>
        <w:pStyle w:val="4"/>
        <w:spacing w:before="0" w:after="0" w:line="360" w:lineRule="auto"/>
        <w:ind w:firstLine="482" w:firstLineChars="200"/>
        <w:rPr>
          <w:rFonts w:ascii="宋体" w:hAnsi="宋体"/>
          <w:sz w:val="24"/>
          <w:szCs w:val="24"/>
        </w:rPr>
      </w:pPr>
      <w:bookmarkStart w:id="91" w:name="_Toc102227322"/>
      <w:bookmarkStart w:id="92" w:name="_Toc342913396"/>
      <w:bookmarkStart w:id="93" w:name="_Toc26371"/>
      <w:bookmarkStart w:id="94" w:name="_Toc12789059"/>
      <w:bookmarkStart w:id="95" w:name="_Toc11641055"/>
      <w:r>
        <w:rPr>
          <w:rFonts w:hint="eastAsia" w:ascii="宋体" w:hAnsi="宋体"/>
          <w:sz w:val="24"/>
          <w:szCs w:val="24"/>
        </w:rPr>
        <w:t>八、签订</w:t>
      </w:r>
      <w:bookmarkEnd w:id="91"/>
      <w:r>
        <w:rPr>
          <w:rFonts w:hint="eastAsia" w:ascii="宋体" w:hAnsi="宋体"/>
          <w:sz w:val="24"/>
          <w:szCs w:val="24"/>
        </w:rPr>
        <w:t>合同</w:t>
      </w:r>
      <w:bookmarkEnd w:id="92"/>
      <w:bookmarkEnd w:id="93"/>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（二）竞争性磋商文件、成交供应商的响应文件及有效承诺文件等，均为签订合同的依据。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3"/>
        <w:pageBreakBefore/>
        <w:spacing w:line="360" w:lineRule="auto"/>
        <w:jc w:val="center"/>
        <w:rPr>
          <w:rFonts w:ascii="宋体" w:hAnsi="宋体" w:eastAsia="宋体"/>
          <w:sz w:val="36"/>
          <w:szCs w:val="30"/>
        </w:rPr>
      </w:pPr>
      <w:bookmarkStart w:id="96" w:name="_Toc30755"/>
      <w:r>
        <w:rPr>
          <w:rFonts w:hint="eastAsia" w:ascii="宋体" w:hAnsi="宋体" w:eastAsia="宋体"/>
          <w:sz w:val="36"/>
          <w:szCs w:val="30"/>
        </w:rPr>
        <w:t xml:space="preserve">第六篇  </w:t>
      </w:r>
      <w:bookmarkEnd w:id="94"/>
      <w:bookmarkEnd w:id="95"/>
      <w:r>
        <w:rPr>
          <w:rFonts w:hint="eastAsia" w:ascii="宋体" w:hAnsi="宋体" w:eastAsia="宋体"/>
          <w:sz w:val="36"/>
          <w:szCs w:val="30"/>
        </w:rPr>
        <w:t>政府采购合同</w:t>
      </w:r>
      <w:bookmarkEnd w:id="96"/>
    </w:p>
    <w:p>
      <w:pPr>
        <w:spacing w:line="360" w:lineRule="auto"/>
        <w:jc w:val="center"/>
        <w:rPr>
          <w:rFonts w:ascii="宋体" w:hAnsi="宋体"/>
          <w:b/>
          <w:sz w:val="44"/>
        </w:rPr>
      </w:pPr>
      <w:bookmarkStart w:id="97" w:name="_Hlt41879464"/>
      <w:bookmarkEnd w:id="97"/>
      <w:bookmarkStart w:id="98" w:name="_Toc12789072"/>
      <w:r>
        <w:rPr>
          <w:rFonts w:ascii="宋体" w:hAnsi="宋体"/>
          <w:b/>
          <w:sz w:val="44"/>
        </w:rPr>
        <w:t>重庆市政府采购合同</w:t>
      </w:r>
    </w:p>
    <w:p>
      <w:pPr>
        <w:spacing w:line="360" w:lineRule="auto"/>
        <w:jc w:val="center"/>
        <w:rPr>
          <w:rFonts w:ascii="宋体" w:hAnsi="宋体"/>
        </w:rPr>
      </w:pPr>
      <w:r>
        <w:rPr>
          <w:rFonts w:ascii="宋体" w:hAnsi="宋体"/>
        </w:rPr>
        <w:t>（项目号：     ）</w:t>
      </w:r>
    </w:p>
    <w:p>
      <w:pPr>
        <w:spacing w:line="360" w:lineRule="auto"/>
        <w:rPr>
          <w:rFonts w:ascii="宋体" w:hAnsi="宋体"/>
          <w:sz w:val="24"/>
        </w:rPr>
      </w:pPr>
      <w:r>
        <w:rPr>
          <w:rFonts w:ascii="宋体" w:hAnsi="宋体"/>
          <w:sz w:val="24"/>
        </w:rPr>
        <w:t>甲方（需方）：___________________________</w:t>
      </w:r>
    </w:p>
    <w:p>
      <w:pPr>
        <w:spacing w:line="360" w:lineRule="auto"/>
        <w:rPr>
          <w:rFonts w:ascii="宋体" w:hAnsi="宋体"/>
          <w:sz w:val="24"/>
        </w:rPr>
      </w:pPr>
      <w:r>
        <w:rPr>
          <w:rFonts w:ascii="宋体" w:hAnsi="宋体"/>
          <w:sz w:val="24"/>
        </w:rPr>
        <w:t>乙方（供方）：___________________________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6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napToGrid w:val="0"/>
              <w:jc w:val="center"/>
              <w:rPr>
                <w:rFonts w:ascii="宋体" w:hAnsi="宋体"/>
                <w:sz w:val="21"/>
                <w:szCs w:val="21"/>
              </w:rPr>
            </w:pPr>
            <w:r>
              <w:rPr>
                <w:rFonts w:hint="eastAsia" w:ascii="宋体" w:hAnsi="宋体"/>
                <w:sz w:val="21"/>
                <w:szCs w:val="21"/>
              </w:rPr>
              <w:t>项目内容</w:t>
            </w:r>
          </w:p>
        </w:tc>
        <w:tc>
          <w:tcPr>
            <w:tcW w:w="1999" w:type="dxa"/>
            <w:gridSpan w:val="2"/>
            <w:vAlign w:val="center"/>
          </w:tcPr>
          <w:p>
            <w:pPr>
              <w:snapToGrid w:val="0"/>
              <w:jc w:val="center"/>
              <w:rPr>
                <w:rFonts w:ascii="宋体" w:hAnsi="宋体"/>
                <w:sz w:val="21"/>
                <w:szCs w:val="21"/>
              </w:rPr>
            </w:pPr>
            <w:r>
              <w:rPr>
                <w:rFonts w:ascii="宋体" w:hAnsi="宋体"/>
                <w:sz w:val="21"/>
                <w:szCs w:val="21"/>
              </w:rPr>
              <w:t>总价</w:t>
            </w:r>
          </w:p>
        </w:tc>
        <w:tc>
          <w:tcPr>
            <w:tcW w:w="2268" w:type="dxa"/>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rPr>
            </w:pPr>
          </w:p>
        </w:tc>
        <w:tc>
          <w:tcPr>
            <w:tcW w:w="1999" w:type="dxa"/>
            <w:gridSpan w:val="2"/>
            <w:vAlign w:val="center"/>
          </w:tcPr>
          <w:p>
            <w:pPr>
              <w:snapToGrid w:val="0"/>
              <w:jc w:val="center"/>
              <w:rPr>
                <w:rFonts w:ascii="宋体" w:hAnsi="宋体"/>
                <w:sz w:val="21"/>
                <w:szCs w:val="21"/>
              </w:rPr>
            </w:pPr>
          </w:p>
        </w:tc>
        <w:tc>
          <w:tcPr>
            <w:tcW w:w="2268" w:type="dxa"/>
            <w:vAlign w:val="center"/>
          </w:tcPr>
          <w:p>
            <w:pPr>
              <w:snapToGrid w:val="0"/>
              <w:jc w:val="center"/>
              <w:rPr>
                <w:rFonts w:ascii="宋体" w:hAnsi="宋体"/>
                <w:sz w:val="21"/>
                <w:szCs w:val="21"/>
              </w:rPr>
            </w:pPr>
          </w:p>
        </w:tc>
        <w:tc>
          <w:tcPr>
            <w:tcW w:w="2275"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rPr>
            </w:pPr>
          </w:p>
        </w:tc>
        <w:tc>
          <w:tcPr>
            <w:tcW w:w="1999" w:type="dxa"/>
            <w:gridSpan w:val="2"/>
            <w:vAlign w:val="center"/>
          </w:tcPr>
          <w:p>
            <w:pPr>
              <w:snapToGrid w:val="0"/>
              <w:jc w:val="center"/>
              <w:rPr>
                <w:rFonts w:ascii="宋体" w:hAnsi="宋体"/>
                <w:sz w:val="21"/>
                <w:szCs w:val="21"/>
              </w:rPr>
            </w:pPr>
          </w:p>
        </w:tc>
        <w:tc>
          <w:tcPr>
            <w:tcW w:w="2268" w:type="dxa"/>
            <w:vAlign w:val="center"/>
          </w:tcPr>
          <w:p>
            <w:pPr>
              <w:snapToGrid w:val="0"/>
              <w:jc w:val="center"/>
              <w:rPr>
                <w:rFonts w:ascii="宋体" w:hAnsi="宋体"/>
                <w:sz w:val="21"/>
                <w:szCs w:val="21"/>
              </w:rPr>
            </w:pPr>
          </w:p>
        </w:tc>
        <w:tc>
          <w:tcPr>
            <w:tcW w:w="2275"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605" w:hRule="atLeast"/>
        </w:trPr>
        <w:tc>
          <w:tcPr>
            <w:tcW w:w="9613" w:type="dxa"/>
            <w:gridSpan w:val="5"/>
          </w:tcPr>
          <w:p>
            <w:pPr>
              <w:snapToGrid w:val="0"/>
              <w:rPr>
                <w:rFonts w:ascii="宋体" w:hAnsi="宋体"/>
                <w:sz w:val="21"/>
                <w:szCs w:val="21"/>
              </w:rPr>
            </w:pPr>
            <w:r>
              <w:rPr>
                <w:rFonts w:ascii="宋体" w:hAnsi="宋体"/>
                <w:sz w:val="21"/>
                <w:szCs w:val="21"/>
              </w:rPr>
              <w:t>一、</w:t>
            </w:r>
            <w:r>
              <w:rPr>
                <w:rFonts w:hint="eastAsia" w:ascii="宋体" w:hAnsi="宋体"/>
                <w:sz w:val="21"/>
                <w:szCs w:val="21"/>
              </w:rPr>
              <w:t>服务内容及要求</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628" w:type="dxa"/>
            <w:gridSpan w:val="6"/>
          </w:tcPr>
          <w:p>
            <w:pPr>
              <w:snapToGrid w:val="0"/>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628" w:type="dxa"/>
            <w:gridSpan w:val="6"/>
          </w:tcPr>
          <w:p>
            <w:pPr>
              <w:snapToGrid w:val="0"/>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5"/>
              <w:snapToGrid w:val="0"/>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9628" w:type="dxa"/>
            <w:gridSpan w:val="6"/>
          </w:tcPr>
          <w:p>
            <w:pPr>
              <w:snapToGrid w:val="0"/>
              <w:rPr>
                <w:rFonts w:ascii="宋体" w:hAnsi="宋体"/>
                <w:sz w:val="21"/>
                <w:szCs w:val="21"/>
              </w:rPr>
            </w:pPr>
            <w:r>
              <w:rPr>
                <w:rFonts w:hint="eastAsia" w:ascii="宋体" w:hAnsi="宋体"/>
                <w:sz w:val="21"/>
                <w:szCs w:val="21"/>
              </w:rPr>
              <w:t>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628" w:type="dxa"/>
            <w:gridSpan w:val="6"/>
          </w:tcPr>
          <w:p>
            <w:pPr>
              <w:snapToGrid w:val="0"/>
              <w:rPr>
                <w:rFonts w:ascii="宋体" w:hAnsi="宋体"/>
                <w:sz w:val="21"/>
                <w:szCs w:val="21"/>
              </w:rPr>
            </w:pPr>
            <w:r>
              <w:rPr>
                <w:rFonts w:hint="eastAsia" w:ascii="宋体" w:hAnsi="宋体"/>
                <w:sz w:val="21"/>
                <w:szCs w:val="21"/>
              </w:rPr>
              <w:t>五</w:t>
            </w:r>
            <w:r>
              <w:rPr>
                <w:rFonts w:ascii="宋体" w:hAnsi="宋体"/>
                <w:sz w:val="21"/>
                <w:szCs w:val="21"/>
              </w:rPr>
              <w:t>、违约责任：</w:t>
            </w:r>
          </w:p>
          <w:p>
            <w:pPr>
              <w:snapToGrid w:val="0"/>
              <w:rPr>
                <w:rFonts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w:t>
            </w:r>
            <w:r>
              <w:rPr>
                <w:rFonts w:ascii="宋体" w:hAnsi="宋体"/>
                <w:sz w:val="21"/>
                <w:szCs w:val="21"/>
              </w:rPr>
              <w:t>政府采购法》</w:t>
            </w:r>
            <w:r>
              <w:rPr>
                <w:rFonts w:hint="eastAsia" w:ascii="宋体" w:hAnsi="宋体"/>
                <w:sz w:val="21"/>
                <w:szCs w:val="21"/>
              </w:rPr>
              <w:t>、采购文件</w:t>
            </w:r>
            <w:r>
              <w:rPr>
                <w:rFonts w:ascii="宋体" w:hAnsi="宋体"/>
                <w:sz w:val="21"/>
                <w:szCs w:val="21"/>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628" w:type="dxa"/>
            <w:gridSpan w:val="6"/>
          </w:tcPr>
          <w:p>
            <w:pPr>
              <w:snapToGrid w:val="0"/>
              <w:rPr>
                <w:rFonts w:ascii="宋体" w:hAnsi="宋体"/>
                <w:sz w:val="21"/>
                <w:szCs w:val="21"/>
              </w:rPr>
            </w:pPr>
            <w:r>
              <w:rPr>
                <w:rFonts w:hint="eastAsia" w:ascii="宋体" w:hAnsi="宋体"/>
                <w:sz w:val="21"/>
                <w:szCs w:val="21"/>
              </w:rPr>
              <w:t>六</w:t>
            </w:r>
            <w:r>
              <w:rPr>
                <w:rFonts w:ascii="宋体" w:hAnsi="宋体"/>
                <w:sz w:val="21"/>
                <w:szCs w:val="21"/>
              </w:rPr>
              <w:t>、其他约定事项：</w:t>
            </w:r>
          </w:p>
          <w:p>
            <w:pPr>
              <w:snapToGrid w:val="0"/>
              <w:rPr>
                <w:rFonts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pPr>
              <w:snapToGrid w:val="0"/>
              <w:rPr>
                <w:rFonts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pPr>
              <w:snapToGrid w:val="0"/>
              <w:rPr>
                <w:rFonts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pPr>
              <w:snapToGrid w:val="0"/>
              <w:rPr>
                <w:rFonts w:ascii="宋体" w:hAnsi="宋体"/>
                <w:sz w:val="21"/>
                <w:szCs w:val="21"/>
              </w:rPr>
            </w:pPr>
            <w:r>
              <w:rPr>
                <w:rFonts w:hint="eastAsia" w:ascii="宋体" w:hAnsi="宋体"/>
                <w:sz w:val="21"/>
                <w:szCs w:val="21"/>
              </w:rPr>
              <w:t>4.</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4503" w:type="dxa"/>
            <w:gridSpan w:val="2"/>
          </w:tcPr>
          <w:p>
            <w:pPr>
              <w:snapToGrid w:val="0"/>
              <w:rPr>
                <w:rFonts w:ascii="宋体" w:hAnsi="宋体"/>
                <w:sz w:val="21"/>
                <w:szCs w:val="21"/>
              </w:rPr>
            </w:pPr>
            <w:r>
              <w:rPr>
                <w:rFonts w:ascii="宋体" w:hAnsi="宋体"/>
                <w:sz w:val="21"/>
                <w:szCs w:val="21"/>
              </w:rPr>
              <w:t>需方：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联系电话：</w:t>
            </w:r>
          </w:p>
          <w:p>
            <w:pPr>
              <w:snapToGrid w:val="0"/>
              <w:rPr>
                <w:rFonts w:ascii="宋体" w:hAnsi="宋体"/>
                <w:sz w:val="21"/>
                <w:szCs w:val="21"/>
              </w:rPr>
            </w:pPr>
            <w:r>
              <w:rPr>
                <w:rFonts w:ascii="宋体" w:hAnsi="宋体"/>
                <w:sz w:val="21"/>
                <w:szCs w:val="21"/>
              </w:rPr>
              <w:t>授权代表：</w:t>
            </w:r>
          </w:p>
        </w:tc>
        <w:tc>
          <w:tcPr>
            <w:tcW w:w="5125" w:type="dxa"/>
            <w:gridSpan w:val="4"/>
          </w:tcPr>
          <w:p>
            <w:pPr>
              <w:snapToGrid w:val="0"/>
              <w:rPr>
                <w:rFonts w:ascii="宋体" w:hAnsi="宋体"/>
                <w:sz w:val="21"/>
                <w:szCs w:val="21"/>
              </w:rPr>
            </w:pPr>
            <w:r>
              <w:rPr>
                <w:rFonts w:ascii="宋体" w:hAnsi="宋体"/>
                <w:sz w:val="21"/>
                <w:szCs w:val="21"/>
              </w:rPr>
              <w:t>供方：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电话：</w:t>
            </w:r>
          </w:p>
          <w:p>
            <w:pPr>
              <w:snapToGrid w:val="0"/>
              <w:rPr>
                <w:rFonts w:ascii="宋体" w:hAnsi="宋体"/>
                <w:sz w:val="21"/>
                <w:szCs w:val="21"/>
              </w:rPr>
            </w:pPr>
            <w:r>
              <w:rPr>
                <w:rFonts w:ascii="宋体" w:hAnsi="宋体"/>
                <w:sz w:val="21"/>
                <w:szCs w:val="21"/>
              </w:rPr>
              <w:t>传真：</w:t>
            </w:r>
          </w:p>
          <w:p>
            <w:pPr>
              <w:snapToGrid w:val="0"/>
              <w:rPr>
                <w:rFonts w:ascii="宋体" w:hAnsi="宋体"/>
                <w:sz w:val="21"/>
                <w:szCs w:val="21"/>
              </w:rPr>
            </w:pPr>
            <w:r>
              <w:rPr>
                <w:rFonts w:ascii="宋体" w:hAnsi="宋体"/>
                <w:sz w:val="21"/>
                <w:szCs w:val="21"/>
              </w:rPr>
              <w:t>开户银行：</w:t>
            </w:r>
          </w:p>
          <w:p>
            <w:pPr>
              <w:snapToGrid w:val="0"/>
              <w:rPr>
                <w:rFonts w:ascii="宋体" w:hAnsi="宋体"/>
                <w:sz w:val="21"/>
                <w:szCs w:val="21"/>
              </w:rPr>
            </w:pPr>
            <w:r>
              <w:rPr>
                <w:rFonts w:ascii="宋体" w:hAnsi="宋体"/>
                <w:sz w:val="21"/>
                <w:szCs w:val="21"/>
              </w:rPr>
              <w:t>账号：</w:t>
            </w:r>
          </w:p>
          <w:p>
            <w:pPr>
              <w:snapToGrid w:val="0"/>
              <w:rPr>
                <w:rFonts w:ascii="宋体" w:hAnsi="宋体"/>
                <w:sz w:val="21"/>
                <w:szCs w:val="21"/>
              </w:rPr>
            </w:pPr>
            <w:r>
              <w:rPr>
                <w:rFonts w:ascii="宋体" w:hAnsi="宋体"/>
                <w:sz w:val="21"/>
                <w:szCs w:val="21"/>
              </w:rPr>
              <w:t>授权代表：</w:t>
            </w:r>
          </w:p>
          <w:p>
            <w:pPr>
              <w:widowControl/>
              <w:snapToGrid w:val="0"/>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9628" w:type="dxa"/>
            <w:gridSpan w:val="6"/>
          </w:tcPr>
          <w:p>
            <w:pPr>
              <w:snapToGrid w:val="0"/>
              <w:rPr>
                <w:rFonts w:ascii="宋体" w:hAnsi="宋体"/>
                <w:sz w:val="21"/>
                <w:szCs w:val="21"/>
              </w:rPr>
            </w:pPr>
            <w:r>
              <w:rPr>
                <w:rFonts w:ascii="宋体" w:hAnsi="宋体"/>
                <w:sz w:val="21"/>
                <w:szCs w:val="21"/>
              </w:rPr>
              <w:t>备注：</w:t>
            </w:r>
          </w:p>
          <w:p>
            <w:pPr>
              <w:snapToGrid w:val="0"/>
              <w:rPr>
                <w:rFonts w:ascii="宋体" w:hAnsi="宋体"/>
                <w:sz w:val="21"/>
                <w:szCs w:val="21"/>
              </w:rPr>
            </w:pPr>
          </w:p>
        </w:tc>
      </w:tr>
    </w:tbl>
    <w:p>
      <w:pPr>
        <w:snapToGrid w:val="0"/>
        <w:spacing w:line="360" w:lineRule="auto"/>
        <w:rPr>
          <w:rFonts w:ascii="宋体" w:hAnsi="宋体"/>
          <w:sz w:val="24"/>
        </w:rPr>
      </w:pPr>
      <w:r>
        <w:rPr>
          <w:rFonts w:ascii="宋体" w:hAnsi="宋体"/>
          <w:sz w:val="24"/>
        </w:rPr>
        <w:t>签约时间：           年   月   日      签约地点：</w:t>
      </w:r>
    </w:p>
    <w:bookmarkEnd w:id="98"/>
    <w:p>
      <w:pPr>
        <w:pageBreakBefore/>
        <w:spacing w:line="500" w:lineRule="exact"/>
        <w:rPr>
          <w:rFonts w:ascii="宋体" w:hAnsi="宋体"/>
          <w:sz w:val="24"/>
          <w:szCs w:val="24"/>
        </w:rPr>
      </w:pPr>
      <w:bookmarkStart w:id="99" w:name="_Toc23764521"/>
      <w:r>
        <w:rPr>
          <w:rFonts w:hint="eastAsia" w:ascii="宋体" w:hAnsi="宋体"/>
          <w:sz w:val="24"/>
          <w:szCs w:val="24"/>
        </w:rPr>
        <w:t xml:space="preserve">    附件1：重庆市经济信息委验收单</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jc w:val="center"/>
              <w:rPr>
                <w:rFonts w:ascii="宋体" w:hAnsi="宋体"/>
                <w:b/>
              </w:rPr>
            </w:pPr>
            <w:r>
              <w:rPr>
                <w:rFonts w:hint="eastAsia" w:ascii="宋体" w:hAnsi="宋体"/>
                <w:b/>
              </w:rPr>
              <w:t>重庆市经济信息委验收单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处室名称：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采购类别：货物□                   服务□                     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合同金额：                           验收金额：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629" w:type="dxa"/>
            <w:gridSpan w:val="2"/>
          </w:tcPr>
          <w:p>
            <w:pPr>
              <w:spacing w:line="500" w:lineRule="exact"/>
              <w:jc w:val="center"/>
              <w:rPr>
                <w:rFonts w:ascii="宋体" w:hAnsi="宋体"/>
                <w:b/>
                <w:bCs/>
                <w:sz w:val="24"/>
                <w:szCs w:val="24"/>
              </w:rPr>
            </w:pPr>
            <w:r>
              <w:rPr>
                <w:rFonts w:hint="eastAsia" w:ascii="宋体" w:hAnsi="宋体"/>
                <w:b/>
                <w:bCs/>
                <w:sz w:val="24"/>
                <w:szCs w:val="24"/>
              </w:rPr>
              <w:t>主要服务内容及要求</w:t>
            </w:r>
          </w:p>
        </w:tc>
        <w:tc>
          <w:tcPr>
            <w:tcW w:w="2977" w:type="dxa"/>
          </w:tcPr>
          <w:p>
            <w:pPr>
              <w:spacing w:line="500" w:lineRule="exact"/>
              <w:jc w:val="center"/>
              <w:rPr>
                <w:rFonts w:ascii="宋体" w:hAnsi="宋体"/>
                <w:b/>
                <w:bCs/>
                <w:sz w:val="24"/>
                <w:szCs w:val="24"/>
              </w:rPr>
            </w:pPr>
            <w:r>
              <w:rPr>
                <w:rFonts w:hint="eastAsia" w:ascii="宋体" w:hAnsi="宋体"/>
                <w:b/>
                <w:bCs/>
                <w:sz w:val="24"/>
                <w:szCs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ascii="宋体" w:hAnsi="宋体"/>
                <w:sz w:val="24"/>
                <w:szCs w:val="24"/>
              </w:rPr>
            </w:pPr>
            <w:r>
              <w:rPr>
                <w:rFonts w:hint="eastAsia" w:ascii="宋体" w:hAnsi="宋体"/>
                <w:color w:val="auto"/>
                <w:sz w:val="24"/>
                <w:szCs w:val="24"/>
              </w:rPr>
              <w:t>《重庆市电动汽车充电基础设施建设运营管理办法》</w:t>
            </w:r>
          </w:p>
        </w:tc>
        <w:tc>
          <w:tcPr>
            <w:tcW w:w="2977" w:type="dxa"/>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3510" w:type="dxa"/>
            <w:vAlign w:val="center"/>
          </w:tcPr>
          <w:p>
            <w:pPr>
              <w:spacing w:line="500" w:lineRule="exact"/>
              <w:jc w:val="center"/>
              <w:rPr>
                <w:rFonts w:ascii="宋体" w:hAnsi="宋体"/>
                <w:sz w:val="24"/>
                <w:szCs w:val="24"/>
              </w:rPr>
            </w:pPr>
            <w:r>
              <w:rPr>
                <w:rFonts w:hint="eastAsia" w:ascii="宋体" w:hAnsi="宋体"/>
                <w:sz w:val="24"/>
                <w:szCs w:val="24"/>
              </w:rPr>
              <w:t>供应商名称（盖章）</w:t>
            </w:r>
          </w:p>
        </w:tc>
        <w:tc>
          <w:tcPr>
            <w:tcW w:w="6096" w:type="dxa"/>
            <w:gridSpan w:val="2"/>
          </w:tcPr>
          <w:p>
            <w:pPr>
              <w:spacing w:line="500" w:lineRule="exact"/>
              <w:rPr>
                <w:rFonts w:ascii="宋体" w:hAnsi="宋体"/>
                <w:sz w:val="24"/>
                <w:szCs w:val="24"/>
              </w:rPr>
            </w:pPr>
          </w:p>
          <w:p>
            <w:pPr>
              <w:spacing w:line="500" w:lineRule="exact"/>
              <w:rPr>
                <w:rFonts w:ascii="宋体" w:hAnsi="宋体"/>
                <w:sz w:val="24"/>
                <w:szCs w:val="24"/>
              </w:rPr>
            </w:pPr>
          </w:p>
          <w:p>
            <w:pPr>
              <w:spacing w:line="500" w:lineRule="exact"/>
              <w:ind w:firstLine="960" w:firstLineChars="400"/>
              <w:rPr>
                <w:rFonts w:ascii="宋体" w:hAnsi="宋体"/>
                <w:sz w:val="24"/>
                <w:szCs w:val="24"/>
              </w:rPr>
            </w:pPr>
            <w:r>
              <w:rPr>
                <w:rFonts w:hint="eastAsia" w:ascii="宋体" w:hAnsi="宋体"/>
                <w:sz w:val="24"/>
                <w:szCs w:val="24"/>
              </w:rPr>
              <w:t>供应商签字：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3510" w:type="dxa"/>
            <w:vAlign w:val="center"/>
          </w:tcPr>
          <w:p>
            <w:pPr>
              <w:spacing w:line="500" w:lineRule="exact"/>
              <w:jc w:val="center"/>
              <w:rPr>
                <w:rFonts w:ascii="宋体" w:hAnsi="宋体"/>
                <w:sz w:val="24"/>
                <w:szCs w:val="24"/>
              </w:rPr>
            </w:pPr>
            <w:r>
              <w:rPr>
                <w:rFonts w:hint="eastAsia" w:ascii="宋体" w:hAnsi="宋体"/>
                <w:sz w:val="24"/>
                <w:szCs w:val="24"/>
              </w:rPr>
              <w:t>使用处室验收意见（盖章）</w:t>
            </w:r>
          </w:p>
        </w:tc>
        <w:tc>
          <w:tcPr>
            <w:tcW w:w="6096" w:type="dxa"/>
            <w:gridSpan w:val="2"/>
          </w:tcPr>
          <w:p>
            <w:pPr>
              <w:spacing w:line="500" w:lineRule="exact"/>
              <w:rPr>
                <w:rFonts w:ascii="宋体" w:hAnsi="宋体"/>
                <w:sz w:val="24"/>
                <w:szCs w:val="24"/>
              </w:rPr>
            </w:pPr>
          </w:p>
          <w:p>
            <w:pPr>
              <w:spacing w:line="500" w:lineRule="exact"/>
              <w:rPr>
                <w:rFonts w:ascii="宋体" w:hAnsi="宋体"/>
                <w:sz w:val="24"/>
                <w:szCs w:val="24"/>
              </w:rPr>
            </w:pPr>
          </w:p>
          <w:p>
            <w:pPr>
              <w:spacing w:line="500" w:lineRule="exact"/>
              <w:ind w:firstLine="960" w:firstLineChars="400"/>
              <w:rPr>
                <w:rFonts w:ascii="宋体" w:hAnsi="宋体"/>
                <w:sz w:val="24"/>
                <w:szCs w:val="24"/>
              </w:rPr>
            </w:pPr>
            <w:r>
              <w:rPr>
                <w:rFonts w:hint="eastAsia" w:ascii="宋体" w:hAnsi="宋体"/>
                <w:sz w:val="24"/>
                <w:szCs w:val="24"/>
              </w:rPr>
              <w:t>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3510" w:type="dxa"/>
            <w:vAlign w:val="center"/>
          </w:tcPr>
          <w:p>
            <w:pPr>
              <w:spacing w:line="500" w:lineRule="exact"/>
              <w:jc w:val="center"/>
              <w:rPr>
                <w:rFonts w:ascii="宋体" w:hAnsi="宋体"/>
                <w:sz w:val="24"/>
                <w:szCs w:val="24"/>
              </w:rPr>
            </w:pPr>
            <w:r>
              <w:rPr>
                <w:rFonts w:hint="eastAsia" w:ascii="宋体" w:hAnsi="宋体"/>
                <w:sz w:val="24"/>
                <w:szCs w:val="24"/>
              </w:rPr>
              <w:t>其他参与处室验收意见（若有）</w:t>
            </w:r>
          </w:p>
        </w:tc>
        <w:tc>
          <w:tcPr>
            <w:tcW w:w="6096" w:type="dxa"/>
            <w:gridSpan w:val="2"/>
          </w:tcPr>
          <w:p>
            <w:pPr>
              <w:spacing w:line="500" w:lineRule="exact"/>
              <w:rPr>
                <w:rFonts w:ascii="宋体" w:hAnsi="宋体"/>
                <w:sz w:val="24"/>
                <w:szCs w:val="24"/>
              </w:rPr>
            </w:pPr>
          </w:p>
          <w:p>
            <w:pPr>
              <w:spacing w:line="500" w:lineRule="exact"/>
              <w:rPr>
                <w:rFonts w:ascii="宋体" w:hAnsi="宋体"/>
                <w:sz w:val="24"/>
                <w:szCs w:val="24"/>
              </w:rPr>
            </w:pPr>
          </w:p>
          <w:p>
            <w:pPr>
              <w:spacing w:line="500" w:lineRule="exact"/>
              <w:ind w:firstLine="720" w:firstLineChars="300"/>
              <w:rPr>
                <w:rFonts w:ascii="宋体" w:hAnsi="宋体"/>
                <w:sz w:val="24"/>
                <w:szCs w:val="24"/>
              </w:rPr>
            </w:pPr>
            <w:r>
              <w:rPr>
                <w:rFonts w:hint="eastAsia" w:ascii="宋体" w:hAnsi="宋体"/>
                <w:sz w:val="24"/>
                <w:szCs w:val="24"/>
              </w:rPr>
              <w:t xml:space="preserve">  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tcPr>
          <w:p>
            <w:pPr>
              <w:spacing w:line="500" w:lineRule="exact"/>
              <w:jc w:val="center"/>
              <w:rPr>
                <w:rFonts w:ascii="宋体" w:hAnsi="宋体"/>
                <w:sz w:val="24"/>
                <w:szCs w:val="24"/>
              </w:rPr>
            </w:pPr>
            <w:r>
              <w:rPr>
                <w:rFonts w:hint="eastAsia" w:ascii="宋体" w:hAnsi="宋体"/>
                <w:sz w:val="24"/>
                <w:szCs w:val="24"/>
              </w:rPr>
              <w:t>备注</w:t>
            </w:r>
          </w:p>
        </w:tc>
        <w:tc>
          <w:tcPr>
            <w:tcW w:w="6096" w:type="dxa"/>
            <w:gridSpan w:val="2"/>
          </w:tcPr>
          <w:p>
            <w:pPr>
              <w:spacing w:line="500" w:lineRule="exact"/>
              <w:rPr>
                <w:rFonts w:ascii="宋体" w:hAnsi="宋体"/>
                <w:sz w:val="24"/>
                <w:szCs w:val="24"/>
              </w:rPr>
            </w:pPr>
          </w:p>
        </w:tc>
      </w:tr>
    </w:tbl>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1" w:charSpace="-5735"/>
        </w:sectPr>
      </w:pPr>
      <w:bookmarkStart w:id="100" w:name="_Toc67831730"/>
      <w:bookmarkStart w:id="101" w:name="_Toc65908708"/>
      <w:bookmarkStart w:id="102" w:name="_Toc297884605"/>
      <w:bookmarkStart w:id="103" w:name="_Toc443233540"/>
      <w:bookmarkStart w:id="104" w:name="_Toc67831034"/>
      <w:bookmarkStart w:id="105" w:name="OLE_LINK169"/>
      <w:bookmarkStart w:id="106" w:name="_Toc527636859"/>
      <w:bookmarkStart w:id="107" w:name="_Toc65648955"/>
      <w:bookmarkStart w:id="108" w:name="_Toc67968938"/>
      <w:bookmarkStart w:id="109" w:name="_Toc296088418"/>
      <w:bookmarkStart w:id="110" w:name="_Toc65656155"/>
    </w:p>
    <w:tbl>
      <w:tblPr>
        <w:tblStyle w:val="66"/>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4175" w:type="dxa"/>
            <w:gridSpan w:val="5"/>
            <w:vAlign w:val="center"/>
          </w:tcPr>
          <w:p>
            <w:pPr>
              <w:snapToGrid w:val="0"/>
              <w:rPr>
                <w:rFonts w:ascii="宋体" w:hAnsi="宋体"/>
                <w:sz w:val="24"/>
              </w:rPr>
            </w:pPr>
            <w:r>
              <w:rPr>
                <w:rFonts w:hint="eastAsia" w:ascii="宋体" w:hAnsi="宋体"/>
                <w:sz w:val="24"/>
              </w:rPr>
              <w:t>附件2：服务质量审核表</w:t>
            </w:r>
          </w:p>
          <w:p>
            <w:pPr>
              <w:snapToGrid w:val="0"/>
              <w:jc w:val="center"/>
              <w:rPr>
                <w:rFonts w:hint="default" w:ascii="宋体" w:hAnsi="宋体" w:eastAsia="宋体"/>
                <w:b/>
                <w:sz w:val="24"/>
                <w:lang w:val="en-US" w:eastAsia="zh-CN"/>
              </w:rPr>
            </w:pPr>
            <w:r>
              <w:rPr>
                <w:rFonts w:hint="eastAsia" w:ascii="宋体" w:hAnsi="宋体"/>
                <w:b/>
                <w:sz w:val="24"/>
                <w:lang w:eastAsia="zh-CN"/>
              </w:rPr>
              <w:t>《重庆市电动汽车充换电基础设施建设运营管理办法》立法研究项目</w:t>
            </w:r>
            <w:r>
              <w:rPr>
                <w:rFonts w:hint="eastAsia" w:ascii="宋体" w:hAnsi="宋体"/>
                <w:b/>
                <w:sz w:val="24"/>
                <w:lang w:val="en-US" w:eastAsia="zh-CN"/>
              </w:rPr>
              <w:t>服务质量审核表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560" w:type="dxa"/>
            <w:vAlign w:val="center"/>
          </w:tcPr>
          <w:p>
            <w:pPr>
              <w:snapToGrid w:val="0"/>
              <w:jc w:val="center"/>
              <w:rPr>
                <w:rFonts w:ascii="宋体" w:hAnsi="宋体"/>
                <w:b/>
                <w:sz w:val="24"/>
              </w:rPr>
            </w:pPr>
            <w:r>
              <w:rPr>
                <w:rFonts w:hint="eastAsia" w:ascii="宋体" w:hAnsi="宋体"/>
                <w:b/>
                <w:sz w:val="24"/>
              </w:rPr>
              <w:t>成交供应商</w:t>
            </w:r>
          </w:p>
          <w:p>
            <w:pPr>
              <w:snapToGrid w:val="0"/>
              <w:jc w:val="center"/>
              <w:rPr>
                <w:rFonts w:ascii="宋体" w:hAnsi="宋体"/>
                <w:b/>
                <w:sz w:val="24"/>
              </w:rPr>
            </w:pPr>
            <w:r>
              <w:rPr>
                <w:rFonts w:hint="eastAsia" w:ascii="宋体" w:hAnsi="宋体"/>
                <w:b/>
                <w:sz w:val="24"/>
              </w:rPr>
              <w:t>名称</w:t>
            </w:r>
          </w:p>
        </w:tc>
        <w:tc>
          <w:tcPr>
            <w:tcW w:w="1842" w:type="dxa"/>
            <w:vAlign w:val="center"/>
          </w:tcPr>
          <w:p>
            <w:pPr>
              <w:snapToGrid w:val="0"/>
              <w:jc w:val="center"/>
              <w:rPr>
                <w:rFonts w:ascii="宋体" w:hAnsi="宋体"/>
                <w:b/>
                <w:sz w:val="24"/>
              </w:rPr>
            </w:pPr>
            <w:r>
              <w:rPr>
                <w:rFonts w:hint="eastAsia" w:ascii="宋体" w:hAnsi="宋体"/>
                <w:b/>
                <w:sz w:val="24"/>
              </w:rPr>
              <w:t>审核日期</w:t>
            </w:r>
          </w:p>
        </w:tc>
        <w:tc>
          <w:tcPr>
            <w:tcW w:w="6096" w:type="dxa"/>
            <w:vAlign w:val="center"/>
          </w:tcPr>
          <w:p>
            <w:pPr>
              <w:snapToGrid w:val="0"/>
              <w:jc w:val="center"/>
              <w:rPr>
                <w:rFonts w:ascii="宋体" w:hAnsi="宋体"/>
                <w:b/>
                <w:sz w:val="24"/>
              </w:rPr>
            </w:pPr>
            <w:r>
              <w:rPr>
                <w:rFonts w:hint="eastAsia" w:ascii="宋体" w:hAnsi="宋体"/>
                <w:b/>
                <w:sz w:val="24"/>
              </w:rPr>
              <w:t>审核结果及说明</w:t>
            </w:r>
          </w:p>
        </w:tc>
        <w:tc>
          <w:tcPr>
            <w:tcW w:w="2409" w:type="dxa"/>
            <w:vAlign w:val="center"/>
          </w:tcPr>
          <w:p>
            <w:pPr>
              <w:snapToGrid w:val="0"/>
              <w:jc w:val="center"/>
              <w:rPr>
                <w:rFonts w:ascii="宋体" w:hAnsi="宋体"/>
                <w:b/>
                <w:sz w:val="24"/>
              </w:rPr>
            </w:pPr>
            <w:r>
              <w:rPr>
                <w:rFonts w:hint="eastAsia" w:ascii="宋体" w:hAnsi="宋体"/>
                <w:b/>
                <w:sz w:val="24"/>
              </w:rPr>
              <w:t>审核人签字</w:t>
            </w:r>
          </w:p>
        </w:tc>
        <w:tc>
          <w:tcPr>
            <w:tcW w:w="2268" w:type="dxa"/>
            <w:vAlign w:val="center"/>
          </w:tcPr>
          <w:p>
            <w:pPr>
              <w:snapToGrid w:val="0"/>
              <w:jc w:val="center"/>
              <w:rPr>
                <w:rFonts w:ascii="宋体" w:hAnsi="宋体"/>
                <w:b/>
                <w:sz w:val="24"/>
              </w:rPr>
            </w:pPr>
            <w:r>
              <w:rPr>
                <w:rFonts w:hint="eastAsia" w:ascii="宋体" w:hAnsi="宋体"/>
                <w:b/>
                <w:sz w:val="24"/>
              </w:rPr>
              <w:t>成交供应商代表</w:t>
            </w:r>
          </w:p>
          <w:p>
            <w:pPr>
              <w:snapToGrid w:val="0"/>
              <w:jc w:val="center"/>
              <w:rPr>
                <w:rFonts w:ascii="宋体" w:hAnsi="宋体"/>
                <w:b/>
                <w:sz w:val="24"/>
              </w:rPr>
            </w:pPr>
            <w:r>
              <w:rPr>
                <w:rFonts w:hint="eastAsia" w:ascii="宋体" w:hAnsi="宋体"/>
                <w:b/>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restart"/>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bl>
    <w:p>
      <w:pPr>
        <w:spacing w:line="500" w:lineRule="exact"/>
        <w:ind w:firstLine="480" w:firstLineChars="200"/>
        <w:rPr>
          <w:rFonts w:ascii="宋体" w:hAnsi="宋体"/>
          <w:sz w:val="24"/>
        </w:rPr>
        <w:sectPr>
          <w:headerReference r:id="rId11" w:type="default"/>
          <w:pgSz w:w="16840" w:h="11907" w:orient="landscape"/>
          <w:pgMar w:top="1191" w:right="1134" w:bottom="1191" w:left="1134" w:header="851" w:footer="992" w:gutter="0"/>
          <w:pgBorders>
            <w:top w:val="none" w:sz="0" w:space="0"/>
            <w:left w:val="none" w:sz="0" w:space="0"/>
            <w:bottom w:val="none" w:sz="0" w:space="0"/>
            <w:right w:val="none" w:sz="0" w:space="0"/>
          </w:pgBorders>
          <w:pgNumType w:fmt="numberInDash"/>
          <w:cols w:space="720" w:num="1"/>
          <w:docGrid w:linePitch="380" w:charSpace="-5735"/>
        </w:sectPr>
      </w:pPr>
    </w:p>
    <w:p>
      <w:pPr>
        <w:spacing w:line="500" w:lineRule="exact"/>
        <w:ind w:firstLine="480" w:firstLineChars="200"/>
        <w:rPr>
          <w:rFonts w:ascii="宋体" w:hAnsi="宋体"/>
          <w:sz w:val="24"/>
        </w:rPr>
      </w:pPr>
      <w:r>
        <w:rPr>
          <w:rFonts w:hint="eastAsia" w:ascii="宋体" w:hAnsi="宋体"/>
          <w:sz w:val="24"/>
        </w:rPr>
        <w:t>附件3：保密协议</w:t>
      </w:r>
    </w:p>
    <w:p>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bookmarkEnd w:id="100"/>
    <w:bookmarkEnd w:id="101"/>
    <w:bookmarkEnd w:id="102"/>
    <w:bookmarkEnd w:id="103"/>
    <w:bookmarkEnd w:id="104"/>
    <w:bookmarkEnd w:id="105"/>
    <w:bookmarkEnd w:id="106"/>
    <w:bookmarkEnd w:id="107"/>
    <w:bookmarkEnd w:id="108"/>
    <w:bookmarkEnd w:id="109"/>
    <w:bookmarkEnd w:id="110"/>
    <w:p>
      <w:pPr>
        <w:spacing w:line="600" w:lineRule="exact"/>
        <w:ind w:firstLine="422" w:firstLineChars="200"/>
        <w:rPr>
          <w:rFonts w:ascii="宋体" w:hAnsi="宋体"/>
          <w:b/>
          <w:sz w:val="21"/>
          <w:szCs w:val="21"/>
        </w:rPr>
      </w:pPr>
      <w:r>
        <w:rPr>
          <w:rFonts w:hint="eastAsia" w:ascii="宋体" w:hAnsi="宋体"/>
          <w:b/>
          <w:sz w:val="21"/>
          <w:szCs w:val="21"/>
        </w:rPr>
        <w:t>甲方：重庆市经济和信息化委员会</w:t>
      </w:r>
    </w:p>
    <w:p>
      <w:pPr>
        <w:spacing w:line="600" w:lineRule="exact"/>
        <w:ind w:firstLine="422" w:firstLineChars="200"/>
        <w:rPr>
          <w:rFonts w:ascii="宋体" w:hAnsi="宋体"/>
          <w:b/>
          <w:sz w:val="21"/>
          <w:szCs w:val="21"/>
        </w:rPr>
      </w:pPr>
      <w:r>
        <w:rPr>
          <w:rFonts w:hint="eastAsia" w:ascii="宋体" w:hAnsi="宋体"/>
          <w:b/>
          <w:sz w:val="21"/>
          <w:szCs w:val="21"/>
        </w:rPr>
        <w:t>乙方：</w:t>
      </w:r>
      <w:r>
        <w:rPr>
          <w:rFonts w:ascii="宋体" w:hAnsi="宋体"/>
          <w:b/>
          <w:sz w:val="21"/>
          <w:szCs w:val="21"/>
        </w:rPr>
        <w:t xml:space="preserve"> </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第二条 保密义务的内容</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 xml:space="preserve">因履行合同的需要或根据本协议，保密资料需要为第三方所知时，乙方应取得甲方的书面同意，且确保第三方签署一份与协议中的保密义务相等的保密承诺书。 </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4.如乙方未按上述条款所述义务保密从而导致甲方遭受损失，乙方应承担由此造成的全部损失，包括但不限于甲方因乙方的违约行为而受到的索赔、支出、法庭或仲裁庭或任何其它监管机构作出的处罚。</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5.本协议经甲乙双方签字盖章后生效。</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（以下无正文）</w:t>
      </w:r>
    </w:p>
    <w:p>
      <w:pPr>
        <w:spacing w:line="600" w:lineRule="exact"/>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pPr>
        <w:spacing w:line="600" w:lineRule="exact"/>
        <w:jc w:val="left"/>
        <w:rPr>
          <w:rFonts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pPr>
        <w:spacing w:line="600" w:lineRule="exact"/>
        <w:jc w:val="left"/>
        <w:rPr>
          <w:rFonts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pPr>
        <w:spacing w:line="600" w:lineRule="exact"/>
        <w:ind w:firstLine="420" w:firstLineChars="200"/>
        <w:jc w:val="left"/>
        <w:rPr>
          <w:rFonts w:ascii="宋体" w:hAnsi="宋体"/>
          <w:sz w:val="21"/>
          <w:szCs w:val="21"/>
        </w:rPr>
      </w:pPr>
      <w:r>
        <w:rPr>
          <w:rFonts w:hint="eastAsia" w:ascii="宋体" w:hAnsi="宋体"/>
          <w:sz w:val="21"/>
          <w:szCs w:val="21"/>
        </w:rPr>
        <w:t xml:space="preserve">                                                  </w:t>
      </w:r>
    </w:p>
    <w:p>
      <w:pPr>
        <w:snapToGrid w:val="0"/>
        <w:spacing w:line="360" w:lineRule="auto"/>
        <w:jc w:val="left"/>
        <w:rPr>
          <w:rFonts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pPr>
        <w:snapToGrid w:val="0"/>
        <w:spacing w:line="360" w:lineRule="auto"/>
        <w:jc w:val="left"/>
        <w:rPr>
          <w:rFonts w:ascii="宋体" w:hAnsi="宋体"/>
          <w:sz w:val="21"/>
          <w:szCs w:val="21"/>
        </w:rPr>
        <w:sectPr>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0" w:charSpace="-5735"/>
        </w:sectPr>
      </w:pPr>
    </w:p>
    <w:p>
      <w:pPr>
        <w:pStyle w:val="3"/>
        <w:spacing w:line="360" w:lineRule="auto"/>
        <w:jc w:val="center"/>
        <w:rPr>
          <w:rFonts w:ascii="宋体" w:hAnsi="宋体" w:eastAsia="宋体"/>
          <w:sz w:val="36"/>
          <w:szCs w:val="30"/>
        </w:rPr>
      </w:pPr>
      <w:bookmarkStart w:id="111" w:name="_Toc1515"/>
      <w:r>
        <w:rPr>
          <w:rFonts w:ascii="宋体" w:hAnsi="宋体" w:eastAsia="宋体"/>
          <w:sz w:val="36"/>
          <w:szCs w:val="30"/>
        </w:rPr>
        <w:t>第七篇  响应文件编制要求</w:t>
      </w:r>
      <w:bookmarkEnd w:id="99"/>
      <w:bookmarkEnd w:id="111"/>
    </w:p>
    <w:p>
      <w:pPr>
        <w:pStyle w:val="4"/>
        <w:spacing w:before="0" w:after="0" w:line="360" w:lineRule="auto"/>
        <w:ind w:firstLine="482" w:firstLineChars="200"/>
        <w:rPr>
          <w:rFonts w:ascii="宋体" w:hAnsi="宋体"/>
          <w:sz w:val="24"/>
          <w:szCs w:val="24"/>
        </w:rPr>
      </w:pPr>
      <w:bookmarkStart w:id="112" w:name="_Toc26639"/>
      <w:r>
        <w:rPr>
          <w:rFonts w:ascii="宋体" w:hAnsi="宋体"/>
          <w:sz w:val="24"/>
          <w:szCs w:val="24"/>
        </w:rPr>
        <w:t>一、经济</w:t>
      </w:r>
      <w:r>
        <w:rPr>
          <w:rFonts w:hint="eastAsia" w:ascii="宋体" w:hAnsi="宋体"/>
          <w:sz w:val="24"/>
          <w:szCs w:val="24"/>
        </w:rPr>
        <w:t>部分</w:t>
      </w:r>
      <w:bookmarkEnd w:id="112"/>
    </w:p>
    <w:p>
      <w:pPr>
        <w:snapToGrid w:val="0"/>
        <w:spacing w:line="360" w:lineRule="auto"/>
        <w:ind w:firstLine="480" w:firstLineChars="200"/>
        <w:rPr>
          <w:sz w:val="24"/>
          <w:szCs w:val="24"/>
        </w:rPr>
      </w:pPr>
      <w:r>
        <w:rPr>
          <w:sz w:val="24"/>
          <w:szCs w:val="24"/>
        </w:rPr>
        <w:t>（一）竞争性磋商报价函</w:t>
      </w:r>
    </w:p>
    <w:p>
      <w:pPr>
        <w:snapToGrid w:val="0"/>
        <w:spacing w:line="360" w:lineRule="auto"/>
        <w:ind w:firstLine="480" w:firstLineChars="200"/>
        <w:rPr>
          <w:sz w:val="24"/>
          <w:szCs w:val="24"/>
        </w:rPr>
      </w:pPr>
      <w:r>
        <w:rPr>
          <w:rFonts w:hint="eastAsia"/>
          <w:sz w:val="24"/>
          <w:szCs w:val="24"/>
        </w:rPr>
        <w:t>（二）分项报价明细表</w:t>
      </w:r>
    </w:p>
    <w:p>
      <w:pPr>
        <w:pStyle w:val="4"/>
        <w:spacing w:before="0" w:after="0" w:line="360" w:lineRule="auto"/>
        <w:ind w:firstLine="482" w:firstLineChars="200"/>
        <w:rPr>
          <w:rFonts w:ascii="宋体" w:hAnsi="宋体"/>
          <w:sz w:val="24"/>
          <w:szCs w:val="24"/>
        </w:rPr>
      </w:pPr>
      <w:bookmarkStart w:id="113" w:name="_Toc78194469"/>
      <w:bookmarkStart w:id="114" w:name="_Toc29281"/>
      <w:r>
        <w:rPr>
          <w:rFonts w:hint="eastAsia" w:ascii="宋体" w:hAnsi="宋体"/>
          <w:sz w:val="24"/>
          <w:szCs w:val="24"/>
        </w:rPr>
        <w:t>二、技术</w:t>
      </w:r>
      <w:bookmarkEnd w:id="113"/>
      <w:r>
        <w:rPr>
          <w:rFonts w:hint="eastAsia" w:ascii="宋体" w:hAnsi="宋体"/>
          <w:sz w:val="24"/>
          <w:szCs w:val="24"/>
        </w:rPr>
        <w:t>部分</w:t>
      </w:r>
      <w:bookmarkEnd w:id="114"/>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（二）服务响应偏离表</w:t>
      </w:r>
    </w:p>
    <w:p>
      <w:pPr>
        <w:pStyle w:val="4"/>
        <w:spacing w:before="0" w:after="0" w:line="360" w:lineRule="auto"/>
        <w:ind w:firstLine="482" w:firstLineChars="200"/>
        <w:rPr>
          <w:rFonts w:ascii="宋体" w:hAnsi="宋体"/>
          <w:sz w:val="24"/>
          <w:szCs w:val="24"/>
        </w:rPr>
      </w:pPr>
      <w:bookmarkStart w:id="115" w:name="_Toc1948"/>
      <w:r>
        <w:rPr>
          <w:rFonts w:ascii="宋体" w:hAnsi="宋体"/>
          <w:sz w:val="24"/>
          <w:szCs w:val="24"/>
        </w:rPr>
        <w:t>三、商务</w:t>
      </w:r>
      <w:r>
        <w:rPr>
          <w:rFonts w:hint="eastAsia" w:ascii="宋体" w:hAnsi="宋体"/>
          <w:sz w:val="24"/>
          <w:szCs w:val="24"/>
        </w:rPr>
        <w:t>部分</w:t>
      </w:r>
      <w:bookmarkEnd w:id="115"/>
    </w:p>
    <w:p>
      <w:pPr>
        <w:snapToGrid w:val="0"/>
        <w:spacing w:line="360" w:lineRule="auto"/>
        <w:ind w:firstLine="480" w:firstLineChars="200"/>
        <w:rPr>
          <w:sz w:val="24"/>
          <w:szCs w:val="24"/>
        </w:rPr>
      </w:pPr>
      <w:r>
        <w:rPr>
          <w:sz w:val="24"/>
          <w:szCs w:val="24"/>
        </w:rPr>
        <w:t>（一）</w:t>
      </w:r>
      <w:r>
        <w:rPr>
          <w:rFonts w:hint="eastAsia"/>
          <w:sz w:val="24"/>
          <w:szCs w:val="24"/>
        </w:rPr>
        <w:t>商务响应偏离表</w:t>
      </w:r>
    </w:p>
    <w:p>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pPr>
        <w:pStyle w:val="4"/>
        <w:spacing w:before="0" w:after="0" w:line="360" w:lineRule="auto"/>
        <w:ind w:firstLine="482" w:firstLineChars="200"/>
        <w:rPr>
          <w:rFonts w:ascii="宋体" w:hAnsi="宋体"/>
          <w:sz w:val="24"/>
          <w:szCs w:val="24"/>
        </w:rPr>
      </w:pPr>
      <w:bookmarkStart w:id="116" w:name="_Toc6145"/>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16"/>
    </w:p>
    <w:p>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《律师事务所执业许可证》或《律师事务所分所执业许可证》（副本）或法人营业执照（副本）或事业单位法人证书（副本）或个体工商户营业执照或有效的自然人身份证明或社会团体法人登记证书复印件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ascii="宋体" w:hAnsi="宋体"/>
          <w:sz w:val="24"/>
          <w:szCs w:val="24"/>
        </w:rPr>
        <w:t>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ascii="宋体" w:hAnsi="宋体"/>
          <w:sz w:val="24"/>
          <w:szCs w:val="24"/>
        </w:rPr>
        <w:t>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ascii="宋体" w:hAnsi="宋体"/>
          <w:sz w:val="24"/>
          <w:szCs w:val="24"/>
        </w:rPr>
      </w:pPr>
      <w:r>
        <w:rPr>
          <w:rFonts w:hint="eastAsia" w:ascii="宋体" w:hAnsi="宋体"/>
          <w:sz w:val="24"/>
          <w:szCs w:val="24"/>
        </w:rPr>
        <w:t>（五）本项目的特定资格条件（如果有）</w:t>
      </w:r>
    </w:p>
    <w:p>
      <w:pPr>
        <w:pStyle w:val="4"/>
        <w:spacing w:before="0" w:after="0" w:line="360" w:lineRule="auto"/>
        <w:ind w:firstLine="482" w:firstLineChars="200"/>
        <w:rPr>
          <w:rFonts w:ascii="宋体" w:hAnsi="宋体"/>
          <w:sz w:val="24"/>
          <w:szCs w:val="24"/>
        </w:rPr>
      </w:pPr>
      <w:bookmarkStart w:id="117" w:name="_Toc28803"/>
      <w:r>
        <w:rPr>
          <w:rFonts w:hint="eastAsia" w:ascii="宋体" w:hAnsi="宋体"/>
          <w:sz w:val="24"/>
          <w:szCs w:val="24"/>
        </w:rPr>
        <w:t>五</w:t>
      </w:r>
      <w:r>
        <w:rPr>
          <w:rFonts w:ascii="宋体" w:hAnsi="宋体"/>
          <w:sz w:val="24"/>
          <w:szCs w:val="24"/>
        </w:rPr>
        <w:t>、其他</w:t>
      </w:r>
      <w:bookmarkEnd w:id="117"/>
    </w:p>
    <w:p>
      <w:pPr>
        <w:snapToGrid w:val="0"/>
        <w:spacing w:line="360" w:lineRule="auto"/>
        <w:ind w:firstLine="480" w:firstLineChars="200"/>
        <w:rPr>
          <w:sz w:val="24"/>
          <w:szCs w:val="24"/>
        </w:rPr>
      </w:pPr>
      <w:r>
        <w:rPr>
          <w:rFonts w:hint="eastAsia"/>
          <w:sz w:val="24"/>
          <w:szCs w:val="24"/>
        </w:rPr>
        <w:t>（一）中小企业声明函、监狱企业证明文件、残疾人福利性单位声明函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（二）其他与项目有关的资料（自附）</w:t>
      </w:r>
    </w:p>
    <w:p>
      <w:pPr>
        <w:pageBreakBefore/>
        <w:tabs>
          <w:tab w:val="left" w:pos="6300"/>
        </w:tabs>
        <w:snapToGrid w:val="0"/>
        <w:spacing w:line="360" w:lineRule="auto"/>
        <w:ind w:firstLine="482" w:firstLineChars="200"/>
        <w:rPr>
          <w:b/>
          <w:sz w:val="24"/>
          <w:szCs w:val="24"/>
        </w:rPr>
      </w:pPr>
      <w:bookmarkStart w:id="118" w:name="_Toc23764522"/>
      <w:bookmarkStart w:id="119" w:name="_Toc313008356"/>
      <w:bookmarkStart w:id="120" w:name="_Toc342913419"/>
      <w:bookmarkStart w:id="121" w:name="_Toc313888360"/>
      <w:bookmarkStart w:id="122" w:name="_Toc283382454"/>
      <w:bookmarkStart w:id="123" w:name="_Toc12789073"/>
      <w:r>
        <w:rPr>
          <w:b/>
          <w:sz w:val="24"/>
          <w:szCs w:val="24"/>
        </w:rPr>
        <w:t>一、经济</w:t>
      </w:r>
      <w:bookmarkEnd w:id="118"/>
      <w:bookmarkEnd w:id="119"/>
      <w:bookmarkEnd w:id="120"/>
      <w:bookmarkEnd w:id="121"/>
      <w:r>
        <w:rPr>
          <w:rFonts w:hint="eastAsia"/>
          <w:b/>
          <w:sz w:val="24"/>
          <w:szCs w:val="24"/>
        </w:rPr>
        <w:t>文件</w:t>
      </w:r>
    </w:p>
    <w:bookmarkEnd w:id="122"/>
    <w:bookmarkEnd w:id="123"/>
    <w:p>
      <w:pPr>
        <w:tabs>
          <w:tab w:val="left" w:pos="6300"/>
        </w:tabs>
        <w:snapToGrid w:val="0"/>
        <w:spacing w:line="360" w:lineRule="auto"/>
        <w:ind w:firstLine="480" w:firstLineChars="200"/>
        <w:rPr>
          <w:sz w:val="24"/>
          <w:szCs w:val="24"/>
        </w:rPr>
      </w:pPr>
      <w:r>
        <w:rPr>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w:t>
      </w:r>
      <w:r>
        <w:rPr>
          <w:rFonts w:ascii="宋体" w:hAnsi="宋体"/>
          <w:sz w:val="24"/>
          <w:szCs w:val="24"/>
          <w:u w:val="single"/>
        </w:rPr>
        <w:t xml:space="preserve">      </w:t>
      </w:r>
      <w:r>
        <w:rPr>
          <w:rFonts w:ascii="宋体" w:hAnsi="宋体"/>
          <w:sz w:val="24"/>
          <w:szCs w:val="24"/>
        </w:rPr>
        <w:t>元整；人民币小写：</w:t>
      </w:r>
      <w:r>
        <w:rPr>
          <w:rFonts w:ascii="宋体" w:hAnsi="宋体"/>
          <w:sz w:val="24"/>
          <w:szCs w:val="24"/>
          <w:u w:val="single"/>
        </w:rPr>
        <w:t xml:space="preserve">    </w:t>
      </w:r>
      <w:r>
        <w:rPr>
          <w:rFonts w:ascii="宋体" w:hAnsi="宋体"/>
          <w:sz w:val="24"/>
          <w:szCs w:val="24"/>
        </w:rPr>
        <w:t>元。以我公司最后报价为准。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供应商（公章）：</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 xml:space="preserve">地址：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电话：                                             传真：</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网址：                                             邮编：</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sectPr>
          <w:headerReference r:id="rId12" w:type="default"/>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0" w:charSpace="-5735"/>
        </w:sectPr>
      </w:pPr>
      <w:r>
        <w:rPr>
          <w:sz w:val="24"/>
          <w:szCs w:val="24"/>
        </w:rPr>
        <w:t xml:space="preserve">                                                  年   月   日</w:t>
      </w:r>
    </w:p>
    <w:p>
      <w:pPr>
        <w:pageBreakBefore/>
        <w:snapToGrid w:val="0"/>
        <w:spacing w:line="360" w:lineRule="auto"/>
        <w:ind w:firstLine="480" w:firstLineChars="200"/>
        <w:jc w:val="left"/>
        <w:rPr>
          <w:rFonts w:ascii="宋体" w:hAnsi="宋体"/>
          <w:sz w:val="24"/>
          <w:szCs w:val="24"/>
        </w:rPr>
      </w:pPr>
      <w:bookmarkStart w:id="124" w:name="_Toc342913420"/>
      <w:bookmarkStart w:id="125" w:name="_Toc313888361"/>
      <w:bookmarkStart w:id="126" w:name="_Toc313008357"/>
      <w:bookmarkStart w:id="127" w:name="_Toc23764523"/>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pStyle w:val="35"/>
        <w:tabs>
          <w:tab w:val="left" w:pos="6300"/>
        </w:tabs>
        <w:snapToGrid w:val="0"/>
        <w:spacing w:line="360" w:lineRule="auto"/>
        <w:ind w:firstLine="480" w:firstLineChars="200"/>
        <w:rPr>
          <w:rFonts w:ascii="宋体" w:hAnsi="宋体"/>
          <w:sz w:val="24"/>
        </w:rPr>
      </w:pPr>
      <w:r>
        <w:rPr>
          <w:rFonts w:hint="eastAsia" w:ascii="宋体" w:hAnsi="宋体"/>
          <w:sz w:val="24"/>
        </w:rPr>
        <w:t>项目号：</w:t>
      </w:r>
    </w:p>
    <w:p>
      <w:pPr>
        <w:pStyle w:val="35"/>
        <w:tabs>
          <w:tab w:val="left" w:pos="6300"/>
        </w:tabs>
        <w:snapToGrid w:val="0"/>
        <w:spacing w:line="360" w:lineRule="auto"/>
        <w:ind w:firstLine="480" w:firstLineChars="200"/>
        <w:rPr>
          <w:rFonts w:ascii="宋体" w:hAnsi="宋体"/>
          <w:sz w:val="24"/>
        </w:rPr>
      </w:pPr>
      <w:r>
        <w:rPr>
          <w:rFonts w:hint="eastAsia" w:ascii="宋体" w:hAnsi="宋体"/>
          <w:sz w:val="24"/>
        </w:rPr>
        <w:t>项目名称：                                                       单位：元</w:t>
      </w:r>
    </w:p>
    <w:tbl>
      <w:tblPr>
        <w:tblStyle w:val="6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552"/>
        <w:gridCol w:w="850"/>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709" w:type="dxa"/>
            <w:vAlign w:val="center"/>
          </w:tcPr>
          <w:p>
            <w:pPr>
              <w:jc w:val="center"/>
              <w:rPr>
                <w:rFonts w:ascii="宋体" w:hAnsi="宋体"/>
                <w:b/>
                <w:sz w:val="21"/>
                <w:szCs w:val="21"/>
              </w:rPr>
            </w:pPr>
            <w:r>
              <w:rPr>
                <w:rFonts w:hint="eastAsia" w:ascii="宋体" w:hAnsi="宋体"/>
                <w:b/>
                <w:sz w:val="21"/>
                <w:szCs w:val="21"/>
              </w:rPr>
              <w:t>序号</w:t>
            </w:r>
          </w:p>
        </w:tc>
        <w:tc>
          <w:tcPr>
            <w:tcW w:w="3260" w:type="dxa"/>
            <w:vAlign w:val="center"/>
          </w:tcPr>
          <w:p>
            <w:pPr>
              <w:jc w:val="center"/>
              <w:rPr>
                <w:rFonts w:ascii="宋体" w:hAnsi="宋体"/>
                <w:b/>
                <w:sz w:val="21"/>
                <w:szCs w:val="21"/>
              </w:rPr>
            </w:pPr>
            <w:r>
              <w:rPr>
                <w:rFonts w:hint="eastAsia" w:ascii="宋体" w:hAnsi="宋体"/>
                <w:b/>
                <w:sz w:val="21"/>
                <w:szCs w:val="21"/>
              </w:rPr>
              <w:t>费用名称</w:t>
            </w:r>
          </w:p>
        </w:tc>
        <w:tc>
          <w:tcPr>
            <w:tcW w:w="2552" w:type="dxa"/>
            <w:vAlign w:val="center"/>
          </w:tcPr>
          <w:p>
            <w:pPr>
              <w:jc w:val="center"/>
              <w:rPr>
                <w:rFonts w:ascii="宋体" w:hAnsi="宋体"/>
                <w:b/>
                <w:sz w:val="21"/>
                <w:szCs w:val="21"/>
              </w:rPr>
            </w:pPr>
            <w:r>
              <w:rPr>
                <w:rFonts w:hint="eastAsia" w:ascii="宋体" w:hAnsi="宋体"/>
                <w:b/>
                <w:sz w:val="21"/>
                <w:szCs w:val="21"/>
              </w:rPr>
              <w:t>相关信息</w:t>
            </w:r>
          </w:p>
        </w:tc>
        <w:tc>
          <w:tcPr>
            <w:tcW w:w="850" w:type="dxa"/>
            <w:vAlign w:val="center"/>
          </w:tcPr>
          <w:p>
            <w:pPr>
              <w:jc w:val="center"/>
              <w:rPr>
                <w:rFonts w:ascii="宋体" w:hAnsi="宋体"/>
                <w:b/>
                <w:sz w:val="21"/>
                <w:szCs w:val="21"/>
              </w:rPr>
            </w:pPr>
            <w:r>
              <w:rPr>
                <w:rFonts w:hint="eastAsia" w:ascii="宋体" w:hAnsi="宋体"/>
                <w:b/>
                <w:sz w:val="21"/>
                <w:szCs w:val="21"/>
              </w:rPr>
              <w:t>数量</w:t>
            </w:r>
          </w:p>
        </w:tc>
        <w:tc>
          <w:tcPr>
            <w:tcW w:w="993" w:type="dxa"/>
            <w:vAlign w:val="center"/>
          </w:tcPr>
          <w:p>
            <w:pPr>
              <w:jc w:val="center"/>
              <w:rPr>
                <w:rFonts w:ascii="宋体" w:hAnsi="宋体"/>
                <w:b/>
                <w:sz w:val="21"/>
                <w:szCs w:val="21"/>
              </w:rPr>
            </w:pPr>
            <w:r>
              <w:rPr>
                <w:rFonts w:hint="eastAsia" w:ascii="宋体" w:hAnsi="宋体"/>
                <w:b/>
                <w:sz w:val="21"/>
                <w:szCs w:val="21"/>
              </w:rPr>
              <w:t>单价</w:t>
            </w:r>
          </w:p>
        </w:tc>
        <w:tc>
          <w:tcPr>
            <w:tcW w:w="1134" w:type="dxa"/>
            <w:vAlign w:val="center"/>
          </w:tcPr>
          <w:p>
            <w:pPr>
              <w:jc w:val="center"/>
              <w:rPr>
                <w:rFonts w:ascii="宋体" w:hAnsi="宋体"/>
                <w:b/>
                <w:sz w:val="21"/>
                <w:szCs w:val="21"/>
              </w:rPr>
            </w:pPr>
            <w:r>
              <w:rPr>
                <w:rFonts w:hint="eastAsia" w:ascii="宋体" w:hAns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r>
              <w:rPr>
                <w:rFonts w:hint="eastAsia" w:ascii="宋体" w:hAnsi="宋体"/>
                <w:sz w:val="21"/>
                <w:szCs w:val="21"/>
              </w:rPr>
              <w:t>1</w:t>
            </w: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r>
              <w:rPr>
                <w:rFonts w:hint="eastAsia" w:ascii="宋体" w:hAnsi="宋体"/>
                <w:sz w:val="21"/>
                <w:szCs w:val="21"/>
              </w:rPr>
              <w:t>2</w:t>
            </w: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r>
              <w:rPr>
                <w:rFonts w:hint="eastAsia" w:ascii="宋体" w:hAnsi="宋体"/>
                <w:sz w:val="21"/>
                <w:szCs w:val="21"/>
              </w:rPr>
              <w:t>3</w:t>
            </w:r>
          </w:p>
        </w:tc>
        <w:tc>
          <w:tcPr>
            <w:tcW w:w="3260" w:type="dxa"/>
            <w:vAlign w:val="center"/>
          </w:tcPr>
          <w:p>
            <w:pPr>
              <w:snapToGrid w:val="0"/>
              <w:jc w:val="center"/>
              <w:rPr>
                <w:rFonts w:ascii="宋体" w:hAnsi="宋体"/>
                <w:sz w:val="21"/>
                <w:szCs w:val="21"/>
              </w:rPr>
            </w:pPr>
            <w:r>
              <w:rPr>
                <w:rFonts w:hint="eastAsia" w:ascii="宋体" w:hAnsi="宋体"/>
                <w:sz w:val="21"/>
                <w:szCs w:val="21"/>
              </w:rPr>
              <w:t>……</w:t>
            </w: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9498" w:type="dxa"/>
            <w:gridSpan w:val="6"/>
            <w:vAlign w:val="center"/>
          </w:tcPr>
          <w:p>
            <w:pPr>
              <w:tabs>
                <w:tab w:val="left" w:pos="2850"/>
                <w:tab w:val="center" w:pos="3039"/>
              </w:tabs>
              <w:jc w:val="left"/>
              <w:rPr>
                <w:rFonts w:ascii="宋体" w:hAnsi="宋体"/>
                <w:sz w:val="21"/>
                <w:szCs w:val="21"/>
              </w:rPr>
            </w:pPr>
            <w:r>
              <w:rPr>
                <w:rFonts w:hint="eastAsia" w:ascii="宋体" w:hAnsi="宋体"/>
                <w:sz w:val="21"/>
                <w:szCs w:val="21"/>
              </w:rPr>
              <w:t>总计（元）：</w:t>
            </w:r>
          </w:p>
        </w:tc>
      </w:tr>
    </w:tbl>
    <w:p>
      <w:pPr>
        <w:spacing w:line="50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8"/>
          <w:highlight w:val="none"/>
        </w:rPr>
        <w:t>供应商：                                法定代表人</w:t>
      </w:r>
      <w:r>
        <w:rPr>
          <w:rFonts w:hint="eastAsia" w:ascii="宋体" w:hAnsi="宋体" w:eastAsia="宋体" w:cs="宋体"/>
          <w:sz w:val="24"/>
          <w:szCs w:val="24"/>
          <w:highlight w:val="none"/>
        </w:rPr>
        <w:t>（负责人）</w:t>
      </w:r>
    </w:p>
    <w:p>
      <w:pPr>
        <w:spacing w:line="500" w:lineRule="exact"/>
        <w:ind w:firstLine="4920" w:firstLineChars="2050"/>
        <w:rPr>
          <w:rFonts w:hint="eastAsia" w:ascii="宋体" w:hAnsi="宋体" w:eastAsia="宋体" w:cs="宋体"/>
          <w:sz w:val="24"/>
          <w:szCs w:val="28"/>
          <w:highlight w:val="none"/>
        </w:rPr>
      </w:pPr>
      <w:r>
        <w:rPr>
          <w:rFonts w:hint="eastAsia" w:ascii="宋体" w:hAnsi="宋体" w:eastAsia="宋体" w:cs="宋体"/>
          <w:sz w:val="24"/>
          <w:szCs w:val="28"/>
          <w:highlight w:val="none"/>
        </w:rPr>
        <w:t>或法定代表人</w:t>
      </w:r>
      <w:r>
        <w:rPr>
          <w:rFonts w:hint="eastAsia" w:ascii="宋体" w:hAnsi="宋体" w:eastAsia="宋体" w:cs="宋体"/>
          <w:sz w:val="24"/>
          <w:szCs w:val="24"/>
          <w:highlight w:val="none"/>
        </w:rPr>
        <w:t>（负责人）</w:t>
      </w:r>
      <w:r>
        <w:rPr>
          <w:rFonts w:hint="eastAsia" w:ascii="宋体" w:hAnsi="宋体" w:eastAsia="宋体" w:cs="宋体"/>
          <w:sz w:val="24"/>
          <w:szCs w:val="28"/>
          <w:highlight w:val="none"/>
        </w:rPr>
        <w:t>授权代表：</w:t>
      </w:r>
    </w:p>
    <w:p>
      <w:pPr>
        <w:spacing w:line="360" w:lineRule="auto"/>
        <w:rPr>
          <w:rFonts w:ascii="宋体" w:hAnsi="宋体"/>
          <w:sz w:val="24"/>
          <w:szCs w:val="28"/>
        </w:rPr>
      </w:pPr>
      <w:r>
        <w:rPr>
          <w:rFonts w:hint="eastAsia" w:ascii="宋体" w:hAnsi="宋体" w:eastAsia="宋体" w:cs="宋体"/>
          <w:sz w:val="24"/>
          <w:szCs w:val="28"/>
          <w:highlight w:val="none"/>
        </w:rPr>
        <w:t xml:space="preserve">      （公章）                                （签字或盖章）</w:t>
      </w:r>
    </w:p>
    <w:p>
      <w:pPr>
        <w:spacing w:line="360" w:lineRule="auto"/>
        <w:rPr>
          <w:rFonts w:ascii="宋体" w:hAnsi="宋体"/>
          <w:sz w:val="24"/>
          <w:szCs w:val="28"/>
        </w:rPr>
      </w:pP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hint="eastAsia" w:ascii="宋体" w:hAnsi="宋体" w:eastAsia="宋体"/>
          <w:sz w:val="24"/>
          <w:szCs w:val="28"/>
          <w:lang w:eastAsia="zh-CN"/>
        </w:rPr>
      </w:pPr>
      <w:r>
        <w:rPr>
          <w:rFonts w:hint="eastAsia" w:ascii="宋体" w:hAnsi="宋体"/>
          <w:sz w:val="24"/>
          <w:szCs w:val="28"/>
        </w:rPr>
        <w:t>2.供应商的分项报价为含税价（</w:t>
      </w:r>
      <w:r>
        <w:rPr>
          <w:rFonts w:hint="eastAsia" w:ascii="宋体" w:hAnsi="宋体"/>
          <w:b/>
          <w:sz w:val="24"/>
          <w:szCs w:val="28"/>
        </w:rPr>
        <w:t>即税费不单列</w:t>
      </w:r>
      <w:r>
        <w:rPr>
          <w:rFonts w:hint="eastAsia" w:ascii="宋体" w:hAnsi="宋体"/>
          <w:sz w:val="24"/>
          <w:szCs w:val="28"/>
        </w:rPr>
        <w:t>），应包含“</w:t>
      </w:r>
      <w:r>
        <w:rPr>
          <w:rFonts w:hint="eastAsia" w:ascii="宋体" w:hAnsi="宋体"/>
          <w:b/>
          <w:sz w:val="24"/>
          <w:szCs w:val="28"/>
        </w:rPr>
        <w:t>第三篇 项目商务需求 二、报价要求（一）</w:t>
      </w:r>
      <w:r>
        <w:rPr>
          <w:rFonts w:hint="eastAsia" w:ascii="宋体" w:hAnsi="宋体"/>
          <w:sz w:val="24"/>
          <w:szCs w:val="28"/>
        </w:rPr>
        <w:t>”所列的所有费用。</w:t>
      </w:r>
      <w:r>
        <w:rPr>
          <w:rFonts w:hint="eastAsia" w:ascii="宋体" w:hAnsi="宋体"/>
          <w:sz w:val="24"/>
          <w:szCs w:val="24"/>
        </w:rPr>
        <w:t>供应商响应文件中提供的分项报价表明细至少包括</w:t>
      </w:r>
      <w:r>
        <w:rPr>
          <w:rFonts w:hint="eastAsia" w:ascii="宋体" w:hAnsi="宋体"/>
          <w:sz w:val="24"/>
          <w:szCs w:val="24"/>
          <w:lang w:val="en-US" w:eastAsia="zh-CN"/>
        </w:rPr>
        <w:t>表中</w:t>
      </w:r>
      <w:r>
        <w:rPr>
          <w:rFonts w:hint="eastAsia" w:ascii="宋体" w:hAnsi="宋体"/>
          <w:sz w:val="24"/>
          <w:szCs w:val="24"/>
        </w:rPr>
        <w:t>内容，且单项价格不得超过分项限价</w:t>
      </w:r>
      <w:r>
        <w:rPr>
          <w:rFonts w:hint="eastAsia" w:ascii="宋体" w:hAnsi="宋体"/>
          <w:sz w:val="24"/>
          <w:szCs w:val="24"/>
          <w:lang w:eastAsia="zh-CN"/>
        </w:rPr>
        <w:t>。</w:t>
      </w:r>
    </w:p>
    <w:p>
      <w:pPr>
        <w:snapToGrid w:val="0"/>
        <w:spacing w:line="360" w:lineRule="auto"/>
        <w:ind w:firstLine="480" w:firstLineChars="200"/>
        <w:rPr>
          <w:b/>
          <w:sz w:val="24"/>
          <w:szCs w:val="24"/>
        </w:rPr>
      </w:pPr>
      <w:r>
        <w:rPr>
          <w:rFonts w:hint="eastAsia" w:ascii="宋体" w:hAnsi="宋体"/>
          <w:sz w:val="24"/>
          <w:szCs w:val="28"/>
        </w:rPr>
        <w:t>3.供应商须在响应文件“明细报价表”的“相关信息”一栏中详细列出明细报价组成情况。若明细内容较多的，供应商可自行增加列表。</w:t>
      </w:r>
    </w:p>
    <w:p>
      <w:pPr>
        <w:pageBreakBefore/>
        <w:tabs>
          <w:tab w:val="left" w:pos="6300"/>
        </w:tabs>
        <w:snapToGrid w:val="0"/>
        <w:spacing w:line="360" w:lineRule="auto"/>
        <w:ind w:firstLine="482" w:firstLineChars="200"/>
        <w:rPr>
          <w:b/>
          <w:sz w:val="24"/>
          <w:szCs w:val="24"/>
        </w:rPr>
      </w:pPr>
      <w:r>
        <w:rPr>
          <w:b/>
          <w:sz w:val="24"/>
          <w:szCs w:val="24"/>
        </w:rPr>
        <w:t>二、</w:t>
      </w:r>
      <w:r>
        <w:rPr>
          <w:rFonts w:hint="eastAsia"/>
          <w:b/>
          <w:sz w:val="24"/>
          <w:szCs w:val="24"/>
        </w:rPr>
        <w:t>技术</w:t>
      </w:r>
      <w:bookmarkEnd w:id="124"/>
      <w:bookmarkEnd w:id="125"/>
      <w:bookmarkEnd w:id="126"/>
      <w:bookmarkEnd w:id="127"/>
      <w:r>
        <w:rPr>
          <w:rFonts w:hint="eastAsia"/>
          <w:b/>
          <w:sz w:val="24"/>
          <w:szCs w:val="24"/>
        </w:rPr>
        <w:t>文件</w:t>
      </w:r>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（二）服务响应偏离表</w:t>
      </w:r>
    </w:p>
    <w:p>
      <w:pPr>
        <w:tabs>
          <w:tab w:val="left" w:pos="6300"/>
        </w:tabs>
        <w:snapToGrid w:val="0"/>
        <w:spacing w:line="360" w:lineRule="auto"/>
        <w:jc w:val="center"/>
        <w:rPr>
          <w:rFonts w:ascii="宋体" w:hAnsi="宋体"/>
          <w:szCs w:val="24"/>
        </w:rPr>
      </w:pPr>
      <w:bookmarkStart w:id="128" w:name="_Hlk71831631"/>
      <w:r>
        <w:rPr>
          <w:rFonts w:hint="eastAsia" w:ascii="宋体" w:hAnsi="宋体"/>
          <w:szCs w:val="24"/>
        </w:rPr>
        <w:t>服务</w:t>
      </w:r>
      <w:bookmarkEnd w:id="128"/>
      <w:r>
        <w:rPr>
          <w:rFonts w:hint="eastAsia" w:ascii="宋体" w:hAnsi="宋体"/>
          <w:szCs w:val="24"/>
        </w:rPr>
        <w:t>响应偏离表</w:t>
      </w:r>
    </w:p>
    <w:p>
      <w:pPr>
        <w:pStyle w:val="35"/>
        <w:tabs>
          <w:tab w:val="left" w:pos="6300"/>
        </w:tabs>
        <w:snapToGrid w:val="0"/>
        <w:spacing w:line="360" w:lineRule="auto"/>
        <w:ind w:firstLine="480" w:firstLineChars="200"/>
        <w:rPr>
          <w:rFonts w:ascii="宋体" w:hAnsi="宋体"/>
          <w:sz w:val="24"/>
        </w:rPr>
      </w:pPr>
      <w:r>
        <w:rPr>
          <w:rFonts w:hint="eastAsia" w:ascii="宋体" w:hAnsi="宋体"/>
          <w:sz w:val="24"/>
        </w:rPr>
        <w:t>项目号：</w:t>
      </w:r>
    </w:p>
    <w:p>
      <w:pPr>
        <w:pStyle w:val="35"/>
        <w:tabs>
          <w:tab w:val="left" w:pos="6300"/>
        </w:tabs>
        <w:snapToGrid w:val="0"/>
        <w:spacing w:line="360" w:lineRule="auto"/>
        <w:ind w:firstLine="480" w:firstLineChars="200"/>
        <w:rPr>
          <w:rFonts w:ascii="宋体" w:hAnsi="宋体"/>
          <w:sz w:val="24"/>
        </w:rPr>
      </w:pPr>
      <w:r>
        <w:rPr>
          <w:rFonts w:hint="eastAsia" w:ascii="宋体" w:hAnsi="宋体"/>
          <w:sz w:val="24"/>
        </w:rPr>
        <w:t>项目名称：</w:t>
      </w:r>
    </w:p>
    <w:tbl>
      <w:tblPr>
        <w:tblStyle w:val="66"/>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067"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bl>
    <w:p>
      <w:pPr>
        <w:spacing w:line="50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8"/>
          <w:highlight w:val="none"/>
        </w:rPr>
        <w:t>供应商：                                法定代表人</w:t>
      </w:r>
      <w:r>
        <w:rPr>
          <w:rFonts w:hint="eastAsia" w:ascii="宋体" w:hAnsi="宋体" w:eastAsia="宋体" w:cs="宋体"/>
          <w:sz w:val="24"/>
          <w:szCs w:val="24"/>
          <w:highlight w:val="none"/>
        </w:rPr>
        <w:t>（负责人）</w:t>
      </w:r>
    </w:p>
    <w:p>
      <w:pPr>
        <w:spacing w:line="500" w:lineRule="exact"/>
        <w:ind w:firstLine="4920" w:firstLineChars="2050"/>
        <w:rPr>
          <w:rFonts w:hint="eastAsia" w:ascii="宋体" w:hAnsi="宋体" w:eastAsia="宋体" w:cs="宋体"/>
          <w:sz w:val="24"/>
          <w:szCs w:val="28"/>
          <w:highlight w:val="none"/>
        </w:rPr>
      </w:pPr>
      <w:r>
        <w:rPr>
          <w:rFonts w:hint="eastAsia" w:ascii="宋体" w:hAnsi="宋体" w:eastAsia="宋体" w:cs="宋体"/>
          <w:sz w:val="24"/>
          <w:szCs w:val="28"/>
          <w:highlight w:val="none"/>
        </w:rPr>
        <w:t>或法定代表人</w:t>
      </w:r>
      <w:r>
        <w:rPr>
          <w:rFonts w:hint="eastAsia" w:ascii="宋体" w:hAnsi="宋体" w:eastAsia="宋体" w:cs="宋体"/>
          <w:sz w:val="24"/>
          <w:szCs w:val="24"/>
          <w:highlight w:val="none"/>
        </w:rPr>
        <w:t>（负责人）</w:t>
      </w:r>
      <w:r>
        <w:rPr>
          <w:rFonts w:hint="eastAsia" w:ascii="宋体" w:hAnsi="宋体" w:eastAsia="宋体" w:cs="宋体"/>
          <w:sz w:val="24"/>
          <w:szCs w:val="28"/>
          <w:highlight w:val="none"/>
        </w:rPr>
        <w:t>授权代表：</w:t>
      </w:r>
    </w:p>
    <w:p>
      <w:pPr>
        <w:spacing w:line="360" w:lineRule="auto"/>
        <w:rPr>
          <w:rFonts w:ascii="宋体" w:hAnsi="宋体"/>
          <w:sz w:val="24"/>
          <w:szCs w:val="28"/>
        </w:rPr>
      </w:pPr>
      <w:r>
        <w:rPr>
          <w:rFonts w:hint="eastAsia" w:ascii="宋体" w:hAnsi="宋体" w:eastAsia="宋体" w:cs="宋体"/>
          <w:sz w:val="24"/>
          <w:szCs w:val="28"/>
          <w:highlight w:val="none"/>
        </w:rPr>
        <w:t xml:space="preserve">      （公章）                                （签字或盖章）</w:t>
      </w:r>
    </w:p>
    <w:p>
      <w:pPr>
        <w:spacing w:line="360" w:lineRule="auto"/>
        <w:rPr>
          <w:rFonts w:ascii="宋体" w:hAnsi="宋体"/>
          <w:sz w:val="24"/>
          <w:szCs w:val="28"/>
        </w:rPr>
      </w:pPr>
    </w:p>
    <w:p>
      <w:pPr>
        <w:tabs>
          <w:tab w:val="left" w:pos="6300"/>
        </w:tabs>
        <w:snapToGrid w:val="0"/>
        <w:spacing w:line="360" w:lineRule="auto"/>
        <w:ind w:firstLine="570"/>
        <w:rPr>
          <w:rFonts w:ascii="宋体" w:hAnsi="宋体"/>
          <w:sz w:val="24"/>
          <w:szCs w:val="28"/>
        </w:rPr>
      </w:pPr>
      <w:r>
        <w:rPr>
          <w:rFonts w:hint="eastAsia" w:ascii="宋体" w:hAnsi="宋体"/>
          <w:sz w:val="24"/>
          <w:szCs w:val="28"/>
        </w:rPr>
        <w:t xml:space="preserve">                                              年     月     日</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2.该表可扩展。</w:t>
      </w:r>
    </w:p>
    <w:p>
      <w:pPr>
        <w:pageBreakBefore/>
        <w:tabs>
          <w:tab w:val="left" w:pos="6300"/>
        </w:tabs>
        <w:snapToGrid w:val="0"/>
        <w:spacing w:line="360" w:lineRule="auto"/>
        <w:ind w:firstLine="482" w:firstLineChars="200"/>
        <w:rPr>
          <w:b/>
          <w:sz w:val="24"/>
          <w:szCs w:val="24"/>
        </w:rPr>
      </w:pPr>
      <w:bookmarkStart w:id="129" w:name="_Toc342913421"/>
      <w:bookmarkStart w:id="130" w:name="_Toc313008358"/>
      <w:bookmarkStart w:id="131" w:name="_Toc313888362"/>
      <w:bookmarkStart w:id="132" w:name="_Toc23764524"/>
      <w:r>
        <w:rPr>
          <w:b/>
          <w:sz w:val="24"/>
          <w:szCs w:val="24"/>
        </w:rPr>
        <w:t>三、商务</w:t>
      </w:r>
      <w:bookmarkEnd w:id="129"/>
      <w:bookmarkEnd w:id="130"/>
      <w:bookmarkEnd w:id="131"/>
      <w:bookmarkEnd w:id="132"/>
      <w:r>
        <w:rPr>
          <w:rFonts w:hint="eastAsia"/>
          <w:b/>
          <w:sz w:val="24"/>
          <w:szCs w:val="24"/>
        </w:rPr>
        <w:t>文件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66"/>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50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8"/>
          <w:highlight w:val="none"/>
        </w:rPr>
        <w:t>供应商：                                法定代表人</w:t>
      </w:r>
      <w:r>
        <w:rPr>
          <w:rFonts w:hint="eastAsia" w:ascii="宋体" w:hAnsi="宋体" w:eastAsia="宋体" w:cs="宋体"/>
          <w:sz w:val="24"/>
          <w:szCs w:val="24"/>
          <w:highlight w:val="none"/>
        </w:rPr>
        <w:t>（负责人）</w:t>
      </w:r>
    </w:p>
    <w:p>
      <w:pPr>
        <w:spacing w:line="500" w:lineRule="exact"/>
        <w:ind w:firstLine="4920" w:firstLineChars="2050"/>
        <w:rPr>
          <w:rFonts w:hint="eastAsia" w:ascii="宋体" w:hAnsi="宋体" w:eastAsia="宋体" w:cs="宋体"/>
          <w:sz w:val="24"/>
          <w:szCs w:val="28"/>
          <w:highlight w:val="none"/>
        </w:rPr>
      </w:pPr>
      <w:r>
        <w:rPr>
          <w:rFonts w:hint="eastAsia" w:ascii="宋体" w:hAnsi="宋体" w:eastAsia="宋体" w:cs="宋体"/>
          <w:sz w:val="24"/>
          <w:szCs w:val="28"/>
          <w:highlight w:val="none"/>
        </w:rPr>
        <w:t>或法定代表人</w:t>
      </w:r>
      <w:r>
        <w:rPr>
          <w:rFonts w:hint="eastAsia" w:ascii="宋体" w:hAnsi="宋体" w:eastAsia="宋体" w:cs="宋体"/>
          <w:sz w:val="24"/>
          <w:szCs w:val="24"/>
          <w:highlight w:val="none"/>
        </w:rPr>
        <w:t>（负责人）</w:t>
      </w:r>
      <w:r>
        <w:rPr>
          <w:rFonts w:hint="eastAsia" w:ascii="宋体" w:hAnsi="宋体" w:eastAsia="宋体" w:cs="宋体"/>
          <w:sz w:val="24"/>
          <w:szCs w:val="28"/>
          <w:highlight w:val="none"/>
        </w:rPr>
        <w:t>授权代表：</w:t>
      </w:r>
    </w:p>
    <w:p>
      <w:pPr>
        <w:tabs>
          <w:tab w:val="left" w:pos="6300"/>
        </w:tabs>
        <w:snapToGrid w:val="0"/>
        <w:spacing w:line="360" w:lineRule="auto"/>
        <w:rPr>
          <w:rFonts w:ascii="宋体" w:hAnsi="宋体"/>
          <w:sz w:val="24"/>
          <w:szCs w:val="24"/>
        </w:rPr>
      </w:pPr>
      <w:r>
        <w:rPr>
          <w:rFonts w:hint="eastAsia" w:ascii="宋体" w:hAnsi="宋体" w:eastAsia="宋体" w:cs="宋体"/>
          <w:sz w:val="24"/>
          <w:szCs w:val="28"/>
          <w:highlight w:val="none"/>
        </w:rPr>
        <w:t xml:space="preserve">      （公章）                                （签字或盖章）</w:t>
      </w:r>
    </w:p>
    <w:p>
      <w:pPr>
        <w:tabs>
          <w:tab w:val="left" w:pos="6300"/>
        </w:tabs>
        <w:snapToGrid w:val="0"/>
        <w:spacing w:line="360" w:lineRule="auto"/>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项目商务需求”中所列商务条款进行比较和响应；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2.该表可扩展。</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pPr>
        <w:tabs>
          <w:tab w:val="left" w:pos="6300"/>
        </w:tabs>
        <w:snapToGrid w:val="0"/>
        <w:spacing w:line="360" w:lineRule="auto"/>
        <w:ind w:firstLine="560" w:firstLineChars="200"/>
      </w:pPr>
    </w:p>
    <w:p>
      <w:pPr>
        <w:tabs>
          <w:tab w:val="left" w:pos="6300"/>
        </w:tabs>
        <w:snapToGrid w:val="0"/>
        <w:spacing w:line="360" w:lineRule="auto"/>
        <w:ind w:firstLine="480" w:firstLineChars="200"/>
        <w:rPr>
          <w:sz w:val="24"/>
          <w:szCs w:val="24"/>
        </w:rPr>
      </w:pPr>
      <w:bookmarkStart w:id="133" w:name="_Toc342913422"/>
      <w:bookmarkStart w:id="134" w:name="_Toc313888363"/>
      <w:bookmarkStart w:id="135" w:name="_Toc23764525"/>
      <w:bookmarkStart w:id="136" w:name="_Toc313008359"/>
    </w:p>
    <w:p>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33"/>
      <w:bookmarkEnd w:id="134"/>
      <w:bookmarkEnd w:id="135"/>
      <w:bookmarkEnd w:id="136"/>
      <w:r>
        <w:rPr>
          <w:rFonts w:hint="eastAsia"/>
          <w:b/>
          <w:sz w:val="24"/>
          <w:szCs w:val="24"/>
        </w:rPr>
        <w:t>文件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（一）律师事务所执业许可证》或《律师事务所分所执业许可证》（副本）或法人营业执照（副本）或事业单位法人证书（副本）或个体工商户营业执照或有效的自然人身份证明或社会团体法人登记证书复印件</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w:t>
      </w:r>
      <w:r>
        <w:rPr>
          <w:rFonts w:hint="eastAsia" w:ascii="宋体" w:hAnsi="宋体" w:eastAsia="宋体" w:cs="宋体"/>
          <w:sz w:val="24"/>
          <w:szCs w:val="24"/>
          <w:highlight w:val="none"/>
        </w:rPr>
        <w:t>法定代表人（负责人）身份证明书（格式</w:t>
      </w:r>
    </w:p>
    <w:p>
      <w:pPr>
        <w:tabs>
          <w:tab w:val="left" w:pos="6300"/>
        </w:tabs>
        <w:snapToGrid w:val="0"/>
        <w:spacing w:line="500" w:lineRule="exact"/>
        <w:jc w:val="center"/>
        <w:rPr>
          <w:rFonts w:ascii="宋体" w:hAnsi="宋体"/>
        </w:rPr>
      </w:pPr>
      <w:r>
        <w:rPr>
          <w:rFonts w:hint="eastAsia" w:ascii="宋体" w:hAnsi="宋体"/>
        </w:rPr>
        <w:t>法定代表人（负责人）身份证明书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w:t>
      </w:r>
      <w:r>
        <w:rPr>
          <w:rFonts w:hint="eastAsia" w:ascii="宋体" w:hAnsi="宋体"/>
          <w:sz w:val="24"/>
          <w:szCs w:val="24"/>
        </w:rPr>
        <w:t>法定代表人（负责人）姓名</w:t>
      </w:r>
      <w:r>
        <w:rPr>
          <w:rFonts w:ascii="宋体" w:hAnsi="宋体"/>
          <w:sz w:val="24"/>
          <w:szCs w:val="24"/>
        </w:rPr>
        <w:t>）在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lang w:eastAsia="zh-CN"/>
        </w:rPr>
        <w:t>）</w:t>
      </w:r>
      <w:r>
        <w:rPr>
          <w:rFonts w:ascii="宋体" w:hAnsi="宋体"/>
          <w:sz w:val="24"/>
          <w:szCs w:val="24"/>
        </w:rPr>
        <w:t>。</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r>
        <w:rPr>
          <w:sz w:val="24"/>
          <w:szCs w:val="24"/>
        </w:rPr>
        <w:t>（附：法定代表人</w:t>
      </w:r>
      <w:r>
        <w:rPr>
          <w:rFonts w:hint="eastAsia" w:ascii="宋体" w:hAnsi="宋体" w:eastAsia="宋体" w:cs="宋体"/>
          <w:sz w:val="24"/>
          <w:szCs w:val="24"/>
          <w:highlight w:val="none"/>
        </w:rPr>
        <w:t>（负责人）</w:t>
      </w:r>
      <w:r>
        <w:rPr>
          <w:sz w:val="24"/>
          <w:szCs w:val="24"/>
        </w:rPr>
        <w:t>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w:t>
      </w:r>
      <w:r>
        <w:rPr>
          <w:rFonts w:hint="eastAsia" w:ascii="宋体" w:hAnsi="宋体" w:eastAsia="宋体" w:cs="宋体"/>
          <w:sz w:val="24"/>
          <w:szCs w:val="24"/>
          <w:highlight w:val="none"/>
        </w:rPr>
        <w:t>（负责人）</w:t>
      </w:r>
      <w:r>
        <w:rPr>
          <w:sz w:val="24"/>
          <w:szCs w:val="24"/>
        </w:rPr>
        <w:t>授权委托书（格式）</w:t>
      </w:r>
    </w:p>
    <w:p>
      <w:pPr>
        <w:tabs>
          <w:tab w:val="left" w:pos="6300"/>
        </w:tabs>
        <w:snapToGrid w:val="0"/>
        <w:spacing w:line="500" w:lineRule="exact"/>
        <w:jc w:val="center"/>
      </w:pPr>
      <w:r>
        <w:t>法定代表人</w:t>
      </w:r>
      <w:r>
        <w:rPr>
          <w:rFonts w:hint="eastAsia" w:ascii="宋体" w:hAnsi="宋体" w:eastAsia="宋体" w:cs="宋体"/>
          <w:highlight w:val="none"/>
        </w:rPr>
        <w:t>（负责人）</w:t>
      </w:r>
      <w:r>
        <w:t>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w:t>
      </w:r>
      <w:r>
        <w:rPr>
          <w:rFonts w:hint="eastAsia"/>
          <w:sz w:val="24"/>
          <w:szCs w:val="24"/>
        </w:rPr>
        <w:t>（负责人）</w:t>
      </w:r>
      <w:r>
        <w:rPr>
          <w:sz w:val="24"/>
          <w:szCs w:val="24"/>
        </w:rPr>
        <w:t>名称）是</w:t>
      </w:r>
      <w:r>
        <w:rPr>
          <w:sz w:val="24"/>
          <w:szCs w:val="24"/>
          <w:u w:val="single"/>
        </w:rPr>
        <w:t xml:space="preserve">                    </w:t>
      </w:r>
      <w:r>
        <w:rPr>
          <w:sz w:val="24"/>
          <w:szCs w:val="24"/>
        </w:rPr>
        <w:t>（供应商名称）的法定代表人</w:t>
      </w:r>
      <w:r>
        <w:rPr>
          <w:rFonts w:hint="eastAsia"/>
          <w:sz w:val="24"/>
          <w:szCs w:val="24"/>
        </w:rPr>
        <w:t>（负责人）</w:t>
      </w:r>
      <w:r>
        <w:rPr>
          <w:sz w:val="24"/>
          <w:szCs w:val="24"/>
        </w:rPr>
        <w:t>，特授权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w:t>
      </w:r>
      <w:r>
        <w:rPr>
          <w:rFonts w:hint="eastAsia"/>
          <w:sz w:val="24"/>
          <w:szCs w:val="24"/>
          <w:lang w:val="en-US" w:eastAsia="zh-CN"/>
        </w:rPr>
        <w:t>撤销</w:t>
      </w:r>
      <w:r>
        <w:rPr>
          <w:sz w:val="24"/>
          <w:szCs w:val="24"/>
        </w:rPr>
        <w:t>授权的书面通知以前，本授权书一直有效。被授权人在授权书有效期内签署的所有文件不因授权的</w:t>
      </w:r>
      <w:r>
        <w:rPr>
          <w:rFonts w:hint="eastAsia"/>
          <w:sz w:val="24"/>
          <w:szCs w:val="24"/>
          <w:lang w:val="en-US" w:eastAsia="zh-CN"/>
        </w:rPr>
        <w:t>撤销</w:t>
      </w:r>
      <w:r>
        <w:rPr>
          <w:sz w:val="24"/>
          <w:szCs w:val="24"/>
        </w:rPr>
        <w:t>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r>
        <w:rPr>
          <w:rFonts w:hint="eastAsia"/>
          <w:sz w:val="24"/>
          <w:szCs w:val="24"/>
        </w:rPr>
        <w:t>（</w:t>
      </w:r>
      <w:r>
        <w:rPr>
          <w:rFonts w:hint="eastAsia"/>
          <w:sz w:val="24"/>
          <w:szCs w:val="24"/>
          <w:lang w:val="en-US" w:eastAsia="zh-CN"/>
        </w:rPr>
        <w:t>或</w:t>
      </w:r>
      <w:r>
        <w:rPr>
          <w:rFonts w:hint="eastAsia"/>
          <w:sz w:val="24"/>
          <w:szCs w:val="24"/>
        </w:rPr>
        <w:t>负责人）</w:t>
      </w:r>
      <w:r>
        <w:rPr>
          <w:sz w:val="24"/>
          <w:szCs w:val="24"/>
        </w:rPr>
        <w:t>：</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rFonts w:ascii="宋体" w:hAnsi="宋体"/>
          <w:sz w:val="24"/>
          <w:szCs w:val="24"/>
        </w:rPr>
      </w:pPr>
      <w:r>
        <w:rPr>
          <w:sz w:val="24"/>
          <w:szCs w:val="24"/>
        </w:rPr>
        <w:t>注</w:t>
      </w:r>
      <w:r>
        <w:rPr>
          <w:rFonts w:ascii="宋体" w:hAnsi="宋体"/>
          <w:sz w:val="24"/>
          <w:szCs w:val="24"/>
        </w:rPr>
        <w:t>：若为法定代表人</w:t>
      </w:r>
      <w:r>
        <w:rPr>
          <w:rFonts w:hint="eastAsia" w:ascii="宋体" w:hAnsi="宋体"/>
          <w:sz w:val="24"/>
          <w:szCs w:val="24"/>
        </w:rPr>
        <w:t>（</w:t>
      </w:r>
      <w:r>
        <w:rPr>
          <w:rFonts w:hint="eastAsia" w:ascii="宋体" w:hAnsi="宋体"/>
          <w:sz w:val="24"/>
          <w:szCs w:val="24"/>
          <w:lang w:val="en-US" w:eastAsia="zh-CN"/>
        </w:rPr>
        <w:t>或</w:t>
      </w:r>
      <w:r>
        <w:rPr>
          <w:rFonts w:hint="eastAsia" w:ascii="宋体" w:hAnsi="宋体"/>
          <w:sz w:val="24"/>
          <w:szCs w:val="24"/>
        </w:rPr>
        <w:t>负责人）</w:t>
      </w:r>
      <w:r>
        <w:rPr>
          <w:rFonts w:ascii="宋体" w:hAnsi="宋体"/>
          <w:sz w:val="24"/>
          <w:szCs w:val="24"/>
        </w:rPr>
        <w:t>办理并签署响应文件的，不提供此文件</w:t>
      </w:r>
      <w:r>
        <w:rPr>
          <w:rFonts w:hint="eastAsia" w:ascii="宋体" w:hAnsi="宋体"/>
          <w:sz w:val="24"/>
          <w:szCs w:val="24"/>
        </w:rPr>
        <w:t>；</w:t>
      </w:r>
    </w:p>
    <w:p>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tabs>
          <w:tab w:val="left" w:pos="6300"/>
        </w:tabs>
        <w:snapToGrid w:val="0"/>
        <w:spacing w:line="500" w:lineRule="exact"/>
        <w:jc w:val="center"/>
      </w:pPr>
      <w:r>
        <w:rPr>
          <w:rFonts w:hint="eastAsia"/>
        </w:rPr>
        <w:t>基本资格条件承诺函</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rPr>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pPr>
        <w:tabs>
          <w:tab w:val="left" w:pos="6300"/>
        </w:tabs>
        <w:snapToGrid w:val="0"/>
        <w:spacing w:line="500" w:lineRule="exact"/>
        <w:ind w:firstLine="480" w:firstLineChars="200"/>
        <w:rPr>
          <w:sz w:val="24"/>
          <w:szCs w:val="24"/>
        </w:rPr>
      </w:pPr>
      <w:r>
        <w:rPr>
          <w:rFonts w:hint="eastAsia"/>
          <w:sz w:val="24"/>
          <w:szCs w:val="24"/>
          <w:u w:val="single"/>
        </w:rPr>
        <w:t xml:space="preserve">                    </w:t>
      </w:r>
      <w:r>
        <w:rPr>
          <w:rFonts w:hint="eastAsia"/>
          <w:sz w:val="24"/>
          <w:szCs w:val="24"/>
        </w:rPr>
        <w:t>（供应商名称）郑重承诺：</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提供相关证明材料，证明符合《中华人民共和国政府采购法》规定的投标人基本资格条件。</w:t>
      </w:r>
    </w:p>
    <w:p>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pPr>
        <w:tabs>
          <w:tab w:val="left" w:pos="6300"/>
        </w:tabs>
        <w:snapToGrid w:val="0"/>
        <w:spacing w:line="500" w:lineRule="exact"/>
        <w:ind w:firstLine="480" w:firstLineChars="200"/>
        <w:rPr>
          <w:sz w:val="24"/>
          <w:szCs w:val="24"/>
        </w:rPr>
      </w:pPr>
      <w:r>
        <w:rPr>
          <w:rFonts w:hint="eastAsia"/>
          <w:sz w:val="24"/>
          <w:szCs w:val="24"/>
        </w:rPr>
        <w:t>特此承诺。</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jc w:val="right"/>
        <w:rPr>
          <w:sz w:val="24"/>
          <w:szCs w:val="24"/>
        </w:rPr>
      </w:pPr>
      <w:r>
        <w:rPr>
          <w:rFonts w:hint="eastAsia"/>
          <w:sz w:val="24"/>
          <w:szCs w:val="24"/>
        </w:rPr>
        <w:t>供应商名称（公章）</w:t>
      </w:r>
    </w:p>
    <w:p>
      <w:pPr>
        <w:tabs>
          <w:tab w:val="left" w:pos="6300"/>
        </w:tabs>
        <w:snapToGrid w:val="0"/>
        <w:spacing w:line="500" w:lineRule="exact"/>
        <w:ind w:firstLine="480" w:firstLineChars="200"/>
        <w:jc w:val="right"/>
        <w:rPr>
          <w:sz w:val="24"/>
          <w:szCs w:val="24"/>
        </w:rPr>
      </w:pPr>
      <w:r>
        <w:rPr>
          <w:rFonts w:hint="eastAsia"/>
          <w:sz w:val="24"/>
          <w:szCs w:val="24"/>
        </w:rPr>
        <w:t>年   月   日</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（五）本项目的特定资格条件（如果有）</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pageBreakBefore/>
        <w:tabs>
          <w:tab w:val="left" w:pos="6300"/>
        </w:tabs>
        <w:snapToGrid w:val="0"/>
        <w:spacing w:line="360" w:lineRule="auto"/>
        <w:ind w:firstLine="482" w:firstLineChars="200"/>
        <w:rPr>
          <w:b/>
          <w:sz w:val="24"/>
          <w:szCs w:val="24"/>
        </w:rPr>
      </w:pPr>
      <w:r>
        <w:rPr>
          <w:rFonts w:hint="eastAsia"/>
          <w:b/>
          <w:sz w:val="24"/>
          <w:szCs w:val="24"/>
        </w:rPr>
        <w:t>五</w:t>
      </w:r>
      <w:r>
        <w:rPr>
          <w:b/>
          <w:sz w:val="24"/>
          <w:szCs w:val="24"/>
        </w:rPr>
        <w:t>、</w:t>
      </w:r>
      <w:r>
        <w:rPr>
          <w:rFonts w:hint="eastAsia"/>
          <w:b/>
          <w:sz w:val="24"/>
          <w:szCs w:val="24"/>
        </w:rPr>
        <w:t>其他</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1.中小企业声明函</w:t>
      </w:r>
    </w:p>
    <w:p>
      <w:pPr>
        <w:snapToGrid w:val="0"/>
        <w:spacing w:line="360" w:lineRule="auto"/>
        <w:ind w:firstLine="560" w:firstLineChars="200"/>
        <w:jc w:val="center"/>
        <w:rPr>
          <w:rFonts w:ascii="宋体" w:hAnsi="宋体"/>
          <w:szCs w:val="28"/>
        </w:rPr>
      </w:pPr>
      <w:r>
        <w:rPr>
          <w:rFonts w:hint="eastAsia" w:ascii="宋体" w:hAnsi="宋体"/>
          <w:szCs w:val="28"/>
        </w:rPr>
        <w:t>中小企业声明函</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pPr>
        <w:tabs>
          <w:tab w:val="left" w:pos="6300"/>
        </w:tabs>
        <w:snapToGrid w:val="0"/>
        <w:spacing w:line="500" w:lineRule="exact"/>
        <w:ind w:right="782" w:firstLine="480" w:firstLineChars="200"/>
        <w:rPr>
          <w:rFonts w:ascii="宋体" w:hAnsi="宋体"/>
          <w:sz w:val="24"/>
        </w:rPr>
      </w:pPr>
      <w:r>
        <w:rPr>
          <w:rFonts w:ascii="宋体" w:hAnsi="宋体"/>
          <w:sz w:val="24"/>
        </w:rPr>
        <w:t>……</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500" w:lineRule="exact"/>
        <w:ind w:firstLine="480" w:firstLineChars="200"/>
        <w:rPr>
          <w:rFonts w:ascii="宋体" w:hAnsi="宋体"/>
          <w:sz w:val="24"/>
          <w:szCs w:val="28"/>
        </w:rPr>
      </w:pP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企业名称（盖章）： </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日期：</w:t>
      </w:r>
    </w:p>
    <w:p>
      <w:pPr>
        <w:tabs>
          <w:tab w:val="left" w:pos="6300"/>
        </w:tabs>
        <w:snapToGrid w:val="0"/>
        <w:rPr>
          <w:rFonts w:ascii="宋体" w:hAnsi="宋体" w:cs="宋体"/>
          <w:kern w:val="0"/>
          <w:sz w:val="24"/>
          <w:szCs w:val="24"/>
        </w:rPr>
      </w:pP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2.农、林、牧、渔业无需填写从业人员和资产总额项；</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5.若中标人（成交供应商）为小微企业的，将在结果公告时公告其《中小企业声明函》，中标人（成交供应商）投标的产品若涉及到其他小微企业制造的将一并进行公告。</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附：各行业划型标准</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ind w:firstLine="570"/>
        <w:jc w:val="left"/>
        <w:rPr>
          <w:rFonts w:ascii="宋体" w:hAnsi="宋体"/>
          <w:sz w:val="24"/>
          <w:szCs w:val="24"/>
        </w:rPr>
      </w:pPr>
    </w:p>
    <w:p>
      <w:pPr>
        <w:tabs>
          <w:tab w:val="left" w:pos="6300"/>
        </w:tabs>
        <w:snapToGrid w:val="0"/>
        <w:spacing w:line="500" w:lineRule="exact"/>
        <w:ind w:firstLine="570"/>
        <w:jc w:val="left"/>
        <w:rPr>
          <w:rFonts w:ascii="宋体" w:hAnsi="宋体"/>
          <w:sz w:val="24"/>
          <w:szCs w:val="24"/>
        </w:rPr>
      </w:pPr>
    </w:p>
    <w:p>
      <w:pPr>
        <w:tabs>
          <w:tab w:val="left" w:pos="6300"/>
        </w:tabs>
        <w:snapToGrid w:val="0"/>
        <w:spacing w:line="500" w:lineRule="exact"/>
        <w:ind w:firstLine="570"/>
        <w:jc w:val="left"/>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（二）其他与项目有关的资料（自附）</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方正楷体_GBK"/>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00"/>
    <w:family w:val="modern"/>
    <w:pitch w:val="default"/>
    <w:sig w:usb0="00000000" w:usb1="00000000" w:usb2="00000010" w:usb3="00000000" w:csb0="00040000" w:csb1="00000000"/>
  </w:font>
  <w:font w:name="宋体;SimSun">
    <w:altName w:val="宋体"/>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0"/>
      </w:rPr>
    </w:pPr>
  </w:p>
  <w:p>
    <w:pPr>
      <w:pStyle w:val="38"/>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w:t>
    </w:r>
    <w:r>
      <w:t xml:space="preserve"> 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宋体" w:hAnsi="宋体"/>
        <w:sz w:val="21"/>
        <w:szCs w:val="21"/>
      </w:rPr>
    </w:pPr>
    <w:r>
      <w:rPr>
        <w:rFonts w:hint="eastAsia" w:ascii="宋体" w:hAns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重庆中基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5"/>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6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3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8"/>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1"/>
  </w:num>
  <w:num w:numId="5">
    <w:abstractNumId w:val="4"/>
  </w:num>
  <w:num w:numId="6">
    <w:abstractNumId w:val="5"/>
  </w:num>
  <w:num w:numId="7">
    <w:abstractNumId w:val="7"/>
  </w:num>
  <w:num w:numId="8">
    <w:abstractNumId w:val="0"/>
  </w:num>
  <w:num w:numId="9">
    <w:abstractNumId w:val="3"/>
  </w:num>
  <w:num w:numId="10">
    <w:abstractNumId w:val="12"/>
  </w:num>
  <w:num w:numId="11">
    <w:abstractNumId w:val="2"/>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1BFC"/>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76E1"/>
    <w:rsid w:val="00057B29"/>
    <w:rsid w:val="00060863"/>
    <w:rsid w:val="00063981"/>
    <w:rsid w:val="000645F1"/>
    <w:rsid w:val="00065701"/>
    <w:rsid w:val="0006684C"/>
    <w:rsid w:val="00066DAD"/>
    <w:rsid w:val="0007233F"/>
    <w:rsid w:val="00074411"/>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23FA"/>
    <w:rsid w:val="00094140"/>
    <w:rsid w:val="000943FB"/>
    <w:rsid w:val="0009599B"/>
    <w:rsid w:val="00095EB7"/>
    <w:rsid w:val="00096E3E"/>
    <w:rsid w:val="00097FF6"/>
    <w:rsid w:val="000A164E"/>
    <w:rsid w:val="000A2A0B"/>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5BB5"/>
    <w:rsid w:val="000F5F78"/>
    <w:rsid w:val="000F5FD6"/>
    <w:rsid w:val="000F7DBF"/>
    <w:rsid w:val="0010014A"/>
    <w:rsid w:val="00100639"/>
    <w:rsid w:val="001019BB"/>
    <w:rsid w:val="0010237E"/>
    <w:rsid w:val="00102544"/>
    <w:rsid w:val="0010266D"/>
    <w:rsid w:val="00106CD4"/>
    <w:rsid w:val="00107445"/>
    <w:rsid w:val="00107591"/>
    <w:rsid w:val="001100DA"/>
    <w:rsid w:val="001113BE"/>
    <w:rsid w:val="00111939"/>
    <w:rsid w:val="00112547"/>
    <w:rsid w:val="001160C4"/>
    <w:rsid w:val="001167CA"/>
    <w:rsid w:val="001167E1"/>
    <w:rsid w:val="00116856"/>
    <w:rsid w:val="00117C75"/>
    <w:rsid w:val="00117CDC"/>
    <w:rsid w:val="00120259"/>
    <w:rsid w:val="00120A3D"/>
    <w:rsid w:val="00122C71"/>
    <w:rsid w:val="001230D8"/>
    <w:rsid w:val="001234BD"/>
    <w:rsid w:val="00124D09"/>
    <w:rsid w:val="00125DBA"/>
    <w:rsid w:val="00126591"/>
    <w:rsid w:val="001266BF"/>
    <w:rsid w:val="00130298"/>
    <w:rsid w:val="001330DD"/>
    <w:rsid w:val="00133D16"/>
    <w:rsid w:val="00134EE7"/>
    <w:rsid w:val="0013601C"/>
    <w:rsid w:val="00136D2B"/>
    <w:rsid w:val="00136F77"/>
    <w:rsid w:val="0013794A"/>
    <w:rsid w:val="00137EB6"/>
    <w:rsid w:val="001460FA"/>
    <w:rsid w:val="001464CE"/>
    <w:rsid w:val="00147FB4"/>
    <w:rsid w:val="0015011C"/>
    <w:rsid w:val="00150429"/>
    <w:rsid w:val="00150E9E"/>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17BA"/>
    <w:rsid w:val="00172A27"/>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D98"/>
    <w:rsid w:val="001940F1"/>
    <w:rsid w:val="00196543"/>
    <w:rsid w:val="001A0DF4"/>
    <w:rsid w:val="001A1025"/>
    <w:rsid w:val="001A24BA"/>
    <w:rsid w:val="001A43A9"/>
    <w:rsid w:val="001A650F"/>
    <w:rsid w:val="001A6632"/>
    <w:rsid w:val="001A68E1"/>
    <w:rsid w:val="001A6DCC"/>
    <w:rsid w:val="001A6EBA"/>
    <w:rsid w:val="001B2BFB"/>
    <w:rsid w:val="001B2C52"/>
    <w:rsid w:val="001B3DBD"/>
    <w:rsid w:val="001B4377"/>
    <w:rsid w:val="001B7861"/>
    <w:rsid w:val="001B7894"/>
    <w:rsid w:val="001B7942"/>
    <w:rsid w:val="001C1FC7"/>
    <w:rsid w:val="001C23E7"/>
    <w:rsid w:val="001C246C"/>
    <w:rsid w:val="001C4801"/>
    <w:rsid w:val="001C4803"/>
    <w:rsid w:val="001C6F1E"/>
    <w:rsid w:val="001C6FA3"/>
    <w:rsid w:val="001C7ABE"/>
    <w:rsid w:val="001C7CD2"/>
    <w:rsid w:val="001D0F7B"/>
    <w:rsid w:val="001D100C"/>
    <w:rsid w:val="001D1A56"/>
    <w:rsid w:val="001D2321"/>
    <w:rsid w:val="001D25D6"/>
    <w:rsid w:val="001D2DCD"/>
    <w:rsid w:val="001D3707"/>
    <w:rsid w:val="001D5055"/>
    <w:rsid w:val="001D58BC"/>
    <w:rsid w:val="001D5C57"/>
    <w:rsid w:val="001D629E"/>
    <w:rsid w:val="001D630C"/>
    <w:rsid w:val="001D64EE"/>
    <w:rsid w:val="001D6DFC"/>
    <w:rsid w:val="001D790C"/>
    <w:rsid w:val="001E1837"/>
    <w:rsid w:val="001E201B"/>
    <w:rsid w:val="001E20B0"/>
    <w:rsid w:val="001E233D"/>
    <w:rsid w:val="001E2708"/>
    <w:rsid w:val="001E2B42"/>
    <w:rsid w:val="001E2B6A"/>
    <w:rsid w:val="001E309B"/>
    <w:rsid w:val="001E4C57"/>
    <w:rsid w:val="001E57EA"/>
    <w:rsid w:val="001E5CAC"/>
    <w:rsid w:val="001E725F"/>
    <w:rsid w:val="001E7B36"/>
    <w:rsid w:val="001F0B34"/>
    <w:rsid w:val="001F1AF7"/>
    <w:rsid w:val="001F2104"/>
    <w:rsid w:val="001F2383"/>
    <w:rsid w:val="001F2882"/>
    <w:rsid w:val="001F3BA0"/>
    <w:rsid w:val="001F4964"/>
    <w:rsid w:val="001F4D63"/>
    <w:rsid w:val="001F7063"/>
    <w:rsid w:val="00200571"/>
    <w:rsid w:val="00200A34"/>
    <w:rsid w:val="00200E93"/>
    <w:rsid w:val="00201BB8"/>
    <w:rsid w:val="00202B04"/>
    <w:rsid w:val="00204936"/>
    <w:rsid w:val="00204DA3"/>
    <w:rsid w:val="0020558D"/>
    <w:rsid w:val="002100EE"/>
    <w:rsid w:val="00210F5A"/>
    <w:rsid w:val="00212E76"/>
    <w:rsid w:val="0021704D"/>
    <w:rsid w:val="00217C16"/>
    <w:rsid w:val="00220EE5"/>
    <w:rsid w:val="00222097"/>
    <w:rsid w:val="00222B42"/>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54E7"/>
    <w:rsid w:val="0026695A"/>
    <w:rsid w:val="0026699C"/>
    <w:rsid w:val="0026720A"/>
    <w:rsid w:val="00270AEA"/>
    <w:rsid w:val="00271D47"/>
    <w:rsid w:val="002721D9"/>
    <w:rsid w:val="002721EA"/>
    <w:rsid w:val="00272E62"/>
    <w:rsid w:val="002735E5"/>
    <w:rsid w:val="00274DF0"/>
    <w:rsid w:val="00274E7C"/>
    <w:rsid w:val="002750A5"/>
    <w:rsid w:val="0027562B"/>
    <w:rsid w:val="002772EB"/>
    <w:rsid w:val="00280E8A"/>
    <w:rsid w:val="00281819"/>
    <w:rsid w:val="00281F3D"/>
    <w:rsid w:val="00282059"/>
    <w:rsid w:val="00282E12"/>
    <w:rsid w:val="002835BF"/>
    <w:rsid w:val="00285066"/>
    <w:rsid w:val="00285164"/>
    <w:rsid w:val="002859B4"/>
    <w:rsid w:val="00286491"/>
    <w:rsid w:val="00290E60"/>
    <w:rsid w:val="00291597"/>
    <w:rsid w:val="00293B0B"/>
    <w:rsid w:val="00294429"/>
    <w:rsid w:val="00294AD2"/>
    <w:rsid w:val="002952B5"/>
    <w:rsid w:val="00295EA4"/>
    <w:rsid w:val="00297357"/>
    <w:rsid w:val="002A061E"/>
    <w:rsid w:val="002A072B"/>
    <w:rsid w:val="002A078C"/>
    <w:rsid w:val="002A30AF"/>
    <w:rsid w:val="002A4956"/>
    <w:rsid w:val="002A65D6"/>
    <w:rsid w:val="002A6615"/>
    <w:rsid w:val="002A6710"/>
    <w:rsid w:val="002A6EA3"/>
    <w:rsid w:val="002A7C87"/>
    <w:rsid w:val="002B0725"/>
    <w:rsid w:val="002B1025"/>
    <w:rsid w:val="002B3C35"/>
    <w:rsid w:val="002B6B84"/>
    <w:rsid w:val="002B7904"/>
    <w:rsid w:val="002C2136"/>
    <w:rsid w:val="002C2507"/>
    <w:rsid w:val="002C2E6E"/>
    <w:rsid w:val="002C6EF6"/>
    <w:rsid w:val="002C7470"/>
    <w:rsid w:val="002D081E"/>
    <w:rsid w:val="002D1785"/>
    <w:rsid w:val="002D5C1C"/>
    <w:rsid w:val="002D6696"/>
    <w:rsid w:val="002D7707"/>
    <w:rsid w:val="002D7725"/>
    <w:rsid w:val="002E0A13"/>
    <w:rsid w:val="002E0A25"/>
    <w:rsid w:val="002E13A6"/>
    <w:rsid w:val="002E167C"/>
    <w:rsid w:val="002E19DE"/>
    <w:rsid w:val="002E1BD1"/>
    <w:rsid w:val="002E391B"/>
    <w:rsid w:val="002E4386"/>
    <w:rsid w:val="002E69BB"/>
    <w:rsid w:val="002F3DE3"/>
    <w:rsid w:val="002F4996"/>
    <w:rsid w:val="002F5375"/>
    <w:rsid w:val="002F632E"/>
    <w:rsid w:val="002F7C39"/>
    <w:rsid w:val="00301727"/>
    <w:rsid w:val="0030175D"/>
    <w:rsid w:val="00301F64"/>
    <w:rsid w:val="00302F01"/>
    <w:rsid w:val="00303655"/>
    <w:rsid w:val="00304CB1"/>
    <w:rsid w:val="00305C1B"/>
    <w:rsid w:val="00307859"/>
    <w:rsid w:val="00310AF9"/>
    <w:rsid w:val="00313635"/>
    <w:rsid w:val="003136C9"/>
    <w:rsid w:val="0031465E"/>
    <w:rsid w:val="00315742"/>
    <w:rsid w:val="003163B3"/>
    <w:rsid w:val="00316C71"/>
    <w:rsid w:val="003204A2"/>
    <w:rsid w:val="00322A7A"/>
    <w:rsid w:val="00323542"/>
    <w:rsid w:val="00324734"/>
    <w:rsid w:val="00324A00"/>
    <w:rsid w:val="00325296"/>
    <w:rsid w:val="00326213"/>
    <w:rsid w:val="00331002"/>
    <w:rsid w:val="0033243A"/>
    <w:rsid w:val="003344F6"/>
    <w:rsid w:val="00335B83"/>
    <w:rsid w:val="00335CD5"/>
    <w:rsid w:val="00337856"/>
    <w:rsid w:val="00340873"/>
    <w:rsid w:val="00340ADC"/>
    <w:rsid w:val="00340D62"/>
    <w:rsid w:val="00341DEB"/>
    <w:rsid w:val="00341F9D"/>
    <w:rsid w:val="00342B0C"/>
    <w:rsid w:val="003447B3"/>
    <w:rsid w:val="003452D3"/>
    <w:rsid w:val="0034591F"/>
    <w:rsid w:val="0034664F"/>
    <w:rsid w:val="0034697B"/>
    <w:rsid w:val="00346A3D"/>
    <w:rsid w:val="00347F6B"/>
    <w:rsid w:val="00350C20"/>
    <w:rsid w:val="003548FA"/>
    <w:rsid w:val="00354DE5"/>
    <w:rsid w:val="003551F3"/>
    <w:rsid w:val="00355A74"/>
    <w:rsid w:val="00356F69"/>
    <w:rsid w:val="00357234"/>
    <w:rsid w:val="00360554"/>
    <w:rsid w:val="003606CD"/>
    <w:rsid w:val="00361427"/>
    <w:rsid w:val="0036276F"/>
    <w:rsid w:val="0036458B"/>
    <w:rsid w:val="003649D6"/>
    <w:rsid w:val="00365CA8"/>
    <w:rsid w:val="0036648B"/>
    <w:rsid w:val="00367266"/>
    <w:rsid w:val="00371D2F"/>
    <w:rsid w:val="0037257D"/>
    <w:rsid w:val="003748AD"/>
    <w:rsid w:val="0037654E"/>
    <w:rsid w:val="00376B94"/>
    <w:rsid w:val="0038033A"/>
    <w:rsid w:val="00380447"/>
    <w:rsid w:val="00381F2F"/>
    <w:rsid w:val="00383092"/>
    <w:rsid w:val="00384161"/>
    <w:rsid w:val="003846FE"/>
    <w:rsid w:val="00385995"/>
    <w:rsid w:val="0038626A"/>
    <w:rsid w:val="00387610"/>
    <w:rsid w:val="00391DC2"/>
    <w:rsid w:val="00393369"/>
    <w:rsid w:val="00394922"/>
    <w:rsid w:val="00395C2F"/>
    <w:rsid w:val="00396D43"/>
    <w:rsid w:val="003973D3"/>
    <w:rsid w:val="00397A4C"/>
    <w:rsid w:val="003A01E5"/>
    <w:rsid w:val="003A0892"/>
    <w:rsid w:val="003A1674"/>
    <w:rsid w:val="003A19D4"/>
    <w:rsid w:val="003A449E"/>
    <w:rsid w:val="003A4D9A"/>
    <w:rsid w:val="003A4F03"/>
    <w:rsid w:val="003A567D"/>
    <w:rsid w:val="003A6BF3"/>
    <w:rsid w:val="003A71F3"/>
    <w:rsid w:val="003A7821"/>
    <w:rsid w:val="003B0F1D"/>
    <w:rsid w:val="003B19F5"/>
    <w:rsid w:val="003B63C5"/>
    <w:rsid w:val="003B6590"/>
    <w:rsid w:val="003C21F7"/>
    <w:rsid w:val="003C27CC"/>
    <w:rsid w:val="003C3DD8"/>
    <w:rsid w:val="003C41F9"/>
    <w:rsid w:val="003C4A44"/>
    <w:rsid w:val="003C565D"/>
    <w:rsid w:val="003D0E0A"/>
    <w:rsid w:val="003D2401"/>
    <w:rsid w:val="003D2D09"/>
    <w:rsid w:val="003D3B22"/>
    <w:rsid w:val="003D4530"/>
    <w:rsid w:val="003D5C78"/>
    <w:rsid w:val="003D7E4D"/>
    <w:rsid w:val="003D7F56"/>
    <w:rsid w:val="003E0F85"/>
    <w:rsid w:val="003E1D0F"/>
    <w:rsid w:val="003E2780"/>
    <w:rsid w:val="003E4851"/>
    <w:rsid w:val="003E58D9"/>
    <w:rsid w:val="003E6488"/>
    <w:rsid w:val="003F09AB"/>
    <w:rsid w:val="003F7A1C"/>
    <w:rsid w:val="00400859"/>
    <w:rsid w:val="0040096B"/>
    <w:rsid w:val="00400F9C"/>
    <w:rsid w:val="00401C5D"/>
    <w:rsid w:val="00401D58"/>
    <w:rsid w:val="004021E6"/>
    <w:rsid w:val="00402B32"/>
    <w:rsid w:val="00405185"/>
    <w:rsid w:val="00405FB2"/>
    <w:rsid w:val="0040638D"/>
    <w:rsid w:val="00406B0B"/>
    <w:rsid w:val="00406D06"/>
    <w:rsid w:val="00410AFE"/>
    <w:rsid w:val="00410C93"/>
    <w:rsid w:val="00410D9A"/>
    <w:rsid w:val="00411B4A"/>
    <w:rsid w:val="00413472"/>
    <w:rsid w:val="00414649"/>
    <w:rsid w:val="0041597E"/>
    <w:rsid w:val="00415FB9"/>
    <w:rsid w:val="0041741A"/>
    <w:rsid w:val="00417E99"/>
    <w:rsid w:val="00420460"/>
    <w:rsid w:val="00422467"/>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15B"/>
    <w:rsid w:val="00437210"/>
    <w:rsid w:val="0044095A"/>
    <w:rsid w:val="00443A9F"/>
    <w:rsid w:val="00443F18"/>
    <w:rsid w:val="004444EE"/>
    <w:rsid w:val="004454AC"/>
    <w:rsid w:val="00447BB7"/>
    <w:rsid w:val="00450C33"/>
    <w:rsid w:val="00452E53"/>
    <w:rsid w:val="0045377A"/>
    <w:rsid w:val="00456141"/>
    <w:rsid w:val="0045751F"/>
    <w:rsid w:val="0046242A"/>
    <w:rsid w:val="00462878"/>
    <w:rsid w:val="00463522"/>
    <w:rsid w:val="00463D57"/>
    <w:rsid w:val="00464527"/>
    <w:rsid w:val="0046485D"/>
    <w:rsid w:val="00465B7A"/>
    <w:rsid w:val="00467D56"/>
    <w:rsid w:val="00470AD0"/>
    <w:rsid w:val="00471630"/>
    <w:rsid w:val="00471D38"/>
    <w:rsid w:val="00472AA2"/>
    <w:rsid w:val="0047377F"/>
    <w:rsid w:val="00475265"/>
    <w:rsid w:val="00477255"/>
    <w:rsid w:val="004777F3"/>
    <w:rsid w:val="00481371"/>
    <w:rsid w:val="00481A85"/>
    <w:rsid w:val="00481D7D"/>
    <w:rsid w:val="00484133"/>
    <w:rsid w:val="00485D16"/>
    <w:rsid w:val="00485FB5"/>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32A2"/>
    <w:rsid w:val="004B4073"/>
    <w:rsid w:val="004B4667"/>
    <w:rsid w:val="004B7859"/>
    <w:rsid w:val="004C1DD0"/>
    <w:rsid w:val="004C1EB2"/>
    <w:rsid w:val="004C2517"/>
    <w:rsid w:val="004C2DF6"/>
    <w:rsid w:val="004C4070"/>
    <w:rsid w:val="004C448E"/>
    <w:rsid w:val="004C64E4"/>
    <w:rsid w:val="004C710D"/>
    <w:rsid w:val="004E156F"/>
    <w:rsid w:val="004E55DB"/>
    <w:rsid w:val="004E6A84"/>
    <w:rsid w:val="004E7695"/>
    <w:rsid w:val="004F3025"/>
    <w:rsid w:val="004F36B8"/>
    <w:rsid w:val="004F38E0"/>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64F8"/>
    <w:rsid w:val="00520075"/>
    <w:rsid w:val="00520230"/>
    <w:rsid w:val="00521DEC"/>
    <w:rsid w:val="0052293F"/>
    <w:rsid w:val="005237B2"/>
    <w:rsid w:val="0052505D"/>
    <w:rsid w:val="005251A3"/>
    <w:rsid w:val="00525E4E"/>
    <w:rsid w:val="0052628F"/>
    <w:rsid w:val="0053062A"/>
    <w:rsid w:val="005309E0"/>
    <w:rsid w:val="00530AD6"/>
    <w:rsid w:val="00531589"/>
    <w:rsid w:val="00532C25"/>
    <w:rsid w:val="00532FEF"/>
    <w:rsid w:val="00535E36"/>
    <w:rsid w:val="0053607B"/>
    <w:rsid w:val="0053749A"/>
    <w:rsid w:val="00537AFE"/>
    <w:rsid w:val="00537DAE"/>
    <w:rsid w:val="005404D9"/>
    <w:rsid w:val="00542838"/>
    <w:rsid w:val="00542CEF"/>
    <w:rsid w:val="00542D04"/>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A85"/>
    <w:rsid w:val="00567161"/>
    <w:rsid w:val="0057247C"/>
    <w:rsid w:val="00573656"/>
    <w:rsid w:val="00573AE3"/>
    <w:rsid w:val="00575438"/>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B0724"/>
    <w:rsid w:val="005B0DD6"/>
    <w:rsid w:val="005B10BA"/>
    <w:rsid w:val="005B1948"/>
    <w:rsid w:val="005B1E46"/>
    <w:rsid w:val="005B3357"/>
    <w:rsid w:val="005B3431"/>
    <w:rsid w:val="005B523A"/>
    <w:rsid w:val="005B7761"/>
    <w:rsid w:val="005B7DC4"/>
    <w:rsid w:val="005C00A8"/>
    <w:rsid w:val="005C04A5"/>
    <w:rsid w:val="005C187F"/>
    <w:rsid w:val="005C20E5"/>
    <w:rsid w:val="005C4211"/>
    <w:rsid w:val="005C42AC"/>
    <w:rsid w:val="005C498C"/>
    <w:rsid w:val="005C4F84"/>
    <w:rsid w:val="005C5E78"/>
    <w:rsid w:val="005C6AF5"/>
    <w:rsid w:val="005C71FB"/>
    <w:rsid w:val="005C73AB"/>
    <w:rsid w:val="005D01C6"/>
    <w:rsid w:val="005D157C"/>
    <w:rsid w:val="005D1EF4"/>
    <w:rsid w:val="005D2489"/>
    <w:rsid w:val="005D37D0"/>
    <w:rsid w:val="005D545B"/>
    <w:rsid w:val="005D703E"/>
    <w:rsid w:val="005E0478"/>
    <w:rsid w:val="005E1C29"/>
    <w:rsid w:val="005E4194"/>
    <w:rsid w:val="005E5525"/>
    <w:rsid w:val="005E5E03"/>
    <w:rsid w:val="005E6014"/>
    <w:rsid w:val="005F073D"/>
    <w:rsid w:val="005F0D88"/>
    <w:rsid w:val="005F120C"/>
    <w:rsid w:val="005F14CC"/>
    <w:rsid w:val="005F21B6"/>
    <w:rsid w:val="005F2756"/>
    <w:rsid w:val="005F5712"/>
    <w:rsid w:val="005F6BA9"/>
    <w:rsid w:val="005F7808"/>
    <w:rsid w:val="005F7FA6"/>
    <w:rsid w:val="0060240C"/>
    <w:rsid w:val="00604CF8"/>
    <w:rsid w:val="00605C92"/>
    <w:rsid w:val="00605FDA"/>
    <w:rsid w:val="00607416"/>
    <w:rsid w:val="006104BE"/>
    <w:rsid w:val="00610EA6"/>
    <w:rsid w:val="00611A5B"/>
    <w:rsid w:val="00613410"/>
    <w:rsid w:val="0061427D"/>
    <w:rsid w:val="006166A5"/>
    <w:rsid w:val="00616BCD"/>
    <w:rsid w:val="006171C3"/>
    <w:rsid w:val="00617986"/>
    <w:rsid w:val="00622D51"/>
    <w:rsid w:val="00623BE2"/>
    <w:rsid w:val="00623F6C"/>
    <w:rsid w:val="0062480E"/>
    <w:rsid w:val="00625506"/>
    <w:rsid w:val="006321D7"/>
    <w:rsid w:val="00633EAC"/>
    <w:rsid w:val="0063450D"/>
    <w:rsid w:val="00634C9C"/>
    <w:rsid w:val="00634D6B"/>
    <w:rsid w:val="006350CE"/>
    <w:rsid w:val="006354E5"/>
    <w:rsid w:val="00636637"/>
    <w:rsid w:val="006420D2"/>
    <w:rsid w:val="0064248F"/>
    <w:rsid w:val="006428C7"/>
    <w:rsid w:val="006435E9"/>
    <w:rsid w:val="00646291"/>
    <w:rsid w:val="006463C6"/>
    <w:rsid w:val="006467F5"/>
    <w:rsid w:val="00650E95"/>
    <w:rsid w:val="00652FC6"/>
    <w:rsid w:val="00654179"/>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AE4"/>
    <w:rsid w:val="00680D3D"/>
    <w:rsid w:val="00680F54"/>
    <w:rsid w:val="00683435"/>
    <w:rsid w:val="006835EE"/>
    <w:rsid w:val="006837E8"/>
    <w:rsid w:val="00683A4D"/>
    <w:rsid w:val="00684E51"/>
    <w:rsid w:val="00687A70"/>
    <w:rsid w:val="006917A1"/>
    <w:rsid w:val="00692FDE"/>
    <w:rsid w:val="00694263"/>
    <w:rsid w:val="00695F8E"/>
    <w:rsid w:val="00696BF0"/>
    <w:rsid w:val="00697F6A"/>
    <w:rsid w:val="006A100B"/>
    <w:rsid w:val="006A143A"/>
    <w:rsid w:val="006A22DE"/>
    <w:rsid w:val="006A3285"/>
    <w:rsid w:val="006A7395"/>
    <w:rsid w:val="006B42BF"/>
    <w:rsid w:val="006B56BA"/>
    <w:rsid w:val="006B6F91"/>
    <w:rsid w:val="006B72DE"/>
    <w:rsid w:val="006B7D3F"/>
    <w:rsid w:val="006B7EFF"/>
    <w:rsid w:val="006C1D37"/>
    <w:rsid w:val="006C3449"/>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7B77"/>
    <w:rsid w:val="006E21FA"/>
    <w:rsid w:val="006E2969"/>
    <w:rsid w:val="006E3197"/>
    <w:rsid w:val="006E3FE8"/>
    <w:rsid w:val="006E4F5E"/>
    <w:rsid w:val="006E7C4C"/>
    <w:rsid w:val="006F0A64"/>
    <w:rsid w:val="006F0FB7"/>
    <w:rsid w:val="006F2359"/>
    <w:rsid w:val="006F272D"/>
    <w:rsid w:val="006F339E"/>
    <w:rsid w:val="006F34E9"/>
    <w:rsid w:val="006F5290"/>
    <w:rsid w:val="006F533E"/>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FB5"/>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B65"/>
    <w:rsid w:val="007436B5"/>
    <w:rsid w:val="0074681C"/>
    <w:rsid w:val="00746EC2"/>
    <w:rsid w:val="00747EB5"/>
    <w:rsid w:val="00750AA9"/>
    <w:rsid w:val="00751C7D"/>
    <w:rsid w:val="00751DFD"/>
    <w:rsid w:val="00753C61"/>
    <w:rsid w:val="0075426B"/>
    <w:rsid w:val="00755648"/>
    <w:rsid w:val="0075637C"/>
    <w:rsid w:val="00757324"/>
    <w:rsid w:val="00760BE7"/>
    <w:rsid w:val="0076753A"/>
    <w:rsid w:val="00770AB5"/>
    <w:rsid w:val="00771079"/>
    <w:rsid w:val="0077172F"/>
    <w:rsid w:val="00771AFC"/>
    <w:rsid w:val="00772398"/>
    <w:rsid w:val="007726AA"/>
    <w:rsid w:val="00774392"/>
    <w:rsid w:val="0077590F"/>
    <w:rsid w:val="00775FDF"/>
    <w:rsid w:val="00777024"/>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62D"/>
    <w:rsid w:val="007A1846"/>
    <w:rsid w:val="007A1919"/>
    <w:rsid w:val="007A20BC"/>
    <w:rsid w:val="007A20E0"/>
    <w:rsid w:val="007A4430"/>
    <w:rsid w:val="007A4D61"/>
    <w:rsid w:val="007A67A7"/>
    <w:rsid w:val="007A73AD"/>
    <w:rsid w:val="007B02B9"/>
    <w:rsid w:val="007B2204"/>
    <w:rsid w:val="007B3BC8"/>
    <w:rsid w:val="007B4B60"/>
    <w:rsid w:val="007B5581"/>
    <w:rsid w:val="007B7037"/>
    <w:rsid w:val="007C0124"/>
    <w:rsid w:val="007C0791"/>
    <w:rsid w:val="007C1A34"/>
    <w:rsid w:val="007C1B6E"/>
    <w:rsid w:val="007C20BD"/>
    <w:rsid w:val="007C2337"/>
    <w:rsid w:val="007C294D"/>
    <w:rsid w:val="007C29B0"/>
    <w:rsid w:val="007C3DBA"/>
    <w:rsid w:val="007C6E12"/>
    <w:rsid w:val="007C775D"/>
    <w:rsid w:val="007D0EDC"/>
    <w:rsid w:val="007D0F51"/>
    <w:rsid w:val="007D14F5"/>
    <w:rsid w:val="007D1764"/>
    <w:rsid w:val="007D2759"/>
    <w:rsid w:val="007D2CF9"/>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5282"/>
    <w:rsid w:val="007F541D"/>
    <w:rsid w:val="007F6999"/>
    <w:rsid w:val="007F6CB3"/>
    <w:rsid w:val="007F7139"/>
    <w:rsid w:val="008020D2"/>
    <w:rsid w:val="00802EB2"/>
    <w:rsid w:val="008033CB"/>
    <w:rsid w:val="008041D4"/>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153"/>
    <w:rsid w:val="00827398"/>
    <w:rsid w:val="008278CB"/>
    <w:rsid w:val="00830F57"/>
    <w:rsid w:val="008318D8"/>
    <w:rsid w:val="00833AEF"/>
    <w:rsid w:val="008342AF"/>
    <w:rsid w:val="008342C3"/>
    <w:rsid w:val="00834E01"/>
    <w:rsid w:val="00835F02"/>
    <w:rsid w:val="00836E30"/>
    <w:rsid w:val="00842974"/>
    <w:rsid w:val="00843966"/>
    <w:rsid w:val="008468A9"/>
    <w:rsid w:val="00847A83"/>
    <w:rsid w:val="00852814"/>
    <w:rsid w:val="00853D80"/>
    <w:rsid w:val="00854936"/>
    <w:rsid w:val="0085550A"/>
    <w:rsid w:val="008566B6"/>
    <w:rsid w:val="008570FD"/>
    <w:rsid w:val="00857C4E"/>
    <w:rsid w:val="008616EF"/>
    <w:rsid w:val="008639FF"/>
    <w:rsid w:val="00863C25"/>
    <w:rsid w:val="00864171"/>
    <w:rsid w:val="0086432B"/>
    <w:rsid w:val="008662A7"/>
    <w:rsid w:val="0086729A"/>
    <w:rsid w:val="008705BC"/>
    <w:rsid w:val="008705D7"/>
    <w:rsid w:val="0087107F"/>
    <w:rsid w:val="0087113B"/>
    <w:rsid w:val="00874AFC"/>
    <w:rsid w:val="00875667"/>
    <w:rsid w:val="00875A42"/>
    <w:rsid w:val="00876CEE"/>
    <w:rsid w:val="00880BDF"/>
    <w:rsid w:val="00882BE2"/>
    <w:rsid w:val="008904A8"/>
    <w:rsid w:val="00890A0E"/>
    <w:rsid w:val="0089236E"/>
    <w:rsid w:val="00894AAF"/>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82A"/>
    <w:rsid w:val="008C0294"/>
    <w:rsid w:val="008C02FD"/>
    <w:rsid w:val="008C09BC"/>
    <w:rsid w:val="008C11DB"/>
    <w:rsid w:val="008C299C"/>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54A7"/>
    <w:rsid w:val="008D7874"/>
    <w:rsid w:val="008E1579"/>
    <w:rsid w:val="008E2E60"/>
    <w:rsid w:val="008E3B3E"/>
    <w:rsid w:val="008E3F17"/>
    <w:rsid w:val="008E41E0"/>
    <w:rsid w:val="008E4808"/>
    <w:rsid w:val="008E512F"/>
    <w:rsid w:val="008E66B8"/>
    <w:rsid w:val="008E7A06"/>
    <w:rsid w:val="008F01C1"/>
    <w:rsid w:val="008F1483"/>
    <w:rsid w:val="008F1988"/>
    <w:rsid w:val="008F4441"/>
    <w:rsid w:val="008F450F"/>
    <w:rsid w:val="008F6252"/>
    <w:rsid w:val="008F71FD"/>
    <w:rsid w:val="008F78E2"/>
    <w:rsid w:val="009023F3"/>
    <w:rsid w:val="00902B99"/>
    <w:rsid w:val="0090383C"/>
    <w:rsid w:val="00906019"/>
    <w:rsid w:val="00910DE7"/>
    <w:rsid w:val="00912132"/>
    <w:rsid w:val="009129CA"/>
    <w:rsid w:val="00912AEC"/>
    <w:rsid w:val="009130B2"/>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708B"/>
    <w:rsid w:val="0093049D"/>
    <w:rsid w:val="009316E5"/>
    <w:rsid w:val="00935625"/>
    <w:rsid w:val="00937713"/>
    <w:rsid w:val="00937A9A"/>
    <w:rsid w:val="00937D8C"/>
    <w:rsid w:val="00940235"/>
    <w:rsid w:val="00940EA9"/>
    <w:rsid w:val="00942222"/>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28B9"/>
    <w:rsid w:val="0096342A"/>
    <w:rsid w:val="0096444A"/>
    <w:rsid w:val="00965B96"/>
    <w:rsid w:val="00966820"/>
    <w:rsid w:val="00966BBD"/>
    <w:rsid w:val="00967762"/>
    <w:rsid w:val="00967A6B"/>
    <w:rsid w:val="00971E57"/>
    <w:rsid w:val="009723CF"/>
    <w:rsid w:val="00972A9D"/>
    <w:rsid w:val="00972C86"/>
    <w:rsid w:val="00974C9E"/>
    <w:rsid w:val="00974E2A"/>
    <w:rsid w:val="00975A73"/>
    <w:rsid w:val="0097676D"/>
    <w:rsid w:val="00977C81"/>
    <w:rsid w:val="00980037"/>
    <w:rsid w:val="0098065F"/>
    <w:rsid w:val="00980BDD"/>
    <w:rsid w:val="00983B43"/>
    <w:rsid w:val="009844DD"/>
    <w:rsid w:val="00985462"/>
    <w:rsid w:val="00986862"/>
    <w:rsid w:val="0098698B"/>
    <w:rsid w:val="00990179"/>
    <w:rsid w:val="00991B37"/>
    <w:rsid w:val="00992231"/>
    <w:rsid w:val="009927D8"/>
    <w:rsid w:val="009942B5"/>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A92"/>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A006F6"/>
    <w:rsid w:val="00A0372A"/>
    <w:rsid w:val="00A03977"/>
    <w:rsid w:val="00A03B8F"/>
    <w:rsid w:val="00A05117"/>
    <w:rsid w:val="00A07C7F"/>
    <w:rsid w:val="00A10447"/>
    <w:rsid w:val="00A1077A"/>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452"/>
    <w:rsid w:val="00A37419"/>
    <w:rsid w:val="00A37ADD"/>
    <w:rsid w:val="00A445DC"/>
    <w:rsid w:val="00A44BEA"/>
    <w:rsid w:val="00A46518"/>
    <w:rsid w:val="00A477C2"/>
    <w:rsid w:val="00A479C0"/>
    <w:rsid w:val="00A50886"/>
    <w:rsid w:val="00A515C0"/>
    <w:rsid w:val="00A51732"/>
    <w:rsid w:val="00A54006"/>
    <w:rsid w:val="00A567D4"/>
    <w:rsid w:val="00A569E8"/>
    <w:rsid w:val="00A572DB"/>
    <w:rsid w:val="00A5743E"/>
    <w:rsid w:val="00A57A65"/>
    <w:rsid w:val="00A57DFB"/>
    <w:rsid w:val="00A63D7F"/>
    <w:rsid w:val="00A65FE7"/>
    <w:rsid w:val="00A66A2D"/>
    <w:rsid w:val="00A66AC4"/>
    <w:rsid w:val="00A70C39"/>
    <w:rsid w:val="00A70FE2"/>
    <w:rsid w:val="00A711C6"/>
    <w:rsid w:val="00A71FB5"/>
    <w:rsid w:val="00A73C28"/>
    <w:rsid w:val="00A74D3D"/>
    <w:rsid w:val="00A74D5D"/>
    <w:rsid w:val="00A7728F"/>
    <w:rsid w:val="00A7730B"/>
    <w:rsid w:val="00A8177B"/>
    <w:rsid w:val="00A81A48"/>
    <w:rsid w:val="00A830E4"/>
    <w:rsid w:val="00A83C9E"/>
    <w:rsid w:val="00A84863"/>
    <w:rsid w:val="00A84AE4"/>
    <w:rsid w:val="00A851DB"/>
    <w:rsid w:val="00A871E8"/>
    <w:rsid w:val="00A95D95"/>
    <w:rsid w:val="00A96028"/>
    <w:rsid w:val="00A96047"/>
    <w:rsid w:val="00A96C84"/>
    <w:rsid w:val="00A977EC"/>
    <w:rsid w:val="00AA0619"/>
    <w:rsid w:val="00AA200F"/>
    <w:rsid w:val="00AA3456"/>
    <w:rsid w:val="00AA3FD1"/>
    <w:rsid w:val="00AA443F"/>
    <w:rsid w:val="00AA4DBB"/>
    <w:rsid w:val="00AA57A0"/>
    <w:rsid w:val="00AA69B8"/>
    <w:rsid w:val="00AB11B3"/>
    <w:rsid w:val="00AB50E0"/>
    <w:rsid w:val="00AB5196"/>
    <w:rsid w:val="00AB5ED3"/>
    <w:rsid w:val="00AB65F7"/>
    <w:rsid w:val="00AB6B0C"/>
    <w:rsid w:val="00AB70CD"/>
    <w:rsid w:val="00AB77AA"/>
    <w:rsid w:val="00AB79DB"/>
    <w:rsid w:val="00AB7F65"/>
    <w:rsid w:val="00AC1BEA"/>
    <w:rsid w:val="00AC2B04"/>
    <w:rsid w:val="00AC33AD"/>
    <w:rsid w:val="00AC4674"/>
    <w:rsid w:val="00AC4898"/>
    <w:rsid w:val="00AC48B3"/>
    <w:rsid w:val="00AC7626"/>
    <w:rsid w:val="00AC7AC9"/>
    <w:rsid w:val="00AD0621"/>
    <w:rsid w:val="00AD22DE"/>
    <w:rsid w:val="00AD380C"/>
    <w:rsid w:val="00AD70F9"/>
    <w:rsid w:val="00AD748B"/>
    <w:rsid w:val="00AD7B20"/>
    <w:rsid w:val="00AE18AC"/>
    <w:rsid w:val="00AE1920"/>
    <w:rsid w:val="00AE263B"/>
    <w:rsid w:val="00AE3014"/>
    <w:rsid w:val="00AE35A4"/>
    <w:rsid w:val="00AE38AB"/>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7992"/>
    <w:rsid w:val="00B00545"/>
    <w:rsid w:val="00B00AB3"/>
    <w:rsid w:val="00B011FE"/>
    <w:rsid w:val="00B032FE"/>
    <w:rsid w:val="00B038F8"/>
    <w:rsid w:val="00B05D4B"/>
    <w:rsid w:val="00B077BA"/>
    <w:rsid w:val="00B10B2D"/>
    <w:rsid w:val="00B116AF"/>
    <w:rsid w:val="00B12B0E"/>
    <w:rsid w:val="00B14C52"/>
    <w:rsid w:val="00B14DF2"/>
    <w:rsid w:val="00B200AA"/>
    <w:rsid w:val="00B206CB"/>
    <w:rsid w:val="00B21DED"/>
    <w:rsid w:val="00B22021"/>
    <w:rsid w:val="00B2367F"/>
    <w:rsid w:val="00B2511D"/>
    <w:rsid w:val="00B251E0"/>
    <w:rsid w:val="00B27BC4"/>
    <w:rsid w:val="00B27ED6"/>
    <w:rsid w:val="00B326F2"/>
    <w:rsid w:val="00B32A4C"/>
    <w:rsid w:val="00B32D4B"/>
    <w:rsid w:val="00B32E50"/>
    <w:rsid w:val="00B3300D"/>
    <w:rsid w:val="00B34073"/>
    <w:rsid w:val="00B34435"/>
    <w:rsid w:val="00B3470F"/>
    <w:rsid w:val="00B34878"/>
    <w:rsid w:val="00B349ED"/>
    <w:rsid w:val="00B34FF0"/>
    <w:rsid w:val="00B360E8"/>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6353"/>
    <w:rsid w:val="00B571E6"/>
    <w:rsid w:val="00B5746F"/>
    <w:rsid w:val="00B600D8"/>
    <w:rsid w:val="00B61348"/>
    <w:rsid w:val="00B6263F"/>
    <w:rsid w:val="00B62732"/>
    <w:rsid w:val="00B630EE"/>
    <w:rsid w:val="00B651BD"/>
    <w:rsid w:val="00B652C0"/>
    <w:rsid w:val="00B65E05"/>
    <w:rsid w:val="00B6603F"/>
    <w:rsid w:val="00B67114"/>
    <w:rsid w:val="00B71CA0"/>
    <w:rsid w:val="00B727CE"/>
    <w:rsid w:val="00B72DFC"/>
    <w:rsid w:val="00B72E0A"/>
    <w:rsid w:val="00B75449"/>
    <w:rsid w:val="00B76396"/>
    <w:rsid w:val="00B7732B"/>
    <w:rsid w:val="00B7751B"/>
    <w:rsid w:val="00B7770A"/>
    <w:rsid w:val="00B80B0E"/>
    <w:rsid w:val="00B8192A"/>
    <w:rsid w:val="00B837D4"/>
    <w:rsid w:val="00B83D62"/>
    <w:rsid w:val="00B83E56"/>
    <w:rsid w:val="00B852FF"/>
    <w:rsid w:val="00B90CA5"/>
    <w:rsid w:val="00B917E7"/>
    <w:rsid w:val="00B93104"/>
    <w:rsid w:val="00B93ABB"/>
    <w:rsid w:val="00B94C85"/>
    <w:rsid w:val="00B94E50"/>
    <w:rsid w:val="00B9619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AC8"/>
    <w:rsid w:val="00BD136C"/>
    <w:rsid w:val="00BD4351"/>
    <w:rsid w:val="00BE075A"/>
    <w:rsid w:val="00BE07A9"/>
    <w:rsid w:val="00BE084D"/>
    <w:rsid w:val="00BE098D"/>
    <w:rsid w:val="00BE1507"/>
    <w:rsid w:val="00BE428C"/>
    <w:rsid w:val="00BE4C17"/>
    <w:rsid w:val="00BE574C"/>
    <w:rsid w:val="00BF21BB"/>
    <w:rsid w:val="00BF444F"/>
    <w:rsid w:val="00BF46A7"/>
    <w:rsid w:val="00BF4ADB"/>
    <w:rsid w:val="00BF5230"/>
    <w:rsid w:val="00C02269"/>
    <w:rsid w:val="00C02E19"/>
    <w:rsid w:val="00C04072"/>
    <w:rsid w:val="00C04C2F"/>
    <w:rsid w:val="00C1090C"/>
    <w:rsid w:val="00C1209D"/>
    <w:rsid w:val="00C144DB"/>
    <w:rsid w:val="00C159C7"/>
    <w:rsid w:val="00C15B26"/>
    <w:rsid w:val="00C16CCA"/>
    <w:rsid w:val="00C17705"/>
    <w:rsid w:val="00C177AD"/>
    <w:rsid w:val="00C20D8D"/>
    <w:rsid w:val="00C21574"/>
    <w:rsid w:val="00C22D61"/>
    <w:rsid w:val="00C23675"/>
    <w:rsid w:val="00C23FD0"/>
    <w:rsid w:val="00C240C8"/>
    <w:rsid w:val="00C24431"/>
    <w:rsid w:val="00C26513"/>
    <w:rsid w:val="00C310C9"/>
    <w:rsid w:val="00C32088"/>
    <w:rsid w:val="00C328C9"/>
    <w:rsid w:val="00C339A4"/>
    <w:rsid w:val="00C37080"/>
    <w:rsid w:val="00C37F72"/>
    <w:rsid w:val="00C37FC8"/>
    <w:rsid w:val="00C4017D"/>
    <w:rsid w:val="00C420C1"/>
    <w:rsid w:val="00C422E6"/>
    <w:rsid w:val="00C444DC"/>
    <w:rsid w:val="00C44E91"/>
    <w:rsid w:val="00C45963"/>
    <w:rsid w:val="00C459DC"/>
    <w:rsid w:val="00C472B8"/>
    <w:rsid w:val="00C47A0B"/>
    <w:rsid w:val="00C47E19"/>
    <w:rsid w:val="00C50375"/>
    <w:rsid w:val="00C51574"/>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80D99"/>
    <w:rsid w:val="00C80F82"/>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7415"/>
    <w:rsid w:val="00CA7C77"/>
    <w:rsid w:val="00CB265C"/>
    <w:rsid w:val="00CB3759"/>
    <w:rsid w:val="00CB4540"/>
    <w:rsid w:val="00CB7A07"/>
    <w:rsid w:val="00CB7AE3"/>
    <w:rsid w:val="00CB7B26"/>
    <w:rsid w:val="00CC01BD"/>
    <w:rsid w:val="00CC1192"/>
    <w:rsid w:val="00CC3305"/>
    <w:rsid w:val="00CC4CE5"/>
    <w:rsid w:val="00CC59BB"/>
    <w:rsid w:val="00CC5AE5"/>
    <w:rsid w:val="00CC5DB9"/>
    <w:rsid w:val="00CC6118"/>
    <w:rsid w:val="00CC70BF"/>
    <w:rsid w:val="00CC7DC1"/>
    <w:rsid w:val="00CD1274"/>
    <w:rsid w:val="00CD1A92"/>
    <w:rsid w:val="00CD1EE6"/>
    <w:rsid w:val="00CD21DB"/>
    <w:rsid w:val="00CD2AA1"/>
    <w:rsid w:val="00CD535A"/>
    <w:rsid w:val="00CD635D"/>
    <w:rsid w:val="00CD6D11"/>
    <w:rsid w:val="00CD7194"/>
    <w:rsid w:val="00CD72E9"/>
    <w:rsid w:val="00CD7CED"/>
    <w:rsid w:val="00CD7F23"/>
    <w:rsid w:val="00CE04C7"/>
    <w:rsid w:val="00CE1702"/>
    <w:rsid w:val="00CE3D60"/>
    <w:rsid w:val="00CE4344"/>
    <w:rsid w:val="00CE543A"/>
    <w:rsid w:val="00CE5C1F"/>
    <w:rsid w:val="00CE7D98"/>
    <w:rsid w:val="00CF0E02"/>
    <w:rsid w:val="00CF156B"/>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A16"/>
    <w:rsid w:val="00D12FE3"/>
    <w:rsid w:val="00D13B7A"/>
    <w:rsid w:val="00D14493"/>
    <w:rsid w:val="00D15748"/>
    <w:rsid w:val="00D157A5"/>
    <w:rsid w:val="00D15DB9"/>
    <w:rsid w:val="00D1691B"/>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AF3"/>
    <w:rsid w:val="00D33BC4"/>
    <w:rsid w:val="00D3462C"/>
    <w:rsid w:val="00D35689"/>
    <w:rsid w:val="00D35A53"/>
    <w:rsid w:val="00D363DD"/>
    <w:rsid w:val="00D36BD8"/>
    <w:rsid w:val="00D402E1"/>
    <w:rsid w:val="00D410DF"/>
    <w:rsid w:val="00D412EF"/>
    <w:rsid w:val="00D41BA9"/>
    <w:rsid w:val="00D430E7"/>
    <w:rsid w:val="00D4409C"/>
    <w:rsid w:val="00D4449D"/>
    <w:rsid w:val="00D46FE7"/>
    <w:rsid w:val="00D5092F"/>
    <w:rsid w:val="00D50DFA"/>
    <w:rsid w:val="00D5186F"/>
    <w:rsid w:val="00D518A7"/>
    <w:rsid w:val="00D52376"/>
    <w:rsid w:val="00D55D20"/>
    <w:rsid w:val="00D55DD7"/>
    <w:rsid w:val="00D57CF1"/>
    <w:rsid w:val="00D60272"/>
    <w:rsid w:val="00D612C2"/>
    <w:rsid w:val="00D61E40"/>
    <w:rsid w:val="00D62D89"/>
    <w:rsid w:val="00D631E8"/>
    <w:rsid w:val="00D6776E"/>
    <w:rsid w:val="00D6793F"/>
    <w:rsid w:val="00D67954"/>
    <w:rsid w:val="00D73F21"/>
    <w:rsid w:val="00D743BF"/>
    <w:rsid w:val="00D745E0"/>
    <w:rsid w:val="00D74A7E"/>
    <w:rsid w:val="00D76AA3"/>
    <w:rsid w:val="00D8032A"/>
    <w:rsid w:val="00D8053F"/>
    <w:rsid w:val="00D80604"/>
    <w:rsid w:val="00D81A66"/>
    <w:rsid w:val="00D831AC"/>
    <w:rsid w:val="00D832A7"/>
    <w:rsid w:val="00D83402"/>
    <w:rsid w:val="00D86717"/>
    <w:rsid w:val="00D8717F"/>
    <w:rsid w:val="00D877D2"/>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0BD6"/>
    <w:rsid w:val="00DB17E3"/>
    <w:rsid w:val="00DB1C53"/>
    <w:rsid w:val="00DB1CF2"/>
    <w:rsid w:val="00DB2360"/>
    <w:rsid w:val="00DB36ED"/>
    <w:rsid w:val="00DB3A11"/>
    <w:rsid w:val="00DB4794"/>
    <w:rsid w:val="00DB5C3E"/>
    <w:rsid w:val="00DB628E"/>
    <w:rsid w:val="00DB6762"/>
    <w:rsid w:val="00DB6DFE"/>
    <w:rsid w:val="00DB6EFB"/>
    <w:rsid w:val="00DC0895"/>
    <w:rsid w:val="00DC0F27"/>
    <w:rsid w:val="00DC1AC9"/>
    <w:rsid w:val="00DC39BB"/>
    <w:rsid w:val="00DC4714"/>
    <w:rsid w:val="00DC4AC9"/>
    <w:rsid w:val="00DC4DD2"/>
    <w:rsid w:val="00DC5638"/>
    <w:rsid w:val="00DC6214"/>
    <w:rsid w:val="00DC69E0"/>
    <w:rsid w:val="00DC7040"/>
    <w:rsid w:val="00DD01AE"/>
    <w:rsid w:val="00DD11CE"/>
    <w:rsid w:val="00DD1A2E"/>
    <w:rsid w:val="00DD2FF2"/>
    <w:rsid w:val="00DD534B"/>
    <w:rsid w:val="00DD54FD"/>
    <w:rsid w:val="00DD6BB5"/>
    <w:rsid w:val="00DD6F04"/>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30A0"/>
    <w:rsid w:val="00E04F63"/>
    <w:rsid w:val="00E0549C"/>
    <w:rsid w:val="00E05704"/>
    <w:rsid w:val="00E06E27"/>
    <w:rsid w:val="00E075A1"/>
    <w:rsid w:val="00E079A9"/>
    <w:rsid w:val="00E1101C"/>
    <w:rsid w:val="00E124E3"/>
    <w:rsid w:val="00E12E68"/>
    <w:rsid w:val="00E14812"/>
    <w:rsid w:val="00E14DE9"/>
    <w:rsid w:val="00E15DDE"/>
    <w:rsid w:val="00E169D7"/>
    <w:rsid w:val="00E17F19"/>
    <w:rsid w:val="00E20253"/>
    <w:rsid w:val="00E2031F"/>
    <w:rsid w:val="00E2339E"/>
    <w:rsid w:val="00E239D1"/>
    <w:rsid w:val="00E24491"/>
    <w:rsid w:val="00E24884"/>
    <w:rsid w:val="00E26EA5"/>
    <w:rsid w:val="00E26F1B"/>
    <w:rsid w:val="00E276DB"/>
    <w:rsid w:val="00E3245B"/>
    <w:rsid w:val="00E3362F"/>
    <w:rsid w:val="00E337A1"/>
    <w:rsid w:val="00E3504A"/>
    <w:rsid w:val="00E3707B"/>
    <w:rsid w:val="00E407A8"/>
    <w:rsid w:val="00E41927"/>
    <w:rsid w:val="00E4199A"/>
    <w:rsid w:val="00E42CED"/>
    <w:rsid w:val="00E47B7A"/>
    <w:rsid w:val="00E50685"/>
    <w:rsid w:val="00E50B62"/>
    <w:rsid w:val="00E50D58"/>
    <w:rsid w:val="00E52847"/>
    <w:rsid w:val="00E53525"/>
    <w:rsid w:val="00E53933"/>
    <w:rsid w:val="00E57D9C"/>
    <w:rsid w:val="00E57F6B"/>
    <w:rsid w:val="00E60FAC"/>
    <w:rsid w:val="00E632FB"/>
    <w:rsid w:val="00E641A8"/>
    <w:rsid w:val="00E658AD"/>
    <w:rsid w:val="00E65A8B"/>
    <w:rsid w:val="00E66408"/>
    <w:rsid w:val="00E66C3B"/>
    <w:rsid w:val="00E673C1"/>
    <w:rsid w:val="00E6740C"/>
    <w:rsid w:val="00E70CED"/>
    <w:rsid w:val="00E71A08"/>
    <w:rsid w:val="00E7342C"/>
    <w:rsid w:val="00E744CB"/>
    <w:rsid w:val="00E76363"/>
    <w:rsid w:val="00E77A80"/>
    <w:rsid w:val="00E80026"/>
    <w:rsid w:val="00E80569"/>
    <w:rsid w:val="00E807B4"/>
    <w:rsid w:val="00E82AFD"/>
    <w:rsid w:val="00E82FDE"/>
    <w:rsid w:val="00E835DE"/>
    <w:rsid w:val="00E857C0"/>
    <w:rsid w:val="00E8731D"/>
    <w:rsid w:val="00E87C59"/>
    <w:rsid w:val="00E91D81"/>
    <w:rsid w:val="00E92BC2"/>
    <w:rsid w:val="00E92DE4"/>
    <w:rsid w:val="00E9318F"/>
    <w:rsid w:val="00E93755"/>
    <w:rsid w:val="00E93767"/>
    <w:rsid w:val="00E93BD5"/>
    <w:rsid w:val="00E945B4"/>
    <w:rsid w:val="00E97536"/>
    <w:rsid w:val="00EA010E"/>
    <w:rsid w:val="00EA08D9"/>
    <w:rsid w:val="00EA1302"/>
    <w:rsid w:val="00EA30E7"/>
    <w:rsid w:val="00EA53F1"/>
    <w:rsid w:val="00EA5987"/>
    <w:rsid w:val="00EA5A65"/>
    <w:rsid w:val="00EA70AE"/>
    <w:rsid w:val="00EB060B"/>
    <w:rsid w:val="00EB11AE"/>
    <w:rsid w:val="00EB1E33"/>
    <w:rsid w:val="00EB2FC4"/>
    <w:rsid w:val="00EB3A1F"/>
    <w:rsid w:val="00EB47C1"/>
    <w:rsid w:val="00EB5E45"/>
    <w:rsid w:val="00EC0881"/>
    <w:rsid w:val="00EC22CB"/>
    <w:rsid w:val="00EC3ACB"/>
    <w:rsid w:val="00EC4B4E"/>
    <w:rsid w:val="00ED05AA"/>
    <w:rsid w:val="00ED14C6"/>
    <w:rsid w:val="00ED2B38"/>
    <w:rsid w:val="00EE212F"/>
    <w:rsid w:val="00EE3E02"/>
    <w:rsid w:val="00EE5EFD"/>
    <w:rsid w:val="00EE6DCE"/>
    <w:rsid w:val="00EF0E72"/>
    <w:rsid w:val="00EF107D"/>
    <w:rsid w:val="00EF6540"/>
    <w:rsid w:val="00EF70A5"/>
    <w:rsid w:val="00F01DD8"/>
    <w:rsid w:val="00F020A6"/>
    <w:rsid w:val="00F04218"/>
    <w:rsid w:val="00F04414"/>
    <w:rsid w:val="00F047DB"/>
    <w:rsid w:val="00F0538D"/>
    <w:rsid w:val="00F06843"/>
    <w:rsid w:val="00F07F3D"/>
    <w:rsid w:val="00F11E97"/>
    <w:rsid w:val="00F121A4"/>
    <w:rsid w:val="00F1291B"/>
    <w:rsid w:val="00F1394D"/>
    <w:rsid w:val="00F14C80"/>
    <w:rsid w:val="00F17EEC"/>
    <w:rsid w:val="00F2063D"/>
    <w:rsid w:val="00F20F3D"/>
    <w:rsid w:val="00F20FF1"/>
    <w:rsid w:val="00F22D23"/>
    <w:rsid w:val="00F23A81"/>
    <w:rsid w:val="00F23D3B"/>
    <w:rsid w:val="00F2441C"/>
    <w:rsid w:val="00F24514"/>
    <w:rsid w:val="00F26957"/>
    <w:rsid w:val="00F279A6"/>
    <w:rsid w:val="00F31213"/>
    <w:rsid w:val="00F31BE8"/>
    <w:rsid w:val="00F32E2F"/>
    <w:rsid w:val="00F32F33"/>
    <w:rsid w:val="00F33C26"/>
    <w:rsid w:val="00F33F2F"/>
    <w:rsid w:val="00F351FD"/>
    <w:rsid w:val="00F35457"/>
    <w:rsid w:val="00F3595B"/>
    <w:rsid w:val="00F359D9"/>
    <w:rsid w:val="00F3617B"/>
    <w:rsid w:val="00F40207"/>
    <w:rsid w:val="00F40BA8"/>
    <w:rsid w:val="00F41AC8"/>
    <w:rsid w:val="00F42399"/>
    <w:rsid w:val="00F426A6"/>
    <w:rsid w:val="00F429FD"/>
    <w:rsid w:val="00F42C1A"/>
    <w:rsid w:val="00F44D6B"/>
    <w:rsid w:val="00F4623C"/>
    <w:rsid w:val="00F46897"/>
    <w:rsid w:val="00F51ACA"/>
    <w:rsid w:val="00F53723"/>
    <w:rsid w:val="00F54A24"/>
    <w:rsid w:val="00F54C4A"/>
    <w:rsid w:val="00F5560C"/>
    <w:rsid w:val="00F56399"/>
    <w:rsid w:val="00F625D1"/>
    <w:rsid w:val="00F62937"/>
    <w:rsid w:val="00F631CA"/>
    <w:rsid w:val="00F64940"/>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6E36"/>
    <w:rsid w:val="00F87E52"/>
    <w:rsid w:val="00F93D0B"/>
    <w:rsid w:val="00F95676"/>
    <w:rsid w:val="00FA03E3"/>
    <w:rsid w:val="00FA14F8"/>
    <w:rsid w:val="00FA2C6C"/>
    <w:rsid w:val="00FA52D5"/>
    <w:rsid w:val="00FA56CE"/>
    <w:rsid w:val="00FA6944"/>
    <w:rsid w:val="00FB0126"/>
    <w:rsid w:val="00FB1BA2"/>
    <w:rsid w:val="00FB2570"/>
    <w:rsid w:val="00FB2839"/>
    <w:rsid w:val="00FB4291"/>
    <w:rsid w:val="00FB513E"/>
    <w:rsid w:val="00FB62B5"/>
    <w:rsid w:val="00FB79AA"/>
    <w:rsid w:val="00FC0D15"/>
    <w:rsid w:val="00FC3534"/>
    <w:rsid w:val="00FC4297"/>
    <w:rsid w:val="00FC4DFC"/>
    <w:rsid w:val="00FC4E46"/>
    <w:rsid w:val="00FC559E"/>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F0CFC"/>
    <w:rsid w:val="00FF1B0E"/>
    <w:rsid w:val="00FF1DFF"/>
    <w:rsid w:val="00FF1E3E"/>
    <w:rsid w:val="00FF40FC"/>
    <w:rsid w:val="00FF5B7C"/>
    <w:rsid w:val="00FF748B"/>
    <w:rsid w:val="00FF7DE3"/>
    <w:rsid w:val="01DE0743"/>
    <w:rsid w:val="027652FC"/>
    <w:rsid w:val="027EEA87"/>
    <w:rsid w:val="036F6564"/>
    <w:rsid w:val="03B56484"/>
    <w:rsid w:val="040C7A9A"/>
    <w:rsid w:val="048C4C83"/>
    <w:rsid w:val="04953A38"/>
    <w:rsid w:val="05E2CC00"/>
    <w:rsid w:val="063000D0"/>
    <w:rsid w:val="066B5C48"/>
    <w:rsid w:val="07100717"/>
    <w:rsid w:val="071A376C"/>
    <w:rsid w:val="07F7101E"/>
    <w:rsid w:val="08613ED7"/>
    <w:rsid w:val="08FE48C8"/>
    <w:rsid w:val="090C0806"/>
    <w:rsid w:val="09AA5678"/>
    <w:rsid w:val="0A5E4659"/>
    <w:rsid w:val="0AEB5FE9"/>
    <w:rsid w:val="0B605985"/>
    <w:rsid w:val="0B787F8F"/>
    <w:rsid w:val="0C0833C9"/>
    <w:rsid w:val="0CA55CCC"/>
    <w:rsid w:val="0CA8710F"/>
    <w:rsid w:val="0CFF158A"/>
    <w:rsid w:val="0E431D8A"/>
    <w:rsid w:val="0E760B47"/>
    <w:rsid w:val="0E874A06"/>
    <w:rsid w:val="0F763767"/>
    <w:rsid w:val="107D797E"/>
    <w:rsid w:val="10ED54B2"/>
    <w:rsid w:val="121F089B"/>
    <w:rsid w:val="12223A2E"/>
    <w:rsid w:val="12687E9E"/>
    <w:rsid w:val="13AC1FC1"/>
    <w:rsid w:val="13BD3E5F"/>
    <w:rsid w:val="13DC2C6B"/>
    <w:rsid w:val="14CF3D24"/>
    <w:rsid w:val="154E393A"/>
    <w:rsid w:val="156E768E"/>
    <w:rsid w:val="15C35BE5"/>
    <w:rsid w:val="169A3302"/>
    <w:rsid w:val="17AA97D8"/>
    <w:rsid w:val="17F4515B"/>
    <w:rsid w:val="180C51F5"/>
    <w:rsid w:val="18427B49"/>
    <w:rsid w:val="1875217F"/>
    <w:rsid w:val="1879233A"/>
    <w:rsid w:val="18BE5C62"/>
    <w:rsid w:val="194355A9"/>
    <w:rsid w:val="194F1402"/>
    <w:rsid w:val="195103FF"/>
    <w:rsid w:val="19542712"/>
    <w:rsid w:val="19625EB7"/>
    <w:rsid w:val="19A327C1"/>
    <w:rsid w:val="19BD64DD"/>
    <w:rsid w:val="19D73FF0"/>
    <w:rsid w:val="1A8E32DA"/>
    <w:rsid w:val="1AB37FF6"/>
    <w:rsid w:val="1B58661D"/>
    <w:rsid w:val="1B715D70"/>
    <w:rsid w:val="1B812F99"/>
    <w:rsid w:val="1BA96FB0"/>
    <w:rsid w:val="1BD02183"/>
    <w:rsid w:val="1BED21EF"/>
    <w:rsid w:val="1C107927"/>
    <w:rsid w:val="1CF459BA"/>
    <w:rsid w:val="1D9874CD"/>
    <w:rsid w:val="1DCB1A4C"/>
    <w:rsid w:val="1DF67FA2"/>
    <w:rsid w:val="204376E1"/>
    <w:rsid w:val="20D456C1"/>
    <w:rsid w:val="214772A1"/>
    <w:rsid w:val="21521D41"/>
    <w:rsid w:val="2157C120"/>
    <w:rsid w:val="22101E4E"/>
    <w:rsid w:val="22935557"/>
    <w:rsid w:val="22A06484"/>
    <w:rsid w:val="22F00A83"/>
    <w:rsid w:val="232B63B6"/>
    <w:rsid w:val="23F57807"/>
    <w:rsid w:val="240C7539"/>
    <w:rsid w:val="24CA1512"/>
    <w:rsid w:val="25610339"/>
    <w:rsid w:val="26091741"/>
    <w:rsid w:val="261C48D8"/>
    <w:rsid w:val="26BE6858"/>
    <w:rsid w:val="27211982"/>
    <w:rsid w:val="27CA4F73"/>
    <w:rsid w:val="28F134A2"/>
    <w:rsid w:val="2AAD2F10"/>
    <w:rsid w:val="2AAD36A8"/>
    <w:rsid w:val="2B900426"/>
    <w:rsid w:val="2BF30AC7"/>
    <w:rsid w:val="2C3F26E5"/>
    <w:rsid w:val="2C5F615A"/>
    <w:rsid w:val="2C661776"/>
    <w:rsid w:val="2E22281F"/>
    <w:rsid w:val="2F9A3FB4"/>
    <w:rsid w:val="2FBFF04D"/>
    <w:rsid w:val="301A4E70"/>
    <w:rsid w:val="30BD0622"/>
    <w:rsid w:val="31436D79"/>
    <w:rsid w:val="316658B8"/>
    <w:rsid w:val="31865C9B"/>
    <w:rsid w:val="31AB06F9"/>
    <w:rsid w:val="324541C1"/>
    <w:rsid w:val="32CE7A7E"/>
    <w:rsid w:val="347463DD"/>
    <w:rsid w:val="34F0257E"/>
    <w:rsid w:val="35097EC1"/>
    <w:rsid w:val="35CB4C4D"/>
    <w:rsid w:val="35CD0198"/>
    <w:rsid w:val="36066B7D"/>
    <w:rsid w:val="3650579C"/>
    <w:rsid w:val="36612E47"/>
    <w:rsid w:val="36661776"/>
    <w:rsid w:val="376036B4"/>
    <w:rsid w:val="37623CD1"/>
    <w:rsid w:val="37834C70"/>
    <w:rsid w:val="37AF6778"/>
    <w:rsid w:val="37F4568F"/>
    <w:rsid w:val="37FF581C"/>
    <w:rsid w:val="39CE7FA5"/>
    <w:rsid w:val="3AFC2342"/>
    <w:rsid w:val="3B490F5B"/>
    <w:rsid w:val="3B5C18FD"/>
    <w:rsid w:val="3BC71CF3"/>
    <w:rsid w:val="3BCF631D"/>
    <w:rsid w:val="3BDE3CA1"/>
    <w:rsid w:val="3BF94B56"/>
    <w:rsid w:val="3C677367"/>
    <w:rsid w:val="3CA63F85"/>
    <w:rsid w:val="3CC656EB"/>
    <w:rsid w:val="3CCA21E8"/>
    <w:rsid w:val="3D1F334F"/>
    <w:rsid w:val="3D546277"/>
    <w:rsid w:val="3E2057E8"/>
    <w:rsid w:val="3E29379B"/>
    <w:rsid w:val="3E3D429E"/>
    <w:rsid w:val="3EBBEF84"/>
    <w:rsid w:val="3FC159A6"/>
    <w:rsid w:val="3FD2438C"/>
    <w:rsid w:val="3FF7F51C"/>
    <w:rsid w:val="402C6CE6"/>
    <w:rsid w:val="416A6C53"/>
    <w:rsid w:val="425F4E4E"/>
    <w:rsid w:val="428A3BA8"/>
    <w:rsid w:val="42A74EAA"/>
    <w:rsid w:val="43680F1E"/>
    <w:rsid w:val="43DE733F"/>
    <w:rsid w:val="43F31FE2"/>
    <w:rsid w:val="44513222"/>
    <w:rsid w:val="44640439"/>
    <w:rsid w:val="45572B6C"/>
    <w:rsid w:val="455B320C"/>
    <w:rsid w:val="459E48B0"/>
    <w:rsid w:val="460F771A"/>
    <w:rsid w:val="465ED152"/>
    <w:rsid w:val="46F14545"/>
    <w:rsid w:val="470A2591"/>
    <w:rsid w:val="475C4800"/>
    <w:rsid w:val="477E2361"/>
    <w:rsid w:val="478618F4"/>
    <w:rsid w:val="47B14D93"/>
    <w:rsid w:val="489F0635"/>
    <w:rsid w:val="48C9665E"/>
    <w:rsid w:val="49742C4D"/>
    <w:rsid w:val="498C2136"/>
    <w:rsid w:val="49CA6C65"/>
    <w:rsid w:val="4A455FF0"/>
    <w:rsid w:val="4A77022A"/>
    <w:rsid w:val="4AB425FA"/>
    <w:rsid w:val="4B3118C3"/>
    <w:rsid w:val="4B49460C"/>
    <w:rsid w:val="4BBA43FC"/>
    <w:rsid w:val="4BFD2018"/>
    <w:rsid w:val="4C190265"/>
    <w:rsid w:val="4C3B0E2F"/>
    <w:rsid w:val="4CAB0D7C"/>
    <w:rsid w:val="4D0038F1"/>
    <w:rsid w:val="4E0D2791"/>
    <w:rsid w:val="4E2D68D7"/>
    <w:rsid w:val="4F474175"/>
    <w:rsid w:val="4FE354C1"/>
    <w:rsid w:val="4FF35FAD"/>
    <w:rsid w:val="508D7166"/>
    <w:rsid w:val="515A150F"/>
    <w:rsid w:val="52BE30D2"/>
    <w:rsid w:val="52D35800"/>
    <w:rsid w:val="52EA1E33"/>
    <w:rsid w:val="533C54BD"/>
    <w:rsid w:val="537A4C04"/>
    <w:rsid w:val="53D770A4"/>
    <w:rsid w:val="53FC6338"/>
    <w:rsid w:val="543D22A5"/>
    <w:rsid w:val="54B67D2F"/>
    <w:rsid w:val="55791323"/>
    <w:rsid w:val="55796678"/>
    <w:rsid w:val="55A05D34"/>
    <w:rsid w:val="55B31654"/>
    <w:rsid w:val="563365F1"/>
    <w:rsid w:val="567D26A0"/>
    <w:rsid w:val="56E90786"/>
    <w:rsid w:val="58E30871"/>
    <w:rsid w:val="59550094"/>
    <w:rsid w:val="59834466"/>
    <w:rsid w:val="598F5B9A"/>
    <w:rsid w:val="59906AA6"/>
    <w:rsid w:val="59E922EF"/>
    <w:rsid w:val="59E95FFF"/>
    <w:rsid w:val="59FEEA9C"/>
    <w:rsid w:val="5AA63A47"/>
    <w:rsid w:val="5AD00A5A"/>
    <w:rsid w:val="5BAD6AF9"/>
    <w:rsid w:val="5BBE59A3"/>
    <w:rsid w:val="5C002B30"/>
    <w:rsid w:val="5CBF0FAA"/>
    <w:rsid w:val="5CFD75C9"/>
    <w:rsid w:val="5DF31C63"/>
    <w:rsid w:val="5E2A7C1A"/>
    <w:rsid w:val="5F442B24"/>
    <w:rsid w:val="5FF209BD"/>
    <w:rsid w:val="5FF5CF52"/>
    <w:rsid w:val="600A2FD4"/>
    <w:rsid w:val="60BF1A4F"/>
    <w:rsid w:val="615805A1"/>
    <w:rsid w:val="61FC3404"/>
    <w:rsid w:val="6229058D"/>
    <w:rsid w:val="64235C8D"/>
    <w:rsid w:val="64440F4B"/>
    <w:rsid w:val="65536F9A"/>
    <w:rsid w:val="657356E0"/>
    <w:rsid w:val="65BA088F"/>
    <w:rsid w:val="66361F34"/>
    <w:rsid w:val="671E309A"/>
    <w:rsid w:val="671F3FA4"/>
    <w:rsid w:val="674C8EC9"/>
    <w:rsid w:val="68B009A8"/>
    <w:rsid w:val="69127D3A"/>
    <w:rsid w:val="694B1853"/>
    <w:rsid w:val="6A2A2317"/>
    <w:rsid w:val="6A68AF4A"/>
    <w:rsid w:val="6A93762C"/>
    <w:rsid w:val="6A996F13"/>
    <w:rsid w:val="6A9B2760"/>
    <w:rsid w:val="6C011206"/>
    <w:rsid w:val="6C4130E2"/>
    <w:rsid w:val="6C6C4759"/>
    <w:rsid w:val="6C910893"/>
    <w:rsid w:val="6CB79A6E"/>
    <w:rsid w:val="6D3C717F"/>
    <w:rsid w:val="6D480FD8"/>
    <w:rsid w:val="6D6313BE"/>
    <w:rsid w:val="6DCFD6DC"/>
    <w:rsid w:val="6EC5514E"/>
    <w:rsid w:val="6EF7221D"/>
    <w:rsid w:val="6F0A53D2"/>
    <w:rsid w:val="6FD04974"/>
    <w:rsid w:val="6FF61547"/>
    <w:rsid w:val="708D7FD0"/>
    <w:rsid w:val="70FF71F1"/>
    <w:rsid w:val="7255060F"/>
    <w:rsid w:val="72823D2E"/>
    <w:rsid w:val="729F162E"/>
    <w:rsid w:val="7364630A"/>
    <w:rsid w:val="7527591E"/>
    <w:rsid w:val="7549288D"/>
    <w:rsid w:val="75D9095F"/>
    <w:rsid w:val="760A0079"/>
    <w:rsid w:val="76724FD8"/>
    <w:rsid w:val="76A340CA"/>
    <w:rsid w:val="76F1CF94"/>
    <w:rsid w:val="777423E0"/>
    <w:rsid w:val="77A40763"/>
    <w:rsid w:val="77AD6BD4"/>
    <w:rsid w:val="77D210D0"/>
    <w:rsid w:val="787C2959"/>
    <w:rsid w:val="78CF7467"/>
    <w:rsid w:val="791C296D"/>
    <w:rsid w:val="7A8742BC"/>
    <w:rsid w:val="7B7B17D0"/>
    <w:rsid w:val="7BEBFA37"/>
    <w:rsid w:val="7BF94230"/>
    <w:rsid w:val="7BFB3344"/>
    <w:rsid w:val="7CD25842"/>
    <w:rsid w:val="7D1D1FE4"/>
    <w:rsid w:val="7D7F38AF"/>
    <w:rsid w:val="7DFF3090"/>
    <w:rsid w:val="7E5F0FFD"/>
    <w:rsid w:val="7F768F8C"/>
    <w:rsid w:val="7F87FB46"/>
    <w:rsid w:val="7F9C4434"/>
    <w:rsid w:val="7FFC4750"/>
    <w:rsid w:val="82EA17DC"/>
    <w:rsid w:val="AF374214"/>
    <w:rsid w:val="B5371B2C"/>
    <w:rsid w:val="B7F78639"/>
    <w:rsid w:val="BA6DB7AC"/>
    <w:rsid w:val="BD7FE7A6"/>
    <w:rsid w:val="BFF71684"/>
    <w:rsid w:val="C1FF0F93"/>
    <w:rsid w:val="D60CD89B"/>
    <w:rsid w:val="DEDCC403"/>
    <w:rsid w:val="E2FDB4A9"/>
    <w:rsid w:val="E3FE7271"/>
    <w:rsid w:val="E4FED9FA"/>
    <w:rsid w:val="E6B5A12D"/>
    <w:rsid w:val="E7BF5138"/>
    <w:rsid w:val="EB39521F"/>
    <w:rsid w:val="EB7B78E0"/>
    <w:rsid w:val="EFB55BC0"/>
    <w:rsid w:val="EFF7E99C"/>
    <w:rsid w:val="EFFD1C2E"/>
    <w:rsid w:val="F5FF994E"/>
    <w:rsid w:val="F6DF669A"/>
    <w:rsid w:val="F7992587"/>
    <w:rsid w:val="F97FD032"/>
    <w:rsid w:val="FADFCC1F"/>
    <w:rsid w:val="FBAD5A61"/>
    <w:rsid w:val="FBFC73A1"/>
    <w:rsid w:val="FDF404F4"/>
    <w:rsid w:val="FE016188"/>
    <w:rsid w:val="FEDF3E2A"/>
    <w:rsid w:val="FEEF9FD0"/>
    <w:rsid w:val="FF63AEA2"/>
    <w:rsid w:val="FFD6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6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annotation subject"/>
    <w:basedOn w:val="13"/>
    <w:next w:val="13"/>
    <w:link w:val="80"/>
    <w:qFormat/>
    <w:uiPriority w:val="0"/>
    <w:pPr>
      <w:adjustRightInd/>
      <w:spacing w:line="240" w:lineRule="auto"/>
      <w:textAlignment w:val="auto"/>
    </w:pPr>
  </w:style>
  <w:style w:type="paragraph" w:styleId="13">
    <w:name w:val="annotation text"/>
    <w:basedOn w:val="1"/>
    <w:link w:val="72"/>
    <w:qFormat/>
    <w:uiPriority w:val="0"/>
    <w:pPr>
      <w:adjustRightInd w:val="0"/>
      <w:spacing w:line="360" w:lineRule="atLeast"/>
      <w:jc w:val="left"/>
      <w:textAlignment w:val="baseline"/>
    </w:pPr>
    <w:rPr>
      <w:kern w:val="0"/>
      <w:sz w:val="24"/>
    </w:rPr>
  </w:style>
  <w:style w:type="paragraph" w:styleId="14">
    <w:name w:val="toc 7"/>
    <w:basedOn w:val="1"/>
    <w:next w:val="1"/>
    <w:qFormat/>
    <w:uiPriority w:val="0"/>
    <w:pPr>
      <w:ind w:left="2520" w:leftChars="1200"/>
    </w:pPr>
  </w:style>
  <w:style w:type="paragraph" w:styleId="15">
    <w:name w:val="Body Text First Indent"/>
    <w:basedOn w:val="16"/>
    <w:next w:val="1"/>
    <w:qFormat/>
    <w:uiPriority w:val="0"/>
    <w:pPr>
      <w:spacing w:line="360" w:lineRule="auto"/>
      <w:ind w:firstLine="420"/>
    </w:pPr>
    <w:rPr>
      <w:rFonts w:ascii="宋体" w:hAnsi="宋体"/>
      <w:sz w:val="24"/>
    </w:rPr>
  </w:style>
  <w:style w:type="paragraph" w:styleId="16">
    <w:name w:val="Body Text"/>
    <w:basedOn w:val="1"/>
    <w:next w:val="17"/>
    <w:link w:val="73"/>
    <w:qFormat/>
    <w:uiPriority w:val="0"/>
    <w:rPr>
      <w:rFonts w:ascii="仿宋_GB2312" w:eastAsia="仿宋_GB2312"/>
      <w:sz w:val="32"/>
    </w:rPr>
  </w:style>
  <w:style w:type="paragraph" w:styleId="17">
    <w:name w:val="index 7"/>
    <w:basedOn w:val="1"/>
    <w:next w:val="1"/>
    <w:qFormat/>
    <w:uiPriority w:val="0"/>
    <w:pPr>
      <w:ind w:left="2520"/>
    </w:pPr>
  </w:style>
  <w:style w:type="paragraph" w:styleId="18">
    <w:name w:val="List Number 2"/>
    <w:basedOn w:val="1"/>
    <w:qFormat/>
    <w:uiPriority w:val="0"/>
    <w:pPr>
      <w:numPr>
        <w:ilvl w:val="0"/>
        <w:numId w:val="1"/>
      </w:numPr>
      <w:tabs>
        <w:tab w:val="left" w:pos="780"/>
        <w:tab w:val="clear" w:pos="425"/>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link w:val="7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74"/>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numPr>
        <w:ilvl w:val="0"/>
        <w:numId w:val="2"/>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5"/>
    <w:qFormat/>
    <w:uiPriority w:val="0"/>
  </w:style>
  <w:style w:type="paragraph" w:styleId="36">
    <w:name w:val="Body Text Indent 2"/>
    <w:basedOn w:val="1"/>
    <w:link w:val="76"/>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77"/>
    <w:qFormat/>
    <w:uiPriority w:val="99"/>
    <w:pPr>
      <w:tabs>
        <w:tab w:val="center" w:pos="4153"/>
        <w:tab w:val="right" w:pos="8306"/>
      </w:tabs>
      <w:snapToGrid w:val="0"/>
      <w:jc w:val="left"/>
    </w:pPr>
    <w:rPr>
      <w:sz w:val="18"/>
    </w:rPr>
  </w:style>
  <w:style w:type="paragraph" w:styleId="39">
    <w:name w:val="Body Text First Indent 2"/>
    <w:basedOn w:val="26"/>
    <w:link w:val="81"/>
    <w:qFormat/>
    <w:uiPriority w:val="0"/>
    <w:pPr>
      <w:spacing w:after="120" w:line="240" w:lineRule="auto"/>
      <w:ind w:left="420" w:leftChars="200" w:firstLine="420" w:firstLineChars="200"/>
    </w:pPr>
  </w:style>
  <w:style w:type="paragraph" w:styleId="40">
    <w:name w:val="header"/>
    <w:basedOn w:val="1"/>
    <w:link w:val="78"/>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79"/>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table" w:styleId="67">
    <w:name w:val="Table Grid"/>
    <w:basedOn w:val="6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68">
    <w:name w:val="Quote"/>
    <w:basedOn w:val="1"/>
    <w:next w:val="1"/>
    <w:qFormat/>
    <w:uiPriority w:val="0"/>
    <w:pPr>
      <w:wordWrap w:val="0"/>
      <w:spacing w:before="200" w:after="160"/>
      <w:ind w:left="864" w:right="864"/>
      <w:jc w:val="center"/>
    </w:pPr>
    <w:rPr>
      <w:i/>
      <w:sz w:val="21"/>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20"/>
    <w:qFormat/>
    <w:uiPriority w:val="0"/>
    <w:rPr>
      <w:kern w:val="2"/>
      <w:sz w:val="24"/>
    </w:rPr>
  </w:style>
  <w:style w:type="character" w:customStyle="1" w:styleId="72">
    <w:name w:val="批注文字 字符"/>
    <w:link w:val="13"/>
    <w:qFormat/>
    <w:uiPriority w:val="0"/>
    <w:rPr>
      <w:sz w:val="24"/>
    </w:rPr>
  </w:style>
  <w:style w:type="character" w:customStyle="1" w:styleId="73">
    <w:name w:val="正文文本 字符"/>
    <w:link w:val="16"/>
    <w:qFormat/>
    <w:uiPriority w:val="0"/>
    <w:rPr>
      <w:rFonts w:ascii="仿宋_GB2312" w:eastAsia="仿宋_GB2312"/>
      <w:kern w:val="2"/>
      <w:sz w:val="32"/>
    </w:rPr>
  </w:style>
  <w:style w:type="character" w:customStyle="1" w:styleId="74">
    <w:name w:val="正文文本缩进 字符"/>
    <w:link w:val="26"/>
    <w:qFormat/>
    <w:uiPriority w:val="0"/>
    <w:rPr>
      <w:kern w:val="2"/>
      <w:sz w:val="44"/>
    </w:rPr>
  </w:style>
  <w:style w:type="character" w:customStyle="1" w:styleId="75">
    <w:name w:val="日期 字符"/>
    <w:link w:val="35"/>
    <w:qFormat/>
    <w:uiPriority w:val="0"/>
    <w:rPr>
      <w:kern w:val="2"/>
      <w:sz w:val="28"/>
    </w:rPr>
  </w:style>
  <w:style w:type="character" w:customStyle="1" w:styleId="76">
    <w:name w:val="正文文本缩进 2 字符"/>
    <w:link w:val="36"/>
    <w:qFormat/>
    <w:uiPriority w:val="0"/>
    <w:rPr>
      <w:kern w:val="2"/>
      <w:sz w:val="28"/>
    </w:rPr>
  </w:style>
  <w:style w:type="character" w:customStyle="1" w:styleId="77">
    <w:name w:val="页脚 字符"/>
    <w:link w:val="38"/>
    <w:qFormat/>
    <w:uiPriority w:val="99"/>
    <w:rPr>
      <w:kern w:val="2"/>
      <w:sz w:val="18"/>
    </w:rPr>
  </w:style>
  <w:style w:type="character" w:customStyle="1" w:styleId="78">
    <w:name w:val="页眉 字符"/>
    <w:link w:val="40"/>
    <w:qFormat/>
    <w:uiPriority w:val="0"/>
    <w:rPr>
      <w:kern w:val="2"/>
      <w:sz w:val="18"/>
    </w:rPr>
  </w:style>
  <w:style w:type="character" w:customStyle="1" w:styleId="79">
    <w:name w:val="脚注文本 字符"/>
    <w:link w:val="44"/>
    <w:qFormat/>
    <w:uiPriority w:val="0"/>
    <w:rPr>
      <w:kern w:val="2"/>
      <w:sz w:val="18"/>
    </w:rPr>
  </w:style>
  <w:style w:type="character" w:customStyle="1" w:styleId="80">
    <w:name w:val="批注主题 字符"/>
    <w:link w:val="12"/>
    <w:qFormat/>
    <w:uiPriority w:val="0"/>
  </w:style>
  <w:style w:type="character" w:customStyle="1" w:styleId="81">
    <w:name w:val="正文文本首行缩进 2 字符"/>
    <w:link w:val="39"/>
    <w:qFormat/>
    <w:uiPriority w:val="0"/>
  </w:style>
  <w:style w:type="character" w:customStyle="1" w:styleId="82">
    <w:name w:val="H2 Char"/>
    <w:qFormat/>
    <w:uiPriority w:val="0"/>
    <w:rPr>
      <w:rFonts w:ascii="Arial" w:hAnsi="Arial" w:eastAsia="宋体"/>
      <w:kern w:val="2"/>
      <w:sz w:val="28"/>
      <w:lang w:val="en-US" w:eastAsia="zh-CN"/>
    </w:rPr>
  </w:style>
  <w:style w:type="character" w:customStyle="1" w:styleId="83">
    <w:name w:val="crowed11"/>
    <w:qFormat/>
    <w:uiPriority w:val="0"/>
    <w:rPr>
      <w:rFonts w:hint="default" w:ascii="_x000B__x000C_" w:hAnsi="_x000B__x000C_"/>
      <w:sz w:val="24"/>
    </w:rPr>
  </w:style>
  <w:style w:type="character" w:customStyle="1" w:styleId="84">
    <w:name w:val="正文文本缩进 字符1"/>
    <w:qFormat/>
    <w:locked/>
    <w:uiPriority w:val="0"/>
    <w:rPr>
      <w:kern w:val="2"/>
      <w:sz w:val="44"/>
    </w:rPr>
  </w:style>
  <w:style w:type="character" w:customStyle="1" w:styleId="85">
    <w:name w:val="样式 宋体"/>
    <w:qFormat/>
    <w:uiPriority w:val="0"/>
    <w:rPr>
      <w:rFonts w:ascii="宋体" w:hAnsi="宋体" w:eastAsia="宋体"/>
      <w:sz w:val="28"/>
    </w:rPr>
  </w:style>
  <w:style w:type="character" w:customStyle="1" w:styleId="86">
    <w:name w:val="小 Char"/>
    <w:qFormat/>
    <w:uiPriority w:val="0"/>
    <w:rPr>
      <w:rFonts w:ascii="宋体" w:hAnsi="Courier New" w:eastAsia="宋体"/>
      <w:kern w:val="2"/>
      <w:sz w:val="21"/>
      <w:lang w:val="en-US" w:eastAsia="zh-CN" w:bidi="ar-SA"/>
    </w:rPr>
  </w:style>
  <w:style w:type="character" w:customStyle="1" w:styleId="87">
    <w:name w:val="日期 Char"/>
    <w:qFormat/>
    <w:uiPriority w:val="0"/>
    <w:rPr>
      <w:kern w:val="2"/>
      <w:sz w:val="28"/>
    </w:rPr>
  </w:style>
  <w:style w:type="character" w:customStyle="1" w:styleId="88">
    <w:name w:val="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Table Text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v151"/>
    <w:qFormat/>
    <w:uiPriority w:val="0"/>
    <w:rPr>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Char Char3"/>
    <w:qFormat/>
    <w:uiPriority w:val="0"/>
    <w:rPr>
      <w:rFonts w:eastAsia="宋体"/>
      <w:kern w:val="2"/>
      <w:sz w:val="18"/>
      <w:lang w:val="en-US" w:eastAsia="zh-CN"/>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标题 3 字符1"/>
    <w:qFormat/>
    <w:uiPriority w:val="0"/>
    <w:rPr>
      <w:rFonts w:eastAsia="宋体"/>
      <w:b/>
      <w:kern w:val="2"/>
      <w:sz w:val="32"/>
      <w:lang w:val="en-US" w:eastAsia="zh-CN"/>
    </w:rPr>
  </w:style>
  <w:style w:type="character" w:customStyle="1" w:styleId="97">
    <w:name w:val="(符号)五标题1.1.1 Char"/>
    <w:link w:val="98"/>
    <w:qFormat/>
    <w:uiPriority w:val="0"/>
    <w:rPr>
      <w:rFonts w:ascii="宋体" w:hAnsi="宋体"/>
      <w:color w:val="000000"/>
      <w:kern w:val="2"/>
      <w:sz w:val="24"/>
    </w:rPr>
  </w:style>
  <w:style w:type="paragraph" w:customStyle="1" w:styleId="98">
    <w:name w:val="(符号)五标题1.1.1"/>
    <w:basedOn w:val="1"/>
    <w:link w:val="97"/>
    <w:qFormat/>
    <w:uiPriority w:val="0"/>
    <w:pPr>
      <w:numPr>
        <w:ilvl w:val="2"/>
        <w:numId w:val="3"/>
      </w:numPr>
      <w:tabs>
        <w:tab w:val="left" w:pos="1000"/>
      </w:tabs>
      <w:spacing w:line="500" w:lineRule="exact"/>
    </w:pPr>
    <w:rPr>
      <w:rFonts w:ascii="宋体" w:hAnsi="宋体"/>
      <w:color w:val="000000"/>
      <w:sz w:val="24"/>
    </w:rPr>
  </w:style>
  <w:style w:type="character" w:customStyle="1" w:styleId="99">
    <w:name w:val="content-white1"/>
    <w:qFormat/>
    <w:uiPriority w:val="0"/>
    <w:rPr>
      <w:rFonts w:ascii="_x000B__x000C_" w:hAnsi="_x000B__x000C_"/>
      <w:color w:val="auto"/>
      <w:sz w:val="18"/>
      <w:u w:val="none"/>
    </w:rPr>
  </w:style>
  <w:style w:type="character" w:customStyle="1" w:styleId="100">
    <w:name w:val="列表段落 字符"/>
    <w:link w:val="101"/>
    <w:qFormat/>
    <w:uiPriority w:val="0"/>
    <w:rPr>
      <w:rFonts w:ascii="Calibri" w:hAnsi="Calibri"/>
      <w:kern w:val="2"/>
      <w:sz w:val="21"/>
      <w:szCs w:val="22"/>
    </w:rPr>
  </w:style>
  <w:style w:type="paragraph" w:styleId="101">
    <w:name w:val="List Paragraph"/>
    <w:basedOn w:val="1"/>
    <w:link w:val="100"/>
    <w:qFormat/>
    <w:uiPriority w:val="0"/>
    <w:pPr>
      <w:ind w:firstLine="420" w:firstLineChars="200"/>
    </w:pPr>
    <w:rPr>
      <w:rFonts w:ascii="Calibri" w:hAnsi="Calibri"/>
      <w:sz w:val="21"/>
      <w:szCs w:val="22"/>
    </w:rPr>
  </w:style>
  <w:style w:type="character" w:customStyle="1" w:styleId="102">
    <w:name w:val="无"/>
    <w:qFormat/>
    <w:uiPriority w:val="0"/>
    <w:rPr>
      <w:rFonts w:ascii="Times New Roman" w:hAnsi="Times New Roman" w:eastAsia="宋体" w:cs="Times New Roman"/>
    </w:rPr>
  </w:style>
  <w:style w:type="character" w:customStyle="1" w:styleId="103">
    <w:name w:val="文字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font1"/>
    <w:qFormat/>
    <w:uiPriority w:val="0"/>
    <w:rPr>
      <w:color w:val="000000"/>
      <w:sz w:val="18"/>
    </w:rPr>
  </w:style>
  <w:style w:type="character" w:customStyle="1" w:styleId="106">
    <w:name w:val="Char Char2"/>
    <w:qFormat/>
    <w:uiPriority w:val="0"/>
    <w:rPr>
      <w:rFonts w:eastAsia="宋体"/>
      <w:kern w:val="2"/>
      <w:sz w:val="18"/>
      <w:lang w:val="en-US" w:eastAsia="zh-CN"/>
    </w:rPr>
  </w:style>
  <w:style w:type="character" w:customStyle="1" w:styleId="107">
    <w:name w:val="标书正文:  0.74 厘米 Char1"/>
    <w:qFormat/>
    <w:uiPriority w:val="0"/>
    <w:rPr>
      <w:rFonts w:eastAsia="宋体"/>
      <w:kern w:val="2"/>
      <w:sz w:val="24"/>
      <w:lang w:val="en-US" w:eastAsia="zh-CN"/>
    </w:rPr>
  </w:style>
  <w:style w:type="character" w:customStyle="1" w:styleId="108">
    <w:name w:val="Table Text Char Char Char Char"/>
    <w:link w:val="109"/>
    <w:qFormat/>
    <w:uiPriority w:val="0"/>
    <w:rPr>
      <w:rFonts w:ascii="Arial" w:hAnsi="Arial"/>
      <w:kern w:val="2"/>
      <w:sz w:val="18"/>
      <w:lang w:val="en-US" w:eastAsia="zh-CN" w:bidi="ar-SA"/>
    </w:rPr>
  </w:style>
  <w:style w:type="paragraph" w:customStyle="1" w:styleId="109">
    <w:name w:val="Table Text Char Char Char"/>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正文 + 三号 Char"/>
    <w:qFormat/>
    <w:uiPriority w:val="0"/>
    <w:rPr>
      <w:rFonts w:eastAsia="宋体"/>
      <w:kern w:val="2"/>
      <w:sz w:val="21"/>
      <w:lang w:val="en-US" w:eastAsia="zh-CN"/>
    </w:rPr>
  </w:style>
  <w:style w:type="character" w:customStyle="1" w:styleId="111">
    <w:name w:val="Char Char11"/>
    <w:qFormat/>
    <w:uiPriority w:val="0"/>
    <w:rPr>
      <w:rFonts w:ascii="宋体"/>
      <w:kern w:val="2"/>
      <w:sz w:val="28"/>
    </w:rPr>
  </w:style>
  <w:style w:type="character" w:customStyle="1" w:styleId="112">
    <w:name w:val="标题 2 Char"/>
    <w:qFormat/>
    <w:uiPriority w:val="0"/>
    <w:rPr>
      <w:rFonts w:ascii="Arial" w:hAnsi="Arial" w:eastAsia="黑体"/>
      <w:b/>
      <w:kern w:val="2"/>
      <w:sz w:val="32"/>
    </w:rPr>
  </w:style>
  <w:style w:type="character" w:customStyle="1" w:styleId="113">
    <w:name w:val="Table Text Char1 Char"/>
    <w:qFormat/>
    <w:uiPriority w:val="0"/>
    <w:rPr>
      <w:rFonts w:ascii="Arial" w:hAnsi="Arial"/>
      <w:kern w:val="2"/>
      <w:sz w:val="18"/>
      <w:lang w:val="en-US" w:eastAsia="zh-CN" w:bidi="ar-SA"/>
    </w:rPr>
  </w:style>
  <w:style w:type="character" w:customStyle="1" w:styleId="114">
    <w:name w:val="标题 3 Char"/>
    <w:qFormat/>
    <w:uiPriority w:val="0"/>
    <w:rPr>
      <w:rFonts w:eastAsia="宋体"/>
      <w:b/>
      <w:kern w:val="2"/>
      <w:sz w:val="32"/>
      <w:lang w:val="en-US" w:eastAsia="zh-CN"/>
    </w:rPr>
  </w:style>
  <w:style w:type="character" w:customStyle="1" w:styleId="115">
    <w:name w:val="标题 3 Char1"/>
    <w:qFormat/>
    <w:uiPriority w:val="0"/>
    <w:rPr>
      <w:rFonts w:eastAsia="宋体"/>
      <w:b/>
      <w:kern w:val="2"/>
      <w:sz w:val="32"/>
      <w:lang w:val="en-US" w:eastAsia="zh-CN"/>
    </w:rPr>
  </w:style>
  <w:style w:type="character" w:customStyle="1" w:styleId="116">
    <w:name w:val="正文文本缩进 Char"/>
    <w:qFormat/>
    <w:uiPriority w:val="0"/>
    <w:rPr>
      <w:kern w:val="2"/>
      <w:sz w:val="44"/>
    </w:rPr>
  </w:style>
  <w:style w:type="character" w:customStyle="1" w:styleId="117">
    <w:name w:val="未处理的提及1"/>
    <w:unhideWhenUsed/>
    <w:qFormat/>
    <w:uiPriority w:val="99"/>
    <w:rPr>
      <w:color w:val="605E5C"/>
      <w:shd w:val="clear" w:color="auto" w:fill="E1DFDD"/>
    </w:rPr>
  </w:style>
  <w:style w:type="character" w:customStyle="1" w:styleId="118">
    <w:name w:val="未命名11"/>
    <w:qFormat/>
    <w:uiPriority w:val="0"/>
    <w:rPr>
      <w:color w:val="77FFFF"/>
      <w:sz w:val="24"/>
    </w:rPr>
  </w:style>
  <w:style w:type="character" w:customStyle="1" w:styleId="119">
    <w:name w:val="Char Char5"/>
    <w:qFormat/>
    <w:uiPriority w:val="0"/>
    <w:rPr>
      <w:rFonts w:ascii="Arial" w:hAnsi="Arial" w:eastAsia="宋体"/>
      <w:b/>
      <w:smallCaps/>
      <w:kern w:val="28"/>
      <w:sz w:val="36"/>
      <w:lang w:val="en-US" w:eastAsia="en-US"/>
    </w:rPr>
  </w:style>
  <w:style w:type="character" w:customStyle="1" w:styleId="120">
    <w:name w:val="Char Char6"/>
    <w:qFormat/>
    <w:uiPriority w:val="0"/>
    <w:rPr>
      <w:rFonts w:ascii="仿宋_GB2312" w:eastAsia="仿宋_GB2312"/>
      <w:kern w:val="2"/>
      <w:sz w:val="32"/>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title_emph1"/>
    <w:qFormat/>
    <w:uiPriority w:val="0"/>
    <w:rPr>
      <w:rFonts w:hint="default" w:ascii="Arial" w:hAnsi="Arial"/>
      <w:b/>
      <w:sz w:val="20"/>
    </w:rPr>
  </w:style>
  <w:style w:type="character" w:customStyle="1" w:styleId="124">
    <w:name w:val="Char Char4"/>
    <w:qFormat/>
    <w:uiPriority w:val="0"/>
    <w:rPr>
      <w:rFonts w:eastAsia="宋体"/>
      <w:b/>
      <w:kern w:val="2"/>
      <w:sz w:val="21"/>
      <w:lang w:val="en-US" w:eastAsia="zh-CN"/>
    </w:rPr>
  </w:style>
  <w:style w:type="character" w:customStyle="1" w:styleId="125">
    <w:name w:val="正文文本 Char"/>
    <w:qFormat/>
    <w:uiPriority w:val="0"/>
    <w:rPr>
      <w:rFonts w:ascii="仿宋_GB2312" w:eastAsia="仿宋_GB2312"/>
      <w:kern w:val="2"/>
      <w:sz w:val="32"/>
    </w:rPr>
  </w:style>
  <w:style w:type="paragraph" w:customStyle="1" w:styleId="126">
    <w:name w:val="样式 正文首行缩进 2 + 首行缩进:  2 字符"/>
    <w:basedOn w:val="1"/>
    <w:qFormat/>
    <w:uiPriority w:val="0"/>
    <w:pPr>
      <w:numPr>
        <w:ilvl w:val="0"/>
        <w:numId w:val="4"/>
      </w:numPr>
      <w:adjustRightInd w:val="0"/>
      <w:snapToGrid w:val="0"/>
      <w:spacing w:line="360" w:lineRule="auto"/>
    </w:pPr>
    <w:rPr>
      <w:rFonts w:ascii="Arial" w:hAnsi="Arial"/>
      <w:b/>
      <w:sz w:val="24"/>
    </w:rPr>
  </w:style>
  <w:style w:type="paragraph" w:customStyle="1" w:styleId="127">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0">
    <w:name w:val="正文文本缩进 21"/>
    <w:basedOn w:val="1"/>
    <w:qFormat/>
    <w:uiPriority w:val="0"/>
    <w:pPr>
      <w:adjustRightInd w:val="0"/>
      <w:spacing w:before="120"/>
      <w:ind w:firstLine="420"/>
      <w:textAlignment w:val="baseline"/>
    </w:pPr>
    <w:rPr>
      <w:sz w:val="24"/>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列表项目"/>
    <w:basedOn w:val="1"/>
    <w:qFormat/>
    <w:uiPriority w:val="0"/>
    <w:pPr>
      <w:numPr>
        <w:ilvl w:val="0"/>
        <w:numId w:val="5"/>
      </w:numPr>
      <w:tabs>
        <w:tab w:val="left" w:pos="420"/>
        <w:tab w:val="clear" w:pos="1200"/>
      </w:tabs>
      <w:spacing w:line="288" w:lineRule="auto"/>
      <w:ind w:left="840" w:leftChars="200" w:hanging="420" w:hangingChars="200"/>
    </w:pPr>
    <w:rPr>
      <w:sz w:val="21"/>
    </w:rPr>
  </w:style>
  <w:style w:type="paragraph" w:customStyle="1" w:styleId="133">
    <w:name w:val="样式4"/>
    <w:basedOn w:val="5"/>
    <w:qFormat/>
    <w:uiPriority w:val="0"/>
    <w:pPr>
      <w:adjustRightInd w:val="0"/>
      <w:snapToGrid w:val="0"/>
    </w:pPr>
  </w:style>
  <w:style w:type="paragraph" w:customStyle="1" w:styleId="134">
    <w:name w:val="Char1 Char Char Char"/>
    <w:basedOn w:val="1"/>
    <w:qFormat/>
    <w:uiPriority w:val="0"/>
    <w:rPr>
      <w:rFonts w:ascii="Tahoma" w:hAnsi="Tahoma"/>
      <w:sz w:val="30"/>
    </w:rPr>
  </w:style>
  <w:style w:type="paragraph" w:customStyle="1" w:styleId="135">
    <w:name w:val="bt"/>
    <w:basedOn w:val="1"/>
    <w:next w:val="16"/>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36">
    <w:name w:val="列出段落1"/>
    <w:basedOn w:val="1"/>
    <w:unhideWhenUsed/>
    <w:qFormat/>
    <w:uiPriority w:val="34"/>
    <w:pPr>
      <w:ind w:firstLine="420" w:firstLineChars="200"/>
    </w:pPr>
    <w:rPr>
      <w:rFonts w:ascii="Calibri" w:hAnsi="Calibri"/>
      <w:sz w:val="21"/>
      <w:szCs w:val="24"/>
    </w:rPr>
  </w:style>
  <w:style w:type="paragraph" w:customStyle="1" w:styleId="13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8">
    <w:name w:val="Char Char Char Char Char Char Char"/>
    <w:basedOn w:val="1"/>
    <w:qFormat/>
    <w:uiPriority w:val="0"/>
    <w:rPr>
      <w:rFonts w:ascii="Tahoma" w:hAnsi="Tahoma"/>
      <w:sz w:val="24"/>
    </w:rPr>
  </w:style>
  <w:style w:type="paragraph" w:customStyle="1" w:styleId="13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har Char1 Char"/>
    <w:basedOn w:val="1"/>
    <w:qFormat/>
    <w:uiPriority w:val="0"/>
    <w:rPr>
      <w:rFonts w:ascii="Tahoma" w:hAnsi="Tahoma"/>
      <w:sz w:val="24"/>
      <w:szCs w:val="24"/>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表格文本"/>
    <w:qFormat/>
    <w:uiPriority w:val="0"/>
    <w:pPr>
      <w:tabs>
        <w:tab w:val="decimal" w:pos="0"/>
      </w:tabs>
    </w:pPr>
    <w:rPr>
      <w:rFonts w:ascii="Arial" w:hAnsi="Arial" w:eastAsia="宋体" w:cs="Times New Roman"/>
      <w:sz w:val="21"/>
      <w:lang w:val="en-US" w:eastAsia="zh-CN" w:bidi="ar-SA"/>
    </w:rPr>
  </w:style>
  <w:style w:type="paragraph" w:customStyle="1" w:styleId="144">
    <w:name w:val="Char1"/>
    <w:basedOn w:val="1"/>
    <w:qFormat/>
    <w:uiPriority w:val="0"/>
    <w:rPr>
      <w:sz w:val="21"/>
    </w:rPr>
  </w:style>
  <w:style w:type="paragraph" w:customStyle="1" w:styleId="145">
    <w:name w:val="标书正文:  0.74 厘米"/>
    <w:basedOn w:val="1"/>
    <w:qFormat/>
    <w:uiPriority w:val="0"/>
    <w:pPr>
      <w:snapToGrid w:val="0"/>
      <w:spacing w:line="360" w:lineRule="auto"/>
      <w:ind w:firstLine="420"/>
    </w:pPr>
    <w:rPr>
      <w:sz w:val="24"/>
    </w:rPr>
  </w:style>
  <w:style w:type="paragraph" w:customStyle="1" w:styleId="146">
    <w:name w:val="正文 + 三号"/>
    <w:basedOn w:val="1"/>
    <w:qFormat/>
    <w:uiPriority w:val="0"/>
    <w:rPr>
      <w:sz w:val="21"/>
    </w:rPr>
  </w:style>
  <w:style w:type="paragraph" w:customStyle="1" w:styleId="147">
    <w:name w:val="IN Feature"/>
    <w:next w:val="14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首行缩进"/>
    <w:basedOn w:val="1"/>
    <w:qFormat/>
    <w:uiPriority w:val="0"/>
    <w:pPr>
      <w:numPr>
        <w:ilvl w:val="0"/>
        <w:numId w:val="6"/>
      </w:numPr>
      <w:spacing w:line="360" w:lineRule="auto"/>
    </w:pPr>
    <w:rPr>
      <w:rFonts w:eastAsia="仿宋_GB2312"/>
    </w:rPr>
  </w:style>
  <w:style w:type="paragraph" w:customStyle="1" w:styleId="152">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3">
    <w:name w:val="Char Char Char Char Char"/>
    <w:basedOn w:val="1"/>
    <w:qFormat/>
    <w:uiPriority w:val="0"/>
    <w:pPr>
      <w:tabs>
        <w:tab w:val="left" w:pos="425"/>
      </w:tabs>
      <w:ind w:left="1620" w:hanging="360"/>
    </w:pPr>
    <w:rPr>
      <w:rFonts w:ascii="Tahoma" w:hAnsi="Tahoma"/>
      <w:sz w:val="24"/>
    </w:rPr>
  </w:style>
  <w:style w:type="paragraph" w:customStyle="1" w:styleId="154">
    <w:name w:val="Char1 Char Char Char1"/>
    <w:basedOn w:val="1"/>
    <w:qFormat/>
    <w:uiPriority w:val="0"/>
    <w:rPr>
      <w:rFonts w:ascii="Tahoma" w:hAnsi="Tahoma"/>
      <w:sz w:val="24"/>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摘要"/>
    <w:basedOn w:val="1"/>
    <w:next w:val="3"/>
    <w:qFormat/>
    <w:uiPriority w:val="0"/>
    <w:pPr>
      <w:spacing w:line="360" w:lineRule="auto"/>
    </w:pPr>
    <w:rPr>
      <w:rFonts w:eastAsia="黑体"/>
      <w:sz w:val="20"/>
    </w:rPr>
  </w:style>
  <w:style w:type="paragraph" w:customStyle="1" w:styleId="15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8">
    <w:name w:val="文本1"/>
    <w:basedOn w:val="1"/>
    <w:qFormat/>
    <w:uiPriority w:val="0"/>
    <w:pPr>
      <w:adjustRightInd w:val="0"/>
      <w:spacing w:line="312" w:lineRule="atLeast"/>
      <w:jc w:val="center"/>
      <w:textAlignment w:val="baseline"/>
    </w:pPr>
    <w:rPr>
      <w:kern w:val="0"/>
      <w:sz w:val="18"/>
    </w:rPr>
  </w:style>
  <w:style w:type="paragraph" w:customStyle="1" w:styleId="159">
    <w:name w:val="Table Contents"/>
    <w:basedOn w:val="16"/>
    <w:qFormat/>
    <w:uiPriority w:val="0"/>
    <w:pPr>
      <w:suppressAutoHyphens/>
      <w:jc w:val="left"/>
    </w:pPr>
    <w:rPr>
      <w:rFonts w:ascii="Times New Roman" w:eastAsia="Times New Roman"/>
      <w:kern w:val="0"/>
      <w:sz w:val="24"/>
    </w:rPr>
  </w:style>
  <w:style w:type="paragraph" w:customStyle="1" w:styleId="160">
    <w:name w:val="Note"/>
    <w:basedOn w:val="1"/>
    <w:qFormat/>
    <w:uiPriority w:val="0"/>
    <w:pPr>
      <w:pBdr>
        <w:top w:val="single" w:color="auto" w:sz="12" w:space="3"/>
        <w:bottom w:val="single" w:color="auto" w:sz="12" w:space="3"/>
      </w:pBdr>
      <w:spacing w:line="360" w:lineRule="auto"/>
    </w:pPr>
    <w:rPr>
      <w:sz w:val="24"/>
    </w:rPr>
  </w:style>
  <w:style w:type="paragraph" w:customStyle="1" w:styleId="161">
    <w:name w:val="00"/>
    <w:basedOn w:val="1"/>
    <w:qFormat/>
    <w:uiPriority w:val="0"/>
    <w:pPr>
      <w:autoSpaceDE w:val="0"/>
      <w:autoSpaceDN w:val="0"/>
      <w:adjustRightInd w:val="0"/>
      <w:jc w:val="left"/>
    </w:pPr>
    <w:rPr>
      <w:rFonts w:ascii="黑体" w:eastAsia="黑体"/>
      <w:b/>
      <w:kern w:val="0"/>
      <w:sz w:val="20"/>
    </w:rPr>
  </w:style>
  <w:style w:type="paragraph" w:customStyle="1" w:styleId="162">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4">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65">
    <w:name w:val="图片文字"/>
    <w:basedOn w:val="1"/>
    <w:qFormat/>
    <w:uiPriority w:val="0"/>
    <w:pPr>
      <w:spacing w:line="240" w:lineRule="atLeast"/>
      <w:jc w:val="center"/>
    </w:pPr>
    <w:rPr>
      <w:sz w:val="21"/>
    </w:rPr>
  </w:style>
  <w:style w:type="paragraph" w:customStyle="1" w:styleId="16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68">
    <w:name w:val="A项目符号"/>
    <w:basedOn w:val="1"/>
    <w:qFormat/>
    <w:uiPriority w:val="0"/>
    <w:pPr>
      <w:numPr>
        <w:ilvl w:val="0"/>
        <w:numId w:val="9"/>
      </w:numPr>
      <w:tabs>
        <w:tab w:val="left" w:pos="1080"/>
      </w:tabs>
      <w:adjustRightInd w:val="0"/>
      <w:snapToGrid w:val="0"/>
      <w:spacing w:afterLines="50" w:line="360" w:lineRule="auto"/>
    </w:pPr>
    <w:rPr>
      <w:b/>
      <w:bCs/>
      <w:spacing w:val="12"/>
      <w:kern w:val="0"/>
      <w:sz w:val="24"/>
      <w:szCs w:val="24"/>
    </w:rPr>
  </w:style>
  <w:style w:type="paragraph" w:customStyle="1" w:styleId="169">
    <w:name w:val="样式1xz"/>
    <w:basedOn w:val="1"/>
    <w:qFormat/>
    <w:uiPriority w:val="0"/>
    <w:pPr>
      <w:tabs>
        <w:tab w:val="left" w:pos="1050"/>
        <w:tab w:val="right" w:leader="dot" w:pos="8296"/>
      </w:tabs>
    </w:pPr>
    <w:rPr>
      <w:caps/>
      <w:spacing w:val="20"/>
      <w:sz w:val="24"/>
    </w:rPr>
  </w:style>
  <w:style w:type="paragraph" w:customStyle="1" w:styleId="17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3">
    <w:name w:val="Char Char Char"/>
    <w:basedOn w:val="1"/>
    <w:qFormat/>
    <w:uiPriority w:val="0"/>
    <w:rPr>
      <w:rFonts w:ascii="Tahoma" w:hAnsi="Tahoma"/>
      <w:sz w:val="24"/>
    </w:rPr>
  </w:style>
  <w:style w:type="paragraph" w:customStyle="1" w:styleId="174">
    <w:name w:val="_Style 172"/>
    <w:qFormat/>
    <w:uiPriority w:val="0"/>
    <w:rPr>
      <w:rFonts w:ascii="Times New Roman" w:hAnsi="Times New Roman" w:eastAsia="宋体" w:cs="Times New Roman"/>
      <w:kern w:val="2"/>
      <w:sz w:val="21"/>
      <w:lang w:val="en-US" w:eastAsia="zh-CN" w:bidi="ar-SA"/>
    </w:rPr>
  </w:style>
  <w:style w:type="paragraph" w:customStyle="1" w:styleId="175">
    <w:name w:val="Bullets"/>
    <w:basedOn w:val="1"/>
    <w:qFormat/>
    <w:uiPriority w:val="0"/>
    <w:pPr>
      <w:widowControl/>
      <w:adjustRightInd w:val="0"/>
      <w:snapToGrid w:val="0"/>
      <w:spacing w:before="60" w:after="60"/>
    </w:pPr>
    <w:rPr>
      <w:kern w:val="0"/>
      <w:sz w:val="24"/>
      <w:lang w:val="en-GB"/>
    </w:rPr>
  </w:style>
  <w:style w:type="paragraph" w:customStyle="1" w:styleId="17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77">
    <w:name w:val="正文字缩2字"/>
    <w:basedOn w:val="1"/>
    <w:qFormat/>
    <w:uiPriority w:val="0"/>
    <w:pPr>
      <w:spacing w:before="60" w:after="60" w:line="360" w:lineRule="auto"/>
      <w:ind w:left="200" w:leftChars="200" w:firstLine="200" w:firstLineChars="200"/>
    </w:pPr>
    <w:rPr>
      <w:sz w:val="24"/>
    </w:rPr>
  </w:style>
  <w:style w:type="paragraph" w:customStyle="1" w:styleId="178">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79">
    <w:name w:val="样式 行距: 1.5 倍行距1"/>
    <w:basedOn w:val="1"/>
    <w:qFormat/>
    <w:uiPriority w:val="0"/>
    <w:pPr>
      <w:snapToGrid w:val="0"/>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2">
    <w:name w:val="1"/>
    <w:basedOn w:val="1"/>
    <w:next w:val="33"/>
    <w:qFormat/>
    <w:uiPriority w:val="0"/>
    <w:rPr>
      <w:rFonts w:ascii="宋体" w:hAnsi="Courier New"/>
      <w:sz w:val="21"/>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内容标题"/>
    <w:basedOn w:val="22"/>
    <w:qFormat/>
    <w:uiPriority w:val="0"/>
    <w:rPr>
      <w:rFonts w:ascii="Tahoma" w:hAnsi="Tahoma"/>
      <w:sz w:val="24"/>
    </w:rPr>
  </w:style>
  <w:style w:type="paragraph" w:customStyle="1" w:styleId="185">
    <w:name w:val="表头样式"/>
    <w:basedOn w:val="1"/>
    <w:qFormat/>
    <w:uiPriority w:val="0"/>
    <w:pPr>
      <w:autoSpaceDE w:val="0"/>
      <w:autoSpaceDN w:val="0"/>
      <w:adjustRightInd w:val="0"/>
      <w:spacing w:line="360" w:lineRule="auto"/>
      <w:jc w:val="left"/>
    </w:pPr>
    <w:rPr>
      <w:b/>
      <w:kern w:val="0"/>
      <w:sz w:val="21"/>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段落正文"/>
    <w:basedOn w:val="1"/>
    <w:qFormat/>
    <w:uiPriority w:val="0"/>
    <w:pPr>
      <w:spacing w:before="156" w:beforeLines="50" w:line="360" w:lineRule="auto"/>
      <w:ind w:firstLine="200" w:firstLineChars="200"/>
    </w:pPr>
    <w:rPr>
      <w:spacing w:val="2"/>
      <w:sz w:val="24"/>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1">
    <w:name w:val="一级条标题"/>
    <w:basedOn w:val="162"/>
    <w:next w:val="155"/>
    <w:qFormat/>
    <w:uiPriority w:val="0"/>
    <w:pPr>
      <w:numPr>
        <w:numId w:val="0"/>
      </w:numPr>
      <w:spacing w:before="0" w:beforeLines="0" w:after="0" w:afterLines="0"/>
      <w:ind w:left="525"/>
      <w:outlineLvl w:val="2"/>
    </w:pPr>
    <w:rPr>
      <w:sz w:val="21"/>
    </w:rPr>
  </w:style>
  <w:style w:type="paragraph" w:customStyle="1" w:styleId="192">
    <w:name w:val="编号正文"/>
    <w:basedOn w:val="193"/>
    <w:qFormat/>
    <w:uiPriority w:val="0"/>
    <w:pPr>
      <w:snapToGrid/>
      <w:spacing w:line="360" w:lineRule="auto"/>
      <w:ind w:left="1407" w:hanging="1047"/>
      <w:jc w:val="left"/>
    </w:pPr>
    <w:rPr>
      <w:rFonts w:eastAsia="仿宋_GB2312"/>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没有缩进（为图形使用）"/>
    <w:basedOn w:val="1"/>
    <w:qFormat/>
    <w:uiPriority w:val="0"/>
    <w:pPr>
      <w:spacing w:before="120" w:after="120" w:line="360" w:lineRule="auto"/>
    </w:pPr>
    <w:rPr>
      <w:sz w:val="24"/>
    </w:rPr>
  </w:style>
  <w:style w:type="paragraph" w:customStyle="1" w:styleId="195">
    <w:name w:val="_Style 3"/>
    <w:basedOn w:val="1"/>
    <w:qFormat/>
    <w:uiPriority w:val="99"/>
    <w:pPr>
      <w:ind w:firstLine="420" w:firstLineChars="200"/>
    </w:pPr>
    <w:rPr>
      <w:rFonts w:ascii="Calibri" w:hAnsi="Calibri"/>
      <w:sz w:val="21"/>
      <w:szCs w:val="2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9">
    <w:name w:val="Char Char 字元 字元 字元 Char Char Char Char"/>
    <w:basedOn w:val="1"/>
    <w:qFormat/>
    <w:uiPriority w:val="0"/>
    <w:pPr>
      <w:adjustRightInd w:val="0"/>
      <w:spacing w:line="360" w:lineRule="auto"/>
    </w:pPr>
    <w:rPr>
      <w:kern w:val="0"/>
      <w:sz w:val="24"/>
    </w:rPr>
  </w:style>
  <w:style w:type="paragraph" w:customStyle="1" w:styleId="20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03">
    <w:name w:val="Title - Revision"/>
    <w:basedOn w:val="57"/>
    <w:qFormat/>
    <w:uiPriority w:val="0"/>
    <w:pPr>
      <w:spacing w:before="720"/>
    </w:pPr>
  </w:style>
  <w:style w:type="paragraph" w:customStyle="1" w:styleId="204">
    <w:name w:val="正文（首行不缩进）"/>
    <w:basedOn w:val="1"/>
    <w:qFormat/>
    <w:uiPriority w:val="0"/>
    <w:pPr>
      <w:autoSpaceDE w:val="0"/>
      <w:autoSpaceDN w:val="0"/>
      <w:adjustRightInd w:val="0"/>
      <w:spacing w:line="360" w:lineRule="auto"/>
      <w:jc w:val="left"/>
    </w:pPr>
    <w:rPr>
      <w:kern w:val="0"/>
      <w:sz w:val="21"/>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表格内文字"/>
    <w:basedOn w:val="33"/>
    <w:qFormat/>
    <w:uiPriority w:val="0"/>
    <w:pPr>
      <w:adjustRightInd w:val="0"/>
    </w:pPr>
    <w:rPr>
      <w:color w:val="000000"/>
      <w:lang w:val="en-GB"/>
    </w:rPr>
  </w:style>
  <w:style w:type="paragraph" w:customStyle="1" w:styleId="20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9">
    <w:name w:val="标题无"/>
    <w:basedOn w:val="1"/>
    <w:qFormat/>
    <w:uiPriority w:val="0"/>
    <w:pPr>
      <w:spacing w:line="360" w:lineRule="auto"/>
    </w:pPr>
    <w:rPr>
      <w:sz w:val="24"/>
    </w:rPr>
  </w:style>
  <w:style w:type="paragraph" w:customStyle="1" w:styleId="21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1">
    <w:name w:val="附录3"/>
    <w:basedOn w:val="1"/>
    <w:next w:val="1"/>
    <w:qFormat/>
    <w:uiPriority w:val="0"/>
    <w:pPr>
      <w:tabs>
        <w:tab w:val="left" w:pos="851"/>
      </w:tabs>
      <w:ind w:left="425" w:hanging="425"/>
      <w:outlineLvl w:val="2"/>
    </w:pPr>
    <w:rPr>
      <w:rFonts w:eastAsia="黑体"/>
      <w:b/>
      <w:sz w:val="32"/>
    </w:rPr>
  </w:style>
  <w:style w:type="paragraph" w:customStyle="1" w:styleId="212">
    <w:name w:val="样式2"/>
    <w:basedOn w:val="5"/>
    <w:qFormat/>
    <w:uiPriority w:val="0"/>
    <w:pPr>
      <w:numPr>
        <w:ilvl w:val="0"/>
        <w:numId w:val="10"/>
      </w:numPr>
      <w:spacing w:before="560" w:line="400" w:lineRule="exact"/>
      <w:jc w:val="center"/>
      <w:outlineLvl w:val="0"/>
    </w:pPr>
    <w:rPr>
      <w:b w:val="0"/>
      <w:sz w:val="44"/>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16">
    <w:name w:val="图例"/>
    <w:basedOn w:val="1"/>
    <w:qFormat/>
    <w:uiPriority w:val="0"/>
    <w:pPr>
      <w:spacing w:before="120" w:after="120" w:line="360" w:lineRule="auto"/>
      <w:jc w:val="center"/>
    </w:pPr>
    <w:rPr>
      <w:rFonts w:eastAsia="仿宋_GB2312"/>
      <w:b/>
      <w:sz w:val="24"/>
    </w:rPr>
  </w:style>
  <w:style w:type="paragraph" w:customStyle="1" w:styleId="217">
    <w:name w:val="表头文本"/>
    <w:qFormat/>
    <w:uiPriority w:val="0"/>
    <w:pPr>
      <w:jc w:val="center"/>
    </w:pPr>
    <w:rPr>
      <w:rFonts w:ascii="Arial" w:hAnsi="Arial" w:eastAsia="宋体" w:cs="Times New Roman"/>
      <w:b/>
      <w:sz w:val="21"/>
      <w:lang w:val="en-US" w:eastAsia="zh-CN" w:bidi="ar-SA"/>
    </w:rPr>
  </w:style>
  <w:style w:type="paragraph" w:customStyle="1" w:styleId="218">
    <w:name w:val="标准正文"/>
    <w:basedOn w:val="26"/>
    <w:qFormat/>
    <w:uiPriority w:val="0"/>
    <w:pPr>
      <w:spacing w:before="60" w:after="60" w:line="360" w:lineRule="auto"/>
      <w:ind w:left="0" w:firstLine="482"/>
    </w:pPr>
    <w:rPr>
      <w:rFonts w:ascii="Arial" w:hAnsi="Arial"/>
      <w:sz w:val="24"/>
    </w:rPr>
  </w:style>
  <w:style w:type="paragraph" w:customStyle="1" w:styleId="21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2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二级条标题"/>
    <w:basedOn w:val="191"/>
    <w:next w:val="155"/>
    <w:qFormat/>
    <w:uiPriority w:val="0"/>
    <w:pPr>
      <w:ind w:left="840"/>
      <w:outlineLvl w:val="3"/>
    </w:pPr>
  </w:style>
  <w:style w:type="paragraph" w:customStyle="1" w:styleId="224">
    <w:name w:val="样式1"/>
    <w:basedOn w:val="5"/>
    <w:qFormat/>
    <w:uiPriority w:val="0"/>
    <w:pPr>
      <w:tabs>
        <w:tab w:val="left" w:pos="720"/>
      </w:tabs>
      <w:spacing w:before="500" w:after="260" w:line="560" w:lineRule="atLeast"/>
      <w:ind w:left="420" w:hanging="420"/>
    </w:pPr>
  </w:style>
  <w:style w:type="paragraph" w:customStyle="1" w:styleId="225">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7">
    <w:name w:val="标题3——2"/>
    <w:basedOn w:val="4"/>
    <w:next w:val="1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8">
    <w:name w:val="Style Heading 3h3Heading 3 - oldLevel 3 HeadH3level_3PIM 3se..."/>
    <w:basedOn w:val="4"/>
    <w:qFormat/>
    <w:uiPriority w:val="0"/>
    <w:pPr>
      <w:numPr>
        <w:ilvl w:val="2"/>
        <w:numId w:val="13"/>
      </w:numPr>
      <w:tabs>
        <w:tab w:val="left" w:pos="709"/>
        <w:tab w:val="left" w:pos="1620"/>
      </w:tabs>
    </w:pPr>
  </w:style>
  <w:style w:type="paragraph" w:customStyle="1" w:styleId="229">
    <w:name w:val="Char"/>
    <w:basedOn w:val="1"/>
    <w:qFormat/>
    <w:uiPriority w:val="0"/>
    <w:pPr>
      <w:spacing w:line="240" w:lineRule="atLeast"/>
      <w:ind w:left="420" w:firstLine="420"/>
    </w:pPr>
    <w:rPr>
      <w:kern w:val="0"/>
      <w:sz w:val="21"/>
    </w:rPr>
  </w:style>
  <w:style w:type="paragraph" w:customStyle="1" w:styleId="230">
    <w:name w:val="Title - Date"/>
    <w:basedOn w:val="57"/>
    <w:next w:val="1"/>
    <w:qFormat/>
    <w:uiPriority w:val="0"/>
    <w:pPr>
      <w:spacing w:before="240" w:after="720"/>
    </w:pPr>
    <w:rPr>
      <w:sz w:val="28"/>
    </w:rPr>
  </w:style>
  <w:style w:type="paragraph" w:customStyle="1" w:styleId="23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2">
    <w:name w:val="样式 正文缩进正文（首行缩进两字）表正文正文非缩进特点标题4段1 + 首行缩进:  2 字符"/>
    <w:basedOn w:val="20"/>
    <w:qFormat/>
    <w:uiPriority w:val="0"/>
    <w:pPr>
      <w:ind w:firstLine="480" w:firstLineChars="200"/>
    </w:p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正文4"/>
    <w:basedOn w:val="1"/>
    <w:qFormat/>
    <w:uiPriority w:val="0"/>
    <w:pPr>
      <w:tabs>
        <w:tab w:val="left" w:pos="1275"/>
      </w:tabs>
      <w:spacing w:before="60" w:after="60" w:line="360" w:lineRule="auto"/>
      <w:ind w:left="820" w:leftChars="400" w:hanging="705"/>
    </w:pPr>
    <w:rPr>
      <w:sz w:val="24"/>
    </w:rPr>
  </w:style>
  <w:style w:type="paragraph" w:customStyle="1" w:styleId="23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6">
    <w:name w:val="可研正文"/>
    <w:basedOn w:val="16"/>
    <w:qFormat/>
    <w:uiPriority w:val="0"/>
    <w:pPr>
      <w:adjustRightInd w:val="0"/>
      <w:snapToGrid w:val="0"/>
      <w:spacing w:line="440" w:lineRule="exact"/>
      <w:ind w:firstLine="567"/>
    </w:pPr>
    <w:rPr>
      <w:sz w:val="28"/>
    </w:rPr>
  </w:style>
  <w:style w:type="paragraph" w:customStyle="1" w:styleId="237">
    <w:name w:val="二级列表"/>
    <w:basedOn w:val="188"/>
    <w:next w:val="188"/>
    <w:qFormat/>
    <w:uiPriority w:val="0"/>
    <w:pPr>
      <w:tabs>
        <w:tab w:val="left" w:pos="2120"/>
      </w:tabs>
      <w:ind w:firstLine="0" w:firstLineChars="0"/>
    </w:pPr>
    <w:rPr>
      <w:b/>
    </w:rPr>
  </w:style>
  <w:style w:type="paragraph" w:customStyle="1" w:styleId="238">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9">
    <w:name w:val="af"/>
    <w:basedOn w:val="1"/>
    <w:qFormat/>
    <w:uiPriority w:val="0"/>
    <w:pPr>
      <w:widowControl/>
      <w:spacing w:line="300" w:lineRule="atLeast"/>
      <w:jc w:val="left"/>
    </w:pPr>
    <w:rPr>
      <w:rFonts w:ascii="宋体" w:hAnsi="宋体"/>
      <w:kern w:val="0"/>
      <w:sz w:val="18"/>
    </w:rPr>
  </w:style>
  <w:style w:type="paragraph" w:customStyle="1" w:styleId="24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41">
    <w:name w:val="Char Char14 Char Char"/>
    <w:basedOn w:val="1"/>
    <w:qFormat/>
    <w:uiPriority w:val="0"/>
    <w:rPr>
      <w:sz w:val="21"/>
      <w:szCs w:val="24"/>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3">
    <w:name w:val="Char2 Char Char Char Char Char Char"/>
    <w:basedOn w:val="1"/>
    <w:qFormat/>
    <w:uiPriority w:val="0"/>
    <w:rPr>
      <w:rFonts w:ascii="仿宋_GB2312"/>
      <w:b/>
      <w:sz w:val="30"/>
    </w:rPr>
  </w:style>
  <w:style w:type="paragraph" w:customStyle="1" w:styleId="24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7">
    <w:name w:val="文本框样式1"/>
    <w:basedOn w:val="1"/>
    <w:qFormat/>
    <w:uiPriority w:val="0"/>
    <w:pPr>
      <w:adjustRightInd w:val="0"/>
      <w:snapToGrid w:val="0"/>
      <w:spacing w:before="60" w:line="180" w:lineRule="exact"/>
      <w:jc w:val="center"/>
    </w:pPr>
    <w:rPr>
      <w:sz w:val="21"/>
    </w:rPr>
  </w:style>
  <w:style w:type="paragraph" w:customStyle="1" w:styleId="24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49">
    <w:name w:val="Char Char Char Char Char Char Char1"/>
    <w:basedOn w:val="22"/>
    <w:qFormat/>
    <w:uiPriority w:val="0"/>
    <w:rPr>
      <w:rFonts w:ascii="宋体" w:hAnsi="Tahoma"/>
    </w:rPr>
  </w:style>
  <w:style w:type="paragraph" w:customStyle="1" w:styleId="250">
    <w:name w:val="样式 宋体 五号 行距: 单倍行距"/>
    <w:basedOn w:val="1"/>
    <w:qFormat/>
    <w:uiPriority w:val="0"/>
    <w:pPr>
      <w:adjustRightInd w:val="0"/>
      <w:jc w:val="left"/>
    </w:pPr>
    <w:rPr>
      <w:rFonts w:ascii="宋体" w:hAnsi="宋体"/>
      <w:kern w:val="0"/>
      <w:sz w:val="21"/>
    </w:rPr>
  </w:style>
  <w:style w:type="paragraph" w:customStyle="1" w:styleId="251">
    <w:name w:val="Char Char Char Char Char Char Char Char Char Char Char Char Char Char Char Char"/>
    <w:basedOn w:val="1"/>
    <w:qFormat/>
    <w:uiPriority w:val="0"/>
    <w:pPr>
      <w:tabs>
        <w:tab w:val="left" w:pos="360"/>
      </w:tabs>
    </w:pPr>
    <w:rPr>
      <w:sz w:val="24"/>
    </w:rPr>
  </w:style>
  <w:style w:type="paragraph" w:customStyle="1" w:styleId="252">
    <w:name w:val="文章正文"/>
    <w:basedOn w:val="1"/>
    <w:qFormat/>
    <w:uiPriority w:val="0"/>
    <w:pPr>
      <w:ind w:firstLine="560" w:firstLineChars="200"/>
    </w:pPr>
    <w:rPr>
      <w:rFonts w:ascii="仿宋_GB2312" w:hAnsi="宋体" w:eastAsia="仿宋_GB2312"/>
      <w:color w:val="000000"/>
    </w:rPr>
  </w:style>
  <w:style w:type="paragraph" w:customStyle="1" w:styleId="253">
    <w:name w:val="1.正文"/>
    <w:basedOn w:val="1"/>
    <w:qFormat/>
    <w:uiPriority w:val="0"/>
    <w:pPr>
      <w:spacing w:line="360" w:lineRule="auto"/>
      <w:ind w:left="540" w:leftChars="225" w:firstLine="540" w:firstLineChars="225"/>
    </w:pPr>
    <w:rPr>
      <w:sz w:val="24"/>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55">
    <w:name w:val="首行缩进 1"/>
    <w:basedOn w:val="1"/>
    <w:qFormat/>
    <w:uiPriority w:val="0"/>
    <w:pPr>
      <w:spacing w:after="120" w:line="360" w:lineRule="auto"/>
      <w:ind w:firstLine="200" w:firstLineChars="200"/>
    </w:pPr>
    <w:rPr>
      <w:sz w:val="24"/>
    </w:rPr>
  </w:style>
  <w:style w:type="paragraph" w:customStyle="1" w:styleId="25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7">
    <w:name w:val="默认段落字体 Para Char Char Char Char Char Char Char"/>
    <w:basedOn w:val="1"/>
    <w:qFormat/>
    <w:uiPriority w:val="0"/>
    <w:rPr>
      <w:rFonts w:ascii="Tahoma" w:hAnsi="Tahoma"/>
      <w:sz w:val="24"/>
    </w:rPr>
  </w:style>
  <w:style w:type="paragraph" w:customStyle="1" w:styleId="258">
    <w:name w:val="正文文本 21"/>
    <w:basedOn w:val="1"/>
    <w:qFormat/>
    <w:uiPriority w:val="0"/>
    <w:pPr>
      <w:adjustRightInd w:val="0"/>
      <w:spacing w:before="120" w:line="360" w:lineRule="auto"/>
      <w:ind w:firstLine="480"/>
      <w:textAlignment w:val="baseline"/>
    </w:pPr>
    <w:rPr>
      <w:sz w:val="24"/>
    </w:rPr>
  </w:style>
  <w:style w:type="paragraph" w:customStyle="1" w:styleId="259">
    <w:name w:val="表文字"/>
    <w:qFormat/>
    <w:uiPriority w:val="0"/>
    <w:rPr>
      <w:rFonts w:ascii="宋体" w:hAnsi="Times New Roman" w:eastAsia="宋体" w:cs="Times New Roman"/>
      <w:kern w:val="2"/>
      <w:lang w:val="en-US" w:eastAsia="zh-CN" w:bidi="ar-SA"/>
    </w:rPr>
  </w:style>
  <w:style w:type="paragraph" w:customStyle="1" w:styleId="260">
    <w:name w:val="正文表格"/>
    <w:basedOn w:val="1"/>
    <w:qFormat/>
    <w:uiPriority w:val="0"/>
    <w:pPr>
      <w:adjustRightInd w:val="0"/>
      <w:spacing w:before="40" w:after="40"/>
    </w:pPr>
    <w:rPr>
      <w:sz w:val="24"/>
    </w:rPr>
  </w:style>
  <w:style w:type="paragraph" w:customStyle="1" w:styleId="261">
    <w:name w:val="Char2"/>
    <w:basedOn w:val="1"/>
    <w:qFormat/>
    <w:uiPriority w:val="0"/>
    <w:pPr>
      <w:spacing w:line="240" w:lineRule="atLeast"/>
      <w:ind w:left="420" w:firstLine="420"/>
    </w:pPr>
    <w:rPr>
      <w:kern w:val="0"/>
      <w:sz w:val="21"/>
    </w:rPr>
  </w:style>
  <w:style w:type="paragraph" w:customStyle="1" w:styleId="262">
    <w:name w:val="Char Char Char Char Char Char1 Char"/>
    <w:basedOn w:val="1"/>
    <w:qFormat/>
    <w:uiPriority w:val="0"/>
    <w:pPr>
      <w:widowControl/>
      <w:spacing w:after="160" w:line="240" w:lineRule="exact"/>
      <w:jc w:val="left"/>
    </w:pPr>
    <w:rPr>
      <w:rFonts w:ascii="Verdana" w:hAnsi="Verdana"/>
      <w:kern w:val="0"/>
      <w:sz w:val="21"/>
      <w:lang w:eastAsia="en-US"/>
    </w:rPr>
  </w:style>
  <w:style w:type="character" w:customStyle="1" w:styleId="263">
    <w:name w:val="font41"/>
    <w:basedOn w:val="58"/>
    <w:qFormat/>
    <w:uiPriority w:val="0"/>
    <w:rPr>
      <w:rFonts w:hint="eastAsia" w:ascii="宋体" w:hAnsi="宋体" w:eastAsia="宋体" w:cs="宋体"/>
      <w:b/>
      <w:bCs/>
      <w:color w:val="000000"/>
      <w:sz w:val="16"/>
      <w:szCs w:val="16"/>
      <w:u w:val="none"/>
    </w:rPr>
  </w:style>
  <w:style w:type="character" w:customStyle="1" w:styleId="264">
    <w:name w:val="font91"/>
    <w:basedOn w:val="58"/>
    <w:qFormat/>
    <w:uiPriority w:val="0"/>
    <w:rPr>
      <w:rFonts w:hint="eastAsia" w:ascii="宋体" w:hAnsi="宋体" w:eastAsia="宋体" w:cs="宋体"/>
      <w:color w:val="000000"/>
      <w:sz w:val="16"/>
      <w:szCs w:val="16"/>
      <w:u w:val="none"/>
    </w:rPr>
  </w:style>
  <w:style w:type="character" w:customStyle="1" w:styleId="265">
    <w:name w:val="font61"/>
    <w:basedOn w:val="58"/>
    <w:qFormat/>
    <w:uiPriority w:val="0"/>
    <w:rPr>
      <w:rFonts w:hint="eastAsia" w:ascii="宋体" w:hAnsi="宋体" w:eastAsia="宋体" w:cs="宋体"/>
      <w:color w:val="000000"/>
      <w:sz w:val="16"/>
      <w:szCs w:val="16"/>
      <w:u w:val="none"/>
    </w:rPr>
  </w:style>
  <w:style w:type="character" w:customStyle="1" w:styleId="266">
    <w:name w:val="font171"/>
    <w:basedOn w:val="58"/>
    <w:qFormat/>
    <w:uiPriority w:val="0"/>
    <w:rPr>
      <w:rFonts w:hint="eastAsia" w:ascii="宋体" w:hAnsi="宋体" w:eastAsia="宋体" w:cs="宋体"/>
      <w:color w:val="000000"/>
      <w:sz w:val="18"/>
      <w:szCs w:val="18"/>
      <w:u w:val="none"/>
    </w:rPr>
  </w:style>
  <w:style w:type="character" w:customStyle="1" w:styleId="267">
    <w:name w:val="font112"/>
    <w:basedOn w:val="58"/>
    <w:qFormat/>
    <w:uiPriority w:val="0"/>
    <w:rPr>
      <w:rFonts w:hint="eastAsia" w:ascii="宋体" w:hAnsi="宋体" w:eastAsia="宋体" w:cs="宋体"/>
      <w:color w:val="000000"/>
      <w:sz w:val="18"/>
      <w:szCs w:val="18"/>
      <w:u w:val="none"/>
    </w:rPr>
  </w:style>
  <w:style w:type="character" w:customStyle="1" w:styleId="268">
    <w:name w:val="font81"/>
    <w:basedOn w:val="58"/>
    <w:qFormat/>
    <w:uiPriority w:val="0"/>
    <w:rPr>
      <w:rFonts w:hint="eastAsia" w:ascii="宋体" w:hAnsi="宋体" w:eastAsia="宋体" w:cs="宋体"/>
      <w:color w:val="000000"/>
      <w:sz w:val="16"/>
      <w:szCs w:val="16"/>
      <w:u w:val="none"/>
    </w:rPr>
  </w:style>
  <w:style w:type="character" w:customStyle="1" w:styleId="269">
    <w:name w:val="font51"/>
    <w:basedOn w:val="58"/>
    <w:qFormat/>
    <w:uiPriority w:val="0"/>
    <w:rPr>
      <w:rFonts w:hint="eastAsia" w:ascii="宋体" w:hAnsi="宋体" w:eastAsia="宋体" w:cs="宋体"/>
      <w:color w:val="000000"/>
      <w:sz w:val="16"/>
      <w:szCs w:val="16"/>
      <w:u w:val="none"/>
    </w:rPr>
  </w:style>
  <w:style w:type="character" w:customStyle="1" w:styleId="270">
    <w:name w:val="font141"/>
    <w:basedOn w:val="58"/>
    <w:qFormat/>
    <w:uiPriority w:val="0"/>
    <w:rPr>
      <w:rFonts w:hint="eastAsia" w:ascii="宋体" w:hAnsi="宋体" w:eastAsia="宋体" w:cs="宋体"/>
      <w:color w:val="000000"/>
      <w:sz w:val="18"/>
      <w:szCs w:val="18"/>
      <w:u w:val="none"/>
    </w:rPr>
  </w:style>
  <w:style w:type="character" w:customStyle="1" w:styleId="271">
    <w:name w:val="font101"/>
    <w:basedOn w:val="58"/>
    <w:qFormat/>
    <w:uiPriority w:val="0"/>
    <w:rPr>
      <w:rFonts w:hint="eastAsia" w:ascii="宋体" w:hAnsi="宋体" w:eastAsia="宋体" w:cs="宋体"/>
      <w:color w:val="000000"/>
      <w:sz w:val="18"/>
      <w:szCs w:val="18"/>
      <w:u w:val="none"/>
    </w:rPr>
  </w:style>
  <w:style w:type="paragraph" w:customStyle="1" w:styleId="272">
    <w:name w:val="Revision"/>
    <w:hidden/>
    <w:unhideWhenUsed/>
    <w:qFormat/>
    <w:uiPriority w:val="99"/>
    <w:rPr>
      <w:rFonts w:ascii="Times New Roman" w:hAnsi="Times New Roman" w:eastAsia="宋体" w:cs="Times New Roman"/>
      <w:kern w:val="2"/>
      <w:sz w:val="28"/>
      <w:lang w:val="en-US" w:eastAsia="zh-CN" w:bidi="ar-SA"/>
    </w:rPr>
  </w:style>
  <w:style w:type="character" w:customStyle="1" w:styleId="273">
    <w:name w:val="font11"/>
    <w:basedOn w:val="5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19837</Words>
  <Characters>20792</Characters>
  <Lines>184</Lines>
  <Paragraphs>51</Paragraphs>
  <TotalTime>0</TotalTime>
  <ScaleCrop>false</ScaleCrop>
  <LinksUpToDate>false</LinksUpToDate>
  <CharactersWithSpaces>22686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2023-11-21T18:46:00Z</dcterms:created>
  <dc:creator>罗成</dc:creator>
  <cp:lastModifiedBy>Administrator</cp:lastModifiedBy>
  <cp:lastPrinted>2022-10-03T02:19:00Z</cp:lastPrinted>
  <dcterms:modified xsi:type="dcterms:W3CDTF">2025-04-16T07:42:56Z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141A6B9875194621B91FC2254A50764C_13</vt:lpwstr>
  </property>
</Properties>
</file>