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B70E27">
      <w:pPr>
        <w:jc w:val="center"/>
        <w:rPr>
          <w:rFonts w:ascii="宋体" w:hAnsi="宋体" w:cs="宋体"/>
          <w:color w:val="auto"/>
          <w:highlight w:val="none"/>
        </w:rPr>
      </w:pPr>
    </w:p>
    <w:p w14:paraId="160A9ACE">
      <w:pPr>
        <w:jc w:val="center"/>
        <w:rPr>
          <w:rFonts w:ascii="宋体" w:hAnsi="宋体" w:cs="宋体"/>
          <w:color w:val="auto"/>
          <w:highlight w:val="none"/>
        </w:rPr>
      </w:pPr>
    </w:p>
    <w:p w14:paraId="2D310F31">
      <w:pPr>
        <w:rPr>
          <w:rFonts w:ascii="宋体" w:hAnsi="宋体" w:cs="宋体"/>
          <w:color w:val="auto"/>
          <w:sz w:val="44"/>
          <w:szCs w:val="44"/>
          <w:highlight w:val="none"/>
        </w:rPr>
      </w:pPr>
    </w:p>
    <w:p w14:paraId="58CA8E0B">
      <w:pPr>
        <w:rPr>
          <w:rFonts w:ascii="宋体" w:hAnsi="宋体" w:cs="宋体"/>
          <w:color w:val="auto"/>
          <w:sz w:val="44"/>
          <w:szCs w:val="44"/>
          <w:highlight w:val="none"/>
        </w:rPr>
      </w:pPr>
    </w:p>
    <w:p w14:paraId="0A8896E7">
      <w:pPr>
        <w:pStyle w:val="70"/>
        <w:rPr>
          <w:rFonts w:hAnsi="宋体" w:cs="宋体"/>
          <w:color w:val="auto"/>
          <w:sz w:val="44"/>
          <w:szCs w:val="44"/>
          <w:highlight w:val="none"/>
        </w:rPr>
      </w:pPr>
    </w:p>
    <w:p w14:paraId="02B50AC0">
      <w:pPr>
        <w:pStyle w:val="70"/>
        <w:rPr>
          <w:rFonts w:hAnsi="宋体" w:cs="宋体"/>
          <w:color w:val="auto"/>
          <w:sz w:val="44"/>
          <w:szCs w:val="44"/>
          <w:highlight w:val="none"/>
        </w:rPr>
      </w:pPr>
    </w:p>
    <w:p w14:paraId="57E6A28E">
      <w:pPr>
        <w:spacing w:line="1600" w:lineRule="exact"/>
        <w:jc w:val="center"/>
        <w:outlineLvl w:val="0"/>
        <w:rPr>
          <w:rFonts w:ascii="宋体" w:hAnsi="宋体" w:cs="宋体"/>
          <w:color w:val="auto"/>
          <w:sz w:val="112"/>
          <w:szCs w:val="112"/>
          <w:highlight w:val="none"/>
        </w:rPr>
      </w:pPr>
      <w:bookmarkStart w:id="0" w:name="_Toc27782"/>
      <w:r>
        <w:rPr>
          <w:rFonts w:hint="eastAsia" w:ascii="宋体" w:hAnsi="宋体" w:cs="宋体"/>
          <w:color w:val="auto"/>
          <w:sz w:val="112"/>
          <w:szCs w:val="112"/>
          <w:highlight w:val="none"/>
        </w:rPr>
        <w:t>竞争性磋商文件</w:t>
      </w:r>
      <w:bookmarkEnd w:id="0"/>
    </w:p>
    <w:p w14:paraId="61D2F7A4">
      <w:pPr>
        <w:spacing w:line="700" w:lineRule="exact"/>
        <w:jc w:val="center"/>
        <w:rPr>
          <w:rFonts w:ascii="宋体" w:hAnsi="宋体" w:cs="宋体"/>
          <w:color w:val="auto"/>
          <w:sz w:val="36"/>
          <w:szCs w:val="30"/>
          <w:highlight w:val="none"/>
        </w:rPr>
      </w:pPr>
      <w:r>
        <w:rPr>
          <w:rFonts w:hint="eastAsia" w:ascii="宋体" w:hAnsi="宋体" w:cs="宋体"/>
          <w:color w:val="auto"/>
          <w:sz w:val="36"/>
          <w:szCs w:val="30"/>
          <w:highlight w:val="none"/>
        </w:rPr>
        <w:t xml:space="preserve">  </w:t>
      </w:r>
    </w:p>
    <w:p w14:paraId="292942C6">
      <w:pPr>
        <w:spacing w:line="700" w:lineRule="exact"/>
        <w:ind w:firstLine="2700" w:firstLineChars="750"/>
        <w:jc w:val="center"/>
        <w:rPr>
          <w:rFonts w:ascii="宋体" w:hAnsi="宋体" w:cs="宋体"/>
          <w:color w:val="auto"/>
          <w:sz w:val="36"/>
          <w:szCs w:val="30"/>
          <w:highlight w:val="none"/>
        </w:rPr>
      </w:pPr>
    </w:p>
    <w:p w14:paraId="16B9C1E6">
      <w:pPr>
        <w:spacing w:line="800" w:lineRule="exact"/>
        <w:ind w:firstLine="840" w:firstLineChars="300"/>
        <w:outlineLvl w:val="0"/>
        <w:rPr>
          <w:rFonts w:hint="eastAsia" w:ascii="宋体" w:hAnsi="宋体" w:eastAsia="宋体" w:cs="宋体"/>
          <w:color w:val="auto"/>
          <w:szCs w:val="28"/>
          <w:highlight w:val="none"/>
          <w:lang w:val="en-US" w:eastAsia="zh-CN"/>
        </w:rPr>
      </w:pPr>
      <w:bookmarkStart w:id="1" w:name="_Toc22799"/>
      <w:r>
        <w:rPr>
          <w:rFonts w:hint="eastAsia" w:ascii="宋体" w:hAnsi="宋体" w:cs="宋体"/>
          <w:color w:val="auto"/>
          <w:szCs w:val="28"/>
          <w:highlight w:val="none"/>
        </w:rPr>
        <w:t>项   目   号：</w:t>
      </w:r>
      <w:bookmarkEnd w:id="1"/>
      <w:r>
        <w:rPr>
          <w:rFonts w:hint="eastAsia" w:ascii="宋体" w:hAnsi="宋体" w:cs="宋体"/>
          <w:color w:val="auto"/>
          <w:sz w:val="32"/>
          <w:szCs w:val="32"/>
          <w:highlight w:val="none"/>
        </w:rPr>
        <w:t>PG-WXDZ2024-0</w:t>
      </w:r>
      <w:r>
        <w:rPr>
          <w:rFonts w:hint="eastAsia" w:ascii="宋体" w:hAnsi="宋体" w:cs="宋体"/>
          <w:color w:val="auto"/>
          <w:sz w:val="32"/>
          <w:szCs w:val="32"/>
          <w:highlight w:val="none"/>
          <w:lang w:val="en-US" w:eastAsia="zh-CN"/>
        </w:rPr>
        <w:t>21</w:t>
      </w:r>
      <w:r>
        <w:rPr>
          <w:rFonts w:hint="eastAsia" w:ascii="宋体" w:hAnsi="宋体" w:cs="宋体"/>
          <w:color w:val="auto"/>
          <w:szCs w:val="28"/>
          <w:highlight w:val="none"/>
          <w:lang w:val="en-US" w:eastAsia="zh-CN"/>
        </w:rPr>
        <w:t xml:space="preserve"> </w:t>
      </w:r>
    </w:p>
    <w:p w14:paraId="734E5AE9">
      <w:pPr>
        <w:spacing w:line="800" w:lineRule="exact"/>
        <w:ind w:firstLine="840" w:firstLineChars="300"/>
        <w:outlineLvl w:val="0"/>
        <w:rPr>
          <w:rFonts w:hint="default" w:ascii="宋体" w:hAnsi="宋体" w:eastAsia="宋体" w:cs="宋体"/>
          <w:color w:val="auto"/>
          <w:sz w:val="32"/>
          <w:szCs w:val="32"/>
          <w:highlight w:val="none"/>
          <w:lang w:val="en-US" w:eastAsia="zh-CN"/>
        </w:rPr>
      </w:pPr>
      <w:bookmarkStart w:id="2" w:name="_Toc20265"/>
      <w:r>
        <w:rPr>
          <w:rFonts w:hint="eastAsia" w:ascii="宋体" w:hAnsi="宋体" w:cs="宋体"/>
          <w:color w:val="auto"/>
          <w:szCs w:val="28"/>
          <w:highlight w:val="none"/>
        </w:rPr>
        <w:t>磋商项目名称：</w:t>
      </w:r>
      <w:bookmarkEnd w:id="2"/>
      <w:r>
        <w:rPr>
          <w:rFonts w:hint="eastAsia" w:ascii="宋体" w:hAnsi="宋体" w:cs="宋体"/>
          <w:color w:val="auto"/>
          <w:szCs w:val="28"/>
          <w:highlight w:val="none"/>
          <w:lang w:val="en-US" w:eastAsia="zh-CN"/>
        </w:rPr>
        <w:t>重庆市无线电主题展厅项目（二次）</w:t>
      </w:r>
    </w:p>
    <w:p w14:paraId="2BEBC6AC">
      <w:pPr>
        <w:spacing w:line="600" w:lineRule="exact"/>
        <w:rPr>
          <w:rFonts w:ascii="宋体" w:hAnsi="宋体" w:cs="宋体"/>
          <w:color w:val="auto"/>
          <w:sz w:val="32"/>
          <w:szCs w:val="32"/>
          <w:highlight w:val="none"/>
        </w:rPr>
      </w:pPr>
    </w:p>
    <w:p w14:paraId="040CA9D2">
      <w:pPr>
        <w:spacing w:line="600" w:lineRule="exact"/>
        <w:rPr>
          <w:rFonts w:ascii="宋体" w:hAnsi="宋体" w:cs="宋体"/>
          <w:b/>
          <w:color w:val="auto"/>
          <w:sz w:val="32"/>
          <w:szCs w:val="32"/>
          <w:highlight w:val="none"/>
        </w:rPr>
      </w:pPr>
    </w:p>
    <w:p w14:paraId="7DC6AA88">
      <w:pPr>
        <w:pStyle w:val="2"/>
        <w:rPr>
          <w:color w:val="auto"/>
          <w:highlight w:val="none"/>
        </w:rPr>
      </w:pPr>
    </w:p>
    <w:p w14:paraId="29F8366C">
      <w:pPr>
        <w:pStyle w:val="2"/>
        <w:spacing w:line="600" w:lineRule="exact"/>
        <w:rPr>
          <w:rFonts w:ascii="宋体" w:hAnsi="宋体" w:eastAsia="宋体" w:cs="宋体"/>
          <w:b/>
          <w:color w:val="auto"/>
          <w:szCs w:val="32"/>
          <w:highlight w:val="none"/>
        </w:rPr>
      </w:pPr>
    </w:p>
    <w:p w14:paraId="76B9CEB8">
      <w:pPr>
        <w:spacing w:line="800" w:lineRule="exact"/>
        <w:ind w:firstLine="840" w:firstLineChars="300"/>
        <w:outlineLvl w:val="0"/>
        <w:rPr>
          <w:rFonts w:hint="eastAsia" w:ascii="宋体" w:hAnsi="宋体" w:eastAsia="宋体" w:cs="宋体"/>
          <w:color w:val="auto"/>
          <w:sz w:val="28"/>
          <w:szCs w:val="28"/>
          <w:highlight w:val="none"/>
          <w:lang w:val="en-US" w:eastAsia="zh-CN"/>
        </w:rPr>
      </w:pPr>
      <w:bookmarkStart w:id="3" w:name="_Toc1837"/>
      <w:r>
        <w:rPr>
          <w:rFonts w:hint="eastAsia" w:ascii="宋体" w:hAnsi="宋体" w:cs="宋体"/>
          <w:color w:val="auto"/>
          <w:sz w:val="28"/>
          <w:szCs w:val="28"/>
          <w:highlight w:val="none"/>
        </w:rPr>
        <w:t>采   购   人：重庆市无线电监测站</w:t>
      </w:r>
      <w:bookmarkEnd w:id="3"/>
      <w:r>
        <w:rPr>
          <w:rFonts w:hint="eastAsia" w:ascii="宋体" w:hAnsi="宋体" w:cs="宋体"/>
          <w:color w:val="auto"/>
          <w:sz w:val="28"/>
          <w:szCs w:val="28"/>
          <w:highlight w:val="none"/>
        </w:rPr>
        <w:t xml:space="preserve"> </w:t>
      </w:r>
    </w:p>
    <w:p w14:paraId="10D8C1C6">
      <w:pPr>
        <w:spacing w:line="800" w:lineRule="exact"/>
        <w:ind w:firstLine="840" w:firstLineChars="300"/>
        <w:outlineLvl w:val="0"/>
        <w:rPr>
          <w:rFonts w:ascii="宋体" w:hAnsi="宋体" w:cs="宋体"/>
          <w:color w:val="auto"/>
          <w:sz w:val="32"/>
          <w:szCs w:val="32"/>
          <w:highlight w:val="none"/>
        </w:rPr>
      </w:pPr>
      <w:bookmarkStart w:id="4" w:name="_Toc26587"/>
      <w:r>
        <w:rPr>
          <w:rFonts w:hint="eastAsia" w:ascii="宋体" w:hAnsi="宋体" w:cs="宋体"/>
          <w:color w:val="auto"/>
          <w:sz w:val="28"/>
          <w:szCs w:val="28"/>
          <w:highlight w:val="none"/>
        </w:rPr>
        <w:t>采购代理机构：攀钢集团工科工程咨询有限公司</w:t>
      </w:r>
      <w:bookmarkEnd w:id="4"/>
    </w:p>
    <w:p w14:paraId="7F0822D4">
      <w:pPr>
        <w:spacing w:line="700" w:lineRule="exact"/>
        <w:rPr>
          <w:rFonts w:ascii="宋体" w:hAnsi="宋体" w:cs="宋体"/>
          <w:b/>
          <w:color w:val="auto"/>
          <w:sz w:val="30"/>
          <w:szCs w:val="30"/>
          <w:highlight w:val="none"/>
        </w:rPr>
      </w:pPr>
    </w:p>
    <w:p w14:paraId="3FF37B77">
      <w:pPr>
        <w:spacing w:line="800" w:lineRule="exact"/>
        <w:jc w:val="center"/>
        <w:outlineLvl w:val="0"/>
        <w:rPr>
          <w:rFonts w:ascii="宋体" w:hAnsi="宋体" w:cs="宋体"/>
          <w:b/>
          <w:color w:val="auto"/>
          <w:sz w:val="30"/>
          <w:szCs w:val="30"/>
          <w:highlight w:val="none"/>
        </w:rPr>
      </w:pPr>
      <w:bookmarkStart w:id="5" w:name="_Toc25746"/>
      <w:r>
        <w:rPr>
          <w:rFonts w:hint="eastAsia" w:ascii="宋体" w:hAnsi="宋体" w:cs="宋体"/>
          <w:color w:val="auto"/>
          <w:sz w:val="32"/>
          <w:szCs w:val="32"/>
          <w:highlight w:val="none"/>
        </w:rPr>
        <w:t>二〇二四年</w:t>
      </w:r>
      <w:r>
        <w:rPr>
          <w:rFonts w:hint="eastAsia" w:ascii="宋体" w:hAnsi="宋体" w:cs="宋体"/>
          <w:color w:val="auto"/>
          <w:sz w:val="32"/>
          <w:szCs w:val="32"/>
          <w:highlight w:val="none"/>
          <w:lang w:val="en-US" w:eastAsia="zh-CN"/>
        </w:rPr>
        <w:t>十一</w:t>
      </w:r>
      <w:r>
        <w:rPr>
          <w:rFonts w:hint="eastAsia" w:ascii="宋体" w:hAnsi="宋体" w:cs="宋体"/>
          <w:color w:val="auto"/>
          <w:sz w:val="32"/>
          <w:szCs w:val="32"/>
          <w:highlight w:val="none"/>
        </w:rPr>
        <w:t>月</w:t>
      </w:r>
      <w:bookmarkEnd w:id="5"/>
    </w:p>
    <w:p w14:paraId="1488B73C">
      <w:pPr>
        <w:pageBreakBefore/>
        <w:spacing w:line="480" w:lineRule="exact"/>
        <w:jc w:val="center"/>
        <w:outlineLvl w:val="0"/>
        <w:rPr>
          <w:rFonts w:ascii="宋体" w:hAnsi="宋体" w:cs="宋体"/>
          <w:color w:val="auto"/>
          <w:sz w:val="44"/>
          <w:szCs w:val="44"/>
          <w:highlight w:val="none"/>
        </w:rPr>
      </w:pPr>
      <w:bookmarkStart w:id="6" w:name="_Toc10067"/>
      <w:r>
        <w:rPr>
          <w:rFonts w:hint="eastAsia" w:ascii="宋体" w:hAnsi="宋体" w:cs="宋体"/>
          <w:color w:val="auto"/>
          <w:sz w:val="44"/>
          <w:szCs w:val="44"/>
          <w:highlight w:val="none"/>
        </w:rPr>
        <w:t>目   录</w:t>
      </w:r>
      <w:bookmarkEnd w:id="6"/>
    </w:p>
    <w:p w14:paraId="0EF82B68">
      <w:pPr>
        <w:pStyle w:val="70"/>
        <w:autoSpaceDE/>
        <w:autoSpaceDN/>
        <w:spacing w:line="600" w:lineRule="exact"/>
        <w:rPr>
          <w:rFonts w:hAnsi="宋体" w:cs="宋体"/>
          <w:color w:val="auto"/>
          <w:sz w:val="30"/>
          <w:szCs w:val="30"/>
          <w:highlight w:val="none"/>
        </w:rPr>
      </w:pPr>
    </w:p>
    <w:p w14:paraId="7D847222">
      <w:pPr>
        <w:pStyle w:val="39"/>
        <w:tabs>
          <w:tab w:val="right" w:leader="dot" w:pos="9071"/>
        </w:tabs>
        <w:spacing w:line="600" w:lineRule="exact"/>
        <w:rPr>
          <w:highlight w:val="none"/>
        </w:rPr>
      </w:pPr>
      <w:bookmarkStart w:id="7" w:name="_Toc13521"/>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w:instrText>
      </w:r>
      <w:r>
        <w:rPr>
          <w:rFonts w:hint="eastAsia" w:ascii="宋体" w:hAnsi="宋体" w:cs="宋体"/>
          <w:color w:val="auto"/>
          <w:sz w:val="30"/>
          <w:szCs w:val="30"/>
          <w:highlight w:val="none"/>
        </w:rPr>
        <w:fldChar w:fldCharType="separate"/>
      </w:r>
      <w:bookmarkEnd w:id="7"/>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_Toc5198 </w:instrText>
      </w:r>
      <w:r>
        <w:rPr>
          <w:rFonts w:hint="eastAsia" w:ascii="宋体" w:hAnsi="宋体" w:cs="宋体"/>
          <w:szCs w:val="30"/>
          <w:highlight w:val="none"/>
        </w:rPr>
        <w:fldChar w:fldCharType="separate"/>
      </w:r>
      <w:r>
        <w:rPr>
          <w:rFonts w:hint="eastAsia"/>
          <w:bCs/>
          <w:szCs w:val="32"/>
          <w:highlight w:val="none"/>
        </w:rPr>
        <w:t>第一篇  采购邀请书</w:t>
      </w:r>
      <w:r>
        <w:rPr>
          <w:highlight w:val="none"/>
        </w:rPr>
        <w:tab/>
      </w:r>
      <w:r>
        <w:rPr>
          <w:highlight w:val="none"/>
        </w:rPr>
        <w:fldChar w:fldCharType="begin"/>
      </w:r>
      <w:r>
        <w:rPr>
          <w:highlight w:val="none"/>
        </w:rPr>
        <w:instrText xml:space="preserve"> PAGEREF _Toc5198 \h </w:instrText>
      </w:r>
      <w:r>
        <w:rPr>
          <w:highlight w:val="none"/>
        </w:rPr>
        <w:fldChar w:fldCharType="separate"/>
      </w:r>
      <w:r>
        <w:rPr>
          <w:highlight w:val="none"/>
        </w:rPr>
        <w:t>4</w:t>
      </w:r>
      <w:r>
        <w:rPr>
          <w:highlight w:val="none"/>
        </w:rPr>
        <w:fldChar w:fldCharType="end"/>
      </w:r>
      <w:r>
        <w:rPr>
          <w:rFonts w:hint="eastAsia" w:ascii="宋体" w:hAnsi="宋体" w:cs="宋体"/>
          <w:color w:val="auto"/>
          <w:szCs w:val="30"/>
          <w:highlight w:val="none"/>
        </w:rPr>
        <w:fldChar w:fldCharType="end"/>
      </w:r>
    </w:p>
    <w:p w14:paraId="26408E57">
      <w:pPr>
        <w:pStyle w:val="39"/>
        <w:tabs>
          <w:tab w:val="right" w:leader="dot" w:pos="9071"/>
        </w:tabs>
        <w:spacing w:line="600" w:lineRule="exact"/>
        <w:rPr>
          <w:highlight w:val="none"/>
        </w:rPr>
      </w:pPr>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_Toc29117 </w:instrText>
      </w:r>
      <w:r>
        <w:rPr>
          <w:rFonts w:hint="eastAsia" w:ascii="宋体" w:hAnsi="宋体" w:cs="宋体"/>
          <w:szCs w:val="30"/>
          <w:highlight w:val="none"/>
        </w:rPr>
        <w:fldChar w:fldCharType="separate"/>
      </w:r>
      <w:r>
        <w:rPr>
          <w:rFonts w:hint="eastAsia"/>
          <w:bCs/>
          <w:szCs w:val="32"/>
          <w:highlight w:val="none"/>
        </w:rPr>
        <w:t>第二篇  项目技术需求</w:t>
      </w:r>
      <w:r>
        <w:rPr>
          <w:highlight w:val="none"/>
        </w:rPr>
        <w:tab/>
      </w:r>
      <w:r>
        <w:rPr>
          <w:highlight w:val="none"/>
        </w:rPr>
        <w:fldChar w:fldCharType="begin"/>
      </w:r>
      <w:r>
        <w:rPr>
          <w:highlight w:val="none"/>
        </w:rPr>
        <w:instrText xml:space="preserve"> PAGEREF _Toc29117 \h </w:instrText>
      </w:r>
      <w:r>
        <w:rPr>
          <w:highlight w:val="none"/>
        </w:rPr>
        <w:fldChar w:fldCharType="separate"/>
      </w:r>
      <w:r>
        <w:rPr>
          <w:highlight w:val="none"/>
        </w:rPr>
        <w:t>8</w:t>
      </w:r>
      <w:r>
        <w:rPr>
          <w:highlight w:val="none"/>
        </w:rPr>
        <w:fldChar w:fldCharType="end"/>
      </w:r>
      <w:r>
        <w:rPr>
          <w:rFonts w:hint="eastAsia" w:ascii="宋体" w:hAnsi="宋体" w:cs="宋体"/>
          <w:color w:val="auto"/>
          <w:szCs w:val="30"/>
          <w:highlight w:val="none"/>
        </w:rPr>
        <w:fldChar w:fldCharType="end"/>
      </w:r>
    </w:p>
    <w:p w14:paraId="0FFCE17D">
      <w:pPr>
        <w:pStyle w:val="39"/>
        <w:tabs>
          <w:tab w:val="right" w:leader="dot" w:pos="9071"/>
        </w:tabs>
        <w:spacing w:line="600" w:lineRule="exact"/>
        <w:rPr>
          <w:highlight w:val="none"/>
        </w:rPr>
      </w:pPr>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_Toc6244 </w:instrText>
      </w:r>
      <w:r>
        <w:rPr>
          <w:rFonts w:hint="eastAsia" w:ascii="宋体" w:hAnsi="宋体" w:cs="宋体"/>
          <w:szCs w:val="30"/>
          <w:highlight w:val="none"/>
        </w:rPr>
        <w:fldChar w:fldCharType="separate"/>
      </w:r>
      <w:r>
        <w:rPr>
          <w:rFonts w:hint="eastAsia"/>
          <w:bCs/>
          <w:szCs w:val="32"/>
          <w:highlight w:val="none"/>
        </w:rPr>
        <w:t>第三篇  项目商务需求</w:t>
      </w:r>
      <w:r>
        <w:rPr>
          <w:highlight w:val="none"/>
        </w:rPr>
        <w:tab/>
      </w:r>
      <w:r>
        <w:rPr>
          <w:highlight w:val="none"/>
        </w:rPr>
        <w:fldChar w:fldCharType="begin"/>
      </w:r>
      <w:r>
        <w:rPr>
          <w:highlight w:val="none"/>
        </w:rPr>
        <w:instrText xml:space="preserve"> PAGEREF _Toc6244 \h </w:instrText>
      </w:r>
      <w:r>
        <w:rPr>
          <w:highlight w:val="none"/>
        </w:rPr>
        <w:fldChar w:fldCharType="separate"/>
      </w:r>
      <w:r>
        <w:rPr>
          <w:highlight w:val="none"/>
        </w:rPr>
        <w:t>11</w:t>
      </w:r>
      <w:r>
        <w:rPr>
          <w:highlight w:val="none"/>
        </w:rPr>
        <w:fldChar w:fldCharType="end"/>
      </w:r>
      <w:r>
        <w:rPr>
          <w:rFonts w:hint="eastAsia" w:ascii="宋体" w:hAnsi="宋体" w:cs="宋体"/>
          <w:color w:val="auto"/>
          <w:szCs w:val="30"/>
          <w:highlight w:val="none"/>
        </w:rPr>
        <w:fldChar w:fldCharType="end"/>
      </w:r>
    </w:p>
    <w:p w14:paraId="6667A457">
      <w:pPr>
        <w:pStyle w:val="39"/>
        <w:tabs>
          <w:tab w:val="right" w:leader="dot" w:pos="9071"/>
        </w:tabs>
        <w:spacing w:line="600" w:lineRule="exact"/>
        <w:rPr>
          <w:highlight w:val="none"/>
        </w:rPr>
      </w:pPr>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_Toc7527 </w:instrText>
      </w:r>
      <w:r>
        <w:rPr>
          <w:rFonts w:hint="eastAsia" w:ascii="宋体" w:hAnsi="宋体" w:cs="宋体"/>
          <w:szCs w:val="30"/>
          <w:highlight w:val="none"/>
        </w:rPr>
        <w:fldChar w:fldCharType="separate"/>
      </w:r>
      <w:r>
        <w:rPr>
          <w:rFonts w:hint="eastAsia"/>
          <w:bCs/>
          <w:szCs w:val="32"/>
          <w:highlight w:val="none"/>
        </w:rPr>
        <w:t>第四篇  磋商程序及方法、评审标准、无效响应和采购终止</w:t>
      </w:r>
      <w:r>
        <w:rPr>
          <w:highlight w:val="none"/>
        </w:rPr>
        <w:tab/>
      </w:r>
      <w:r>
        <w:rPr>
          <w:highlight w:val="none"/>
        </w:rPr>
        <w:fldChar w:fldCharType="begin"/>
      </w:r>
      <w:r>
        <w:rPr>
          <w:highlight w:val="none"/>
        </w:rPr>
        <w:instrText xml:space="preserve"> PAGEREF _Toc7527 \h </w:instrText>
      </w:r>
      <w:r>
        <w:rPr>
          <w:highlight w:val="none"/>
        </w:rPr>
        <w:fldChar w:fldCharType="separate"/>
      </w:r>
      <w:r>
        <w:rPr>
          <w:highlight w:val="none"/>
        </w:rPr>
        <w:t>13</w:t>
      </w:r>
      <w:r>
        <w:rPr>
          <w:highlight w:val="none"/>
        </w:rPr>
        <w:fldChar w:fldCharType="end"/>
      </w:r>
      <w:r>
        <w:rPr>
          <w:rFonts w:hint="eastAsia" w:ascii="宋体" w:hAnsi="宋体" w:cs="宋体"/>
          <w:color w:val="auto"/>
          <w:szCs w:val="30"/>
          <w:highlight w:val="none"/>
        </w:rPr>
        <w:fldChar w:fldCharType="end"/>
      </w:r>
    </w:p>
    <w:p w14:paraId="049874B8">
      <w:pPr>
        <w:pStyle w:val="39"/>
        <w:tabs>
          <w:tab w:val="right" w:leader="dot" w:pos="9071"/>
        </w:tabs>
        <w:spacing w:line="600" w:lineRule="exact"/>
        <w:rPr>
          <w:highlight w:val="none"/>
        </w:rPr>
      </w:pPr>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_Toc29520 </w:instrText>
      </w:r>
      <w:r>
        <w:rPr>
          <w:rFonts w:hint="eastAsia" w:ascii="宋体" w:hAnsi="宋体" w:cs="宋体"/>
          <w:szCs w:val="30"/>
          <w:highlight w:val="none"/>
        </w:rPr>
        <w:fldChar w:fldCharType="separate"/>
      </w:r>
      <w:r>
        <w:rPr>
          <w:rFonts w:hint="eastAsia"/>
          <w:bCs/>
          <w:szCs w:val="32"/>
          <w:highlight w:val="none"/>
        </w:rPr>
        <w:t>第五篇  供应商须知</w:t>
      </w:r>
      <w:r>
        <w:rPr>
          <w:highlight w:val="none"/>
        </w:rPr>
        <w:tab/>
      </w:r>
      <w:r>
        <w:rPr>
          <w:highlight w:val="none"/>
        </w:rPr>
        <w:fldChar w:fldCharType="begin"/>
      </w:r>
      <w:r>
        <w:rPr>
          <w:highlight w:val="none"/>
        </w:rPr>
        <w:instrText xml:space="preserve"> PAGEREF _Toc29520 \h </w:instrText>
      </w:r>
      <w:r>
        <w:rPr>
          <w:highlight w:val="none"/>
        </w:rPr>
        <w:fldChar w:fldCharType="separate"/>
      </w:r>
      <w:r>
        <w:rPr>
          <w:highlight w:val="none"/>
        </w:rPr>
        <w:t>20</w:t>
      </w:r>
      <w:r>
        <w:rPr>
          <w:highlight w:val="none"/>
        </w:rPr>
        <w:fldChar w:fldCharType="end"/>
      </w:r>
      <w:r>
        <w:rPr>
          <w:rFonts w:hint="eastAsia" w:ascii="宋体" w:hAnsi="宋体" w:cs="宋体"/>
          <w:color w:val="auto"/>
          <w:szCs w:val="30"/>
          <w:highlight w:val="none"/>
        </w:rPr>
        <w:fldChar w:fldCharType="end"/>
      </w:r>
    </w:p>
    <w:p w14:paraId="1457D558">
      <w:pPr>
        <w:pStyle w:val="39"/>
        <w:tabs>
          <w:tab w:val="right" w:leader="dot" w:pos="9071"/>
        </w:tabs>
        <w:spacing w:line="600" w:lineRule="exact"/>
        <w:rPr>
          <w:highlight w:val="none"/>
        </w:rPr>
      </w:pPr>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_Toc32399 </w:instrText>
      </w:r>
      <w:r>
        <w:rPr>
          <w:rFonts w:hint="eastAsia" w:ascii="宋体" w:hAnsi="宋体" w:cs="宋体"/>
          <w:szCs w:val="30"/>
          <w:highlight w:val="none"/>
        </w:rPr>
        <w:fldChar w:fldCharType="separate"/>
      </w:r>
      <w:r>
        <w:rPr>
          <w:rFonts w:hint="eastAsia"/>
          <w:bCs/>
          <w:szCs w:val="32"/>
          <w:highlight w:val="none"/>
        </w:rPr>
        <w:t>第六篇  合同草案条款</w:t>
      </w:r>
      <w:r>
        <w:rPr>
          <w:highlight w:val="none"/>
        </w:rPr>
        <w:tab/>
      </w:r>
      <w:r>
        <w:rPr>
          <w:highlight w:val="none"/>
        </w:rPr>
        <w:fldChar w:fldCharType="begin"/>
      </w:r>
      <w:r>
        <w:rPr>
          <w:highlight w:val="none"/>
        </w:rPr>
        <w:instrText xml:space="preserve"> PAGEREF _Toc32399 \h </w:instrText>
      </w:r>
      <w:r>
        <w:rPr>
          <w:highlight w:val="none"/>
        </w:rPr>
        <w:fldChar w:fldCharType="separate"/>
      </w:r>
      <w:r>
        <w:rPr>
          <w:highlight w:val="none"/>
        </w:rPr>
        <w:t>26</w:t>
      </w:r>
      <w:r>
        <w:rPr>
          <w:highlight w:val="none"/>
        </w:rPr>
        <w:fldChar w:fldCharType="end"/>
      </w:r>
      <w:r>
        <w:rPr>
          <w:rFonts w:hint="eastAsia" w:ascii="宋体" w:hAnsi="宋体" w:cs="宋体"/>
          <w:color w:val="auto"/>
          <w:szCs w:val="30"/>
          <w:highlight w:val="none"/>
        </w:rPr>
        <w:fldChar w:fldCharType="end"/>
      </w:r>
    </w:p>
    <w:p w14:paraId="02D15D6E">
      <w:pPr>
        <w:pStyle w:val="39"/>
        <w:tabs>
          <w:tab w:val="right" w:leader="dot" w:pos="9071"/>
        </w:tabs>
        <w:spacing w:line="600" w:lineRule="exact"/>
        <w:rPr>
          <w:highlight w:val="none"/>
        </w:rPr>
      </w:pPr>
      <w:r>
        <w:rPr>
          <w:rFonts w:hint="eastAsia" w:ascii="宋体" w:hAnsi="宋体" w:cs="宋体"/>
          <w:color w:val="auto"/>
          <w:szCs w:val="30"/>
          <w:highlight w:val="none"/>
        </w:rPr>
        <w:fldChar w:fldCharType="begin"/>
      </w:r>
      <w:r>
        <w:rPr>
          <w:rFonts w:hint="eastAsia" w:ascii="宋体" w:hAnsi="宋体" w:cs="宋体"/>
          <w:szCs w:val="30"/>
          <w:highlight w:val="none"/>
        </w:rPr>
        <w:instrText xml:space="preserve"> HYPERLINK \l _Toc8589 </w:instrText>
      </w:r>
      <w:r>
        <w:rPr>
          <w:rFonts w:hint="eastAsia" w:ascii="宋体" w:hAnsi="宋体" w:cs="宋体"/>
          <w:szCs w:val="30"/>
          <w:highlight w:val="none"/>
        </w:rPr>
        <w:fldChar w:fldCharType="separate"/>
      </w:r>
      <w:r>
        <w:rPr>
          <w:rFonts w:hint="eastAsia"/>
          <w:bCs/>
          <w:szCs w:val="32"/>
          <w:highlight w:val="none"/>
        </w:rPr>
        <w:t>第七篇  响应文件编制要求</w:t>
      </w:r>
      <w:r>
        <w:rPr>
          <w:highlight w:val="none"/>
        </w:rPr>
        <w:tab/>
      </w:r>
      <w:r>
        <w:rPr>
          <w:highlight w:val="none"/>
        </w:rPr>
        <w:fldChar w:fldCharType="begin"/>
      </w:r>
      <w:r>
        <w:rPr>
          <w:highlight w:val="none"/>
        </w:rPr>
        <w:instrText xml:space="preserve"> PAGEREF _Toc8589 \h </w:instrText>
      </w:r>
      <w:r>
        <w:rPr>
          <w:highlight w:val="none"/>
        </w:rPr>
        <w:fldChar w:fldCharType="separate"/>
      </w:r>
      <w:r>
        <w:rPr>
          <w:highlight w:val="none"/>
        </w:rPr>
        <w:t>29</w:t>
      </w:r>
      <w:r>
        <w:rPr>
          <w:highlight w:val="none"/>
        </w:rPr>
        <w:fldChar w:fldCharType="end"/>
      </w:r>
      <w:r>
        <w:rPr>
          <w:rFonts w:hint="eastAsia" w:ascii="宋体" w:hAnsi="宋体" w:cs="宋体"/>
          <w:color w:val="auto"/>
          <w:szCs w:val="30"/>
          <w:highlight w:val="none"/>
        </w:rPr>
        <w:fldChar w:fldCharType="end"/>
      </w:r>
    </w:p>
    <w:p w14:paraId="1C1F3D97">
      <w:pPr>
        <w:pStyle w:val="48"/>
        <w:tabs>
          <w:tab w:val="right" w:leader="dot" w:pos="9071"/>
        </w:tabs>
        <w:spacing w:line="600" w:lineRule="exact"/>
        <w:rPr>
          <w:highlight w:val="none"/>
        </w:rPr>
      </w:pPr>
    </w:p>
    <w:p w14:paraId="67EAE1F5">
      <w:pPr>
        <w:pStyle w:val="48"/>
        <w:tabs>
          <w:tab w:val="right" w:leader="dot" w:pos="9402"/>
        </w:tabs>
        <w:spacing w:line="600" w:lineRule="exact"/>
        <w:ind w:left="560"/>
        <w:jc w:val="center"/>
        <w:rPr>
          <w:rFonts w:ascii="宋体" w:hAnsi="宋体" w:cs="宋体"/>
          <w:color w:val="auto"/>
          <w:szCs w:val="30"/>
          <w:highlight w:val="none"/>
        </w:rPr>
      </w:pPr>
      <w:r>
        <w:rPr>
          <w:rFonts w:hint="eastAsia" w:ascii="宋体" w:hAnsi="宋体" w:cs="宋体"/>
          <w:color w:val="auto"/>
          <w:szCs w:val="30"/>
          <w:highlight w:val="none"/>
        </w:rPr>
        <w:fldChar w:fldCharType="end"/>
      </w:r>
      <w:bookmarkStart w:id="8" w:name="_Toc11641050"/>
      <w:bookmarkStart w:id="9" w:name="_Toc6835"/>
      <w:bookmarkStart w:id="10" w:name="_Toc12789052"/>
    </w:p>
    <w:p w14:paraId="1BB4433F">
      <w:pPr>
        <w:rPr>
          <w:color w:val="auto"/>
          <w:highlight w:val="none"/>
        </w:rPr>
      </w:pPr>
    </w:p>
    <w:p w14:paraId="551A483F">
      <w:pPr>
        <w:rPr>
          <w:color w:val="auto"/>
          <w:highlight w:val="none"/>
        </w:rPr>
      </w:pPr>
    </w:p>
    <w:p w14:paraId="1757F311">
      <w:pPr>
        <w:rPr>
          <w:color w:val="auto"/>
          <w:highlight w:val="none"/>
        </w:rPr>
      </w:pPr>
    </w:p>
    <w:p w14:paraId="7FBEEB49">
      <w:pPr>
        <w:rPr>
          <w:color w:val="auto"/>
          <w:highlight w:val="none"/>
        </w:rPr>
      </w:pPr>
    </w:p>
    <w:p w14:paraId="317F17BF">
      <w:pPr>
        <w:tabs>
          <w:tab w:val="left" w:pos="8466"/>
        </w:tabs>
        <w:jc w:val="left"/>
        <w:rPr>
          <w:color w:val="auto"/>
          <w:highlight w:val="none"/>
        </w:rPr>
        <w:sectPr>
          <w:headerReference r:id="rId3" w:type="default"/>
          <w:footerReference r:id="rId4" w:type="default"/>
          <w:pgSz w:w="11905" w:h="16838"/>
          <w:pgMar w:top="1417" w:right="1417" w:bottom="1417" w:left="1417" w:header="1003" w:footer="986" w:gutter="0"/>
          <w:pgNumType w:start="1"/>
          <w:cols w:space="0" w:num="1"/>
          <w:docGrid w:linePitch="389" w:charSpace="0"/>
        </w:sectPr>
      </w:pPr>
      <w:r>
        <w:rPr>
          <w:rFonts w:hint="eastAsia"/>
          <w:color w:val="auto"/>
          <w:highlight w:val="none"/>
        </w:rPr>
        <w:tab/>
      </w:r>
    </w:p>
    <w:p w14:paraId="2BFB3C37">
      <w:pPr>
        <w:pStyle w:val="4"/>
        <w:bidi w:val="0"/>
        <w:jc w:val="center"/>
        <w:rPr>
          <w:rFonts w:ascii="宋体" w:hAnsi="宋体" w:cs="宋体"/>
          <w:b/>
          <w:bCs/>
          <w:color w:val="auto"/>
          <w:szCs w:val="30"/>
          <w:highlight w:val="none"/>
        </w:rPr>
      </w:pPr>
      <w:bookmarkStart w:id="11" w:name="_Toc18348"/>
      <w:bookmarkStart w:id="12" w:name="_Toc5198"/>
      <w:r>
        <w:rPr>
          <w:rFonts w:hint="eastAsia"/>
          <w:b/>
          <w:bCs/>
          <w:color w:val="auto"/>
          <w:sz w:val="32"/>
          <w:szCs w:val="32"/>
          <w:highlight w:val="none"/>
        </w:rPr>
        <w:t>第一篇  采购邀请书</w:t>
      </w:r>
      <w:bookmarkEnd w:id="8"/>
      <w:bookmarkEnd w:id="9"/>
      <w:bookmarkEnd w:id="10"/>
      <w:bookmarkEnd w:id="11"/>
      <w:bookmarkEnd w:id="12"/>
    </w:p>
    <w:p w14:paraId="3E9E68A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u w:val="single"/>
        </w:rPr>
        <w:t>攀钢集团工科工程咨询有限公司</w:t>
      </w:r>
      <w:r>
        <w:rPr>
          <w:rFonts w:hint="eastAsia" w:ascii="宋体" w:hAnsi="宋体" w:cs="宋体"/>
          <w:color w:val="auto"/>
          <w:sz w:val="24"/>
          <w:szCs w:val="24"/>
          <w:highlight w:val="none"/>
        </w:rPr>
        <w:t>接受</w:t>
      </w:r>
      <w:r>
        <w:rPr>
          <w:rFonts w:hint="eastAsia" w:ascii="宋体" w:hAnsi="宋体" w:cs="宋体"/>
          <w:color w:val="auto"/>
          <w:sz w:val="24"/>
          <w:szCs w:val="24"/>
          <w:highlight w:val="none"/>
          <w:u w:val="single"/>
        </w:rPr>
        <w:t>重庆市无线电监测站</w:t>
      </w:r>
      <w:r>
        <w:rPr>
          <w:rFonts w:hint="eastAsia" w:ascii="宋体" w:hAnsi="宋体" w:cs="宋体"/>
          <w:color w:val="auto"/>
          <w:sz w:val="24"/>
          <w:szCs w:val="24"/>
          <w:highlight w:val="none"/>
        </w:rPr>
        <w:t>的委托，对</w:t>
      </w:r>
      <w:r>
        <w:rPr>
          <w:rFonts w:hint="eastAsia" w:ascii="宋体" w:hAnsi="宋体" w:cs="宋体"/>
          <w:color w:val="auto"/>
          <w:sz w:val="24"/>
          <w:szCs w:val="24"/>
          <w:highlight w:val="none"/>
          <w:u w:val="single"/>
          <w:lang w:val="en-US" w:eastAsia="zh-CN"/>
        </w:rPr>
        <w:t>重庆市无线电主题展厅项目（二次）</w:t>
      </w:r>
      <w:r>
        <w:rPr>
          <w:rFonts w:hint="eastAsia" w:ascii="宋体" w:hAnsi="宋体" w:cs="宋体"/>
          <w:color w:val="auto"/>
          <w:sz w:val="24"/>
          <w:szCs w:val="24"/>
          <w:highlight w:val="none"/>
        </w:rPr>
        <w:t>进行竞争性磋商采购。欢迎有资格的供应商前来参与磋商。</w:t>
      </w:r>
    </w:p>
    <w:p w14:paraId="03522EC6">
      <w:pPr>
        <w:pStyle w:val="6"/>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13" w:name="_Toc317775175"/>
      <w:bookmarkStart w:id="14" w:name="_Toc31535"/>
      <w:bookmarkStart w:id="15" w:name="_Toc4493"/>
      <w:bookmarkStart w:id="16" w:name="_Toc1014"/>
      <w:bookmarkStart w:id="17" w:name="_Toc313893526"/>
      <w:bookmarkStart w:id="18" w:name="_Toc32233"/>
      <w:bookmarkStart w:id="19" w:name="_Toc32725"/>
      <w:bookmarkStart w:id="20" w:name="_Toc15073"/>
      <w:r>
        <w:rPr>
          <w:rFonts w:hint="eastAsia" w:ascii="宋体" w:hAnsi="宋体" w:cs="宋体"/>
          <w:color w:val="auto"/>
          <w:sz w:val="24"/>
          <w:szCs w:val="24"/>
          <w:highlight w:val="none"/>
        </w:rPr>
        <w:t>一、竞争性磋商内容</w:t>
      </w:r>
      <w:bookmarkEnd w:id="13"/>
      <w:bookmarkEnd w:id="14"/>
      <w:bookmarkEnd w:id="15"/>
      <w:bookmarkEnd w:id="16"/>
      <w:bookmarkEnd w:id="17"/>
      <w:bookmarkEnd w:id="18"/>
      <w:bookmarkEnd w:id="19"/>
      <w:bookmarkEnd w:id="20"/>
    </w:p>
    <w:tbl>
      <w:tblPr>
        <w:tblStyle w:val="60"/>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0"/>
        <w:gridCol w:w="1240"/>
        <w:gridCol w:w="1347"/>
        <w:gridCol w:w="1701"/>
        <w:gridCol w:w="2409"/>
      </w:tblGrid>
      <w:tr w14:paraId="610FC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050" w:type="dxa"/>
            <w:tcBorders>
              <w:top w:val="single" w:color="auto" w:sz="4" w:space="0"/>
              <w:left w:val="single" w:color="auto" w:sz="4" w:space="0"/>
              <w:right w:val="single" w:color="auto" w:sz="4" w:space="0"/>
            </w:tcBorders>
            <w:vAlign w:val="center"/>
          </w:tcPr>
          <w:p w14:paraId="3A02C8D6">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bookmarkStart w:id="21" w:name="_Toc317775178"/>
            <w:bookmarkStart w:id="22" w:name="_Toc373860293"/>
            <w:r>
              <w:rPr>
                <w:rFonts w:hint="eastAsia" w:ascii="宋体" w:hAnsi="宋体" w:cs="宋体"/>
                <w:b/>
                <w:bCs/>
                <w:color w:val="auto"/>
                <w:kern w:val="0"/>
                <w:sz w:val="21"/>
                <w:szCs w:val="21"/>
                <w:highlight w:val="none"/>
              </w:rPr>
              <w:t>项目内容</w:t>
            </w:r>
          </w:p>
        </w:tc>
        <w:tc>
          <w:tcPr>
            <w:tcW w:w="1240" w:type="dxa"/>
            <w:tcBorders>
              <w:top w:val="single" w:color="auto" w:sz="4" w:space="0"/>
              <w:left w:val="single" w:color="auto" w:sz="4" w:space="0"/>
              <w:right w:val="single" w:color="auto" w:sz="4" w:space="0"/>
            </w:tcBorders>
            <w:vAlign w:val="center"/>
          </w:tcPr>
          <w:p w14:paraId="08DB3EAC">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最高限价</w:t>
            </w:r>
          </w:p>
          <w:p w14:paraId="52AF5FF2">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万</w:t>
            </w:r>
            <w:r>
              <w:rPr>
                <w:rFonts w:hint="eastAsia" w:ascii="宋体" w:hAnsi="宋体" w:cs="宋体"/>
                <w:b/>
                <w:bCs/>
                <w:color w:val="auto"/>
                <w:kern w:val="0"/>
                <w:sz w:val="21"/>
                <w:szCs w:val="21"/>
                <w:highlight w:val="none"/>
              </w:rPr>
              <w:t>元）</w:t>
            </w:r>
          </w:p>
        </w:tc>
        <w:tc>
          <w:tcPr>
            <w:tcW w:w="1347" w:type="dxa"/>
            <w:tcBorders>
              <w:top w:val="single" w:color="auto" w:sz="4" w:space="0"/>
              <w:left w:val="single" w:color="auto" w:sz="4" w:space="0"/>
              <w:right w:val="single" w:color="auto" w:sz="4" w:space="0"/>
            </w:tcBorders>
            <w:vAlign w:val="center"/>
          </w:tcPr>
          <w:p w14:paraId="14F8EB8C">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磋商保证金</w:t>
            </w:r>
          </w:p>
          <w:p w14:paraId="0D20AE58">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w:t>
            </w:r>
            <w:r>
              <w:rPr>
                <w:rFonts w:hint="eastAsia" w:ascii="宋体" w:hAnsi="宋体" w:cs="宋体"/>
                <w:b/>
                <w:bCs/>
                <w:color w:val="auto"/>
                <w:kern w:val="0"/>
                <w:sz w:val="21"/>
                <w:szCs w:val="21"/>
                <w:highlight w:val="none"/>
                <w:lang w:val="en-US" w:eastAsia="zh-CN"/>
              </w:rPr>
              <w:t>万</w:t>
            </w:r>
            <w:r>
              <w:rPr>
                <w:rFonts w:hint="eastAsia" w:ascii="宋体" w:hAnsi="宋体" w:cs="宋体"/>
                <w:b/>
                <w:bCs/>
                <w:color w:val="auto"/>
                <w:kern w:val="0"/>
                <w:sz w:val="21"/>
                <w:szCs w:val="21"/>
                <w:highlight w:val="none"/>
              </w:rPr>
              <w:t>元）</w:t>
            </w:r>
          </w:p>
        </w:tc>
        <w:tc>
          <w:tcPr>
            <w:tcW w:w="1701" w:type="dxa"/>
            <w:tcBorders>
              <w:top w:val="single" w:color="auto" w:sz="4" w:space="0"/>
              <w:left w:val="single" w:color="auto" w:sz="4" w:space="0"/>
              <w:right w:val="single" w:color="auto" w:sz="4" w:space="0"/>
            </w:tcBorders>
            <w:vAlign w:val="center"/>
          </w:tcPr>
          <w:p w14:paraId="09E0B0E2">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成交供应商数量（名）</w:t>
            </w:r>
          </w:p>
        </w:tc>
        <w:tc>
          <w:tcPr>
            <w:tcW w:w="2409" w:type="dxa"/>
            <w:tcBorders>
              <w:top w:val="single" w:color="auto" w:sz="4" w:space="0"/>
              <w:left w:val="single" w:color="auto" w:sz="4" w:space="0"/>
              <w:right w:val="single" w:color="auto" w:sz="4" w:space="0"/>
            </w:tcBorders>
            <w:vAlign w:val="center"/>
          </w:tcPr>
          <w:p w14:paraId="0EAFDEEB">
            <w:pPr>
              <w:pageBreakBefore w:val="0"/>
              <w:widowControl/>
              <w:kinsoku/>
              <w:wordWrap/>
              <w:overflowPunct/>
              <w:topLinePunct w:val="0"/>
              <w:bidi w:val="0"/>
              <w:spacing w:line="500" w:lineRule="exact"/>
              <w:jc w:val="center"/>
              <w:textAlignment w:val="auto"/>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采购标的对应的中小企业划分标准所属行业</w:t>
            </w:r>
          </w:p>
        </w:tc>
      </w:tr>
      <w:tr w14:paraId="64E3E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050" w:type="dxa"/>
            <w:tcBorders>
              <w:top w:val="single" w:color="auto" w:sz="4" w:space="0"/>
              <w:left w:val="single" w:color="auto" w:sz="4" w:space="0"/>
              <w:right w:val="single" w:color="auto" w:sz="4" w:space="0"/>
            </w:tcBorders>
            <w:vAlign w:val="center"/>
          </w:tcPr>
          <w:p w14:paraId="19F8020E">
            <w:pPr>
              <w:pStyle w:val="25"/>
              <w:pageBreakBefore w:val="0"/>
              <w:kinsoku/>
              <w:wordWrap/>
              <w:overflowPunct/>
              <w:topLinePunct w:val="0"/>
              <w:bidi w:val="0"/>
              <w:spacing w:line="500" w:lineRule="exact"/>
              <w:ind w:left="0"/>
              <w:jc w:val="center"/>
              <w:textAlignment w:val="auto"/>
              <w:outlineLvl w:val="0"/>
              <w:rPr>
                <w:rFonts w:hint="default" w:ascii="宋体" w:hAnsi="宋体" w:eastAsia="宋体" w:cs="宋体"/>
                <w:color w:val="auto"/>
                <w:sz w:val="21"/>
                <w:szCs w:val="21"/>
                <w:highlight w:val="none"/>
                <w:lang w:val="en-US" w:eastAsia="zh-CN"/>
              </w:rPr>
            </w:pPr>
            <w:bookmarkStart w:id="23" w:name="_Hlk344477914"/>
            <w:r>
              <w:rPr>
                <w:rFonts w:hint="eastAsia" w:ascii="宋体" w:hAnsi="宋体" w:cs="宋体"/>
                <w:color w:val="auto"/>
                <w:sz w:val="21"/>
                <w:szCs w:val="21"/>
                <w:highlight w:val="none"/>
                <w:lang w:val="en-US" w:eastAsia="zh-CN"/>
              </w:rPr>
              <w:t>重庆市无线电主题展厅</w:t>
            </w:r>
          </w:p>
        </w:tc>
        <w:tc>
          <w:tcPr>
            <w:tcW w:w="1240" w:type="dxa"/>
            <w:tcBorders>
              <w:top w:val="single" w:color="auto" w:sz="4" w:space="0"/>
              <w:left w:val="single" w:color="auto" w:sz="4" w:space="0"/>
              <w:right w:val="single" w:color="auto" w:sz="4" w:space="0"/>
            </w:tcBorders>
            <w:vAlign w:val="center"/>
          </w:tcPr>
          <w:p w14:paraId="3EA9CD63">
            <w:pPr>
              <w:pStyle w:val="25"/>
              <w:pageBreakBefore w:val="0"/>
              <w:kinsoku/>
              <w:wordWrap/>
              <w:overflowPunct/>
              <w:topLinePunct w:val="0"/>
              <w:bidi w:val="0"/>
              <w:spacing w:line="500" w:lineRule="exact"/>
              <w:ind w:left="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49.5</w:t>
            </w:r>
          </w:p>
        </w:tc>
        <w:tc>
          <w:tcPr>
            <w:tcW w:w="1347" w:type="dxa"/>
            <w:tcBorders>
              <w:top w:val="single" w:color="auto" w:sz="4" w:space="0"/>
              <w:left w:val="single" w:color="auto" w:sz="4" w:space="0"/>
              <w:right w:val="single" w:color="auto" w:sz="4" w:space="0"/>
            </w:tcBorders>
            <w:vAlign w:val="center"/>
          </w:tcPr>
          <w:p w14:paraId="08230A48">
            <w:pPr>
              <w:pStyle w:val="25"/>
              <w:pageBreakBefore w:val="0"/>
              <w:kinsoku/>
              <w:wordWrap/>
              <w:overflowPunct/>
              <w:topLinePunct w:val="0"/>
              <w:bidi w:val="0"/>
              <w:spacing w:line="500" w:lineRule="exact"/>
              <w:ind w:left="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0.8</w:t>
            </w:r>
          </w:p>
        </w:tc>
        <w:tc>
          <w:tcPr>
            <w:tcW w:w="1701" w:type="dxa"/>
            <w:tcBorders>
              <w:top w:val="single" w:color="auto" w:sz="4" w:space="0"/>
              <w:left w:val="single" w:color="auto" w:sz="4" w:space="0"/>
              <w:right w:val="single" w:color="auto" w:sz="4" w:space="0"/>
            </w:tcBorders>
            <w:vAlign w:val="center"/>
          </w:tcPr>
          <w:p w14:paraId="249D4365">
            <w:pPr>
              <w:pStyle w:val="25"/>
              <w:pageBreakBefore w:val="0"/>
              <w:kinsoku/>
              <w:wordWrap/>
              <w:overflowPunct/>
              <w:topLinePunct w:val="0"/>
              <w:bidi w:val="0"/>
              <w:spacing w:line="500" w:lineRule="exact"/>
              <w:ind w:left="0"/>
              <w:jc w:val="center"/>
              <w:textAlignment w:val="auto"/>
              <w:outlineLvl w:val="0"/>
              <w:rPr>
                <w:rFonts w:ascii="宋体" w:hAnsi="宋体" w:cs="宋体"/>
                <w:color w:val="auto"/>
                <w:sz w:val="21"/>
                <w:szCs w:val="21"/>
                <w:highlight w:val="none"/>
              </w:rPr>
            </w:pPr>
            <w:bookmarkStart w:id="24" w:name="_Toc17229"/>
            <w:r>
              <w:rPr>
                <w:rFonts w:hint="eastAsia" w:ascii="宋体" w:hAnsi="宋体" w:cs="宋体"/>
                <w:color w:val="auto"/>
                <w:sz w:val="21"/>
                <w:szCs w:val="21"/>
                <w:highlight w:val="none"/>
              </w:rPr>
              <w:t>1</w:t>
            </w:r>
            <w:bookmarkEnd w:id="24"/>
          </w:p>
        </w:tc>
        <w:tc>
          <w:tcPr>
            <w:tcW w:w="2409" w:type="dxa"/>
            <w:tcBorders>
              <w:top w:val="single" w:color="auto" w:sz="4" w:space="0"/>
              <w:left w:val="single" w:color="auto" w:sz="4" w:space="0"/>
              <w:right w:val="single" w:color="auto" w:sz="4" w:space="0"/>
            </w:tcBorders>
            <w:vAlign w:val="center"/>
          </w:tcPr>
          <w:p w14:paraId="3190D0F0">
            <w:pPr>
              <w:pStyle w:val="25"/>
              <w:pageBreakBefore w:val="0"/>
              <w:kinsoku/>
              <w:wordWrap/>
              <w:overflowPunct/>
              <w:topLinePunct w:val="0"/>
              <w:bidi w:val="0"/>
              <w:spacing w:line="500" w:lineRule="exact"/>
              <w:ind w:left="0"/>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其他</w:t>
            </w:r>
          </w:p>
        </w:tc>
      </w:tr>
      <w:bookmarkEnd w:id="23"/>
    </w:tbl>
    <w:p w14:paraId="413E6975">
      <w:pPr>
        <w:pStyle w:val="6"/>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25" w:name="_Toc9910"/>
      <w:bookmarkStart w:id="26" w:name="_Toc22715"/>
      <w:bookmarkStart w:id="27" w:name="_Toc3637"/>
      <w:bookmarkStart w:id="28" w:name="_Toc2073"/>
      <w:bookmarkStart w:id="29" w:name="_Toc8941"/>
      <w:bookmarkStart w:id="30" w:name="_Toc22176"/>
      <w:r>
        <w:rPr>
          <w:rFonts w:hint="eastAsia" w:ascii="宋体" w:hAnsi="宋体" w:cs="宋体"/>
          <w:color w:val="auto"/>
          <w:sz w:val="24"/>
          <w:szCs w:val="24"/>
          <w:highlight w:val="none"/>
        </w:rPr>
        <w:t>二、资金来源</w:t>
      </w:r>
      <w:bookmarkEnd w:id="25"/>
      <w:bookmarkEnd w:id="26"/>
      <w:bookmarkEnd w:id="27"/>
      <w:bookmarkEnd w:id="28"/>
      <w:bookmarkEnd w:id="29"/>
      <w:bookmarkEnd w:id="30"/>
    </w:p>
    <w:p w14:paraId="6FC7D48F">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财政预算资金,预算金额为</w:t>
      </w:r>
      <w:r>
        <w:rPr>
          <w:rFonts w:hint="eastAsia" w:ascii="宋体" w:hAnsi="宋体" w:cs="宋体"/>
          <w:color w:val="auto"/>
          <w:sz w:val="24"/>
          <w:szCs w:val="24"/>
          <w:highlight w:val="none"/>
          <w:lang w:val="en-US" w:eastAsia="zh-CN"/>
        </w:rPr>
        <w:t>49.5万</w:t>
      </w:r>
      <w:r>
        <w:rPr>
          <w:rFonts w:hint="eastAsia" w:ascii="宋体" w:hAnsi="宋体" w:cs="宋体"/>
          <w:color w:val="auto"/>
          <w:sz w:val="24"/>
          <w:szCs w:val="24"/>
          <w:highlight w:val="none"/>
        </w:rPr>
        <w:t>元。</w:t>
      </w:r>
    </w:p>
    <w:bookmarkEnd w:id="21"/>
    <w:bookmarkEnd w:id="22"/>
    <w:p w14:paraId="40FB400E">
      <w:pPr>
        <w:pStyle w:val="6"/>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31" w:name="_Toc15242"/>
      <w:bookmarkStart w:id="32" w:name="_Toc23721"/>
      <w:bookmarkStart w:id="33" w:name="_Toc12568"/>
      <w:bookmarkStart w:id="34" w:name="_Toc27034"/>
      <w:bookmarkStart w:id="35" w:name="_Toc75258773"/>
      <w:bookmarkStart w:id="36" w:name="_Toc5187"/>
      <w:bookmarkStart w:id="37" w:name="_Toc7572"/>
      <w:r>
        <w:rPr>
          <w:rFonts w:hint="eastAsia" w:ascii="宋体" w:hAnsi="宋体" w:cs="宋体"/>
          <w:color w:val="auto"/>
          <w:sz w:val="24"/>
          <w:szCs w:val="24"/>
          <w:highlight w:val="none"/>
        </w:rPr>
        <w:t>三、供应商资格条件</w:t>
      </w:r>
      <w:bookmarkEnd w:id="31"/>
      <w:bookmarkEnd w:id="32"/>
      <w:bookmarkEnd w:id="33"/>
      <w:bookmarkEnd w:id="34"/>
      <w:bookmarkEnd w:id="35"/>
      <w:bookmarkEnd w:id="36"/>
      <w:bookmarkEnd w:id="37"/>
    </w:p>
    <w:p w14:paraId="7A067470">
      <w:pPr>
        <w:pageBreakBefore w:val="0"/>
        <w:kinsoku/>
        <w:wordWrap/>
        <w:overflowPunct/>
        <w:topLinePunct w:val="0"/>
        <w:bidi w:val="0"/>
        <w:spacing w:line="500" w:lineRule="exact"/>
        <w:ind w:firstLine="480" w:firstLineChars="200"/>
        <w:textAlignment w:val="auto"/>
        <w:rPr>
          <w:rFonts w:ascii="宋体" w:hAnsi="宋体" w:cs="宋体"/>
          <w:b w:val="0"/>
          <w:bCs w:val="0"/>
          <w:color w:val="auto"/>
          <w:sz w:val="24"/>
          <w:szCs w:val="24"/>
          <w:highlight w:val="none"/>
        </w:rPr>
      </w:pPr>
      <w:bookmarkStart w:id="38" w:name="_Toc75258774"/>
      <w:r>
        <w:rPr>
          <w:rFonts w:hint="eastAsia" w:ascii="宋体" w:hAnsi="宋体" w:cs="宋体"/>
          <w:b w:val="0"/>
          <w:bCs w:val="0"/>
          <w:color w:val="auto"/>
          <w:sz w:val="24"/>
          <w:szCs w:val="24"/>
          <w:highlight w:val="none"/>
        </w:rPr>
        <w:t>（一）满足《中华人民共和国政府采购法》第二十二条规定；</w:t>
      </w:r>
    </w:p>
    <w:p w14:paraId="513A91BA">
      <w:pPr>
        <w:pageBreakBefore w:val="0"/>
        <w:kinsoku/>
        <w:wordWrap/>
        <w:overflowPunct/>
        <w:topLinePunct w:val="0"/>
        <w:bidi w:val="0"/>
        <w:spacing w:line="500" w:lineRule="exact"/>
        <w:ind w:firstLine="480" w:firstLineChars="200"/>
        <w:textAlignment w:val="auto"/>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（二）落实政府采购政策需满足的资格要求：无。</w:t>
      </w:r>
    </w:p>
    <w:p w14:paraId="73B0691A">
      <w:pPr>
        <w:spacing w:line="50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cs="宋体"/>
          <w:b w:val="0"/>
          <w:bCs w:val="0"/>
          <w:color w:val="auto"/>
          <w:sz w:val="24"/>
          <w:szCs w:val="24"/>
          <w:highlight w:val="none"/>
        </w:rPr>
        <w:t>（三）本项目的特定资格要求：</w:t>
      </w:r>
      <w:r>
        <w:rPr>
          <w:rFonts w:hint="eastAsia" w:ascii="宋体" w:hAnsi="宋体" w:cs="宋体"/>
          <w:b w:val="0"/>
          <w:bCs w:val="0"/>
          <w:color w:val="auto"/>
          <w:sz w:val="24"/>
          <w:szCs w:val="24"/>
          <w:highlight w:val="none"/>
          <w:lang w:val="en-US" w:eastAsia="zh-CN"/>
        </w:rPr>
        <w:t>无。</w:t>
      </w:r>
    </w:p>
    <w:p w14:paraId="4F2AF54B">
      <w:pPr>
        <w:pStyle w:val="6"/>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39" w:name="_Toc17395"/>
      <w:bookmarkStart w:id="40" w:name="_Toc23007"/>
      <w:bookmarkStart w:id="41" w:name="_Toc2358"/>
      <w:bookmarkStart w:id="42" w:name="_Toc12907"/>
      <w:bookmarkStart w:id="43" w:name="_Toc26550"/>
      <w:bookmarkStart w:id="44" w:name="_Toc16937"/>
      <w:r>
        <w:rPr>
          <w:rFonts w:hint="eastAsia" w:ascii="宋体" w:hAnsi="宋体" w:cs="宋体"/>
          <w:color w:val="auto"/>
          <w:sz w:val="24"/>
          <w:szCs w:val="24"/>
          <w:highlight w:val="none"/>
        </w:rPr>
        <w:t>四、磋商有关说明</w:t>
      </w:r>
      <w:bookmarkEnd w:id="38"/>
      <w:bookmarkEnd w:id="39"/>
      <w:bookmarkEnd w:id="40"/>
      <w:bookmarkEnd w:id="41"/>
      <w:bookmarkEnd w:id="42"/>
      <w:bookmarkEnd w:id="43"/>
      <w:bookmarkEnd w:id="44"/>
    </w:p>
    <w:p w14:paraId="57FCC1E6">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凡有意参加磋商的供应商，请到重庆市经济和信息化委员会网上（https://jjxxw.cq.gov.cn/）下载本项目磋商文件以及图纸、澄清等开标前公布的所有项目资料，无论供应商领取或下载与否，均视为已知晓所有招标内容。</w:t>
      </w:r>
    </w:p>
    <w:p w14:paraId="7113BF32">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（二）竞争性磋商文件</w:t>
      </w:r>
      <w:r>
        <w:rPr>
          <w:rFonts w:hint="eastAsia" w:ascii="宋体" w:hAnsi="宋体" w:cs="宋体"/>
          <w:color w:val="auto"/>
          <w:sz w:val="24"/>
          <w:szCs w:val="24"/>
          <w:highlight w:val="none"/>
          <w:lang w:val="en-US" w:eastAsia="zh-CN"/>
        </w:rPr>
        <w:t>公告</w:t>
      </w:r>
      <w:r>
        <w:rPr>
          <w:rFonts w:hint="eastAsia" w:ascii="宋体" w:hAnsi="宋体" w:cs="宋体"/>
          <w:color w:val="auto"/>
          <w:sz w:val="24"/>
          <w:szCs w:val="24"/>
          <w:highlight w:val="none"/>
        </w:rPr>
        <w:t>期限：自采购公告发布之日起三个工作日。</w:t>
      </w:r>
    </w:p>
    <w:p w14:paraId="0FF44591">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（三）竞争性磋商文件发售</w:t>
      </w:r>
    </w:p>
    <w:p w14:paraId="74ABEFAC">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1.竞争性磋商文件发售期：2024年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日至2024年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w:t>
      </w:r>
    </w:p>
    <w:p w14:paraId="6EF6F9CD">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2.报名方式：供应商在2024年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cs="宋体"/>
          <w:color w:val="auto"/>
          <w:sz w:val="24"/>
          <w:szCs w:val="24"/>
          <w:highlight w:val="none"/>
        </w:rPr>
        <w:t>日17:00时前将《</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文件发售登记表》（加盖供应商公章）扫描后发送至电子邮箱</w:t>
      </w:r>
      <w:r>
        <w:rPr>
          <w:rFonts w:hint="eastAsia" w:ascii="宋体" w:hAnsi="宋体" w:eastAsia="宋体" w:cs="宋体"/>
          <w:b w:val="0"/>
          <w:bCs w:val="0"/>
          <w:color w:val="auto"/>
          <w:sz w:val="24"/>
          <w:szCs w:val="24"/>
          <w:highlight w:val="none"/>
          <w:vertAlign w:val="baseline"/>
          <w:lang w:val="en-US" w:eastAsia="zh-CN"/>
        </w:rPr>
        <w:t>1585192715@qq.com</w:t>
      </w:r>
      <w:r>
        <w:rPr>
          <w:rFonts w:hint="eastAsia" w:ascii="宋体" w:hAnsi="宋体" w:cs="宋体"/>
          <w:color w:val="auto"/>
          <w:sz w:val="24"/>
          <w:szCs w:val="24"/>
          <w:highlight w:val="none"/>
        </w:rPr>
        <w:t>，视为具备报名资格，否则视为无效。</w:t>
      </w:r>
    </w:p>
    <w:p w14:paraId="66DB56B9">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3.竞争性磋商文件售价：人民币300元/包（售后不退）。</w:t>
      </w:r>
    </w:p>
    <w:p w14:paraId="6C99717B">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4.磋商文件费缴纳方式：报名时缴纳。</w:t>
      </w:r>
    </w:p>
    <w:p w14:paraId="5FC2D267">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（四）供应商须满足以下三种要件，其响应文件才被接受：</w:t>
      </w:r>
    </w:p>
    <w:p w14:paraId="295EEA7B">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1.完成报名并按时缴纳了报名费；</w:t>
      </w:r>
    </w:p>
    <w:p w14:paraId="15E77267">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2.按时递交了响应文件；</w:t>
      </w:r>
    </w:p>
    <w:p w14:paraId="19DD015E">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3.按时签到。</w:t>
      </w:r>
    </w:p>
    <w:p w14:paraId="6BF4E08A">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bookmarkStart w:id="45" w:name="_Toc373860294"/>
      <w:bookmarkStart w:id="46" w:name="_Toc75258775"/>
      <w:bookmarkStart w:id="47" w:name="_Toc15855"/>
      <w:r>
        <w:rPr>
          <w:rFonts w:hint="eastAsia" w:ascii="宋体" w:hAnsi="宋体" w:cs="宋体"/>
          <w:color w:val="auto"/>
          <w:sz w:val="24"/>
          <w:szCs w:val="24"/>
          <w:highlight w:val="none"/>
        </w:rPr>
        <w:t>（五）递交响应文件地点：攀钢集团工科工程咨询有限公司会议室（重庆市渝北区青枫北路12号双子座B座13楼）</w:t>
      </w:r>
    </w:p>
    <w:p w14:paraId="32664556">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（六）响应文件递交截止时间：2024年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日北京时间14:30</w:t>
      </w:r>
    </w:p>
    <w:p w14:paraId="0C93F12E">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（七）磋商开始时间：2024年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25</w:t>
      </w:r>
      <w:r>
        <w:rPr>
          <w:rFonts w:hint="eastAsia" w:ascii="宋体" w:hAnsi="宋体" w:cs="宋体"/>
          <w:color w:val="auto"/>
          <w:sz w:val="24"/>
          <w:szCs w:val="24"/>
          <w:highlight w:val="none"/>
        </w:rPr>
        <w:t>日北京时间14:30</w:t>
      </w:r>
    </w:p>
    <w:p w14:paraId="11576643">
      <w:pPr>
        <w:pStyle w:val="6"/>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48" w:name="_Toc1342"/>
      <w:bookmarkStart w:id="49" w:name="_Toc22597"/>
      <w:bookmarkStart w:id="50" w:name="_Toc26111"/>
      <w:bookmarkStart w:id="51" w:name="_Toc18985"/>
      <w:bookmarkStart w:id="52" w:name="_Toc32679"/>
      <w:r>
        <w:rPr>
          <w:rFonts w:hint="eastAsia" w:ascii="宋体" w:hAnsi="宋体" w:cs="宋体"/>
          <w:color w:val="auto"/>
          <w:sz w:val="24"/>
          <w:szCs w:val="24"/>
          <w:highlight w:val="none"/>
        </w:rPr>
        <w:t>五、磋商保证金</w:t>
      </w:r>
      <w:bookmarkEnd w:id="45"/>
      <w:bookmarkEnd w:id="46"/>
      <w:bookmarkEnd w:id="47"/>
      <w:bookmarkEnd w:id="48"/>
      <w:bookmarkEnd w:id="49"/>
      <w:bookmarkEnd w:id="50"/>
      <w:bookmarkEnd w:id="51"/>
      <w:bookmarkEnd w:id="52"/>
    </w:p>
    <w:p w14:paraId="42ADCE6E">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bookmarkStart w:id="53" w:name="_Toc530038692"/>
      <w:r>
        <w:rPr>
          <w:rFonts w:hint="eastAsia" w:ascii="宋体" w:hAnsi="宋体" w:cs="宋体"/>
          <w:color w:val="auto"/>
          <w:sz w:val="24"/>
          <w:szCs w:val="24"/>
          <w:highlight w:val="none"/>
        </w:rPr>
        <w:t>（一）磋商保证金递交</w:t>
      </w:r>
    </w:p>
    <w:p w14:paraId="23931883">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供应商须按本项目规定的磋商保证金金额进行缴纳（保证金金额详见本篇，一、竞争性磋商内容），由供应商从其单位账户将磋商保证金汇至以下账户，磋商保证金的到账截止时间为</w:t>
      </w:r>
      <w:r>
        <w:rPr>
          <w:rFonts w:hint="eastAsia" w:ascii="宋体" w:hAnsi="宋体" w:cs="宋体"/>
          <w:color w:val="auto"/>
          <w:sz w:val="24"/>
          <w:szCs w:val="24"/>
          <w:highlight w:val="none"/>
          <w:lang w:val="en-US" w:eastAsia="zh-CN"/>
        </w:rPr>
        <w:t>开标当天</w:t>
      </w:r>
      <w:r>
        <w:rPr>
          <w:rFonts w:hint="eastAsia" w:ascii="宋体" w:hAnsi="宋体" w:cs="宋体"/>
          <w:color w:val="auto"/>
          <w:sz w:val="24"/>
          <w:szCs w:val="24"/>
          <w:highlight w:val="none"/>
        </w:rPr>
        <w:t>12:00。缴纳保证金时付款凭证备注栏必须备注项目名称（可简写）。</w:t>
      </w:r>
    </w:p>
    <w:p w14:paraId="1C7F2445">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磋商保证金账户：</w:t>
      </w:r>
    </w:p>
    <w:p w14:paraId="73225CB3">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户  名：攀钢集团工科工程咨询有限公司重庆分公司</w:t>
      </w:r>
    </w:p>
    <w:p w14:paraId="59C52CCF">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开户行：中国农业银行重庆巴南马王坪支行 </w:t>
      </w:r>
    </w:p>
    <w:p w14:paraId="17EFA4E0">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账  号：31101201040002679</w:t>
      </w:r>
    </w:p>
    <w:p w14:paraId="4FC6C739">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202C5336">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1.非成交供应商的保证金，在成交通知书发放后，由采购代理机构在五个工作日内按来款渠道直接退还。</w:t>
      </w:r>
    </w:p>
    <w:p w14:paraId="7AC90BAB">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2.成交供应商的投标保证金，在成交供应商与采购人签订合同后，由采购代理机构扣除中标服务费后在五个工作日内按资金来款渠道直接退还。</w:t>
      </w:r>
    </w:p>
    <w:p w14:paraId="250D57E5">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386C8D4B">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1.未成交供应商的保证金，在成交通知书发放后，由采购代理机构在五个工作日内按来款渠道直接退还。</w:t>
      </w:r>
    </w:p>
    <w:p w14:paraId="22437C9A">
      <w:pPr>
        <w:pageBreakBefore w:val="0"/>
        <w:kinsoku/>
        <w:wordWrap/>
        <w:overflowPunct/>
        <w:topLinePunct w:val="0"/>
        <w:bidi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2.成交供应商的磋商保证金，在成交供应商与采购人签订合同并将合同复印件递交采购代理机构后，由采购代理机构在五个工作日内按资金来款渠道直接退还。</w:t>
      </w:r>
    </w:p>
    <w:p w14:paraId="7B43ED25">
      <w:pPr>
        <w:pStyle w:val="6"/>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54" w:name="_Toc19386"/>
      <w:bookmarkStart w:id="55" w:name="_Toc7727"/>
      <w:bookmarkStart w:id="56" w:name="_Toc9371"/>
      <w:bookmarkStart w:id="57" w:name="_Toc17564"/>
      <w:bookmarkStart w:id="58" w:name="_Toc21987"/>
      <w:bookmarkStart w:id="59" w:name="_Toc75258776"/>
      <w:bookmarkStart w:id="60" w:name="_Toc24119"/>
      <w:r>
        <w:rPr>
          <w:rFonts w:hint="eastAsia" w:ascii="宋体" w:hAnsi="宋体" w:cs="宋体"/>
          <w:color w:val="auto"/>
          <w:sz w:val="24"/>
          <w:szCs w:val="24"/>
          <w:highlight w:val="none"/>
        </w:rPr>
        <w:t>六、采购项目需落实的政府采购政策</w:t>
      </w:r>
      <w:bookmarkEnd w:id="53"/>
      <w:bookmarkEnd w:id="54"/>
      <w:bookmarkEnd w:id="55"/>
      <w:bookmarkEnd w:id="56"/>
      <w:bookmarkEnd w:id="57"/>
      <w:bookmarkEnd w:id="58"/>
      <w:bookmarkEnd w:id="59"/>
      <w:bookmarkEnd w:id="60"/>
    </w:p>
    <w:p w14:paraId="20375D42">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bookmarkStart w:id="61" w:name="_Toc75258777"/>
      <w:bookmarkStart w:id="62" w:name="_Toc25434"/>
      <w:r>
        <w:rPr>
          <w:rFonts w:hint="eastAsia" w:ascii="宋体" w:hAnsi="宋体" w:cs="宋体"/>
          <w:color w:val="auto"/>
          <w:sz w:val="24"/>
          <w:szCs w:val="24"/>
          <w:highlight w:val="none"/>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784AF2D5">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（二）按照财政部、工业和信息化部关于印发《政府采购促进中小企业发展管理办法》的通知（财库〔2020〕46号）的规定，落实促进中小企业发展政策。</w:t>
      </w:r>
    </w:p>
    <w:p w14:paraId="656BD1A8">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（三）按照《财政部、司法部关于政府采购支持监狱企业发展有关问题的通知》（财库〔2014〕68号）的规定，落实支持监狱企业发展政策。</w:t>
      </w:r>
    </w:p>
    <w:p w14:paraId="7B36C269">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（四）按照《三部门联合发布关于促进残疾人就业政府采购政策的通知》（财库〔2017〕 141号）的规定，落实支持残疾人福利性单位发展政策。</w:t>
      </w:r>
    </w:p>
    <w:bookmarkEnd w:id="61"/>
    <w:bookmarkEnd w:id="62"/>
    <w:p w14:paraId="6F683387">
      <w:pPr>
        <w:pStyle w:val="6"/>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63" w:name="_Toc20130536"/>
      <w:bookmarkStart w:id="64" w:name="_Toc3773"/>
      <w:bookmarkStart w:id="65" w:name="_Toc4565"/>
      <w:bookmarkStart w:id="66" w:name="_Toc8659"/>
      <w:bookmarkStart w:id="67" w:name="_Toc27112"/>
      <w:bookmarkStart w:id="68" w:name="_Toc2987"/>
      <w:r>
        <w:rPr>
          <w:rFonts w:hint="eastAsia" w:ascii="宋体" w:hAnsi="宋体" w:cs="宋体"/>
          <w:color w:val="auto"/>
          <w:sz w:val="24"/>
          <w:szCs w:val="24"/>
          <w:highlight w:val="none"/>
        </w:rPr>
        <w:t>七、其它有关规定</w:t>
      </w:r>
      <w:bookmarkEnd w:id="63"/>
      <w:bookmarkEnd w:id="64"/>
      <w:bookmarkEnd w:id="65"/>
      <w:bookmarkEnd w:id="66"/>
      <w:bookmarkEnd w:id="67"/>
      <w:bookmarkEnd w:id="68"/>
    </w:p>
    <w:p w14:paraId="4586EF73">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（一）单位负责人为同一人或者存在直接控股、管理关系的不同供应商，不得参加同一合同项（包）下的政府采购活动，否则均为无效响应。</w:t>
      </w:r>
    </w:p>
    <w:p w14:paraId="6DE9D5CE">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（二）为采购项目提供整体设计、规范编制或者项目管理、监理、检测等服务的供应商，不得再参加该采购项目的其他采购活动。</w:t>
      </w:r>
    </w:p>
    <w:p w14:paraId="76001E3C">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本项目的澄清文件（如果有）一律在“重庆市经济和信息化委员会网”（https://jjxxw.cq.gov.cn/）上发布，请各供应商注意下载或到采购代理机构处领取；无论供应商下载或领取与否，均视同供应商已知晓本项目澄清文件（如果有）的内容。</w:t>
      </w:r>
    </w:p>
    <w:p w14:paraId="45B1A96B">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（四）超过响应文件截止时间递交的响应文件，恕不接收。</w:t>
      </w:r>
    </w:p>
    <w:p w14:paraId="3DC55588">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（五）磋商费用：无论磋商结果如何，供应商参与本项目磋商的所有费用均应由供应商自行承担。</w:t>
      </w:r>
    </w:p>
    <w:p w14:paraId="16ECA616">
      <w:pPr>
        <w:pageBreakBefore w:val="0"/>
        <w:kinsoku/>
        <w:wordWrap/>
        <w:overflowPunct/>
        <w:topLinePunct w:val="0"/>
        <w:bidi w:val="0"/>
        <w:snapToGrid w:val="0"/>
        <w:spacing w:line="50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（六）本项目不接受联合体参与磋商，否则按无效处理。</w:t>
      </w:r>
    </w:p>
    <w:p w14:paraId="754A9C6B">
      <w:pPr>
        <w:pageBreakBefore w:val="0"/>
        <w:kinsoku/>
        <w:wordWrap/>
        <w:overflowPunct/>
        <w:topLinePunct w:val="0"/>
        <w:bidi w:val="0"/>
        <w:snapToGrid w:val="0"/>
        <w:spacing w:line="500" w:lineRule="exact"/>
        <w:ind w:firstLine="482" w:firstLineChars="200"/>
        <w:textAlignment w:val="auto"/>
        <w:rPr>
          <w:rFonts w:ascii="宋体" w:hAnsi="宋体" w:cs="宋体"/>
          <w:b/>
          <w:bCs/>
          <w:color w:val="auto"/>
          <w:sz w:val="24"/>
          <w:szCs w:val="24"/>
          <w:highlight w:val="none"/>
        </w:rPr>
      </w:pPr>
      <w:r>
        <w:rPr>
          <w:rFonts w:hint="eastAsia" w:ascii="宋体" w:hAnsi="宋体" w:cs="宋体"/>
          <w:b/>
          <w:bCs/>
          <w:color w:val="auto"/>
          <w:sz w:val="24"/>
          <w:szCs w:val="24"/>
          <w:highlight w:val="none"/>
        </w:rPr>
        <w:t>（七）本项目不接受合同分包，否则按无效处理。</w:t>
      </w:r>
    </w:p>
    <w:p w14:paraId="03D02324">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AC0CDD7">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p>
    <w:p w14:paraId="6D515197">
      <w:pPr>
        <w:pStyle w:val="6"/>
        <w:pageBreakBefore w:val="0"/>
        <w:kinsoku/>
        <w:wordWrap/>
        <w:overflowPunct/>
        <w:topLinePunct w:val="0"/>
        <w:bidi w:val="0"/>
        <w:spacing w:before="0" w:after="0" w:line="500" w:lineRule="exact"/>
        <w:ind w:firstLine="482" w:firstLineChars="200"/>
        <w:textAlignment w:val="auto"/>
        <w:rPr>
          <w:rFonts w:ascii="宋体" w:hAnsi="宋体" w:cs="宋体"/>
          <w:color w:val="auto"/>
          <w:sz w:val="24"/>
          <w:szCs w:val="24"/>
          <w:highlight w:val="none"/>
        </w:rPr>
      </w:pPr>
      <w:bookmarkStart w:id="69" w:name="_Toc31612"/>
      <w:bookmarkStart w:id="70" w:name="_Toc9505"/>
      <w:bookmarkStart w:id="71" w:name="_Toc5924"/>
      <w:bookmarkStart w:id="72" w:name="_Toc6040"/>
      <w:bookmarkStart w:id="73" w:name="_Toc9088"/>
      <w:bookmarkStart w:id="74" w:name="_Toc2568"/>
      <w:r>
        <w:rPr>
          <w:rFonts w:hint="eastAsia" w:ascii="宋体" w:hAnsi="宋体" w:cs="宋体"/>
          <w:color w:val="auto"/>
          <w:sz w:val="24"/>
          <w:szCs w:val="24"/>
          <w:highlight w:val="none"/>
        </w:rPr>
        <w:t>八、联系方式</w:t>
      </w:r>
      <w:bookmarkEnd w:id="69"/>
      <w:bookmarkEnd w:id="70"/>
      <w:bookmarkEnd w:id="71"/>
      <w:bookmarkEnd w:id="72"/>
      <w:bookmarkEnd w:id="73"/>
      <w:bookmarkEnd w:id="74"/>
    </w:p>
    <w:p w14:paraId="42AD2A17">
      <w:pPr>
        <w:pageBreakBefore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（一）采购人：重庆市无线电监测站</w:t>
      </w:r>
    </w:p>
    <w:p w14:paraId="6A016939">
      <w:pPr>
        <w:pageBreakBefore w:val="0"/>
        <w:kinsoku/>
        <w:wordWrap/>
        <w:overflowPunct/>
        <w:topLinePunct w:val="0"/>
        <w:bidi w:val="0"/>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联系人：罗老师</w:t>
      </w:r>
    </w:p>
    <w:p w14:paraId="316EF527">
      <w:pPr>
        <w:pageBreakBefore w:val="0"/>
        <w:kinsoku/>
        <w:wordWrap/>
        <w:overflowPunct/>
        <w:topLinePunct w:val="0"/>
        <w:bidi w:val="0"/>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话：023-67710873</w:t>
      </w:r>
    </w:p>
    <w:p w14:paraId="5E238371">
      <w:pPr>
        <w:pageBreakBefore w:val="0"/>
        <w:kinsoku/>
        <w:wordWrap/>
        <w:overflowPunct/>
        <w:topLinePunct w:val="0"/>
        <w:bidi w:val="0"/>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  址：重庆市江北区兴隆路26号数码大厦16楼</w:t>
      </w:r>
    </w:p>
    <w:p w14:paraId="531A7FBE">
      <w:pPr>
        <w:pStyle w:val="70"/>
        <w:pageBreakBefore w:val="0"/>
        <w:kinsoku/>
        <w:wordWrap/>
        <w:overflowPunct/>
        <w:topLinePunct w:val="0"/>
        <w:bidi w:val="0"/>
        <w:spacing w:line="500" w:lineRule="exact"/>
        <w:textAlignment w:val="auto"/>
        <w:rPr>
          <w:rFonts w:hAnsi="宋体" w:cs="宋体"/>
          <w:color w:val="auto"/>
          <w:sz w:val="24"/>
          <w:szCs w:val="24"/>
          <w:highlight w:val="none"/>
        </w:rPr>
      </w:pPr>
    </w:p>
    <w:p w14:paraId="62558BE6">
      <w:pPr>
        <w:pageBreakBefore w:val="0"/>
        <w:kinsoku/>
        <w:wordWrap/>
        <w:overflowPunct/>
        <w:topLinePunct w:val="0"/>
        <w:bidi w:val="0"/>
        <w:snapToGrid w:val="0"/>
        <w:spacing w:line="500" w:lineRule="exact"/>
        <w:ind w:firstLine="480" w:firstLineChars="200"/>
        <w:textAlignment w:val="auto"/>
        <w:outlineLvl w:val="2"/>
        <w:rPr>
          <w:rFonts w:ascii="宋体" w:hAnsi="宋体" w:cs="宋体"/>
          <w:color w:val="auto"/>
          <w:sz w:val="24"/>
          <w:szCs w:val="24"/>
          <w:highlight w:val="none"/>
        </w:rPr>
      </w:pPr>
      <w:bookmarkStart w:id="75" w:name="_Toc216163282"/>
      <w:bookmarkStart w:id="76" w:name="_Toc180051219"/>
      <w:bookmarkStart w:id="77" w:name="_Toc178828108"/>
      <w:r>
        <w:rPr>
          <w:rFonts w:hint="eastAsia" w:ascii="宋体" w:hAnsi="宋体" w:cs="宋体"/>
          <w:color w:val="auto"/>
          <w:sz w:val="24"/>
          <w:szCs w:val="24"/>
          <w:highlight w:val="none"/>
        </w:rPr>
        <w:t>（二）采购代理机构：攀钢集团工科工程咨询有限公司</w:t>
      </w:r>
    </w:p>
    <w:p w14:paraId="485B5BBE">
      <w:pPr>
        <w:pageBreakBefore w:val="0"/>
        <w:kinsoku/>
        <w:wordWrap/>
        <w:overflowPunct/>
        <w:topLinePunct w:val="0"/>
        <w:bidi w:val="0"/>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联系人：</w:t>
      </w:r>
      <w:r>
        <w:rPr>
          <w:rFonts w:hint="eastAsia" w:ascii="宋体" w:hAnsi="宋体" w:cs="宋体"/>
          <w:color w:val="auto"/>
          <w:sz w:val="24"/>
          <w:szCs w:val="24"/>
          <w:highlight w:val="none"/>
          <w:lang w:val="en-US" w:eastAsia="zh-CN"/>
        </w:rPr>
        <w:t>曾</w:t>
      </w:r>
      <w:r>
        <w:rPr>
          <w:rFonts w:hint="eastAsia" w:ascii="宋体" w:hAnsi="宋体" w:cs="宋体"/>
          <w:color w:val="auto"/>
          <w:sz w:val="24"/>
          <w:szCs w:val="24"/>
          <w:highlight w:val="none"/>
        </w:rPr>
        <w:t xml:space="preserve">老师 </w:t>
      </w:r>
    </w:p>
    <w:p w14:paraId="047A9C4C">
      <w:pPr>
        <w:pageBreakBefore w:val="0"/>
        <w:kinsoku/>
        <w:wordWrap/>
        <w:overflowPunct/>
        <w:topLinePunct w:val="0"/>
        <w:bidi w:val="0"/>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eastAsia="宋体" w:cs="宋体"/>
          <w:b w:val="0"/>
          <w:bCs w:val="0"/>
          <w:color w:val="auto"/>
          <w:sz w:val="24"/>
          <w:szCs w:val="24"/>
          <w:highlight w:val="none"/>
          <w:vertAlign w:val="baseline"/>
          <w:lang w:val="en-US" w:eastAsia="zh-CN"/>
        </w:rPr>
        <w:t>18323356014</w:t>
      </w:r>
    </w:p>
    <w:p w14:paraId="56781C20">
      <w:pPr>
        <w:pageBreakBefore w:val="0"/>
        <w:kinsoku/>
        <w:wordWrap/>
        <w:overflowPunct/>
        <w:topLinePunct w:val="0"/>
        <w:bidi w:val="0"/>
        <w:snapToGrid w:val="0"/>
        <w:spacing w:line="500" w:lineRule="exact"/>
        <w:ind w:firstLine="1200" w:firstLineChars="5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地  址：重庆市渝北区青枫北路12号双子座B座13楼</w:t>
      </w:r>
    </w:p>
    <w:p w14:paraId="2C248D4B">
      <w:pPr>
        <w:snapToGrid w:val="0"/>
        <w:spacing w:line="360" w:lineRule="auto"/>
        <w:ind w:firstLine="480" w:firstLineChars="200"/>
        <w:rPr>
          <w:rFonts w:ascii="宋体" w:hAnsi="宋体" w:cs="宋体"/>
          <w:color w:val="auto"/>
          <w:sz w:val="24"/>
          <w:szCs w:val="24"/>
          <w:highlight w:val="none"/>
        </w:rPr>
      </w:pPr>
    </w:p>
    <w:p w14:paraId="1D9099DC">
      <w:pPr>
        <w:pStyle w:val="2"/>
        <w:rPr>
          <w:rFonts w:ascii="宋体" w:hAnsi="宋体" w:eastAsia="宋体" w:cs="宋体"/>
          <w:color w:val="auto"/>
          <w:highlight w:val="none"/>
        </w:rPr>
        <w:sectPr>
          <w:headerReference r:id="rId5" w:type="default"/>
          <w:footerReference r:id="rId6" w:type="default"/>
          <w:pgSz w:w="11905" w:h="16838"/>
          <w:pgMar w:top="1417" w:right="1417" w:bottom="1417" w:left="1417" w:header="1003" w:footer="986" w:gutter="0"/>
          <w:cols w:space="0" w:num="1"/>
          <w:rtlGutter w:val="0"/>
          <w:docGrid w:linePitch="389" w:charSpace="0"/>
        </w:sectPr>
      </w:pPr>
    </w:p>
    <w:bookmarkEnd w:id="75"/>
    <w:bookmarkEnd w:id="76"/>
    <w:bookmarkEnd w:id="77"/>
    <w:p w14:paraId="4A74C5C5">
      <w:pPr>
        <w:pStyle w:val="4"/>
        <w:bidi w:val="0"/>
        <w:jc w:val="center"/>
        <w:rPr>
          <w:rFonts w:ascii="宋体" w:hAnsi="宋体" w:cs="宋体"/>
          <w:b/>
          <w:bCs/>
          <w:color w:val="auto"/>
          <w:sz w:val="32"/>
          <w:szCs w:val="32"/>
          <w:highlight w:val="none"/>
        </w:rPr>
      </w:pPr>
      <w:bookmarkStart w:id="78" w:name="_Toc29117"/>
      <w:bookmarkStart w:id="79" w:name="_Toc6193"/>
      <w:bookmarkStart w:id="80" w:name="_Toc13245"/>
      <w:bookmarkStart w:id="81" w:name="_Toc12789058"/>
      <w:r>
        <w:rPr>
          <w:rFonts w:hint="eastAsia"/>
          <w:b/>
          <w:bCs/>
          <w:color w:val="auto"/>
          <w:sz w:val="32"/>
          <w:szCs w:val="32"/>
          <w:highlight w:val="none"/>
        </w:rPr>
        <w:t>第二篇  项目技术需求</w:t>
      </w:r>
      <w:bookmarkEnd w:id="78"/>
      <w:bookmarkEnd w:id="79"/>
      <w:bookmarkEnd w:id="80"/>
    </w:p>
    <w:p w14:paraId="51DD05C0">
      <w:pPr>
        <w:keepNext w:val="0"/>
        <w:keepLines w:val="0"/>
        <w:pageBreakBefore w:val="0"/>
        <w:widowControl w:val="0"/>
        <w:kinsoku/>
        <w:wordWrap/>
        <w:overflowPunct/>
        <w:topLinePunct w:val="0"/>
        <w:bidi w:val="0"/>
        <w:snapToGrid w:val="0"/>
        <w:spacing w:line="500" w:lineRule="exact"/>
        <w:textAlignment w:val="auto"/>
        <w:rPr>
          <w:rFonts w:hint="eastAsia" w:asciiTheme="minorEastAsia" w:hAnsiTheme="minorEastAsia" w:eastAsiaTheme="minorEastAsia" w:cstheme="minorEastAsia"/>
          <w:b/>
          <w:color w:val="auto"/>
          <w:sz w:val="21"/>
          <w:szCs w:val="21"/>
          <w:highlight w:val="none"/>
        </w:rPr>
      </w:pPr>
      <w:bookmarkStart w:id="82" w:name="_Toc441065663"/>
      <w:bookmarkStart w:id="83" w:name="_Toc78194437"/>
      <w:bookmarkStart w:id="84" w:name="_Toc6232092"/>
      <w:bookmarkStart w:id="85" w:name="_Toc516989213"/>
      <w:bookmarkStart w:id="86" w:name="_Toc5006885"/>
      <w:r>
        <w:rPr>
          <w:rFonts w:hint="eastAsia" w:asciiTheme="minorEastAsia" w:hAnsiTheme="minorEastAsia" w:eastAsiaTheme="minorEastAsia" w:cstheme="minorEastAsia"/>
          <w:b/>
          <w:color w:val="auto"/>
          <w:sz w:val="21"/>
          <w:szCs w:val="21"/>
          <w:highlight w:val="none"/>
        </w:rPr>
        <w:t>“※”标注的要求为符合性审查中的实质性要求，响应文件若不满足按无效响应处理。</w:t>
      </w:r>
    </w:p>
    <w:p w14:paraId="02F746D5">
      <w:pPr>
        <w:keepNext w:val="0"/>
        <w:keepLines w:val="0"/>
        <w:pageBreakBefore w:val="0"/>
        <w:widowControl w:val="0"/>
        <w:kinsoku/>
        <w:wordWrap/>
        <w:overflowPunct/>
        <w:topLinePunct w:val="0"/>
        <w:autoSpaceDE w:val="0"/>
        <w:autoSpaceDN w:val="0"/>
        <w:bidi w:val="0"/>
        <w:adjustRightInd w:val="0"/>
        <w:spacing w:line="500" w:lineRule="exact"/>
        <w:ind w:firstLine="482" w:firstLineChars="200"/>
        <w:jc w:val="left"/>
        <w:textAlignment w:val="auto"/>
        <w:rPr>
          <w:rFonts w:hint="default" w:asciiTheme="minorEastAsia" w:hAnsiTheme="minorEastAsia" w:eastAsiaTheme="minorEastAsia" w:cstheme="minorEastAsia"/>
          <w:b/>
          <w:color w:val="auto"/>
          <w:kern w:val="0"/>
          <w:sz w:val="24"/>
          <w:szCs w:val="24"/>
          <w:highlight w:val="none"/>
          <w:lang w:val="en-US" w:eastAsia="zh-CN"/>
        </w:rPr>
      </w:pPr>
      <w:r>
        <w:rPr>
          <w:rFonts w:hint="eastAsia" w:asciiTheme="minorEastAsia" w:hAnsiTheme="minorEastAsia" w:eastAsiaTheme="minorEastAsia" w:cstheme="minorEastAsia"/>
          <w:b/>
          <w:bCs/>
          <w:color w:val="auto"/>
          <w:kern w:val="0"/>
          <w:sz w:val="24"/>
          <w:szCs w:val="24"/>
          <w:highlight w:val="none"/>
        </w:rPr>
        <w:t>一、</w:t>
      </w:r>
      <w:r>
        <w:rPr>
          <w:rFonts w:hint="eastAsia" w:asciiTheme="minorEastAsia" w:hAnsiTheme="minorEastAsia" w:eastAsiaTheme="minorEastAsia" w:cstheme="minorEastAsia"/>
          <w:b/>
          <w:bCs/>
          <w:color w:val="auto"/>
          <w:kern w:val="0"/>
          <w:sz w:val="24"/>
          <w:szCs w:val="24"/>
          <w:highlight w:val="none"/>
          <w:lang w:val="en-US" w:eastAsia="zh-CN"/>
        </w:rPr>
        <w:t>项目基本概况介绍</w:t>
      </w:r>
    </w:p>
    <w:bookmarkEnd w:id="82"/>
    <w:bookmarkEnd w:id="83"/>
    <w:bookmarkEnd w:id="84"/>
    <w:bookmarkEnd w:id="85"/>
    <w:bookmarkEnd w:id="86"/>
    <w:p w14:paraId="5CCAB1D3">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为进一步强化无线电文化阵地建设，学习宣传无线电监测基础知识，强化对无线电监测技术的认识和理解，充分展示无线电监测工作成效，重庆市无线电监测站对“重庆市无线电主题展厅”展览服务项目进行采购。</w:t>
      </w:r>
    </w:p>
    <w:p w14:paraId="0E074C86">
      <w:pPr>
        <w:keepNext w:val="0"/>
        <w:keepLines w:val="0"/>
        <w:pageBreakBefore w:val="0"/>
        <w:widowControl w:val="0"/>
        <w:kinsoku/>
        <w:wordWrap/>
        <w:overflowPunct/>
        <w:topLinePunct w:val="0"/>
        <w:bidi w:val="0"/>
        <w:spacing w:line="500" w:lineRule="exact"/>
        <w:ind w:firstLine="482" w:firstLineChars="200"/>
        <w:jc w:val="left"/>
        <w:textAlignment w:val="auto"/>
        <w:rPr>
          <w:rFonts w:hint="default"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rPr>
        <w:t>二、</w:t>
      </w:r>
      <w:r>
        <w:rPr>
          <w:rFonts w:hint="eastAsia" w:asciiTheme="minorEastAsia" w:hAnsiTheme="minorEastAsia" w:eastAsiaTheme="minorEastAsia" w:cstheme="minorEastAsia"/>
          <w:b/>
          <w:bCs/>
          <w:color w:val="auto"/>
          <w:sz w:val="24"/>
          <w:szCs w:val="24"/>
          <w:highlight w:val="none"/>
          <w:lang w:val="en-US" w:eastAsia="zh-CN"/>
        </w:rPr>
        <w:t>服务范围、要求及标准</w:t>
      </w:r>
    </w:p>
    <w:p w14:paraId="72E95D4E">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（一）服务范围：</w:t>
      </w:r>
      <w:r>
        <w:rPr>
          <w:rFonts w:hint="eastAsia" w:asciiTheme="minorEastAsia" w:hAnsiTheme="minorEastAsia" w:eastAsiaTheme="minorEastAsia" w:cstheme="minorEastAsia"/>
          <w:color w:val="auto"/>
          <w:kern w:val="2"/>
          <w:sz w:val="24"/>
          <w:szCs w:val="24"/>
          <w:highlight w:val="none"/>
          <w:lang w:val="en-US" w:eastAsia="zh-CN" w:bidi="ar-SA"/>
        </w:rPr>
        <w:t>重庆市无线电主题展厅15楼、16楼整体进行</w:t>
      </w:r>
      <w:r>
        <w:rPr>
          <w:rFonts w:hint="eastAsia" w:ascii="宋体" w:hAnsi="宋体" w:cs="宋体"/>
          <w:color w:val="auto"/>
          <w:sz w:val="24"/>
          <w:szCs w:val="24"/>
          <w:lang w:val="en-US" w:eastAsia="zh-CN"/>
        </w:rPr>
        <w:t>深化设计和展陈布展；</w:t>
      </w:r>
    </w:p>
    <w:p w14:paraId="472B2419">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eastAsia="宋体" w:asciiTheme="minorEastAsia" w:hAnsi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（二）服务要求：</w:t>
      </w:r>
      <w:r>
        <w:rPr>
          <w:rFonts w:hint="eastAsia" w:ascii="宋体" w:hAnsi="宋体" w:eastAsia="宋体" w:cs="宋体"/>
          <w:color w:val="auto"/>
          <w:sz w:val="24"/>
          <w:szCs w:val="24"/>
          <w:highlight w:val="none"/>
        </w:rPr>
        <w:t>本项目已完成初步展陈大纲和概念性设计方案，现需</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在已有的展陈大纲和概念性设计方案成果基础上对展陈大纲进行深化设计。包括但不限于：展陈大纲深化；空间表现形式（艺术装置、场景还原等）深化设计、</w:t>
      </w:r>
      <w:r>
        <w:rPr>
          <w:rFonts w:hint="eastAsia" w:ascii="宋体" w:hAnsi="宋体" w:eastAsia="宋体" w:cs="宋体"/>
          <w:color w:val="auto"/>
          <w:sz w:val="24"/>
          <w:szCs w:val="24"/>
          <w:highlight w:val="none"/>
          <w:lang w:val="en-US" w:eastAsia="zh-CN"/>
        </w:rPr>
        <w:t>平面设计深化设计、</w:t>
      </w:r>
      <w:r>
        <w:rPr>
          <w:rFonts w:hint="eastAsia" w:ascii="宋体" w:hAnsi="宋体" w:eastAsia="宋体" w:cs="宋体"/>
          <w:color w:val="auto"/>
          <w:sz w:val="24"/>
          <w:szCs w:val="24"/>
          <w:highlight w:val="none"/>
        </w:rPr>
        <w:t>多媒体展项深化设计、施工图深化设计（含基装、美工、消防、电气等）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供应商须根据定稿深化设计方案完成</w:t>
      </w:r>
      <w:r>
        <w:rPr>
          <w:rFonts w:hint="eastAsia" w:ascii="宋体" w:hAnsi="宋体" w:eastAsia="宋体" w:cs="宋体"/>
          <w:color w:val="auto"/>
          <w:sz w:val="24"/>
          <w:szCs w:val="24"/>
          <w:highlight w:val="none"/>
        </w:rPr>
        <w:t>展示空间和展示系统的建设及布展工作</w:t>
      </w:r>
      <w:r>
        <w:rPr>
          <w:rFonts w:hint="eastAsia" w:ascii="宋体" w:hAnsi="宋体" w:eastAsia="宋体" w:cs="宋体"/>
          <w:color w:val="auto"/>
          <w:sz w:val="24"/>
          <w:szCs w:val="24"/>
          <w:highlight w:val="none"/>
          <w:lang w:eastAsia="zh-CN"/>
        </w:rPr>
        <w:t>。</w:t>
      </w:r>
    </w:p>
    <w:p w14:paraId="3680E93A">
      <w:pPr>
        <w:keepNext w:val="0"/>
        <w:keepLines w:val="0"/>
        <w:pageBreakBefore w:val="0"/>
        <w:widowControl w:val="0"/>
        <w:kinsoku/>
        <w:wordWrap/>
        <w:overflowPunct/>
        <w:topLinePunct w:val="0"/>
        <w:bidi w:val="0"/>
        <w:snapToGrid w:val="0"/>
        <w:spacing w:line="500" w:lineRule="exact"/>
        <w:ind w:firstLine="422"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kern w:val="2"/>
          <w:sz w:val="24"/>
          <w:szCs w:val="24"/>
          <w:highlight w:val="none"/>
          <w:lang w:val="en-US" w:eastAsia="zh-CN" w:bidi="ar-SA"/>
        </w:rPr>
        <w:t>（三）服务标准：</w:t>
      </w:r>
    </w:p>
    <w:p w14:paraId="1004B692">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1.</w:t>
      </w:r>
      <w:r>
        <w:rPr>
          <w:rFonts w:hint="eastAsia" w:ascii="宋体" w:hAnsi="宋体" w:cs="宋体"/>
          <w:color w:val="auto"/>
          <w:kern w:val="0"/>
          <w:sz w:val="24"/>
          <w:szCs w:val="24"/>
          <w:highlight w:val="none"/>
          <w:lang w:val="en-US" w:eastAsia="zh-CN"/>
        </w:rPr>
        <w:t>设计</w:t>
      </w:r>
      <w:r>
        <w:rPr>
          <w:rFonts w:hint="eastAsia" w:ascii="宋体" w:hAnsi="宋体" w:cs="宋体"/>
          <w:color w:val="auto"/>
          <w:kern w:val="0"/>
          <w:sz w:val="24"/>
          <w:szCs w:val="24"/>
          <w:highlight w:val="none"/>
        </w:rPr>
        <w:t>质量要求：达到设计要求及现行国家规范及质量验收合格标准。</w:t>
      </w:r>
    </w:p>
    <w:p w14:paraId="34999544">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2.</w:t>
      </w:r>
      <w:r>
        <w:rPr>
          <w:rFonts w:hint="eastAsia" w:ascii="宋体" w:hAnsi="宋体" w:cs="宋体"/>
          <w:color w:val="auto"/>
          <w:kern w:val="0"/>
          <w:sz w:val="24"/>
          <w:szCs w:val="24"/>
          <w:highlight w:val="none"/>
        </w:rPr>
        <w:t>材料质量要求：满足设计及现行国家规范及质量标准。</w:t>
      </w:r>
    </w:p>
    <w:p w14:paraId="53D0E4FB">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rPr>
        <w:t>施工质量要求：</w:t>
      </w:r>
      <w:r>
        <w:rPr>
          <w:rFonts w:hint="eastAsia" w:ascii="宋体" w:hAnsi="宋体" w:cs="宋体"/>
          <w:color w:val="auto"/>
          <w:kern w:val="0"/>
          <w:sz w:val="24"/>
          <w:szCs w:val="24"/>
          <w:highlight w:val="none"/>
        </w:rPr>
        <w:t>满足设计及现行国家规范及质量标准。</w:t>
      </w:r>
    </w:p>
    <w:p w14:paraId="0A4A15A6">
      <w:pPr>
        <w:keepNext w:val="0"/>
        <w:keepLines w:val="0"/>
        <w:pageBreakBefore w:val="0"/>
        <w:widowControl w:val="0"/>
        <w:kinsoku/>
        <w:wordWrap/>
        <w:overflowPunct/>
        <w:topLinePunct w:val="0"/>
        <w:bidi w:val="0"/>
        <w:snapToGrid w:val="0"/>
        <w:spacing w:line="500" w:lineRule="exact"/>
        <w:ind w:firstLine="482"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三、具体服务要求</w:t>
      </w:r>
    </w:p>
    <w:p w14:paraId="10BC6DD9">
      <w:pPr>
        <w:keepNext w:val="0"/>
        <w:keepLines w:val="0"/>
        <w:pageBreakBefore w:val="0"/>
        <w:widowControl w:val="0"/>
        <w:kinsoku/>
        <w:wordWrap/>
        <w:overflowPunct/>
        <w:topLinePunct w:val="0"/>
        <w:bidi w:val="0"/>
        <w:snapToGrid w:val="0"/>
        <w:spacing w:line="500" w:lineRule="exact"/>
        <w:ind w:firstLine="482" w:firstLineChars="200"/>
        <w:textAlignment w:val="auto"/>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（一）展示内容布局设计</w:t>
      </w:r>
    </w:p>
    <w:p w14:paraId="26095C14">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展示内容主要包括无线电监测站单位概况、业务工作及无线电监测相关业务知识等内容。</w:t>
      </w:r>
    </w:p>
    <w:p w14:paraId="7275BE96">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1.单位基本概况</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主要包括单位历史沿革、基本情况等内容。</w:t>
      </w:r>
    </w:p>
    <w:p w14:paraId="07ACC08E">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2.无线电基础知识</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主要包括无线电、无线电频谱等基本理论知识以及无线电发展历程等内容。</w:t>
      </w:r>
    </w:p>
    <w:p w14:paraId="149EA0B5">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3.无线电实践应用</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展示无线电在通信、航空、列车、气象、太空、交通、公共安全、卫星导航、天文研究、信息社会、国防建设等方面的应用和发展。</w:t>
      </w:r>
    </w:p>
    <w:p w14:paraId="132FE7C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4.工作业务展示</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包含单位工作职能、工作目标</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主要业务</w:t>
      </w:r>
      <w:r>
        <w:rPr>
          <w:rFonts w:hint="eastAsia" w:asciiTheme="minorEastAsia" w:hAnsiTheme="minorEastAsia" w:eastAsiaTheme="minorEastAsia" w:cstheme="minorEastAsia"/>
          <w:color w:val="auto"/>
          <w:kern w:val="2"/>
          <w:sz w:val="24"/>
          <w:szCs w:val="24"/>
          <w:highlight w:val="none"/>
          <w:lang w:val="en-US" w:eastAsia="zh-CN" w:bidi="ar-SA"/>
        </w:rPr>
        <w:t>等内容。</w:t>
      </w:r>
    </w:p>
    <w:p w14:paraId="6C399EEB">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5.无线电监测设备展示</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展示无线电监测实物设备并附图文介绍。</w:t>
      </w:r>
    </w:p>
    <w:p w14:paraId="4C191E5B">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6.无线电监测站点布局</w:t>
      </w:r>
      <w:r>
        <w:rPr>
          <w:rFonts w:hint="eastAsia" w:asciiTheme="minorEastAsia" w:hAnsiTheme="minorEastAsia" w:eastAsiaTheme="minorEastAsia" w:cstheme="minorEastAsia"/>
          <w:color w:val="auto"/>
          <w:kern w:val="2"/>
          <w:sz w:val="24"/>
          <w:szCs w:val="24"/>
          <w:highlight w:val="none"/>
          <w:lang w:val="en-US" w:eastAsia="zh-CN" w:bidi="ar-SA"/>
        </w:rPr>
        <w:t>情况：</w:t>
      </w:r>
      <w:r>
        <w:rPr>
          <w:rFonts w:hint="default" w:asciiTheme="minorEastAsia" w:hAnsiTheme="minorEastAsia" w:eastAsiaTheme="minorEastAsia" w:cstheme="minorEastAsia"/>
          <w:color w:val="auto"/>
          <w:kern w:val="2"/>
          <w:sz w:val="24"/>
          <w:szCs w:val="24"/>
          <w:highlight w:val="none"/>
          <w:lang w:val="en-US" w:eastAsia="zh-CN" w:bidi="ar-SA"/>
        </w:rPr>
        <w:t>根据我市无线电监测站点实际</w:t>
      </w:r>
      <w:r>
        <w:rPr>
          <w:rFonts w:hint="eastAsia" w:asciiTheme="minorEastAsia" w:hAnsiTheme="minorEastAsia" w:eastAsiaTheme="minorEastAsia" w:cstheme="minorEastAsia"/>
          <w:color w:val="auto"/>
          <w:kern w:val="2"/>
          <w:sz w:val="24"/>
          <w:szCs w:val="24"/>
          <w:highlight w:val="none"/>
          <w:lang w:val="en-US" w:eastAsia="zh-CN" w:bidi="ar-SA"/>
        </w:rPr>
        <w:t>建设</w:t>
      </w:r>
      <w:r>
        <w:rPr>
          <w:rFonts w:hint="default" w:asciiTheme="minorEastAsia" w:hAnsiTheme="minorEastAsia" w:eastAsiaTheme="minorEastAsia" w:cstheme="minorEastAsia"/>
          <w:color w:val="auto"/>
          <w:kern w:val="2"/>
          <w:sz w:val="24"/>
          <w:szCs w:val="24"/>
          <w:highlight w:val="none"/>
          <w:lang w:val="en-US" w:eastAsia="zh-CN" w:bidi="ar-SA"/>
        </w:rPr>
        <w:t>情况，制作无线电监测站分布图，以图文形式或者</w:t>
      </w:r>
      <w:r>
        <w:rPr>
          <w:rFonts w:hint="eastAsia" w:asciiTheme="minorEastAsia" w:hAnsiTheme="minorEastAsia" w:eastAsiaTheme="minorEastAsia" w:cstheme="minorEastAsia"/>
          <w:color w:val="auto"/>
          <w:kern w:val="2"/>
          <w:sz w:val="24"/>
          <w:szCs w:val="24"/>
          <w:highlight w:val="none"/>
          <w:lang w:val="en-US" w:eastAsia="zh-CN" w:bidi="ar-SA"/>
        </w:rPr>
        <w:t>电子屏</w:t>
      </w:r>
      <w:r>
        <w:rPr>
          <w:rFonts w:hint="default" w:asciiTheme="minorEastAsia" w:hAnsiTheme="minorEastAsia" w:eastAsiaTheme="minorEastAsia" w:cstheme="minorEastAsia"/>
          <w:color w:val="auto"/>
          <w:kern w:val="2"/>
          <w:sz w:val="24"/>
          <w:szCs w:val="24"/>
          <w:highlight w:val="none"/>
          <w:lang w:val="en-US" w:eastAsia="zh-CN" w:bidi="ar-SA"/>
        </w:rPr>
        <w:t>等方式展示，便于直观了解</w:t>
      </w:r>
      <w:r>
        <w:rPr>
          <w:rFonts w:hint="eastAsia" w:asciiTheme="minorEastAsia" w:hAnsiTheme="minorEastAsia" w:eastAsiaTheme="minorEastAsia" w:cstheme="minorEastAsia"/>
          <w:color w:val="auto"/>
          <w:kern w:val="2"/>
          <w:sz w:val="24"/>
          <w:szCs w:val="24"/>
          <w:highlight w:val="none"/>
          <w:lang w:val="en-US" w:eastAsia="zh-CN" w:bidi="ar-SA"/>
        </w:rPr>
        <w:t>全市</w:t>
      </w:r>
      <w:r>
        <w:rPr>
          <w:rFonts w:hint="default" w:asciiTheme="minorEastAsia" w:hAnsiTheme="minorEastAsia" w:eastAsiaTheme="minorEastAsia" w:cstheme="minorEastAsia"/>
          <w:color w:val="auto"/>
          <w:kern w:val="2"/>
          <w:sz w:val="24"/>
          <w:szCs w:val="24"/>
          <w:highlight w:val="none"/>
          <w:lang w:val="en-US" w:eastAsia="zh-CN" w:bidi="ar-SA"/>
        </w:rPr>
        <w:t>站点建设和分布情况。</w:t>
      </w:r>
    </w:p>
    <w:p w14:paraId="2944A25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7.</w:t>
      </w:r>
      <w:r>
        <w:rPr>
          <w:rFonts w:hint="eastAsia" w:asciiTheme="minorEastAsia" w:hAnsiTheme="minorEastAsia" w:eastAsiaTheme="minorEastAsia" w:cstheme="minorEastAsia"/>
          <w:color w:val="auto"/>
          <w:kern w:val="2"/>
          <w:sz w:val="24"/>
          <w:szCs w:val="24"/>
          <w:highlight w:val="none"/>
          <w:lang w:val="en-US" w:eastAsia="zh-CN" w:bidi="ar-SA"/>
        </w:rPr>
        <w:t>相关</w:t>
      </w:r>
      <w:r>
        <w:rPr>
          <w:rFonts w:hint="default" w:asciiTheme="minorEastAsia" w:hAnsiTheme="minorEastAsia" w:eastAsiaTheme="minorEastAsia" w:cstheme="minorEastAsia"/>
          <w:color w:val="auto"/>
          <w:kern w:val="2"/>
          <w:sz w:val="24"/>
          <w:szCs w:val="24"/>
          <w:highlight w:val="none"/>
          <w:lang w:val="en-US" w:eastAsia="zh-CN" w:bidi="ar-SA"/>
        </w:rPr>
        <w:t>标识</w:t>
      </w:r>
      <w:r>
        <w:rPr>
          <w:rFonts w:hint="eastAsia" w:asciiTheme="minorEastAsia" w:hAnsiTheme="minorEastAsia" w:eastAsiaTheme="minorEastAsia" w:cstheme="minorEastAsia"/>
          <w:color w:val="auto"/>
          <w:kern w:val="2"/>
          <w:sz w:val="24"/>
          <w:szCs w:val="24"/>
          <w:highlight w:val="none"/>
          <w:lang w:val="en-US" w:eastAsia="zh-CN" w:bidi="ar-SA"/>
        </w:rPr>
        <w:t>：主要</w:t>
      </w:r>
      <w:r>
        <w:rPr>
          <w:rFonts w:hint="default" w:asciiTheme="minorEastAsia" w:hAnsiTheme="minorEastAsia" w:eastAsiaTheme="minorEastAsia" w:cstheme="minorEastAsia"/>
          <w:color w:val="auto"/>
          <w:kern w:val="2"/>
          <w:sz w:val="24"/>
          <w:szCs w:val="24"/>
          <w:highlight w:val="none"/>
          <w:lang w:val="en-US" w:eastAsia="zh-CN" w:bidi="ar-SA"/>
        </w:rPr>
        <w:t>包括单位标识、无线电LOG及单位楼层索引等内容。</w:t>
      </w:r>
    </w:p>
    <w:p w14:paraId="1751E8A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8.阅览室文化墙</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根据16楼阅览室</w:t>
      </w:r>
      <w:r>
        <w:rPr>
          <w:rFonts w:hint="eastAsia" w:asciiTheme="minorEastAsia" w:hAnsiTheme="minorEastAsia" w:eastAsiaTheme="minorEastAsia" w:cstheme="minorEastAsia"/>
          <w:color w:val="auto"/>
          <w:kern w:val="2"/>
          <w:sz w:val="24"/>
          <w:szCs w:val="24"/>
          <w:highlight w:val="none"/>
          <w:lang w:val="en-US" w:eastAsia="zh-CN" w:bidi="ar-SA"/>
        </w:rPr>
        <w:t>功能需要</w:t>
      </w:r>
      <w:r>
        <w:rPr>
          <w:rFonts w:hint="default" w:asciiTheme="minorEastAsia" w:hAnsiTheme="minorEastAsia" w:eastAsiaTheme="minorEastAsia" w:cstheme="minorEastAsia"/>
          <w:color w:val="auto"/>
          <w:kern w:val="2"/>
          <w:sz w:val="24"/>
          <w:szCs w:val="24"/>
          <w:highlight w:val="none"/>
          <w:lang w:val="en-US" w:eastAsia="zh-CN" w:bidi="ar-SA"/>
        </w:rPr>
        <w:t>，</w:t>
      </w:r>
      <w:r>
        <w:rPr>
          <w:rFonts w:hint="eastAsia" w:asciiTheme="minorEastAsia" w:hAnsiTheme="minorEastAsia" w:eastAsiaTheme="minorEastAsia" w:cstheme="minorEastAsia"/>
          <w:color w:val="auto"/>
          <w:kern w:val="2"/>
          <w:sz w:val="24"/>
          <w:szCs w:val="24"/>
          <w:highlight w:val="none"/>
          <w:lang w:val="en-US" w:eastAsia="zh-CN" w:bidi="ar-SA"/>
        </w:rPr>
        <w:t>对相关墙面及公共区域进行</w:t>
      </w:r>
      <w:r>
        <w:rPr>
          <w:rFonts w:hint="default" w:asciiTheme="minorEastAsia" w:hAnsiTheme="minorEastAsia" w:eastAsiaTheme="minorEastAsia" w:cstheme="minorEastAsia"/>
          <w:color w:val="auto"/>
          <w:kern w:val="2"/>
          <w:sz w:val="24"/>
          <w:szCs w:val="24"/>
          <w:highlight w:val="none"/>
          <w:lang w:val="en-US" w:eastAsia="zh-CN" w:bidi="ar-SA"/>
        </w:rPr>
        <w:t>设计装饰</w:t>
      </w:r>
      <w:r>
        <w:rPr>
          <w:rFonts w:hint="eastAsia" w:asciiTheme="minorEastAsia" w:hAnsiTheme="minorEastAsia" w:eastAsiaTheme="minorEastAsia" w:cstheme="minorEastAsia"/>
          <w:color w:val="auto"/>
          <w:kern w:val="2"/>
          <w:sz w:val="24"/>
          <w:szCs w:val="24"/>
          <w:highlight w:val="none"/>
          <w:lang w:val="en-US" w:eastAsia="zh-CN" w:bidi="ar-SA"/>
        </w:rPr>
        <w:t>，营造良好的学习氛围</w:t>
      </w:r>
      <w:r>
        <w:rPr>
          <w:rFonts w:hint="default" w:asciiTheme="minorEastAsia" w:hAnsiTheme="minorEastAsia" w:eastAsiaTheme="minorEastAsia" w:cstheme="minorEastAsia"/>
          <w:color w:val="auto"/>
          <w:kern w:val="2"/>
          <w:sz w:val="24"/>
          <w:szCs w:val="24"/>
          <w:highlight w:val="none"/>
          <w:lang w:val="en-US" w:eastAsia="zh-CN" w:bidi="ar-SA"/>
        </w:rPr>
        <w:t>。</w:t>
      </w:r>
    </w:p>
    <w:p w14:paraId="0FE7DE89">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9.其他内容</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根据展厅实际情况，制作成果展示、领导关怀、工作展望等内容。</w:t>
      </w:r>
    </w:p>
    <w:p w14:paraId="0FE9A1A2">
      <w:pPr>
        <w:keepNext w:val="0"/>
        <w:keepLines w:val="0"/>
        <w:pageBreakBefore w:val="0"/>
        <w:widowControl w:val="0"/>
        <w:kinsoku/>
        <w:wordWrap/>
        <w:overflowPunct/>
        <w:topLinePunct w:val="0"/>
        <w:bidi w:val="0"/>
        <w:snapToGrid w:val="0"/>
        <w:spacing w:line="500" w:lineRule="exact"/>
        <w:ind w:firstLine="482"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b/>
          <w:bCs/>
          <w:color w:val="auto"/>
          <w:kern w:val="2"/>
          <w:sz w:val="24"/>
          <w:szCs w:val="24"/>
          <w:highlight w:val="none"/>
          <w:lang w:val="en-US" w:eastAsia="zh-CN" w:bidi="ar-SA"/>
        </w:rPr>
        <w:t>（二）展厅布局</w:t>
      </w:r>
      <w:r>
        <w:rPr>
          <w:rFonts w:hint="eastAsia" w:asciiTheme="minorEastAsia" w:hAnsiTheme="minorEastAsia" w:eastAsiaTheme="minorEastAsia" w:cstheme="minorEastAsia"/>
          <w:b/>
          <w:bCs/>
          <w:color w:val="auto"/>
          <w:kern w:val="2"/>
          <w:sz w:val="24"/>
          <w:szCs w:val="24"/>
          <w:highlight w:val="none"/>
          <w:lang w:val="en-US" w:eastAsia="zh-CN" w:bidi="ar-SA"/>
        </w:rPr>
        <w:t>深化</w:t>
      </w:r>
      <w:r>
        <w:rPr>
          <w:rFonts w:hint="default" w:asciiTheme="minorEastAsia" w:hAnsiTheme="minorEastAsia" w:eastAsiaTheme="minorEastAsia" w:cstheme="minorEastAsia"/>
          <w:b/>
          <w:bCs/>
          <w:color w:val="auto"/>
          <w:kern w:val="2"/>
          <w:sz w:val="24"/>
          <w:szCs w:val="24"/>
          <w:highlight w:val="none"/>
          <w:lang w:val="en-US" w:eastAsia="zh-CN" w:bidi="ar-SA"/>
        </w:rPr>
        <w:t>设计</w:t>
      </w:r>
    </w:p>
    <w:p w14:paraId="604C4C84">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1.形式设计</w:t>
      </w:r>
      <w:r>
        <w:rPr>
          <w:rFonts w:hint="eastAsia" w:asciiTheme="minorEastAsia" w:hAnsiTheme="minorEastAsia" w:eastAsiaTheme="minorEastAsia" w:cstheme="minorEastAsia"/>
          <w:color w:val="auto"/>
          <w:kern w:val="2"/>
          <w:sz w:val="24"/>
          <w:szCs w:val="24"/>
          <w:highlight w:val="none"/>
          <w:lang w:val="en-US" w:eastAsia="zh-CN" w:bidi="ar-SA"/>
        </w:rPr>
        <w:t>：包括</w:t>
      </w:r>
      <w:r>
        <w:rPr>
          <w:rFonts w:hint="eastAsia" w:ascii="宋体" w:hAnsi="宋体" w:eastAsia="宋体" w:cs="宋体"/>
          <w:color w:val="auto"/>
          <w:sz w:val="24"/>
          <w:szCs w:val="24"/>
          <w:highlight w:val="none"/>
        </w:rPr>
        <w:t>展陈大纲深化；空间表现形式（艺术装置、场景还原等）深化设计、</w:t>
      </w:r>
      <w:r>
        <w:rPr>
          <w:rFonts w:hint="eastAsia" w:ascii="宋体" w:hAnsi="宋体" w:eastAsia="宋体" w:cs="宋体"/>
          <w:color w:val="auto"/>
          <w:sz w:val="24"/>
          <w:szCs w:val="24"/>
          <w:highlight w:val="none"/>
          <w:lang w:val="en-US" w:eastAsia="zh-CN"/>
        </w:rPr>
        <w:t>平面设计深化设计、</w:t>
      </w:r>
      <w:r>
        <w:rPr>
          <w:rFonts w:hint="eastAsia" w:ascii="宋体" w:hAnsi="宋体" w:eastAsia="宋体" w:cs="宋体"/>
          <w:color w:val="auto"/>
          <w:sz w:val="24"/>
          <w:szCs w:val="24"/>
          <w:highlight w:val="none"/>
        </w:rPr>
        <w:t>多媒体展项深化设计、施工图深化设计（含基装、美工、消防、电气等）</w:t>
      </w:r>
      <w:r>
        <w:rPr>
          <w:rFonts w:hint="eastAsia" w:ascii="宋体" w:hAnsi="宋体" w:eastAsia="宋体" w:cs="宋体"/>
          <w:color w:val="auto"/>
          <w:sz w:val="24"/>
          <w:szCs w:val="24"/>
          <w:highlight w:val="none"/>
          <w:lang w:eastAsia="zh-CN"/>
        </w:rPr>
        <w:t>。</w:t>
      </w:r>
      <w:r>
        <w:rPr>
          <w:rFonts w:hint="default" w:asciiTheme="minorEastAsia" w:hAnsiTheme="minorEastAsia" w:eastAsiaTheme="minorEastAsia" w:cstheme="minorEastAsia"/>
          <w:color w:val="auto"/>
          <w:kern w:val="2"/>
          <w:sz w:val="24"/>
          <w:szCs w:val="24"/>
          <w:highlight w:val="none"/>
          <w:lang w:val="en-US" w:eastAsia="zh-CN" w:bidi="ar-SA"/>
        </w:rPr>
        <w:t xml:space="preserve"> </w:t>
      </w:r>
    </w:p>
    <w:p w14:paraId="2A317DAD">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2.布展制作</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展厅内展示面、</w:t>
      </w:r>
      <w:r>
        <w:rPr>
          <w:rFonts w:hint="eastAsia" w:asciiTheme="minorEastAsia" w:hAnsiTheme="minorEastAsia" w:eastAsiaTheme="minorEastAsia" w:cstheme="minorEastAsia"/>
          <w:color w:val="auto"/>
          <w:kern w:val="2"/>
          <w:sz w:val="24"/>
          <w:szCs w:val="24"/>
          <w:highlight w:val="none"/>
          <w:lang w:val="en-US" w:eastAsia="zh-CN" w:bidi="ar-SA"/>
        </w:rPr>
        <w:t>地面、</w:t>
      </w:r>
      <w:r>
        <w:rPr>
          <w:rFonts w:hint="default" w:asciiTheme="minorEastAsia" w:hAnsiTheme="minorEastAsia" w:eastAsiaTheme="minorEastAsia" w:cstheme="minorEastAsia"/>
          <w:color w:val="auto"/>
          <w:kern w:val="2"/>
          <w:sz w:val="24"/>
          <w:szCs w:val="24"/>
          <w:highlight w:val="none"/>
          <w:lang w:val="en-US" w:eastAsia="zh-CN" w:bidi="ar-SA"/>
        </w:rPr>
        <w:t>展板、说明牌、场景隔断等设计制作，以及电子</w:t>
      </w:r>
      <w:r>
        <w:rPr>
          <w:rFonts w:hint="eastAsia" w:asciiTheme="minorEastAsia" w:hAnsiTheme="minorEastAsia" w:eastAsiaTheme="minorEastAsia" w:cstheme="minorEastAsia"/>
          <w:color w:val="auto"/>
          <w:kern w:val="2"/>
          <w:sz w:val="24"/>
          <w:szCs w:val="24"/>
          <w:highlight w:val="none"/>
          <w:lang w:val="en-US" w:eastAsia="zh-CN" w:bidi="ar-SA"/>
        </w:rPr>
        <w:t>设备</w:t>
      </w:r>
      <w:r>
        <w:rPr>
          <w:rFonts w:hint="default" w:asciiTheme="minorEastAsia" w:hAnsiTheme="minorEastAsia" w:eastAsiaTheme="minorEastAsia" w:cstheme="minorEastAsia"/>
          <w:color w:val="auto"/>
          <w:kern w:val="2"/>
          <w:sz w:val="24"/>
          <w:szCs w:val="24"/>
          <w:highlight w:val="none"/>
          <w:lang w:val="en-US" w:eastAsia="zh-CN" w:bidi="ar-SA"/>
        </w:rPr>
        <w:t>设计</w:t>
      </w:r>
      <w:r>
        <w:rPr>
          <w:rFonts w:hint="eastAsia" w:asciiTheme="minorEastAsia" w:hAnsiTheme="minorEastAsia" w:eastAsiaTheme="minorEastAsia" w:cstheme="minorEastAsia"/>
          <w:color w:val="auto"/>
          <w:kern w:val="2"/>
          <w:sz w:val="24"/>
          <w:szCs w:val="24"/>
          <w:highlight w:val="none"/>
          <w:lang w:val="en-US" w:eastAsia="zh-CN" w:bidi="ar-SA"/>
        </w:rPr>
        <w:t>、摆放等</w:t>
      </w:r>
      <w:r>
        <w:rPr>
          <w:rFonts w:hint="default" w:asciiTheme="minorEastAsia" w:hAnsiTheme="minorEastAsia" w:eastAsiaTheme="minorEastAsia" w:cstheme="minorEastAsia"/>
          <w:color w:val="auto"/>
          <w:kern w:val="2"/>
          <w:sz w:val="24"/>
          <w:szCs w:val="24"/>
          <w:highlight w:val="none"/>
          <w:lang w:val="en-US" w:eastAsia="zh-CN" w:bidi="ar-SA"/>
        </w:rPr>
        <w:t>。</w:t>
      </w:r>
    </w:p>
    <w:p w14:paraId="48BD064C">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3.展品收集</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根据展示内容，收集无线电频谱、历史、应用及理论知识等方面具有代表性的图片、文字等内容。</w:t>
      </w:r>
    </w:p>
    <w:p w14:paraId="14537F9B">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4.图文</w:t>
      </w:r>
      <w:r>
        <w:rPr>
          <w:rFonts w:hint="eastAsia" w:asciiTheme="minorEastAsia" w:hAnsiTheme="minorEastAsia" w:eastAsiaTheme="minorEastAsia" w:cstheme="minorEastAsia"/>
          <w:color w:val="auto"/>
          <w:kern w:val="2"/>
          <w:sz w:val="24"/>
          <w:szCs w:val="24"/>
          <w:highlight w:val="none"/>
          <w:lang w:val="en-US" w:eastAsia="zh-CN" w:bidi="ar-SA"/>
        </w:rPr>
        <w:t>影像</w:t>
      </w:r>
      <w:r>
        <w:rPr>
          <w:rFonts w:hint="default" w:asciiTheme="minorEastAsia" w:hAnsiTheme="minorEastAsia" w:eastAsiaTheme="minorEastAsia" w:cstheme="minorEastAsia"/>
          <w:color w:val="auto"/>
          <w:kern w:val="2"/>
          <w:sz w:val="24"/>
          <w:szCs w:val="24"/>
          <w:highlight w:val="none"/>
          <w:lang w:val="en-US" w:eastAsia="zh-CN" w:bidi="ar-SA"/>
        </w:rPr>
        <w:t>制作</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根据展厅情况，对展示图片、</w:t>
      </w:r>
      <w:r>
        <w:rPr>
          <w:rFonts w:hint="eastAsia" w:asciiTheme="minorEastAsia" w:hAnsiTheme="minorEastAsia" w:eastAsiaTheme="minorEastAsia" w:cstheme="minorEastAsia"/>
          <w:color w:val="auto"/>
          <w:kern w:val="2"/>
          <w:sz w:val="24"/>
          <w:szCs w:val="24"/>
          <w:highlight w:val="none"/>
          <w:lang w:val="en-US" w:eastAsia="zh-CN" w:bidi="ar-SA"/>
        </w:rPr>
        <w:t>展示</w:t>
      </w:r>
      <w:r>
        <w:rPr>
          <w:rFonts w:hint="default" w:asciiTheme="minorEastAsia" w:hAnsiTheme="minorEastAsia" w:eastAsiaTheme="minorEastAsia" w:cstheme="minorEastAsia"/>
          <w:color w:val="auto"/>
          <w:kern w:val="2"/>
          <w:sz w:val="24"/>
          <w:szCs w:val="24"/>
          <w:highlight w:val="none"/>
          <w:lang w:val="en-US" w:eastAsia="zh-CN" w:bidi="ar-SA"/>
        </w:rPr>
        <w:t>流程等设计。根据实际情况制作电子显示屏展示内容，包括映像、PPT及相关图文展示。</w:t>
      </w:r>
    </w:p>
    <w:p w14:paraId="6A765A1B">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5.其他配套设施</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建设完善的照明、通风等</w:t>
      </w:r>
      <w:r>
        <w:rPr>
          <w:rFonts w:hint="eastAsia" w:asciiTheme="minorEastAsia" w:hAnsiTheme="minorEastAsia" w:eastAsiaTheme="minorEastAsia" w:cstheme="minorEastAsia"/>
          <w:color w:val="auto"/>
          <w:kern w:val="2"/>
          <w:sz w:val="24"/>
          <w:szCs w:val="24"/>
          <w:highlight w:val="none"/>
          <w:lang w:val="en-US" w:eastAsia="zh-CN" w:bidi="ar-SA"/>
        </w:rPr>
        <w:t>系统</w:t>
      </w:r>
      <w:r>
        <w:rPr>
          <w:rFonts w:hint="default" w:asciiTheme="minorEastAsia" w:hAnsiTheme="minorEastAsia" w:eastAsiaTheme="minorEastAsia" w:cstheme="minorEastAsia"/>
          <w:color w:val="auto"/>
          <w:kern w:val="2"/>
          <w:sz w:val="24"/>
          <w:szCs w:val="24"/>
          <w:highlight w:val="none"/>
          <w:lang w:val="en-US" w:eastAsia="zh-CN" w:bidi="ar-SA"/>
        </w:rPr>
        <w:t>，确保展厅环境舒适。根据展厅风格设计需要，</w:t>
      </w:r>
      <w:r>
        <w:rPr>
          <w:rFonts w:hint="eastAsia" w:asciiTheme="minorEastAsia" w:hAnsiTheme="minorEastAsia" w:eastAsiaTheme="minorEastAsia" w:cstheme="minorEastAsia"/>
          <w:color w:val="auto"/>
          <w:kern w:val="2"/>
          <w:sz w:val="24"/>
          <w:szCs w:val="24"/>
          <w:highlight w:val="none"/>
          <w:lang w:val="en-US" w:eastAsia="zh-CN" w:bidi="ar-SA"/>
        </w:rPr>
        <w:t>需</w:t>
      </w:r>
      <w:r>
        <w:rPr>
          <w:rFonts w:hint="default" w:asciiTheme="minorEastAsia" w:hAnsiTheme="minorEastAsia" w:eastAsiaTheme="minorEastAsia" w:cstheme="minorEastAsia"/>
          <w:color w:val="auto"/>
          <w:kern w:val="2"/>
          <w:sz w:val="24"/>
          <w:szCs w:val="24"/>
          <w:highlight w:val="none"/>
          <w:lang w:val="en-US" w:eastAsia="zh-CN" w:bidi="ar-SA"/>
        </w:rPr>
        <w:t>要进行墙地面拆建、门窗安装等</w:t>
      </w:r>
      <w:r>
        <w:rPr>
          <w:rFonts w:hint="eastAsia" w:asciiTheme="minorEastAsia" w:hAnsiTheme="minorEastAsia" w:eastAsiaTheme="minorEastAsia" w:cstheme="minorEastAsia"/>
          <w:color w:val="auto"/>
          <w:kern w:val="2"/>
          <w:sz w:val="24"/>
          <w:szCs w:val="24"/>
          <w:highlight w:val="none"/>
          <w:lang w:val="en-US" w:eastAsia="zh-CN" w:bidi="ar-SA"/>
        </w:rPr>
        <w:t>设计</w:t>
      </w:r>
      <w:r>
        <w:rPr>
          <w:rFonts w:hint="default" w:asciiTheme="minorEastAsia" w:hAnsiTheme="minorEastAsia" w:eastAsiaTheme="minorEastAsia" w:cstheme="minorEastAsia"/>
          <w:color w:val="auto"/>
          <w:kern w:val="2"/>
          <w:sz w:val="24"/>
          <w:szCs w:val="24"/>
          <w:highlight w:val="none"/>
          <w:lang w:val="en-US" w:eastAsia="zh-CN" w:bidi="ar-SA"/>
        </w:rPr>
        <w:t>。</w:t>
      </w:r>
    </w:p>
    <w:p w14:paraId="11118DFE">
      <w:pPr>
        <w:keepNext w:val="0"/>
        <w:keepLines w:val="0"/>
        <w:pageBreakBefore w:val="0"/>
        <w:widowControl w:val="0"/>
        <w:kinsoku/>
        <w:wordWrap/>
        <w:overflowPunct/>
        <w:topLinePunct w:val="0"/>
        <w:bidi w:val="0"/>
        <w:snapToGrid w:val="0"/>
        <w:spacing w:line="500" w:lineRule="exact"/>
        <w:ind w:firstLine="482"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b/>
          <w:bCs/>
          <w:color w:val="auto"/>
          <w:kern w:val="2"/>
          <w:sz w:val="24"/>
          <w:szCs w:val="24"/>
          <w:highlight w:val="none"/>
          <w:lang w:val="en-US" w:eastAsia="zh-CN" w:bidi="ar-SA"/>
        </w:rPr>
        <w:t>（三）项目材料及</w:t>
      </w:r>
      <w:r>
        <w:rPr>
          <w:rFonts w:hint="eastAsia" w:asciiTheme="minorEastAsia" w:hAnsiTheme="minorEastAsia" w:eastAsiaTheme="minorEastAsia" w:cstheme="minorEastAsia"/>
          <w:b/>
          <w:bCs/>
          <w:color w:val="auto"/>
          <w:kern w:val="2"/>
          <w:sz w:val="24"/>
          <w:szCs w:val="24"/>
          <w:highlight w:val="none"/>
          <w:lang w:val="en-US" w:eastAsia="zh-CN" w:bidi="ar-SA"/>
        </w:rPr>
        <w:t>相关</w:t>
      </w:r>
      <w:r>
        <w:rPr>
          <w:rFonts w:hint="default" w:asciiTheme="minorEastAsia" w:hAnsiTheme="minorEastAsia" w:eastAsiaTheme="minorEastAsia" w:cstheme="minorEastAsia"/>
          <w:b/>
          <w:bCs/>
          <w:color w:val="auto"/>
          <w:kern w:val="2"/>
          <w:sz w:val="24"/>
          <w:szCs w:val="24"/>
          <w:highlight w:val="none"/>
          <w:lang w:val="en-US" w:eastAsia="zh-CN" w:bidi="ar-SA"/>
        </w:rPr>
        <w:t>用品</w:t>
      </w:r>
    </w:p>
    <w:p w14:paraId="113182AB">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1.展品材料</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包括展厅制作施工所需要的龙骨、造型、石材饰面板、漆料、相纸、边框、墙砖、电线等所有材料。</w:t>
      </w:r>
    </w:p>
    <w:p w14:paraId="6197A3A5">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2.设备器材：实物展示需要的无线电监测设备，</w:t>
      </w:r>
      <w:r>
        <w:rPr>
          <w:rFonts w:hint="eastAsia" w:asciiTheme="minorEastAsia" w:hAnsiTheme="minorEastAsia" w:eastAsiaTheme="minorEastAsia" w:cstheme="minorEastAsia"/>
          <w:color w:val="auto"/>
          <w:kern w:val="2"/>
          <w:sz w:val="24"/>
          <w:szCs w:val="24"/>
          <w:highlight w:val="none"/>
          <w:lang w:val="en-US" w:eastAsia="zh-CN" w:bidi="ar-SA"/>
        </w:rPr>
        <w:t>设备</w:t>
      </w:r>
      <w:r>
        <w:rPr>
          <w:rFonts w:hint="default" w:asciiTheme="minorEastAsia" w:hAnsiTheme="minorEastAsia" w:eastAsiaTheme="minorEastAsia" w:cstheme="minorEastAsia"/>
          <w:color w:val="auto"/>
          <w:kern w:val="2"/>
          <w:sz w:val="24"/>
          <w:szCs w:val="24"/>
          <w:highlight w:val="none"/>
          <w:lang w:val="en-US" w:eastAsia="zh-CN" w:bidi="ar-SA"/>
        </w:rPr>
        <w:t>由</w:t>
      </w:r>
      <w:r>
        <w:rPr>
          <w:rFonts w:hint="eastAsia" w:asciiTheme="minorEastAsia" w:hAnsiTheme="minorEastAsia" w:eastAsiaTheme="minorEastAsia" w:cstheme="minorEastAsia"/>
          <w:color w:val="auto"/>
          <w:kern w:val="2"/>
          <w:sz w:val="24"/>
          <w:szCs w:val="24"/>
          <w:highlight w:val="none"/>
          <w:lang w:val="en-US" w:eastAsia="zh-CN" w:bidi="ar-SA"/>
        </w:rPr>
        <w:t>采购</w:t>
      </w:r>
      <w:r>
        <w:rPr>
          <w:rFonts w:hint="default" w:asciiTheme="minorEastAsia" w:hAnsiTheme="minorEastAsia" w:eastAsiaTheme="minorEastAsia" w:cstheme="minorEastAsia"/>
          <w:color w:val="auto"/>
          <w:kern w:val="2"/>
          <w:sz w:val="24"/>
          <w:szCs w:val="24"/>
          <w:highlight w:val="none"/>
          <w:lang w:val="en-US" w:eastAsia="zh-CN" w:bidi="ar-SA"/>
        </w:rPr>
        <w:t>单位根据实际情况自行提供</w:t>
      </w:r>
      <w:r>
        <w:rPr>
          <w:rFonts w:hint="eastAsia" w:asciiTheme="minorEastAsia" w:hAnsiTheme="minorEastAsia" w:eastAsiaTheme="minorEastAsia" w:cstheme="minorEastAsia"/>
          <w:color w:val="auto"/>
          <w:kern w:val="2"/>
          <w:sz w:val="24"/>
          <w:szCs w:val="24"/>
          <w:highlight w:val="none"/>
          <w:lang w:val="en-US" w:eastAsia="zh-CN" w:bidi="ar-SA"/>
        </w:rPr>
        <w:t>，图文说明由供应商设计制作</w:t>
      </w:r>
      <w:r>
        <w:rPr>
          <w:rFonts w:hint="default" w:asciiTheme="minorEastAsia" w:hAnsiTheme="minorEastAsia" w:eastAsiaTheme="minorEastAsia" w:cstheme="minorEastAsia"/>
          <w:color w:val="auto"/>
          <w:kern w:val="2"/>
          <w:sz w:val="24"/>
          <w:szCs w:val="24"/>
          <w:highlight w:val="none"/>
          <w:lang w:val="en-US" w:eastAsia="zh-CN" w:bidi="ar-SA"/>
        </w:rPr>
        <w:t>。</w:t>
      </w:r>
    </w:p>
    <w:p w14:paraId="3C0414A9">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3.成套</w:t>
      </w:r>
      <w:r>
        <w:rPr>
          <w:rFonts w:hint="eastAsia" w:asciiTheme="minorEastAsia" w:hAnsiTheme="minorEastAsia" w:eastAsiaTheme="minorEastAsia" w:cstheme="minorEastAsia"/>
          <w:color w:val="auto"/>
          <w:kern w:val="2"/>
          <w:sz w:val="24"/>
          <w:szCs w:val="24"/>
          <w:highlight w:val="none"/>
          <w:lang w:val="en-US" w:eastAsia="zh-CN" w:bidi="ar-SA"/>
        </w:rPr>
        <w:t>及定制</w:t>
      </w:r>
      <w:r>
        <w:rPr>
          <w:rFonts w:hint="default" w:asciiTheme="minorEastAsia" w:hAnsiTheme="minorEastAsia" w:eastAsiaTheme="minorEastAsia" w:cstheme="minorEastAsia"/>
          <w:color w:val="auto"/>
          <w:kern w:val="2"/>
          <w:sz w:val="24"/>
          <w:szCs w:val="24"/>
          <w:highlight w:val="none"/>
          <w:lang w:val="en-US" w:eastAsia="zh-CN" w:bidi="ar-SA"/>
        </w:rPr>
        <w:t>用品：防盗门、窗户</w:t>
      </w:r>
      <w:r>
        <w:rPr>
          <w:rFonts w:hint="eastAsia" w:asciiTheme="minorEastAsia" w:hAnsiTheme="minorEastAsia" w:eastAsiaTheme="minorEastAsia" w:cstheme="minorEastAsia"/>
          <w:color w:val="auto"/>
          <w:kern w:val="2"/>
          <w:sz w:val="24"/>
          <w:szCs w:val="24"/>
          <w:highlight w:val="none"/>
          <w:lang w:val="en-US" w:eastAsia="zh-CN" w:bidi="ar-SA"/>
        </w:rPr>
        <w:t>、</w:t>
      </w:r>
      <w:r>
        <w:rPr>
          <w:rFonts w:hint="default" w:asciiTheme="minorEastAsia" w:hAnsiTheme="minorEastAsia" w:eastAsiaTheme="minorEastAsia" w:cstheme="minorEastAsia"/>
          <w:color w:val="auto"/>
          <w:kern w:val="2"/>
          <w:sz w:val="24"/>
          <w:szCs w:val="24"/>
          <w:highlight w:val="none"/>
          <w:lang w:val="en-US" w:eastAsia="zh-CN" w:bidi="ar-SA"/>
        </w:rPr>
        <w:t>挂画等。</w:t>
      </w:r>
    </w:p>
    <w:p w14:paraId="730A07A8">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4.电子设备：包括LED屏、</w:t>
      </w:r>
      <w:r>
        <w:rPr>
          <w:rFonts w:hint="eastAsia" w:asciiTheme="minorEastAsia" w:hAnsiTheme="minorEastAsia" w:eastAsiaTheme="minorEastAsia" w:cstheme="minorEastAsia"/>
          <w:color w:val="auto"/>
          <w:kern w:val="2"/>
          <w:sz w:val="24"/>
          <w:szCs w:val="24"/>
          <w:highlight w:val="none"/>
          <w:lang w:val="en-US" w:eastAsia="zh-CN" w:bidi="ar-SA"/>
        </w:rPr>
        <w:t>显示屏、</w:t>
      </w:r>
      <w:r>
        <w:rPr>
          <w:rFonts w:hint="default" w:asciiTheme="minorEastAsia" w:hAnsiTheme="minorEastAsia" w:eastAsiaTheme="minorEastAsia" w:cstheme="minorEastAsia"/>
          <w:color w:val="auto"/>
          <w:kern w:val="2"/>
          <w:sz w:val="24"/>
          <w:szCs w:val="24"/>
          <w:highlight w:val="none"/>
          <w:lang w:val="en-US" w:eastAsia="zh-CN" w:bidi="ar-SA"/>
        </w:rPr>
        <w:t>电视</w:t>
      </w:r>
      <w:r>
        <w:rPr>
          <w:rFonts w:hint="eastAsia" w:asciiTheme="minorEastAsia" w:hAnsiTheme="minorEastAsia" w:eastAsiaTheme="minorEastAsia" w:cstheme="minorEastAsia"/>
          <w:color w:val="auto"/>
          <w:kern w:val="2"/>
          <w:sz w:val="24"/>
          <w:szCs w:val="24"/>
          <w:highlight w:val="none"/>
          <w:lang w:val="en-US" w:eastAsia="zh-CN" w:bidi="ar-SA"/>
        </w:rPr>
        <w:t>及相关</w:t>
      </w:r>
      <w:r>
        <w:rPr>
          <w:rFonts w:hint="default" w:asciiTheme="minorEastAsia" w:hAnsiTheme="minorEastAsia" w:eastAsiaTheme="minorEastAsia" w:cstheme="minorEastAsia"/>
          <w:color w:val="auto"/>
          <w:kern w:val="2"/>
          <w:sz w:val="24"/>
          <w:szCs w:val="24"/>
          <w:highlight w:val="none"/>
          <w:lang w:val="en-US" w:eastAsia="zh-CN" w:bidi="ar-SA"/>
        </w:rPr>
        <w:t>互动操作</w:t>
      </w:r>
      <w:r>
        <w:rPr>
          <w:rFonts w:hint="eastAsia" w:asciiTheme="minorEastAsia" w:hAnsiTheme="minorEastAsia" w:eastAsiaTheme="minorEastAsia" w:cstheme="minorEastAsia"/>
          <w:color w:val="auto"/>
          <w:kern w:val="2"/>
          <w:sz w:val="24"/>
          <w:szCs w:val="24"/>
          <w:highlight w:val="none"/>
          <w:lang w:val="en-US" w:eastAsia="zh-CN" w:bidi="ar-SA"/>
        </w:rPr>
        <w:t>设备</w:t>
      </w:r>
      <w:r>
        <w:rPr>
          <w:rFonts w:hint="default" w:asciiTheme="minorEastAsia" w:hAnsiTheme="minorEastAsia" w:eastAsiaTheme="minorEastAsia" w:cstheme="minorEastAsia"/>
          <w:color w:val="auto"/>
          <w:kern w:val="2"/>
          <w:sz w:val="24"/>
          <w:szCs w:val="24"/>
          <w:highlight w:val="none"/>
          <w:lang w:val="en-US" w:eastAsia="zh-CN" w:bidi="ar-SA"/>
        </w:rPr>
        <w:t>等。</w:t>
      </w:r>
    </w:p>
    <w:p w14:paraId="31952CAC">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5.照明设备：展厅需要的线性灯、射灯等照明设备</w:t>
      </w:r>
      <w:r>
        <w:rPr>
          <w:rFonts w:hint="eastAsia" w:asciiTheme="minorEastAsia" w:hAnsiTheme="minorEastAsia" w:eastAsiaTheme="minorEastAsia" w:cstheme="minorEastAsia"/>
          <w:color w:val="auto"/>
          <w:kern w:val="2"/>
          <w:sz w:val="24"/>
          <w:szCs w:val="24"/>
          <w:highlight w:val="none"/>
          <w:lang w:val="en-US" w:eastAsia="zh-CN" w:bidi="ar-SA"/>
        </w:rPr>
        <w:t>，射灯色温、照明应适合展厅展示场合的需要。</w:t>
      </w:r>
    </w:p>
    <w:p w14:paraId="25AE0428">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6.其他用品</w:t>
      </w:r>
      <w:r>
        <w:rPr>
          <w:rFonts w:hint="eastAsia" w:asciiTheme="minorEastAsia" w:hAnsiTheme="minorEastAsia" w:eastAsiaTheme="minorEastAsia" w:cstheme="minorEastAsia"/>
          <w:color w:val="auto"/>
          <w:kern w:val="2"/>
          <w:sz w:val="24"/>
          <w:szCs w:val="24"/>
          <w:highlight w:val="none"/>
          <w:lang w:val="en-US" w:eastAsia="zh-CN" w:bidi="ar-SA"/>
        </w:rPr>
        <w:t>。</w:t>
      </w:r>
    </w:p>
    <w:p w14:paraId="63DA60F5">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default" w:asciiTheme="minorEastAsia" w:hAnsiTheme="minorEastAsia" w:eastAsiaTheme="minorEastAsia" w:cstheme="minorEastAsia"/>
          <w:color w:val="auto"/>
          <w:kern w:val="2"/>
          <w:sz w:val="24"/>
          <w:szCs w:val="24"/>
          <w:highlight w:val="none"/>
          <w:lang w:val="en-US" w:eastAsia="zh-CN" w:bidi="ar-SA"/>
        </w:rPr>
        <w:t>以上所选用的材料和相关用品应使用环保材料，减少有毒有害气体的排放。尽量减少写真、喷绘材料的运用，保证参观环境的舒适度。</w:t>
      </w:r>
    </w:p>
    <w:p w14:paraId="5D3A03D9">
      <w:pPr>
        <w:keepNext w:val="0"/>
        <w:keepLines w:val="0"/>
        <w:pageBreakBefore w:val="0"/>
        <w:widowControl w:val="0"/>
        <w:kinsoku/>
        <w:wordWrap/>
        <w:overflowPunct/>
        <w:topLinePunct w:val="0"/>
        <w:bidi w:val="0"/>
        <w:snapToGrid w:val="0"/>
        <w:spacing w:line="500" w:lineRule="exact"/>
        <w:ind w:firstLine="482" w:firstLineChars="200"/>
        <w:textAlignment w:val="auto"/>
        <w:rPr>
          <w:rFonts w:hint="default"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（四）项目施工服务</w:t>
      </w:r>
    </w:p>
    <w:p w14:paraId="42447DF6">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heme="minorEastAsia" w:hAnsiTheme="minorEastAsia" w:eastAsiaTheme="minorEastAsia" w:cstheme="minorEastAsia"/>
          <w:color w:val="auto"/>
          <w:kern w:val="2"/>
          <w:sz w:val="24"/>
          <w:szCs w:val="24"/>
          <w:highlight w:val="none"/>
          <w:lang w:val="en-US" w:eastAsia="zh-CN" w:bidi="ar-SA"/>
        </w:rPr>
        <w:t>重新摆场区域的所有原展品</w:t>
      </w:r>
      <w:r>
        <w:rPr>
          <w:rFonts w:hint="eastAsia" w:asciiTheme="minorEastAsia" w:hAnsiTheme="minorEastAsia" w:eastAsiaTheme="minorEastAsia" w:cstheme="minorEastAsia"/>
          <w:color w:val="auto"/>
          <w:kern w:val="2"/>
          <w:sz w:val="24"/>
          <w:szCs w:val="24"/>
          <w:highlight w:val="none"/>
          <w:lang w:val="en-US" w:eastAsia="zh-CN" w:bidi="ar-SA"/>
        </w:rPr>
        <w:t>及</w:t>
      </w:r>
      <w:r>
        <w:rPr>
          <w:rFonts w:hint="default" w:asciiTheme="minorEastAsia" w:hAnsiTheme="minorEastAsia" w:eastAsiaTheme="minorEastAsia" w:cstheme="minorEastAsia"/>
          <w:color w:val="auto"/>
          <w:kern w:val="2"/>
          <w:sz w:val="24"/>
          <w:szCs w:val="24"/>
          <w:highlight w:val="none"/>
          <w:lang w:val="en-US" w:eastAsia="zh-CN" w:bidi="ar-SA"/>
        </w:rPr>
        <w:t>拆除原有部分硬装（天、地、墙）、出渣、修补、墙面见白、灯具及部分线路替换安装、人工拆除等服务，以及展厅施工中的制作、替换、运输、安装、摆场、质保期内的错误改正、展品调整等服务。</w:t>
      </w:r>
    </w:p>
    <w:p w14:paraId="61F19860">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方正黑体_GBK" w:hAnsi="方正黑体_GBK" w:eastAsia="方正黑体_GBK" w:cs="方正黑体_GBK"/>
          <w:b w:val="0"/>
          <w:color w:val="auto"/>
          <w:sz w:val="24"/>
          <w:szCs w:val="24"/>
          <w:highlight w:val="none"/>
          <w:lang w:eastAsia="zh-CN"/>
        </w:rPr>
      </w:pPr>
      <w:r>
        <w:rPr>
          <w:rFonts w:hint="eastAsia" w:ascii="方正黑体_GBK" w:hAnsi="方正黑体_GBK" w:eastAsia="方正黑体_GBK" w:cs="方正黑体_GBK"/>
          <w:b w:val="0"/>
          <w:color w:val="auto"/>
          <w:sz w:val="24"/>
          <w:szCs w:val="24"/>
          <w:highlight w:val="none"/>
          <w:lang w:val="en-US" w:eastAsia="zh-CN"/>
        </w:rPr>
        <w:t>三</w:t>
      </w:r>
      <w:r>
        <w:rPr>
          <w:rFonts w:hint="eastAsia" w:ascii="方正黑体_GBK" w:hAnsi="方正黑体_GBK" w:eastAsia="方正黑体_GBK" w:cs="方正黑体_GBK"/>
          <w:b w:val="0"/>
          <w:color w:val="auto"/>
          <w:sz w:val="24"/>
          <w:szCs w:val="24"/>
          <w:highlight w:val="none"/>
        </w:rPr>
        <w:t>、现场踏勘</w:t>
      </w:r>
    </w:p>
    <w:p w14:paraId="044A9D75">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请各潜在供应商自行前往踏勘现场，无论供应商踏勘与否，采购人均视为供应商对现场环境已了解并知晓相关风险。踏勘费用、安全等由供应商自行负责。</w:t>
      </w:r>
      <w:r>
        <w:rPr>
          <w:rFonts w:hint="eastAsia" w:asciiTheme="minorEastAsia" w:hAnsiTheme="minorEastAsia" w:eastAsiaTheme="minorEastAsia" w:cstheme="minorEastAsia"/>
          <w:color w:val="auto"/>
          <w:sz w:val="24"/>
          <w:szCs w:val="24"/>
          <w:highlight w:val="none"/>
          <w:lang w:val="en-US" w:eastAsia="zh-CN"/>
        </w:rPr>
        <w:t xml:space="preserve"> </w:t>
      </w:r>
    </w:p>
    <w:p w14:paraId="39C9B175">
      <w:pPr>
        <w:keepNext w:val="0"/>
        <w:keepLines w:val="0"/>
        <w:pageBreakBefore w:val="0"/>
        <w:widowControl w:val="0"/>
        <w:kinsoku/>
        <w:wordWrap/>
        <w:overflowPunct/>
        <w:topLinePunct w:val="0"/>
        <w:bidi w:val="0"/>
        <w:snapToGrid w:val="0"/>
        <w:spacing w:line="500" w:lineRule="exact"/>
        <w:ind w:firstLine="480" w:firstLineChars="200"/>
        <w:textAlignment w:val="auto"/>
        <w:rPr>
          <w:rFonts w:hint="default" w:asciiTheme="minorEastAsia" w:hAnsiTheme="minorEastAsia" w:eastAsiaTheme="minorEastAsia" w:cstheme="minorEastAsia"/>
          <w:b/>
          <w:color w:val="auto"/>
          <w:sz w:val="21"/>
          <w:szCs w:val="21"/>
          <w:highlight w:val="none"/>
          <w:lang w:val="en-US" w:eastAsia="zh-CN"/>
        </w:rPr>
      </w:pPr>
      <w:r>
        <w:rPr>
          <w:rFonts w:hint="eastAsia" w:ascii="方正黑体_GBK" w:hAnsi="方正黑体_GBK" w:eastAsia="方正黑体_GBK" w:cs="方正黑体_GBK"/>
          <w:b w:val="0"/>
          <w:color w:val="auto"/>
          <w:sz w:val="24"/>
          <w:szCs w:val="24"/>
          <w:highlight w:val="none"/>
          <w:lang w:val="en-US" w:eastAsia="zh-CN"/>
        </w:rPr>
        <w:t>四、概念设计及工程量清单</w:t>
      </w:r>
    </w:p>
    <w:p w14:paraId="577DED34">
      <w:pPr>
        <w:keepNext w:val="0"/>
        <w:keepLines w:val="0"/>
        <w:pageBreakBefore w:val="0"/>
        <w:widowControl w:val="0"/>
        <w:kinsoku/>
        <w:wordWrap/>
        <w:overflowPunct/>
        <w:topLinePunct w:val="0"/>
        <w:bidi w:val="0"/>
        <w:snapToGrid w:val="0"/>
        <w:spacing w:line="500" w:lineRule="exact"/>
        <w:ind w:firstLine="480" w:firstLineChars="200"/>
        <w:textAlignment w:val="auto"/>
        <w:rPr>
          <w:rFonts w:hint="eastAsia" w:asciiTheme="minorEastAsia" w:hAnsiTheme="minorEastAsia" w:eastAsiaTheme="minorEastAsia" w:cstheme="minorEastAsia"/>
          <w:b w:val="0"/>
          <w:color w:val="auto"/>
          <w:sz w:val="24"/>
          <w:szCs w:val="24"/>
          <w:highlight w:val="none"/>
          <w:lang w:val="en-US" w:eastAsia="zh-CN"/>
        </w:rPr>
      </w:pPr>
      <w:r>
        <w:rPr>
          <w:rFonts w:hint="eastAsia" w:asciiTheme="minorEastAsia" w:hAnsiTheme="minorEastAsia" w:eastAsiaTheme="minorEastAsia" w:cstheme="minorEastAsia"/>
          <w:b w:val="0"/>
          <w:color w:val="auto"/>
          <w:sz w:val="24"/>
          <w:szCs w:val="24"/>
          <w:highlight w:val="none"/>
          <w:lang w:val="en-US" w:eastAsia="zh-CN"/>
        </w:rPr>
        <w:t>概念设计图纸及工程量清单详见附件。</w:t>
      </w:r>
    </w:p>
    <w:p w14:paraId="47E2FA0B">
      <w:pPr>
        <w:keepNext w:val="0"/>
        <w:keepLines w:val="0"/>
        <w:pageBreakBefore w:val="0"/>
        <w:widowControl w:val="0"/>
        <w:kinsoku/>
        <w:wordWrap/>
        <w:overflowPunct/>
        <w:topLinePunct w:val="0"/>
        <w:bidi w:val="0"/>
        <w:snapToGrid w:val="0"/>
        <w:spacing w:line="500" w:lineRule="exact"/>
        <w:ind w:firstLine="42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4"/>
          <w:szCs w:val="24"/>
          <w:highlight w:val="none"/>
          <w:lang w:val="en-US" w:eastAsia="zh-CN"/>
        </w:rPr>
        <w:t>五</w:t>
      </w:r>
      <w:r>
        <w:rPr>
          <w:rFonts w:hint="eastAsia" w:asciiTheme="minorEastAsia" w:hAnsiTheme="minorEastAsia" w:eastAsiaTheme="minorEastAsia" w:cstheme="minorEastAsia"/>
          <w:b/>
          <w:color w:val="auto"/>
          <w:sz w:val="24"/>
          <w:szCs w:val="24"/>
          <w:highlight w:val="none"/>
        </w:rPr>
        <w:t>、其它</w:t>
      </w:r>
    </w:p>
    <w:p w14:paraId="55D1CFAA">
      <w:pPr>
        <w:keepNext w:val="0"/>
        <w:keepLines w:val="0"/>
        <w:pageBreakBefore w:val="0"/>
        <w:widowControl w:val="0"/>
        <w:kinsoku/>
        <w:wordWrap/>
        <w:overflowPunct/>
        <w:topLinePunct w:val="0"/>
        <w:bidi w:val="0"/>
        <w:snapToGrid w:val="0"/>
        <w:spacing w:line="500" w:lineRule="exact"/>
        <w:ind w:firstLine="480" w:firstLineChars="200"/>
        <w:textAlignment w:val="auto"/>
        <w:rPr>
          <w:rFonts w:ascii="宋体" w:hAnsi="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供应商不按竞争性磋商文件要求实施，弄虚作假、</w:t>
      </w:r>
      <w:r>
        <w:rPr>
          <w:rFonts w:hint="eastAsia" w:asciiTheme="minorEastAsia" w:hAnsiTheme="minorEastAsia" w:eastAsiaTheme="minorEastAsia" w:cstheme="minorEastAsia"/>
          <w:color w:val="auto"/>
          <w:sz w:val="24"/>
          <w:szCs w:val="24"/>
          <w:highlight w:val="none"/>
          <w:lang w:val="en-US" w:eastAsia="zh-CN"/>
        </w:rPr>
        <w:t>降</w:t>
      </w:r>
      <w:r>
        <w:rPr>
          <w:rFonts w:hint="eastAsia" w:asciiTheme="minorEastAsia" w:hAnsiTheme="minorEastAsia" w:eastAsiaTheme="minorEastAsia" w:cstheme="minorEastAsia"/>
          <w:color w:val="auto"/>
          <w:sz w:val="24"/>
          <w:szCs w:val="24"/>
          <w:highlight w:val="none"/>
        </w:rPr>
        <w:t>低质量标准、超过</w:t>
      </w:r>
      <w:r>
        <w:rPr>
          <w:rFonts w:hint="eastAsia" w:asciiTheme="minorEastAsia" w:hAnsiTheme="minorEastAsia" w:eastAsiaTheme="minorEastAsia" w:cstheme="minorEastAsia"/>
          <w:color w:val="auto"/>
          <w:sz w:val="24"/>
          <w:szCs w:val="24"/>
          <w:highlight w:val="none"/>
          <w:lang w:val="en-US" w:eastAsia="zh-CN"/>
        </w:rPr>
        <w:t>服务期限</w:t>
      </w:r>
      <w:r>
        <w:rPr>
          <w:rFonts w:hint="eastAsia" w:asciiTheme="minorEastAsia" w:hAnsiTheme="minorEastAsia" w:eastAsiaTheme="minorEastAsia" w:cstheme="minorEastAsia"/>
          <w:color w:val="auto"/>
          <w:sz w:val="24"/>
          <w:szCs w:val="24"/>
          <w:highlight w:val="none"/>
        </w:rPr>
        <w:t>等行为，采购人有权终止合同，供应商自行承担经济损失和责任。</w:t>
      </w:r>
    </w:p>
    <w:p w14:paraId="766569B6">
      <w:pPr>
        <w:pStyle w:val="4"/>
        <w:bidi w:val="0"/>
        <w:rPr>
          <w:rFonts w:hint="eastAsia"/>
          <w:color w:val="auto"/>
          <w:highlight w:val="none"/>
        </w:rPr>
        <w:sectPr>
          <w:pgSz w:w="11905" w:h="16838"/>
          <w:pgMar w:top="1417" w:right="1417" w:bottom="1417" w:left="1417" w:header="1003" w:footer="986" w:gutter="0"/>
          <w:cols w:space="0" w:num="1"/>
          <w:rtlGutter w:val="0"/>
          <w:docGrid w:linePitch="389" w:charSpace="0"/>
        </w:sectPr>
      </w:pPr>
    </w:p>
    <w:p w14:paraId="024014F7">
      <w:pPr>
        <w:pStyle w:val="4"/>
        <w:bidi w:val="0"/>
        <w:jc w:val="center"/>
        <w:rPr>
          <w:rFonts w:ascii="宋体" w:hAnsi="宋体" w:eastAsia="宋体" w:cs="宋体"/>
          <w:b/>
          <w:bCs/>
          <w:color w:val="auto"/>
          <w:sz w:val="32"/>
          <w:szCs w:val="32"/>
          <w:highlight w:val="none"/>
        </w:rPr>
      </w:pPr>
      <w:bookmarkStart w:id="87" w:name="_Toc14929"/>
      <w:bookmarkStart w:id="88" w:name="_Toc6244"/>
      <w:r>
        <w:rPr>
          <w:rFonts w:hint="eastAsia"/>
          <w:b/>
          <w:bCs/>
          <w:color w:val="auto"/>
          <w:sz w:val="32"/>
          <w:szCs w:val="32"/>
          <w:highlight w:val="none"/>
        </w:rPr>
        <w:t>第三篇  项目商务需求</w:t>
      </w:r>
      <w:bookmarkEnd w:id="81"/>
      <w:bookmarkEnd w:id="87"/>
      <w:bookmarkEnd w:id="88"/>
    </w:p>
    <w:p w14:paraId="6770C33A">
      <w:pPr>
        <w:pageBreakBefore w:val="0"/>
        <w:widowControl w:val="0"/>
        <w:kinsoku/>
        <w:wordWrap/>
        <w:overflowPunct/>
        <w:topLinePunct w:val="0"/>
        <w:autoSpaceDE/>
        <w:autoSpaceDN/>
        <w:bidi w:val="0"/>
        <w:adjustRightInd/>
        <w:snapToGrid w:val="0"/>
        <w:spacing w:line="500" w:lineRule="exact"/>
        <w:textAlignment w:val="auto"/>
        <w:rPr>
          <w:rFonts w:ascii="宋体" w:hAnsi="宋体" w:cs="宋体"/>
          <w:b/>
          <w:color w:val="auto"/>
          <w:sz w:val="24"/>
          <w:szCs w:val="24"/>
          <w:highlight w:val="none"/>
        </w:rPr>
      </w:pPr>
      <w:bookmarkStart w:id="89" w:name="_Toc267320049"/>
      <w:r>
        <w:rPr>
          <w:rFonts w:hint="eastAsia" w:ascii="宋体" w:hAnsi="宋体" w:cs="宋体"/>
          <w:b/>
          <w:color w:val="auto"/>
          <w:sz w:val="21"/>
          <w:szCs w:val="21"/>
          <w:highlight w:val="none"/>
        </w:rPr>
        <w:t>“※”标注的要求为符合性审查中的实质性要求，响应文件若不满足按无效</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处理。</w:t>
      </w:r>
    </w:p>
    <w:bookmarkEnd w:id="89"/>
    <w:p w14:paraId="3859598C">
      <w:pPr>
        <w:pStyle w:val="6"/>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90" w:name="_Toc16335"/>
      <w:bookmarkStart w:id="91" w:name="_Toc79589963"/>
      <w:bookmarkStart w:id="92" w:name="_Toc27142"/>
      <w:bookmarkStart w:id="93" w:name="_Toc21322"/>
      <w:bookmarkStart w:id="94" w:name="_Toc113370355"/>
      <w:bookmarkStart w:id="95" w:name="_Toc167376588"/>
      <w:bookmarkStart w:id="96" w:name="_Toc167376799"/>
      <w:bookmarkStart w:id="97" w:name="_Toc3802"/>
      <w:bookmarkStart w:id="98" w:name="_Toc7052"/>
      <w:bookmarkStart w:id="99" w:name="_Toc1547"/>
      <w:r>
        <w:rPr>
          <w:rFonts w:hint="eastAsia" w:ascii="宋体" w:hAnsi="宋体" w:cs="宋体"/>
          <w:color w:val="auto"/>
          <w:sz w:val="24"/>
          <w:szCs w:val="24"/>
          <w:highlight w:val="none"/>
        </w:rPr>
        <w:t>※一、</w:t>
      </w:r>
      <w:bookmarkEnd w:id="90"/>
      <w:bookmarkEnd w:id="91"/>
      <w:bookmarkEnd w:id="92"/>
      <w:bookmarkEnd w:id="93"/>
      <w:bookmarkEnd w:id="94"/>
      <w:bookmarkEnd w:id="95"/>
      <w:bookmarkEnd w:id="96"/>
      <w:r>
        <w:rPr>
          <w:rFonts w:hint="eastAsia" w:ascii="宋体" w:hAnsi="宋体" w:cs="宋体"/>
          <w:color w:val="auto"/>
          <w:sz w:val="24"/>
          <w:szCs w:val="24"/>
          <w:highlight w:val="none"/>
          <w:lang w:val="en-US" w:eastAsia="zh-CN"/>
        </w:rPr>
        <w:t>实施时间</w:t>
      </w:r>
      <w:r>
        <w:rPr>
          <w:rFonts w:hint="eastAsia" w:ascii="宋体" w:hAnsi="宋体" w:cs="宋体"/>
          <w:color w:val="auto"/>
          <w:sz w:val="24"/>
          <w:szCs w:val="24"/>
          <w:highlight w:val="none"/>
        </w:rPr>
        <w:t>、地点及验收方式</w:t>
      </w:r>
      <w:bookmarkEnd w:id="97"/>
      <w:bookmarkEnd w:id="98"/>
    </w:p>
    <w:p w14:paraId="44B3D354">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w:t>
      </w:r>
      <w:r>
        <w:rPr>
          <w:rFonts w:hint="eastAsia" w:ascii="宋体" w:hAnsi="宋体" w:cs="宋体"/>
          <w:color w:val="auto"/>
          <w:sz w:val="24"/>
          <w:szCs w:val="24"/>
          <w:highlight w:val="none"/>
          <w:lang w:val="en-US" w:eastAsia="zh-CN"/>
        </w:rPr>
        <w:t>实施时间</w:t>
      </w:r>
      <w:r>
        <w:rPr>
          <w:rFonts w:hint="eastAsia" w:ascii="宋体" w:hAnsi="宋体" w:cs="宋体"/>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2024年11月</w:t>
      </w:r>
      <w:r>
        <w:rPr>
          <w:rFonts w:hint="eastAsia" w:asciiTheme="minorEastAsia" w:hAnsiTheme="minorEastAsia" w:eastAsiaTheme="minorEastAsia" w:cstheme="minorEastAsia"/>
          <w:color w:val="auto"/>
          <w:sz w:val="24"/>
          <w:szCs w:val="24"/>
          <w:highlight w:val="none"/>
        </w:rPr>
        <w:t>至</w:t>
      </w:r>
      <w:r>
        <w:rPr>
          <w:rFonts w:hint="eastAsia" w:asciiTheme="minorEastAsia" w:hAnsiTheme="minorEastAsia" w:eastAsiaTheme="minorEastAsia" w:cstheme="minorEastAsia"/>
          <w:color w:val="auto"/>
          <w:sz w:val="24"/>
          <w:szCs w:val="24"/>
          <w:highlight w:val="none"/>
          <w:lang w:val="en-US" w:eastAsia="zh-CN"/>
        </w:rPr>
        <w:t>2024年12月31</w:t>
      </w:r>
      <w:r>
        <w:rPr>
          <w:rFonts w:hint="eastAsia" w:asciiTheme="minorEastAsia" w:hAnsiTheme="minorEastAsia" w:eastAsiaTheme="minorEastAsia" w:cstheme="minorEastAsia"/>
          <w:color w:val="auto"/>
          <w:sz w:val="24"/>
          <w:szCs w:val="24"/>
          <w:highlight w:val="none"/>
        </w:rPr>
        <w:t>日止</w:t>
      </w:r>
      <w:r>
        <w:rPr>
          <w:rFonts w:hint="eastAsia" w:ascii="宋体" w:hAnsi="宋体" w:cs="宋体"/>
          <w:color w:val="auto"/>
          <w:sz w:val="24"/>
          <w:szCs w:val="24"/>
          <w:highlight w:val="none"/>
        </w:rPr>
        <w:t>。</w:t>
      </w:r>
    </w:p>
    <w:p w14:paraId="50CE9913">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实施</w:t>
      </w:r>
      <w:r>
        <w:rPr>
          <w:rFonts w:hint="eastAsia" w:ascii="宋体" w:hAnsi="宋体" w:cs="宋体"/>
          <w:color w:val="auto"/>
          <w:sz w:val="24"/>
          <w:szCs w:val="24"/>
          <w:highlight w:val="none"/>
        </w:rPr>
        <w:t>地点：</w:t>
      </w:r>
      <w:r>
        <w:rPr>
          <w:rFonts w:hint="default" w:ascii="宋体" w:hAnsi="宋体" w:cs="宋体"/>
          <w:color w:val="auto"/>
          <w:sz w:val="24"/>
          <w:szCs w:val="24"/>
          <w:highlight w:val="none"/>
          <w:lang w:val="en-US" w:eastAsia="zh-CN"/>
        </w:rPr>
        <w:t>重庆市无线电监测站（数码大厦A座）15楼公共区域、16楼阅览室及部分公共区域。</w:t>
      </w:r>
    </w:p>
    <w:p w14:paraId="6BF68F98">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展示区域：</w:t>
      </w:r>
      <w:r>
        <w:rPr>
          <w:rFonts w:hint="default" w:ascii="宋体" w:hAnsi="宋体" w:cs="宋体"/>
          <w:color w:val="auto"/>
          <w:sz w:val="24"/>
          <w:szCs w:val="24"/>
          <w:highlight w:val="none"/>
          <w:lang w:val="en-US" w:eastAsia="zh-CN"/>
        </w:rPr>
        <w:t>15楼主要为相关公共区域及电梯出入口墙面</w:t>
      </w:r>
      <w:r>
        <w:rPr>
          <w:rFonts w:hint="eastAsia" w:ascii="宋体" w:hAnsi="宋体" w:cs="宋体"/>
          <w:color w:val="auto"/>
          <w:sz w:val="24"/>
          <w:szCs w:val="24"/>
          <w:highlight w:val="none"/>
          <w:lang w:val="en-US" w:eastAsia="zh-CN"/>
        </w:rPr>
        <w:t>、地面</w:t>
      </w:r>
      <w:r>
        <w:rPr>
          <w:rFonts w:hint="default" w:ascii="宋体" w:hAnsi="宋体" w:cs="宋体"/>
          <w:color w:val="auto"/>
          <w:sz w:val="24"/>
          <w:szCs w:val="24"/>
          <w:highlight w:val="none"/>
          <w:lang w:val="en-US" w:eastAsia="zh-CN"/>
        </w:rPr>
        <w:t>，展示墙体数量约6-9面，电子屏播放互动1-2处。16楼包含阅览室墙面、部分公共区域走廊及电梯出入口墙面</w:t>
      </w:r>
      <w:r>
        <w:rPr>
          <w:rFonts w:hint="eastAsia" w:ascii="宋体" w:hAnsi="宋体" w:cs="宋体"/>
          <w:color w:val="auto"/>
          <w:sz w:val="24"/>
          <w:szCs w:val="24"/>
          <w:highlight w:val="none"/>
          <w:lang w:val="en-US" w:eastAsia="zh-CN"/>
        </w:rPr>
        <w:t>及地面</w:t>
      </w:r>
      <w:r>
        <w:rPr>
          <w:rFonts w:hint="default" w:ascii="宋体" w:hAnsi="宋体" w:cs="宋体"/>
          <w:color w:val="auto"/>
          <w:sz w:val="24"/>
          <w:szCs w:val="24"/>
          <w:highlight w:val="none"/>
          <w:lang w:val="en-US" w:eastAsia="zh-CN"/>
        </w:rPr>
        <w:t>。以上区域合计约450平方米。</w:t>
      </w:r>
    </w:p>
    <w:p w14:paraId="0DFE1463">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）验收方式：</w:t>
      </w:r>
    </w:p>
    <w:p w14:paraId="7960E46E">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所有项目工作完成，采购人组织验收。</w:t>
      </w:r>
      <w:r>
        <w:rPr>
          <w:rFonts w:hint="eastAsia" w:asciiTheme="minorEastAsia" w:hAnsiTheme="minorEastAsia" w:eastAsiaTheme="minorEastAsia" w:cstheme="minorEastAsia"/>
          <w:color w:val="auto"/>
          <w:sz w:val="24"/>
          <w:szCs w:val="24"/>
          <w:highlight w:val="none"/>
        </w:rPr>
        <w:t>按照国家及行业相关标准、竞争性磋商文件规定对成交供应商的完成情况进行验收，如验收达不到相关规定要求，视为该项目验收不合格，采购人有权立即终止合同。由此对采购人造成一定的损失，成交供应商应承担一切责任，并赔偿所造成的损失</w:t>
      </w:r>
    </w:p>
    <w:p w14:paraId="06CBAC92">
      <w:pPr>
        <w:pStyle w:val="6"/>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100" w:name="_Toc15035"/>
      <w:bookmarkStart w:id="101" w:name="_Toc24153"/>
      <w:bookmarkStart w:id="102" w:name="_Toc15365"/>
      <w:bookmarkStart w:id="103" w:name="_Toc113370356"/>
      <w:bookmarkStart w:id="104" w:name="_Toc167376800"/>
      <w:bookmarkStart w:id="105" w:name="_Toc79589964"/>
      <w:bookmarkStart w:id="106" w:name="_Toc167376589"/>
      <w:bookmarkStart w:id="107" w:name="_Toc22442"/>
      <w:bookmarkStart w:id="108" w:name="_Toc3876"/>
      <w:bookmarkStart w:id="109" w:name="_Toc267320050"/>
      <w:r>
        <w:rPr>
          <w:rFonts w:hint="eastAsia" w:ascii="宋体" w:hAnsi="宋体" w:cs="宋体"/>
          <w:color w:val="auto"/>
          <w:sz w:val="24"/>
          <w:szCs w:val="24"/>
          <w:highlight w:val="none"/>
        </w:rPr>
        <w:t>※二、报价要求</w:t>
      </w:r>
      <w:bookmarkEnd w:id="100"/>
      <w:bookmarkEnd w:id="101"/>
      <w:bookmarkEnd w:id="102"/>
      <w:bookmarkEnd w:id="103"/>
      <w:bookmarkEnd w:id="104"/>
      <w:bookmarkEnd w:id="105"/>
      <w:bookmarkEnd w:id="106"/>
      <w:bookmarkEnd w:id="107"/>
      <w:bookmarkEnd w:id="108"/>
    </w:p>
    <w:p w14:paraId="6C61B7D0">
      <w:pPr>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本次报价须为人民币报价，总价包干。磋商报价包括完成本项目所需的</w:t>
      </w:r>
      <w:r>
        <w:rPr>
          <w:rFonts w:hint="eastAsia" w:ascii="宋体" w:hAnsi="宋体" w:cs="宋体"/>
          <w:color w:val="auto"/>
          <w:sz w:val="24"/>
          <w:szCs w:val="24"/>
          <w:highlight w:val="none"/>
          <w:lang w:val="en-US" w:eastAsia="zh-CN"/>
        </w:rPr>
        <w:t>设计、技术服务、</w:t>
      </w:r>
      <w:r>
        <w:rPr>
          <w:rFonts w:hint="eastAsia" w:ascii="宋体" w:hAnsi="宋体" w:cs="宋体"/>
          <w:color w:val="auto"/>
          <w:sz w:val="24"/>
          <w:szCs w:val="24"/>
          <w:highlight w:val="none"/>
        </w:rPr>
        <w:t>材料费、运输费（含装卸费）、安装费、调试费、人工费、保险费、税费等所有费用。（签订合同实行包干价，</w:t>
      </w:r>
      <w:r>
        <w:rPr>
          <w:rFonts w:hint="eastAsia" w:ascii="宋体" w:hAnsi="宋体" w:cs="宋体"/>
          <w:color w:val="auto"/>
          <w:sz w:val="24"/>
          <w:szCs w:val="24"/>
          <w:highlight w:val="none"/>
          <w:lang w:val="en-US" w:eastAsia="zh-CN"/>
        </w:rPr>
        <w:t>项目实施</w:t>
      </w:r>
      <w:r>
        <w:rPr>
          <w:rFonts w:hint="eastAsia" w:ascii="宋体" w:hAnsi="宋体" w:cs="宋体"/>
          <w:color w:val="auto"/>
          <w:sz w:val="24"/>
          <w:szCs w:val="24"/>
          <w:highlight w:val="none"/>
        </w:rPr>
        <w:t>过程中不增加任何费用）。各供应商</w:t>
      </w:r>
      <w:r>
        <w:rPr>
          <w:rFonts w:hint="eastAsia" w:ascii="宋体" w:hAnsi="宋体" w:cs="宋体"/>
          <w:color w:val="auto"/>
          <w:sz w:val="24"/>
          <w:szCs w:val="24"/>
          <w:highlight w:val="none"/>
          <w:lang w:val="en-US" w:eastAsia="zh-CN"/>
        </w:rPr>
        <w:t>磋商总</w:t>
      </w:r>
      <w:r>
        <w:rPr>
          <w:rFonts w:hint="eastAsia" w:ascii="宋体" w:hAnsi="宋体" w:cs="宋体"/>
          <w:color w:val="auto"/>
          <w:sz w:val="24"/>
          <w:szCs w:val="24"/>
          <w:highlight w:val="none"/>
        </w:rPr>
        <w:t>报价</w:t>
      </w:r>
      <w:r>
        <w:rPr>
          <w:rFonts w:hint="eastAsia" w:ascii="宋体" w:hAnsi="宋体" w:cs="宋体"/>
          <w:color w:val="auto"/>
          <w:sz w:val="24"/>
          <w:szCs w:val="24"/>
          <w:highlight w:val="none"/>
          <w:lang w:val="en-US" w:eastAsia="zh-CN"/>
        </w:rPr>
        <w:t>和单项报价</w:t>
      </w:r>
      <w:r>
        <w:rPr>
          <w:rFonts w:hint="eastAsia" w:ascii="宋体" w:hAnsi="宋体" w:cs="宋体"/>
          <w:color w:val="auto"/>
          <w:sz w:val="24"/>
          <w:szCs w:val="24"/>
          <w:highlight w:val="none"/>
        </w:rPr>
        <w:t>不得超过最高限价，否则按不响应磋商文件处理。</w:t>
      </w:r>
      <w:r>
        <w:rPr>
          <w:rFonts w:hint="eastAsia" w:ascii="宋体" w:hAnsi="宋体" w:cs="宋体"/>
          <w:color w:val="auto"/>
          <w:sz w:val="24"/>
          <w:szCs w:val="24"/>
          <w:highlight w:val="none"/>
          <w:lang w:val="en-US" w:eastAsia="zh-CN"/>
        </w:rPr>
        <w:t>单项最高限价详见工程清单。</w:t>
      </w:r>
    </w:p>
    <w:bookmarkEnd w:id="109"/>
    <w:p w14:paraId="002F8F39">
      <w:pPr>
        <w:pageBreakBefore w:val="0"/>
        <w:widowControl w:val="0"/>
        <w:numPr>
          <w:ilvl w:val="0"/>
          <w:numId w:val="0"/>
        </w:numPr>
        <w:kinsoku/>
        <w:wordWrap/>
        <w:overflowPunct/>
        <w:topLinePunct w:val="0"/>
        <w:autoSpaceDE/>
        <w:autoSpaceDN/>
        <w:bidi w:val="0"/>
        <w:adjustRightInd/>
        <w:snapToGrid w:val="0"/>
        <w:spacing w:before="0" w:after="0" w:line="500" w:lineRule="exact"/>
        <w:ind w:firstLine="480" w:firstLineChars="200"/>
        <w:textAlignment w:val="auto"/>
        <w:rPr>
          <w:rFonts w:hint="default" w:ascii="宋体" w:hAnsi="宋体" w:eastAsia="宋体" w:cs="宋体"/>
          <w:color w:val="auto"/>
          <w:sz w:val="24"/>
          <w:szCs w:val="24"/>
          <w:highlight w:val="none"/>
          <w:lang w:eastAsia="zh-CN"/>
        </w:rPr>
      </w:pPr>
      <w:bookmarkStart w:id="110" w:name="_Toc14962"/>
      <w:bookmarkStart w:id="111" w:name="_Toc1917"/>
      <w:bookmarkStart w:id="112" w:name="_Toc79589967"/>
      <w:bookmarkStart w:id="113" w:name="_Toc30476"/>
      <w:bookmarkStart w:id="114" w:name="_Toc523837616"/>
      <w:bookmarkStart w:id="115" w:name="_Toc14239"/>
      <w:bookmarkStart w:id="116" w:name="_Toc524444868"/>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供应商须根据采购人提供的工程清单进行填写报价，不得随意更改。磋商总报价须与单项报价总和一致，否则按不响应磋商文件处理。</w:t>
      </w:r>
    </w:p>
    <w:p w14:paraId="00968FF5">
      <w:pPr>
        <w:pStyle w:val="6"/>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※三、付款方式</w:t>
      </w:r>
      <w:bookmarkEnd w:id="110"/>
      <w:bookmarkEnd w:id="111"/>
    </w:p>
    <w:p w14:paraId="7BE3CE74">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（一）签订合同前，成交供应商向采购人指定账户汇入合同总金额</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%的履约保证金。</w:t>
      </w:r>
    </w:p>
    <w:p w14:paraId="1C52F74C">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（二）合同签订后，采购人向成交供应商支付合同金额</w:t>
      </w:r>
      <w:r>
        <w:rPr>
          <w:rFonts w:hint="eastAsia" w:ascii="宋体" w:hAnsi="宋体" w:cs="宋体"/>
          <w:color w:val="auto"/>
          <w:sz w:val="24"/>
          <w:szCs w:val="24"/>
          <w:highlight w:val="none"/>
          <w:lang w:val="en-US" w:eastAsia="zh-CN"/>
        </w:rPr>
        <w:t>100</w:t>
      </w:r>
      <w:r>
        <w:rPr>
          <w:rFonts w:hint="eastAsia" w:ascii="宋体" w:hAnsi="宋体" w:cs="宋体"/>
          <w:color w:val="auto"/>
          <w:sz w:val="24"/>
          <w:szCs w:val="24"/>
          <w:highlight w:val="none"/>
        </w:rPr>
        <w:t>%的预付款，成交供应商提供</w:t>
      </w:r>
      <w:r>
        <w:rPr>
          <w:rFonts w:hint="eastAsia" w:ascii="宋体" w:hAnsi="宋体" w:cs="宋体"/>
          <w:color w:val="auto"/>
          <w:sz w:val="24"/>
          <w:szCs w:val="24"/>
          <w:highlight w:val="none"/>
          <w:lang w:val="en-US" w:eastAsia="zh-CN"/>
        </w:rPr>
        <w:t>等额</w:t>
      </w:r>
      <w:r>
        <w:rPr>
          <w:rFonts w:hint="eastAsia" w:ascii="宋体" w:hAnsi="宋体" w:cs="宋体"/>
          <w:color w:val="auto"/>
          <w:sz w:val="24"/>
          <w:szCs w:val="24"/>
          <w:highlight w:val="none"/>
        </w:rPr>
        <w:t>发票及等额保函，保函期限不少于</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个月</w:t>
      </w:r>
      <w:r>
        <w:rPr>
          <w:rFonts w:hint="eastAsia" w:ascii="宋体" w:hAnsi="宋体" w:cs="宋体"/>
          <w:color w:val="auto"/>
          <w:sz w:val="24"/>
          <w:szCs w:val="24"/>
          <w:highlight w:val="none"/>
          <w:lang w:eastAsia="zh-CN"/>
        </w:rPr>
        <w:t>。</w:t>
      </w:r>
    </w:p>
    <w:p w14:paraId="37CAA4D1">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项目通过竣工验收后，</w:t>
      </w:r>
      <w:r>
        <w:rPr>
          <w:rFonts w:hint="eastAsia" w:ascii="宋体" w:hAnsi="宋体" w:cs="宋体"/>
          <w:color w:val="auto"/>
          <w:sz w:val="24"/>
          <w:szCs w:val="24"/>
          <w:highlight w:val="none"/>
        </w:rPr>
        <w:t>采购人</w:t>
      </w:r>
      <w:r>
        <w:rPr>
          <w:rFonts w:hint="eastAsia" w:ascii="宋体" w:hAnsi="宋体" w:cs="宋体"/>
          <w:color w:val="auto"/>
          <w:sz w:val="24"/>
          <w:szCs w:val="24"/>
          <w:highlight w:val="none"/>
          <w:lang w:val="en-US" w:eastAsia="zh-CN"/>
        </w:rPr>
        <w:t>无息全额退还履约保证金。</w:t>
      </w:r>
    </w:p>
    <w:p w14:paraId="43E9F1F3">
      <w:pPr>
        <w:pStyle w:val="6"/>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117" w:name="_Toc28277"/>
      <w:bookmarkStart w:id="118" w:name="_Toc2423"/>
      <w:r>
        <w:rPr>
          <w:rFonts w:hint="eastAsia" w:ascii="宋体" w:hAnsi="宋体" w:cs="宋体"/>
          <w:color w:val="auto"/>
          <w:sz w:val="24"/>
          <w:szCs w:val="24"/>
          <w:highlight w:val="none"/>
        </w:rPr>
        <w:t>※四、质量保证</w:t>
      </w:r>
      <w:bookmarkEnd w:id="117"/>
      <w:bookmarkEnd w:id="118"/>
    </w:p>
    <w:p w14:paraId="3610EEFD">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所供相关设备和材料必须货真价实，符合环保节能要求，假冒伪劣产品不得参与采购；所供设备和材料的各项手续、文件必须真实完整有效；其他材料各项技术参数、质量指标必须符合国家技术质量监督机构及有关管理部门和行业的规定和标准，主要技术数据和性能要详细描述，满足</w:t>
      </w:r>
      <w:r>
        <w:rPr>
          <w:rFonts w:hint="eastAsia" w:ascii="宋体" w:hAnsi="宋体" w:cs="宋体"/>
          <w:color w:val="auto"/>
          <w:sz w:val="24"/>
          <w:szCs w:val="24"/>
          <w:highlight w:val="none"/>
          <w:lang w:val="en-US" w:eastAsia="zh-CN"/>
        </w:rPr>
        <w:t>采购</w:t>
      </w:r>
      <w:r>
        <w:rPr>
          <w:rFonts w:hint="eastAsia" w:ascii="宋体" w:hAnsi="宋体" w:cs="宋体"/>
          <w:color w:val="auto"/>
          <w:sz w:val="24"/>
          <w:szCs w:val="24"/>
          <w:highlight w:val="none"/>
        </w:rPr>
        <w:t xml:space="preserve">文件全部要求。 </w:t>
      </w:r>
    </w:p>
    <w:p w14:paraId="35192F12">
      <w:pPr>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b/>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五、知识产权</w:t>
      </w:r>
      <w:bookmarkEnd w:id="112"/>
      <w:bookmarkEnd w:id="113"/>
      <w:bookmarkEnd w:id="114"/>
      <w:bookmarkEnd w:id="115"/>
      <w:bookmarkEnd w:id="116"/>
    </w:p>
    <w:p w14:paraId="08A83253">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ascii="宋体" w:hAnsi="宋体" w:cs="宋体"/>
          <w:b/>
          <w:bCs/>
          <w:color w:val="auto"/>
          <w:sz w:val="24"/>
          <w:szCs w:val="24"/>
          <w:highlight w:val="none"/>
        </w:rPr>
      </w:pPr>
      <w:r>
        <w:rPr>
          <w:rFonts w:hint="eastAsia" w:ascii="宋体" w:hAnsi="宋体" w:cs="宋体"/>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bookmarkEnd w:id="99"/>
    <w:p w14:paraId="184A6F1A">
      <w:pPr>
        <w:pStyle w:val="5"/>
        <w:pageBreakBefore w:val="0"/>
        <w:kinsoku/>
        <w:overflowPunct/>
        <w:topLinePunct w:val="0"/>
        <w:autoSpaceDE/>
        <w:autoSpaceDN/>
        <w:bidi w:val="0"/>
        <w:adjustRightInd w:val="0"/>
        <w:snapToGrid w:val="0"/>
        <w:spacing w:before="0" w:beforeLines="0" w:after="0" w:afterLines="0" w:line="480" w:lineRule="exact"/>
        <w:ind w:firstLine="482" w:firstLineChars="200"/>
        <w:jc w:val="left"/>
        <w:textAlignment w:val="auto"/>
        <w:rPr>
          <w:rFonts w:hint="eastAsia" w:ascii="宋体" w:hAnsi="宋体" w:eastAsia="宋体" w:cs="宋体"/>
          <w:color w:val="auto"/>
          <w:sz w:val="24"/>
          <w:szCs w:val="24"/>
          <w:highlight w:val="none"/>
          <w:lang w:val="en-US" w:eastAsia="zh-CN"/>
        </w:rPr>
      </w:pPr>
      <w:bookmarkStart w:id="119" w:name="_Toc21817"/>
      <w:bookmarkStart w:id="120" w:name="_Toc16727"/>
      <w:bookmarkStart w:id="121" w:name="_Toc27193"/>
      <w:bookmarkStart w:id="122" w:name="_Toc19597"/>
      <w:bookmarkStart w:id="123" w:name="_Toc31149"/>
      <w:bookmarkStart w:id="124" w:name="_Toc27077"/>
      <w:bookmarkStart w:id="125" w:name="_Toc10205"/>
      <w:bookmarkStart w:id="126" w:name="_Toc27507"/>
      <w:bookmarkStart w:id="127" w:name="_Toc79589968"/>
      <w:bookmarkStart w:id="128" w:name="_Toc80620854"/>
      <w:bookmarkStart w:id="129" w:name="_Toc441065672"/>
      <w:bookmarkStart w:id="130" w:name="_Toc23829"/>
      <w:bookmarkStart w:id="131" w:name="_Toc22675"/>
      <w:bookmarkStart w:id="132" w:name="_Toc523837618"/>
      <w:bookmarkStart w:id="133" w:name="_Toc524444870"/>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六、转包、分包</w:t>
      </w:r>
      <w:bookmarkEnd w:id="119"/>
      <w:bookmarkEnd w:id="120"/>
      <w:bookmarkEnd w:id="121"/>
      <w:bookmarkEnd w:id="122"/>
    </w:p>
    <w:p w14:paraId="71D229B5">
      <w:pPr>
        <w:pStyle w:val="6"/>
        <w:pageBreakBefore w:val="0"/>
        <w:widowControl w:val="0"/>
        <w:kinsoku/>
        <w:wordWrap/>
        <w:overflowPunct/>
        <w:topLinePunct w:val="0"/>
        <w:autoSpaceDE/>
        <w:autoSpaceDN/>
        <w:bidi w:val="0"/>
        <w:adjustRightInd/>
        <w:spacing w:before="0" w:after="0" w:line="500" w:lineRule="exact"/>
        <w:ind w:firstLine="480" w:firstLineChars="200"/>
        <w:textAlignment w:val="auto"/>
        <w:rPr>
          <w:rFonts w:hint="eastAsia" w:ascii="宋体" w:hAnsi="宋体" w:eastAsia="宋体" w:cs="宋体"/>
          <w:color w:val="auto"/>
          <w:sz w:val="24"/>
          <w:szCs w:val="24"/>
          <w:highlight w:val="none"/>
          <w:lang w:val="en-US" w:eastAsia="zh-CN"/>
        </w:rPr>
      </w:pPr>
      <w:bookmarkStart w:id="134" w:name="_Toc2529"/>
      <w:bookmarkStart w:id="135" w:name="_Toc7569"/>
      <w:r>
        <w:rPr>
          <w:rFonts w:hint="eastAsia" w:ascii="宋体" w:hAnsi="宋体" w:eastAsia="宋体" w:cs="宋体"/>
          <w:b w:val="0"/>
          <w:color w:val="auto"/>
          <w:kern w:val="0"/>
          <w:sz w:val="24"/>
          <w:szCs w:val="24"/>
          <w:highlight w:val="none"/>
          <w:lang w:val="en-US" w:eastAsia="zh-CN" w:bidi="ar-SA"/>
        </w:rPr>
        <w:t>成交供应商未经采购人书面同意，不得将本工程项目转包、分包给第三方，如成交供应商将本工程项目转包、分包给第三方的，采购人有权解除合同，因此给采购人造成的损失应由成交供应商承担赔偿责任</w:t>
      </w:r>
      <w:r>
        <w:rPr>
          <w:rFonts w:hint="eastAsia" w:ascii="宋体" w:hAnsi="宋体" w:cs="宋体"/>
          <w:b w:val="0"/>
          <w:color w:val="auto"/>
          <w:kern w:val="0"/>
          <w:sz w:val="24"/>
          <w:szCs w:val="24"/>
          <w:highlight w:val="none"/>
          <w:lang w:val="en-US" w:eastAsia="zh-CN" w:bidi="ar-SA"/>
        </w:rPr>
        <w:t>。</w:t>
      </w:r>
      <w:bookmarkEnd w:id="134"/>
      <w:bookmarkEnd w:id="135"/>
    </w:p>
    <w:p w14:paraId="34B20A03">
      <w:pPr>
        <w:pStyle w:val="6"/>
        <w:pageBreakBefore w:val="0"/>
        <w:widowControl w:val="0"/>
        <w:kinsoku/>
        <w:wordWrap/>
        <w:overflowPunct/>
        <w:topLinePunct w:val="0"/>
        <w:autoSpaceDE/>
        <w:autoSpaceDN/>
        <w:bidi w:val="0"/>
        <w:adjustRightInd/>
        <w:spacing w:before="0" w:after="0" w:line="500" w:lineRule="exact"/>
        <w:ind w:firstLine="482" w:firstLineChars="200"/>
        <w:textAlignment w:val="auto"/>
        <w:rPr>
          <w:rFonts w:ascii="宋体" w:hAnsi="宋体" w:cs="宋体"/>
          <w:color w:val="auto"/>
          <w:sz w:val="24"/>
          <w:szCs w:val="24"/>
          <w:highlight w:val="none"/>
        </w:rPr>
      </w:pPr>
      <w:bookmarkStart w:id="136" w:name="_Toc740"/>
      <w:bookmarkStart w:id="137" w:name="_Toc8095"/>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七</w:t>
      </w:r>
      <w:r>
        <w:rPr>
          <w:rFonts w:hint="eastAsia" w:ascii="宋体" w:hAnsi="宋体" w:cs="宋体"/>
          <w:color w:val="auto"/>
          <w:sz w:val="24"/>
          <w:szCs w:val="24"/>
          <w:highlight w:val="none"/>
        </w:rPr>
        <w:t>、其他</w:t>
      </w:r>
      <w:bookmarkEnd w:id="123"/>
      <w:bookmarkEnd w:id="124"/>
      <w:bookmarkEnd w:id="125"/>
      <w:bookmarkEnd w:id="126"/>
      <w:bookmarkEnd w:id="127"/>
      <w:bookmarkEnd w:id="128"/>
      <w:bookmarkEnd w:id="129"/>
      <w:bookmarkEnd w:id="130"/>
      <w:bookmarkEnd w:id="131"/>
      <w:bookmarkEnd w:id="132"/>
      <w:bookmarkEnd w:id="133"/>
      <w:bookmarkEnd w:id="136"/>
      <w:bookmarkEnd w:id="137"/>
    </w:p>
    <w:p w14:paraId="46B78D8F">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hint="eastAsia" w:ascii="宋体" w:hAnsi="宋体" w:eastAsia="宋体" w:cs="宋体"/>
          <w:color w:val="auto"/>
          <w:sz w:val="24"/>
          <w:szCs w:val="24"/>
          <w:highlight w:val="none"/>
          <w:lang w:eastAsia="zh-CN"/>
        </w:rPr>
      </w:pPr>
      <w:bookmarkStart w:id="138" w:name="_Toc6382"/>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在作业过程中发生的一切安全事故、质量事故由成交供应商自行负责承担，与采购人无关。若因作业不当给第三方造成伤害，由成交供应商承担一切经济责任及法律责任。</w:t>
      </w:r>
    </w:p>
    <w:p w14:paraId="2E9E7955">
      <w:pPr>
        <w:pageBreakBefore w:val="0"/>
        <w:widowControl w:val="0"/>
        <w:kinsoku/>
        <w:wordWrap/>
        <w:overflowPunct/>
        <w:topLinePunct w:val="0"/>
        <w:autoSpaceDE/>
        <w:autoSpaceDN/>
        <w:bidi w:val="0"/>
        <w:adjustRightInd/>
        <w:snapToGrid w:val="0"/>
        <w:spacing w:line="500" w:lineRule="exact"/>
        <w:ind w:firstLine="480" w:firstLineChars="200"/>
        <w:textAlignment w:val="auto"/>
        <w:outlineLvl w:val="0"/>
        <w:rPr>
          <w:rFonts w:ascii="宋体" w:hAnsi="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其</w:t>
      </w:r>
      <w:r>
        <w:rPr>
          <w:rFonts w:hint="eastAsia" w:ascii="宋体" w:hAnsi="宋体" w:cs="宋体"/>
          <w:color w:val="auto"/>
          <w:sz w:val="24"/>
          <w:szCs w:val="24"/>
          <w:highlight w:val="none"/>
        </w:rPr>
        <w:t>他未尽事宜由双方在合同中约定。</w:t>
      </w:r>
      <w:bookmarkEnd w:id="138"/>
    </w:p>
    <w:p w14:paraId="67AE7E18">
      <w:pPr>
        <w:pStyle w:val="4"/>
        <w:bidi w:val="0"/>
        <w:rPr>
          <w:rFonts w:hint="eastAsia"/>
          <w:color w:val="auto"/>
          <w:highlight w:val="none"/>
        </w:rPr>
        <w:sectPr>
          <w:pgSz w:w="11905" w:h="16838"/>
          <w:pgMar w:top="1417" w:right="1417" w:bottom="1417" w:left="1417" w:header="1003" w:footer="986" w:gutter="0"/>
          <w:cols w:space="0" w:num="1"/>
          <w:rtlGutter w:val="0"/>
          <w:docGrid w:linePitch="389" w:charSpace="0"/>
        </w:sectPr>
      </w:pPr>
      <w:bookmarkStart w:id="139" w:name="_Toc9497"/>
    </w:p>
    <w:p w14:paraId="4C9E83E0">
      <w:pPr>
        <w:pStyle w:val="4"/>
        <w:bidi w:val="0"/>
        <w:jc w:val="center"/>
        <w:rPr>
          <w:rFonts w:ascii="宋体" w:hAnsi="宋体" w:eastAsia="宋体" w:cs="宋体"/>
          <w:color w:val="auto"/>
          <w:szCs w:val="28"/>
          <w:highlight w:val="none"/>
        </w:rPr>
      </w:pPr>
      <w:bookmarkStart w:id="140" w:name="_Toc11881"/>
      <w:bookmarkStart w:id="141" w:name="_Toc7527"/>
      <w:r>
        <w:rPr>
          <w:rFonts w:hint="eastAsia"/>
          <w:b/>
          <w:bCs/>
          <w:color w:val="auto"/>
          <w:sz w:val="32"/>
          <w:szCs w:val="32"/>
          <w:highlight w:val="none"/>
        </w:rPr>
        <w:t>第四篇  磋商程序及方法、评审标准、无效响应和采购终止</w:t>
      </w:r>
      <w:bookmarkEnd w:id="139"/>
      <w:bookmarkEnd w:id="140"/>
      <w:bookmarkEnd w:id="141"/>
    </w:p>
    <w:p w14:paraId="18AC2BCB">
      <w:pPr>
        <w:pStyle w:val="6"/>
        <w:pageBreakBefore w:val="0"/>
        <w:widowControl w:val="0"/>
        <w:kinsoku/>
        <w:wordWrap/>
        <w:overflowPunct/>
        <w:topLinePunct w:val="0"/>
        <w:autoSpaceDE/>
        <w:autoSpaceDN/>
        <w:bidi w:val="0"/>
        <w:adjustRightInd/>
        <w:snapToGrid/>
        <w:spacing w:before="0" w:after="0" w:line="500" w:lineRule="exact"/>
        <w:ind w:firstLine="482" w:firstLineChars="200"/>
        <w:textAlignment w:val="auto"/>
        <w:rPr>
          <w:rFonts w:ascii="宋体" w:hAnsi="宋体" w:cs="宋体"/>
          <w:color w:val="auto"/>
          <w:sz w:val="24"/>
          <w:szCs w:val="24"/>
          <w:highlight w:val="none"/>
        </w:rPr>
      </w:pPr>
      <w:bookmarkStart w:id="142" w:name="_Toc160701958"/>
      <w:bookmarkStart w:id="143" w:name="_Toc12299"/>
      <w:bookmarkStart w:id="144" w:name="_Toc64732012"/>
      <w:bookmarkStart w:id="145" w:name="_Toc65660350"/>
      <w:bookmarkStart w:id="146" w:name="_Toc5167"/>
      <w:bookmarkStart w:id="147" w:name="_Toc9361"/>
      <w:bookmarkStart w:id="148" w:name="_Toc11200"/>
      <w:bookmarkStart w:id="149" w:name="_Toc4252"/>
      <w:bookmarkStart w:id="150" w:name="_Toc31190"/>
      <w:bookmarkStart w:id="151" w:name="_Toc883"/>
      <w:bookmarkStart w:id="152" w:name="_Toc1253"/>
      <w:r>
        <w:rPr>
          <w:rFonts w:hint="eastAsia" w:ascii="宋体" w:hAnsi="宋体" w:cs="宋体"/>
          <w:color w:val="auto"/>
          <w:sz w:val="24"/>
          <w:szCs w:val="24"/>
          <w:highlight w:val="none"/>
        </w:rPr>
        <w:t>一、</w:t>
      </w:r>
      <w:bookmarkEnd w:id="142"/>
      <w:bookmarkEnd w:id="143"/>
      <w:bookmarkEnd w:id="144"/>
      <w:bookmarkEnd w:id="145"/>
      <w:bookmarkEnd w:id="146"/>
      <w:bookmarkEnd w:id="147"/>
      <w:r>
        <w:rPr>
          <w:rFonts w:hint="eastAsia" w:ascii="宋体" w:hAnsi="宋体" w:cs="宋体"/>
          <w:color w:val="auto"/>
          <w:sz w:val="24"/>
          <w:szCs w:val="24"/>
          <w:highlight w:val="none"/>
        </w:rPr>
        <w:t>磋商程序及方法</w:t>
      </w:r>
      <w:bookmarkEnd w:id="148"/>
      <w:bookmarkEnd w:id="149"/>
      <w:bookmarkEnd w:id="150"/>
      <w:bookmarkEnd w:id="151"/>
      <w:bookmarkEnd w:id="152"/>
    </w:p>
    <w:p w14:paraId="73E47CD3">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磋商按竞争性磋商文件规定的时间和地点进行，供应商须有法定代表人（或其授权代表）或自然人参加并签到。竞争性磋商以抽签的形式确定磋商顺序，由本项目依法组建的竞争性磋商小组（以下简称磋商小组）分别与各供应商进行磋商。</w:t>
      </w:r>
    </w:p>
    <w:p w14:paraId="037EAC13">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（二）磋商小组对各供应商的资格条件、响应文件的有效性、完整性和响应程度进行审查。各供应商只有在完全符合要求的前提下，才能参与正式磋商。</w:t>
      </w:r>
    </w:p>
    <w:p w14:paraId="36255B44">
      <w:pPr>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1.资格性审查。依据法律法规和竞争性磋商文件的规定，对响应文件中的资格证明</w:t>
      </w:r>
      <w:r>
        <w:rPr>
          <w:rFonts w:hint="eastAsia" w:ascii="宋体" w:hAnsi="宋体" w:cs="宋体"/>
          <w:color w:val="auto"/>
          <w:sz w:val="24"/>
          <w:szCs w:val="24"/>
          <w:highlight w:val="none"/>
          <w:lang w:eastAsia="zh-CN"/>
        </w:rPr>
        <w:t>等</w:t>
      </w:r>
      <w:r>
        <w:rPr>
          <w:rFonts w:hint="eastAsia" w:ascii="宋体" w:hAnsi="宋体" w:cs="宋体"/>
          <w:color w:val="auto"/>
          <w:sz w:val="24"/>
          <w:szCs w:val="24"/>
          <w:highlight w:val="none"/>
        </w:rPr>
        <w:t>进行审查，以确定供应商是否具备磋商资格。资格性审查资料表如下：</w:t>
      </w:r>
    </w:p>
    <w:tbl>
      <w:tblPr>
        <w:tblStyle w:val="60"/>
        <w:tblW w:w="9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960"/>
        <w:gridCol w:w="5283"/>
      </w:tblGrid>
      <w:tr w14:paraId="07C6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DD1F8DC">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669" w:type="dxa"/>
            <w:gridSpan w:val="2"/>
            <w:tcBorders>
              <w:top w:val="single" w:color="auto" w:sz="4" w:space="0"/>
              <w:left w:val="single" w:color="auto" w:sz="4" w:space="0"/>
              <w:bottom w:val="single" w:color="auto" w:sz="4" w:space="0"/>
              <w:right w:val="single" w:color="auto" w:sz="4" w:space="0"/>
            </w:tcBorders>
            <w:vAlign w:val="center"/>
          </w:tcPr>
          <w:p w14:paraId="4D008613">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检查因素</w:t>
            </w:r>
          </w:p>
        </w:tc>
        <w:tc>
          <w:tcPr>
            <w:tcW w:w="5283" w:type="dxa"/>
            <w:tcBorders>
              <w:top w:val="single" w:color="auto" w:sz="4" w:space="0"/>
              <w:left w:val="single" w:color="auto" w:sz="4" w:space="0"/>
              <w:bottom w:val="single" w:color="auto" w:sz="4" w:space="0"/>
              <w:right w:val="single" w:color="auto" w:sz="4" w:space="0"/>
            </w:tcBorders>
            <w:vAlign w:val="center"/>
          </w:tcPr>
          <w:p w14:paraId="63B99BA9">
            <w:pPr>
              <w:jc w:val="center"/>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检查内容</w:t>
            </w:r>
          </w:p>
        </w:tc>
      </w:tr>
      <w:tr w14:paraId="7BFC5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4125219">
            <w:pPr>
              <w:jc w:val="center"/>
              <w:rPr>
                <w:rFonts w:ascii="宋体" w:hAnsi="宋体" w:cs="宋体"/>
                <w:color w:val="auto"/>
                <w:sz w:val="21"/>
                <w:szCs w:val="21"/>
                <w:highlight w:val="none"/>
              </w:rPr>
            </w:pPr>
            <w:r>
              <w:rPr>
                <w:rFonts w:hint="eastAsia" w:ascii="宋体" w:hAnsi="宋体" w:cs="宋体"/>
                <w:color w:val="auto"/>
                <w:sz w:val="21"/>
                <w:szCs w:val="21"/>
                <w:highlight w:val="none"/>
              </w:rPr>
              <w:t>（一）</w:t>
            </w:r>
          </w:p>
        </w:tc>
        <w:tc>
          <w:tcPr>
            <w:tcW w:w="709" w:type="dxa"/>
            <w:vMerge w:val="restart"/>
            <w:vAlign w:val="center"/>
          </w:tcPr>
          <w:p w14:paraId="2B922C3E">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《中华人民共和国政府采购法》第二十二条规定</w:t>
            </w:r>
          </w:p>
        </w:tc>
        <w:tc>
          <w:tcPr>
            <w:tcW w:w="2960" w:type="dxa"/>
            <w:vAlign w:val="center"/>
          </w:tcPr>
          <w:p w14:paraId="6D84DE76">
            <w:pPr>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tc>
        <w:tc>
          <w:tcPr>
            <w:tcW w:w="5283" w:type="dxa"/>
            <w:vAlign w:val="center"/>
          </w:tcPr>
          <w:p w14:paraId="3C01F736">
            <w:pPr>
              <w:rPr>
                <w:rFonts w:ascii="宋体" w:hAnsi="宋体" w:cs="宋体"/>
                <w:color w:val="auto"/>
                <w:sz w:val="21"/>
                <w:szCs w:val="21"/>
                <w:highlight w:val="none"/>
              </w:rPr>
            </w:pPr>
            <w:r>
              <w:rPr>
                <w:rFonts w:hint="eastAsia" w:ascii="宋体" w:hAnsi="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367F7E90">
            <w:pPr>
              <w:rPr>
                <w:rFonts w:ascii="宋体" w:hAnsi="宋体" w:cs="宋体"/>
                <w:color w:val="auto"/>
                <w:sz w:val="21"/>
                <w:szCs w:val="21"/>
                <w:highlight w:val="none"/>
              </w:rPr>
            </w:pPr>
            <w:r>
              <w:rPr>
                <w:rFonts w:hint="eastAsia" w:ascii="宋体" w:hAnsi="宋体" w:cs="宋体"/>
                <w:color w:val="auto"/>
                <w:sz w:val="21"/>
                <w:szCs w:val="21"/>
                <w:highlight w:val="none"/>
              </w:rPr>
              <w:t>2.供应商法定代表人身份证明和法定代表人授权代表委托书。</w:t>
            </w:r>
          </w:p>
        </w:tc>
      </w:tr>
      <w:tr w14:paraId="6271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58C839C">
            <w:pPr>
              <w:jc w:val="center"/>
              <w:rPr>
                <w:rFonts w:ascii="宋体" w:hAnsi="宋体" w:cs="宋体"/>
                <w:color w:val="auto"/>
                <w:sz w:val="21"/>
                <w:szCs w:val="21"/>
                <w:highlight w:val="none"/>
              </w:rPr>
            </w:pPr>
          </w:p>
        </w:tc>
        <w:tc>
          <w:tcPr>
            <w:tcW w:w="709" w:type="dxa"/>
            <w:vMerge w:val="continue"/>
            <w:vAlign w:val="center"/>
          </w:tcPr>
          <w:p w14:paraId="38D1FF9A">
            <w:pPr>
              <w:rPr>
                <w:rFonts w:ascii="宋体" w:hAnsi="宋体" w:cs="宋体"/>
                <w:color w:val="auto"/>
                <w:sz w:val="21"/>
                <w:szCs w:val="21"/>
                <w:highlight w:val="none"/>
                <w:lang w:val="zh-CN"/>
              </w:rPr>
            </w:pPr>
          </w:p>
        </w:tc>
        <w:tc>
          <w:tcPr>
            <w:tcW w:w="2960" w:type="dxa"/>
            <w:vAlign w:val="center"/>
          </w:tcPr>
          <w:p w14:paraId="069E1587">
            <w:pPr>
              <w:rPr>
                <w:rFonts w:ascii="宋体" w:hAnsi="宋体" w:cs="宋体"/>
                <w:color w:val="auto"/>
                <w:sz w:val="21"/>
                <w:szCs w:val="21"/>
                <w:highlight w:val="none"/>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具有良好的商业信誉和健全的财务会计制度</w:t>
            </w:r>
          </w:p>
        </w:tc>
        <w:tc>
          <w:tcPr>
            <w:tcW w:w="5283" w:type="dxa"/>
            <w:vMerge w:val="restart"/>
            <w:vAlign w:val="center"/>
          </w:tcPr>
          <w:p w14:paraId="5F425107">
            <w:pPr>
              <w:rPr>
                <w:rFonts w:ascii="宋体" w:hAnsi="宋体" w:cs="宋体"/>
                <w:b/>
                <w:color w:val="auto"/>
                <w:sz w:val="21"/>
                <w:szCs w:val="21"/>
                <w:highlight w:val="none"/>
              </w:rPr>
            </w:pPr>
            <w:r>
              <w:rPr>
                <w:rFonts w:hint="eastAsia" w:ascii="宋体" w:hAnsi="宋体" w:cs="宋体"/>
                <w:color w:val="auto"/>
                <w:sz w:val="21"/>
                <w:szCs w:val="21"/>
                <w:highlight w:val="none"/>
              </w:rPr>
              <w:t>供应商提供“基本资格条件承诺函”（格式详见第七篇）</w:t>
            </w:r>
          </w:p>
        </w:tc>
      </w:tr>
      <w:tr w14:paraId="77ED2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7FD069D9">
            <w:pPr>
              <w:jc w:val="center"/>
              <w:rPr>
                <w:rFonts w:ascii="宋体" w:hAnsi="宋体" w:cs="宋体"/>
                <w:color w:val="auto"/>
                <w:sz w:val="21"/>
                <w:szCs w:val="21"/>
                <w:highlight w:val="none"/>
              </w:rPr>
            </w:pPr>
          </w:p>
        </w:tc>
        <w:tc>
          <w:tcPr>
            <w:tcW w:w="709" w:type="dxa"/>
            <w:vMerge w:val="continue"/>
            <w:vAlign w:val="center"/>
          </w:tcPr>
          <w:p w14:paraId="704712F6">
            <w:pPr>
              <w:rPr>
                <w:rFonts w:ascii="宋体" w:hAnsi="宋体" w:cs="宋体"/>
                <w:color w:val="auto"/>
                <w:sz w:val="21"/>
                <w:szCs w:val="21"/>
                <w:highlight w:val="none"/>
                <w:lang w:val="zh-CN"/>
              </w:rPr>
            </w:pPr>
          </w:p>
        </w:tc>
        <w:tc>
          <w:tcPr>
            <w:tcW w:w="2960" w:type="dxa"/>
            <w:vAlign w:val="center"/>
          </w:tcPr>
          <w:p w14:paraId="735F4404">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3.具有履行合同所必需的设备和专业技术能力</w:t>
            </w:r>
          </w:p>
        </w:tc>
        <w:tc>
          <w:tcPr>
            <w:tcW w:w="5283" w:type="dxa"/>
            <w:vMerge w:val="continue"/>
            <w:vAlign w:val="center"/>
          </w:tcPr>
          <w:p w14:paraId="1BE0BF79">
            <w:pPr>
              <w:rPr>
                <w:rFonts w:ascii="宋体" w:hAnsi="宋体" w:cs="宋体"/>
                <w:color w:val="auto"/>
                <w:sz w:val="21"/>
                <w:szCs w:val="21"/>
                <w:highlight w:val="none"/>
              </w:rPr>
            </w:pPr>
          </w:p>
        </w:tc>
      </w:tr>
      <w:tr w14:paraId="0435F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1C9B9CB8">
            <w:pPr>
              <w:jc w:val="center"/>
              <w:rPr>
                <w:rFonts w:ascii="宋体" w:hAnsi="宋体" w:cs="宋体"/>
                <w:color w:val="auto"/>
                <w:sz w:val="21"/>
                <w:szCs w:val="21"/>
                <w:highlight w:val="none"/>
              </w:rPr>
            </w:pPr>
          </w:p>
        </w:tc>
        <w:tc>
          <w:tcPr>
            <w:tcW w:w="709" w:type="dxa"/>
            <w:vMerge w:val="continue"/>
            <w:vAlign w:val="center"/>
          </w:tcPr>
          <w:p w14:paraId="7345B52D">
            <w:pPr>
              <w:rPr>
                <w:rFonts w:ascii="宋体" w:hAnsi="宋体" w:cs="宋体"/>
                <w:color w:val="auto"/>
                <w:sz w:val="21"/>
                <w:szCs w:val="21"/>
                <w:highlight w:val="none"/>
                <w:lang w:val="zh-CN"/>
              </w:rPr>
            </w:pPr>
          </w:p>
        </w:tc>
        <w:tc>
          <w:tcPr>
            <w:tcW w:w="2960" w:type="dxa"/>
            <w:vAlign w:val="center"/>
          </w:tcPr>
          <w:p w14:paraId="7F4FB6FD">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4.有依法缴纳税收和社会保障金的良好记录</w:t>
            </w:r>
          </w:p>
        </w:tc>
        <w:tc>
          <w:tcPr>
            <w:tcW w:w="5283" w:type="dxa"/>
            <w:vMerge w:val="continue"/>
            <w:vAlign w:val="center"/>
          </w:tcPr>
          <w:p w14:paraId="78E22CC8">
            <w:pPr>
              <w:rPr>
                <w:rFonts w:ascii="宋体" w:hAnsi="宋体" w:cs="宋体"/>
                <w:color w:val="auto"/>
                <w:sz w:val="21"/>
                <w:szCs w:val="21"/>
                <w:highlight w:val="none"/>
              </w:rPr>
            </w:pPr>
          </w:p>
        </w:tc>
      </w:tr>
      <w:tr w14:paraId="77C6A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5B7F3F4">
            <w:pPr>
              <w:jc w:val="center"/>
              <w:rPr>
                <w:rFonts w:ascii="宋体" w:hAnsi="宋体" w:cs="宋体"/>
                <w:color w:val="auto"/>
                <w:sz w:val="21"/>
                <w:szCs w:val="21"/>
                <w:highlight w:val="none"/>
              </w:rPr>
            </w:pPr>
          </w:p>
        </w:tc>
        <w:tc>
          <w:tcPr>
            <w:tcW w:w="709" w:type="dxa"/>
            <w:vMerge w:val="continue"/>
            <w:vAlign w:val="center"/>
          </w:tcPr>
          <w:p w14:paraId="07BDF457">
            <w:pPr>
              <w:rPr>
                <w:rFonts w:ascii="宋体" w:hAnsi="宋体" w:cs="宋体"/>
                <w:color w:val="auto"/>
                <w:sz w:val="21"/>
                <w:szCs w:val="21"/>
                <w:highlight w:val="none"/>
                <w:lang w:val="zh-CN"/>
              </w:rPr>
            </w:pPr>
          </w:p>
        </w:tc>
        <w:tc>
          <w:tcPr>
            <w:tcW w:w="2960" w:type="dxa"/>
            <w:vAlign w:val="center"/>
          </w:tcPr>
          <w:p w14:paraId="71C6F3C2">
            <w:pPr>
              <w:rPr>
                <w:rFonts w:ascii="宋体" w:hAnsi="宋体" w:cs="宋体"/>
                <w:color w:val="auto"/>
                <w:sz w:val="21"/>
                <w:szCs w:val="21"/>
                <w:highlight w:val="none"/>
                <w:lang w:val="zh-CN"/>
              </w:rPr>
            </w:pPr>
            <w:r>
              <w:rPr>
                <w:rFonts w:hint="eastAsia" w:ascii="宋体" w:hAnsi="宋体" w:cs="宋体"/>
                <w:color w:val="auto"/>
                <w:sz w:val="21"/>
                <w:szCs w:val="21"/>
                <w:highlight w:val="none"/>
              </w:rPr>
              <w:t>5.参加政府采购活动前三年内，在经营活动中没有重大违法记录</w:t>
            </w:r>
          </w:p>
        </w:tc>
        <w:tc>
          <w:tcPr>
            <w:tcW w:w="5283" w:type="dxa"/>
            <w:vMerge w:val="continue"/>
            <w:vAlign w:val="center"/>
          </w:tcPr>
          <w:p w14:paraId="7619AA03">
            <w:pPr>
              <w:rPr>
                <w:rFonts w:ascii="宋体" w:hAnsi="宋体" w:cs="宋体"/>
                <w:b/>
                <w:color w:val="auto"/>
                <w:sz w:val="21"/>
                <w:szCs w:val="21"/>
                <w:highlight w:val="none"/>
              </w:rPr>
            </w:pPr>
          </w:p>
        </w:tc>
      </w:tr>
      <w:tr w14:paraId="1400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20DF5A49">
            <w:pPr>
              <w:jc w:val="center"/>
              <w:rPr>
                <w:rFonts w:ascii="宋体" w:hAnsi="宋体" w:cs="宋体"/>
                <w:color w:val="auto"/>
                <w:sz w:val="21"/>
                <w:szCs w:val="21"/>
                <w:highlight w:val="none"/>
              </w:rPr>
            </w:pPr>
          </w:p>
        </w:tc>
        <w:tc>
          <w:tcPr>
            <w:tcW w:w="709" w:type="dxa"/>
            <w:vMerge w:val="continue"/>
            <w:vAlign w:val="center"/>
          </w:tcPr>
          <w:p w14:paraId="3F533E19">
            <w:pPr>
              <w:rPr>
                <w:rFonts w:ascii="宋体" w:hAnsi="宋体" w:cs="宋体"/>
                <w:color w:val="auto"/>
                <w:sz w:val="21"/>
                <w:szCs w:val="21"/>
                <w:highlight w:val="none"/>
              </w:rPr>
            </w:pPr>
          </w:p>
        </w:tc>
        <w:tc>
          <w:tcPr>
            <w:tcW w:w="2960" w:type="dxa"/>
            <w:vAlign w:val="center"/>
          </w:tcPr>
          <w:p w14:paraId="18E41566">
            <w:pPr>
              <w:rPr>
                <w:rFonts w:ascii="宋体" w:hAnsi="宋体" w:cs="宋体"/>
                <w:color w:val="auto"/>
                <w:sz w:val="21"/>
                <w:szCs w:val="21"/>
                <w:highlight w:val="none"/>
              </w:rPr>
            </w:pPr>
            <w:r>
              <w:rPr>
                <w:rFonts w:hint="eastAsia" w:ascii="宋体" w:hAnsi="宋体" w:cs="宋体"/>
                <w:color w:val="auto"/>
                <w:sz w:val="21"/>
                <w:szCs w:val="21"/>
                <w:highlight w:val="none"/>
              </w:rPr>
              <w:t>6.法律、行政法规规定的其他条件</w:t>
            </w:r>
          </w:p>
        </w:tc>
        <w:tc>
          <w:tcPr>
            <w:tcW w:w="5283" w:type="dxa"/>
            <w:vAlign w:val="center"/>
          </w:tcPr>
          <w:p w14:paraId="19C45956">
            <w:pPr>
              <w:rPr>
                <w:rFonts w:ascii="宋体" w:hAnsi="宋体" w:cs="宋体"/>
                <w:color w:val="auto"/>
                <w:sz w:val="21"/>
                <w:szCs w:val="21"/>
                <w:highlight w:val="none"/>
              </w:rPr>
            </w:pPr>
          </w:p>
        </w:tc>
      </w:tr>
      <w:tr w14:paraId="5BB9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vAlign w:val="center"/>
          </w:tcPr>
          <w:p w14:paraId="649F5394">
            <w:pPr>
              <w:jc w:val="center"/>
              <w:rPr>
                <w:rFonts w:ascii="宋体" w:hAnsi="宋体" w:cs="宋体"/>
                <w:color w:val="auto"/>
                <w:sz w:val="21"/>
                <w:szCs w:val="21"/>
                <w:highlight w:val="none"/>
              </w:rPr>
            </w:pPr>
          </w:p>
        </w:tc>
        <w:tc>
          <w:tcPr>
            <w:tcW w:w="709" w:type="dxa"/>
            <w:vMerge w:val="continue"/>
            <w:vAlign w:val="center"/>
          </w:tcPr>
          <w:p w14:paraId="7EA643D9">
            <w:pPr>
              <w:rPr>
                <w:rFonts w:ascii="宋体" w:hAnsi="宋体" w:cs="宋体"/>
                <w:color w:val="auto"/>
                <w:sz w:val="21"/>
                <w:szCs w:val="21"/>
                <w:highlight w:val="none"/>
              </w:rPr>
            </w:pPr>
          </w:p>
        </w:tc>
        <w:tc>
          <w:tcPr>
            <w:tcW w:w="2960" w:type="dxa"/>
            <w:vAlign w:val="center"/>
          </w:tcPr>
          <w:p w14:paraId="7D016BC9">
            <w:pPr>
              <w:rPr>
                <w:rFonts w:ascii="宋体" w:hAnsi="宋体" w:cs="宋体"/>
                <w:color w:val="auto"/>
                <w:sz w:val="21"/>
                <w:szCs w:val="21"/>
                <w:highlight w:val="none"/>
              </w:rPr>
            </w:pPr>
            <w:r>
              <w:rPr>
                <w:rFonts w:hint="eastAsia" w:ascii="宋体" w:hAnsi="宋体" w:cs="宋体"/>
                <w:color w:val="auto"/>
                <w:sz w:val="21"/>
                <w:szCs w:val="21"/>
                <w:highlight w:val="none"/>
              </w:rPr>
              <w:t>7.本项目的特定资格要求</w:t>
            </w:r>
          </w:p>
        </w:tc>
        <w:tc>
          <w:tcPr>
            <w:tcW w:w="5283" w:type="dxa"/>
            <w:vAlign w:val="center"/>
          </w:tcPr>
          <w:p w14:paraId="31C5BC87">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按“第一篇三、供应商资格要求（三）本项目的特定资格要求”的要求提交。</w:t>
            </w:r>
          </w:p>
        </w:tc>
      </w:tr>
      <w:tr w14:paraId="5A5C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14:paraId="0D9EACD0">
            <w:pPr>
              <w:jc w:val="center"/>
              <w:rPr>
                <w:rFonts w:ascii="宋体" w:hAnsi="宋体" w:cs="宋体"/>
                <w:color w:val="auto"/>
                <w:sz w:val="21"/>
                <w:szCs w:val="21"/>
                <w:highlight w:val="none"/>
              </w:rPr>
            </w:pPr>
            <w:r>
              <w:rPr>
                <w:rFonts w:hint="eastAsia" w:ascii="宋体" w:hAnsi="宋体" w:cs="宋体"/>
                <w:color w:val="auto"/>
                <w:sz w:val="21"/>
                <w:szCs w:val="21"/>
                <w:highlight w:val="none"/>
              </w:rPr>
              <w:t>（二）</w:t>
            </w:r>
          </w:p>
        </w:tc>
        <w:tc>
          <w:tcPr>
            <w:tcW w:w="3669" w:type="dxa"/>
            <w:gridSpan w:val="2"/>
            <w:vAlign w:val="center"/>
          </w:tcPr>
          <w:p w14:paraId="2F2CA252">
            <w:pPr>
              <w:rPr>
                <w:rFonts w:ascii="宋体" w:hAnsi="宋体" w:cs="宋体"/>
                <w:color w:val="auto"/>
                <w:sz w:val="21"/>
                <w:szCs w:val="21"/>
                <w:highlight w:val="none"/>
              </w:rPr>
            </w:pPr>
            <w:r>
              <w:rPr>
                <w:rFonts w:hint="eastAsia" w:ascii="宋体" w:hAnsi="宋体" w:cs="宋体"/>
                <w:color w:val="auto"/>
                <w:sz w:val="21"/>
                <w:szCs w:val="21"/>
                <w:highlight w:val="none"/>
              </w:rPr>
              <w:t>落实政府采购政策需满足的资格要求</w:t>
            </w:r>
          </w:p>
        </w:tc>
        <w:tc>
          <w:tcPr>
            <w:tcW w:w="5283" w:type="dxa"/>
            <w:vAlign w:val="center"/>
          </w:tcPr>
          <w:p w14:paraId="644E1CA4">
            <w:pPr>
              <w:rPr>
                <w:rFonts w:ascii="宋体" w:hAnsi="宋体" w:cs="宋体"/>
                <w:color w:val="auto"/>
                <w:sz w:val="21"/>
                <w:szCs w:val="21"/>
                <w:highlight w:val="none"/>
              </w:rPr>
            </w:pPr>
            <w:r>
              <w:rPr>
                <w:rFonts w:hint="eastAsia" w:ascii="宋体" w:hAnsi="宋体" w:cs="宋体"/>
                <w:color w:val="auto"/>
                <w:sz w:val="21"/>
                <w:szCs w:val="21"/>
                <w:highlight w:val="none"/>
              </w:rPr>
              <w:t>按“第一篇三、供应商资格要求（二）落实政府采购政策需满足的资格要求”的要求提交（如果有）。</w:t>
            </w:r>
          </w:p>
        </w:tc>
      </w:tr>
      <w:tr w14:paraId="02B9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17" w:type="dxa"/>
            <w:vAlign w:val="center"/>
          </w:tcPr>
          <w:p w14:paraId="68242F4E">
            <w:pPr>
              <w:jc w:val="center"/>
              <w:rPr>
                <w:rFonts w:ascii="宋体" w:hAnsi="宋体" w:cs="宋体"/>
                <w:color w:val="auto"/>
                <w:sz w:val="21"/>
                <w:szCs w:val="21"/>
                <w:highlight w:val="none"/>
              </w:rPr>
            </w:pPr>
            <w:r>
              <w:rPr>
                <w:rFonts w:hint="eastAsia" w:ascii="宋体" w:hAnsi="宋体" w:cs="宋体"/>
                <w:color w:val="auto"/>
                <w:sz w:val="21"/>
                <w:szCs w:val="21"/>
                <w:highlight w:val="none"/>
              </w:rPr>
              <w:t>（三）</w:t>
            </w:r>
          </w:p>
        </w:tc>
        <w:tc>
          <w:tcPr>
            <w:tcW w:w="3669" w:type="dxa"/>
            <w:gridSpan w:val="2"/>
            <w:vAlign w:val="center"/>
          </w:tcPr>
          <w:p w14:paraId="5DC9A049">
            <w:pPr>
              <w:spacing w:line="380" w:lineRule="exact"/>
              <w:rPr>
                <w:rFonts w:ascii="宋体" w:hAnsi="宋体" w:cs="宋体"/>
                <w:color w:val="auto"/>
                <w:sz w:val="21"/>
                <w:szCs w:val="21"/>
                <w:highlight w:val="none"/>
              </w:rPr>
            </w:pPr>
            <w:r>
              <w:rPr>
                <w:rFonts w:hint="eastAsia" w:ascii="宋体" w:hAnsi="宋体" w:cs="宋体"/>
                <w:color w:val="auto"/>
                <w:sz w:val="21"/>
                <w:szCs w:val="21"/>
                <w:highlight w:val="none"/>
              </w:rPr>
              <w:t>磋商保证金</w:t>
            </w:r>
          </w:p>
        </w:tc>
        <w:tc>
          <w:tcPr>
            <w:tcW w:w="5283" w:type="dxa"/>
            <w:vAlign w:val="center"/>
          </w:tcPr>
          <w:p w14:paraId="285B29D2">
            <w:pPr>
              <w:spacing w:line="240" w:lineRule="exact"/>
              <w:rPr>
                <w:rFonts w:ascii="宋体" w:hAnsi="宋体" w:cs="宋体"/>
                <w:color w:val="auto"/>
                <w:sz w:val="21"/>
                <w:szCs w:val="21"/>
                <w:highlight w:val="none"/>
              </w:rPr>
            </w:pPr>
            <w:r>
              <w:rPr>
                <w:rFonts w:hint="eastAsia" w:ascii="宋体" w:hAnsi="宋体" w:cs="宋体"/>
                <w:color w:val="auto"/>
                <w:sz w:val="21"/>
                <w:szCs w:val="21"/>
                <w:highlight w:val="none"/>
              </w:rPr>
              <w:t>按照竞争性磋商文件要求足额交纳项目的磋商保证金。</w:t>
            </w:r>
          </w:p>
        </w:tc>
      </w:tr>
    </w:tbl>
    <w:p w14:paraId="71EFB84E">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注：</w:t>
      </w:r>
    </w:p>
    <w:p w14:paraId="754C2B11">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kern w:val="0"/>
          <w:sz w:val="24"/>
          <w:szCs w:val="24"/>
          <w:highlight w:val="none"/>
        </w:rPr>
        <w:t>①</w:t>
      </w:r>
      <w:r>
        <w:rPr>
          <w:rFonts w:hint="eastAsia" w:ascii="宋体" w:hAnsi="宋体" w:cs="宋体"/>
          <w:color w:val="auto"/>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316D1BEF">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cs="宋体"/>
          <w:color w:val="auto"/>
          <w:kern w:val="0"/>
          <w:sz w:val="21"/>
          <w:szCs w:val="21"/>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9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555"/>
        <w:gridCol w:w="1974"/>
        <w:gridCol w:w="5163"/>
      </w:tblGrid>
      <w:tr w14:paraId="720AF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67" w:type="dxa"/>
            <w:vAlign w:val="center"/>
          </w:tcPr>
          <w:p w14:paraId="1C5B69E0">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序号</w:t>
            </w:r>
          </w:p>
        </w:tc>
        <w:tc>
          <w:tcPr>
            <w:tcW w:w="3529" w:type="dxa"/>
            <w:gridSpan w:val="2"/>
            <w:vAlign w:val="center"/>
          </w:tcPr>
          <w:p w14:paraId="46331D99">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评审因素</w:t>
            </w:r>
          </w:p>
        </w:tc>
        <w:tc>
          <w:tcPr>
            <w:tcW w:w="5163" w:type="dxa"/>
            <w:vAlign w:val="center"/>
          </w:tcPr>
          <w:p w14:paraId="22C0A8B3">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评审标准</w:t>
            </w:r>
          </w:p>
        </w:tc>
      </w:tr>
      <w:tr w14:paraId="6A2A4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667" w:type="dxa"/>
            <w:vMerge w:val="restart"/>
            <w:vAlign w:val="center"/>
          </w:tcPr>
          <w:p w14:paraId="2C61DFB9">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1555" w:type="dxa"/>
            <w:vMerge w:val="restart"/>
            <w:vAlign w:val="center"/>
          </w:tcPr>
          <w:p w14:paraId="2446264F">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有效性审查</w:t>
            </w:r>
          </w:p>
        </w:tc>
        <w:tc>
          <w:tcPr>
            <w:tcW w:w="1974" w:type="dxa"/>
            <w:vAlign w:val="center"/>
          </w:tcPr>
          <w:p w14:paraId="5FC68D9F">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rPr>
              <w:t>响应文件签署</w:t>
            </w:r>
          </w:p>
        </w:tc>
        <w:tc>
          <w:tcPr>
            <w:tcW w:w="5163" w:type="dxa"/>
            <w:vAlign w:val="center"/>
          </w:tcPr>
          <w:p w14:paraId="1E20EB1A">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按竞争性磋商文件“第七篇响应文件编制要求”要求签署或盖章。</w:t>
            </w:r>
          </w:p>
        </w:tc>
      </w:tr>
      <w:tr w14:paraId="1619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667" w:type="dxa"/>
            <w:vMerge w:val="continue"/>
            <w:vAlign w:val="center"/>
          </w:tcPr>
          <w:p w14:paraId="03E5A343">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p>
        </w:tc>
        <w:tc>
          <w:tcPr>
            <w:tcW w:w="1555" w:type="dxa"/>
            <w:vMerge w:val="continue"/>
            <w:vAlign w:val="center"/>
          </w:tcPr>
          <w:p w14:paraId="15585D07">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p>
        </w:tc>
        <w:tc>
          <w:tcPr>
            <w:tcW w:w="1974" w:type="dxa"/>
            <w:vAlign w:val="center"/>
          </w:tcPr>
          <w:p w14:paraId="573B7477">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rPr>
            </w:pPr>
            <w:r>
              <w:rPr>
                <w:rFonts w:hint="eastAsia" w:ascii="宋体" w:hAnsi="宋体" w:cs="宋体"/>
                <w:color w:val="auto"/>
                <w:sz w:val="21"/>
                <w:szCs w:val="21"/>
                <w:highlight w:val="none"/>
              </w:rPr>
              <w:t>法定代表人身份证明及授权委托书</w:t>
            </w:r>
          </w:p>
        </w:tc>
        <w:tc>
          <w:tcPr>
            <w:tcW w:w="5163" w:type="dxa"/>
            <w:vAlign w:val="center"/>
          </w:tcPr>
          <w:p w14:paraId="492F4016">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法定代表人身份证明及授权委托书有效，符合竞争性磋商文件规定的格式，签署或盖章齐全。</w:t>
            </w:r>
          </w:p>
        </w:tc>
      </w:tr>
      <w:tr w14:paraId="004EA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7" w:type="dxa"/>
            <w:vMerge w:val="continue"/>
            <w:vAlign w:val="center"/>
          </w:tcPr>
          <w:p w14:paraId="175EE228">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p>
        </w:tc>
        <w:tc>
          <w:tcPr>
            <w:tcW w:w="1555" w:type="dxa"/>
            <w:vMerge w:val="continue"/>
            <w:vAlign w:val="center"/>
          </w:tcPr>
          <w:p w14:paraId="07D0D22F">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p>
        </w:tc>
        <w:tc>
          <w:tcPr>
            <w:tcW w:w="1974" w:type="dxa"/>
            <w:vAlign w:val="center"/>
          </w:tcPr>
          <w:p w14:paraId="0C007A4A">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磋商方案</w:t>
            </w:r>
          </w:p>
        </w:tc>
        <w:tc>
          <w:tcPr>
            <w:tcW w:w="5163" w:type="dxa"/>
            <w:vAlign w:val="center"/>
          </w:tcPr>
          <w:p w14:paraId="3740C2EF">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只能有一个响应方案。</w:t>
            </w:r>
          </w:p>
        </w:tc>
      </w:tr>
      <w:tr w14:paraId="46C4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67" w:type="dxa"/>
            <w:vMerge w:val="continue"/>
            <w:vAlign w:val="center"/>
          </w:tcPr>
          <w:p w14:paraId="4A5AF025">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p>
        </w:tc>
        <w:tc>
          <w:tcPr>
            <w:tcW w:w="1555" w:type="dxa"/>
            <w:vMerge w:val="continue"/>
            <w:vAlign w:val="center"/>
          </w:tcPr>
          <w:p w14:paraId="0DA558C5">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p>
        </w:tc>
        <w:tc>
          <w:tcPr>
            <w:tcW w:w="1974" w:type="dxa"/>
            <w:vAlign w:val="center"/>
          </w:tcPr>
          <w:p w14:paraId="1EC14EE2">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报价唯一</w:t>
            </w:r>
          </w:p>
        </w:tc>
        <w:tc>
          <w:tcPr>
            <w:tcW w:w="5163" w:type="dxa"/>
            <w:vAlign w:val="center"/>
          </w:tcPr>
          <w:p w14:paraId="7AE4B9B9">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只能有一个有效报价，不得提交选择性报价。</w:t>
            </w:r>
          </w:p>
        </w:tc>
      </w:tr>
      <w:tr w14:paraId="21B1E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667" w:type="dxa"/>
            <w:vAlign w:val="center"/>
          </w:tcPr>
          <w:p w14:paraId="3598D334">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1555" w:type="dxa"/>
            <w:vAlign w:val="center"/>
          </w:tcPr>
          <w:p w14:paraId="08B5C75B">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完整性审查</w:t>
            </w:r>
          </w:p>
        </w:tc>
        <w:tc>
          <w:tcPr>
            <w:tcW w:w="1974" w:type="dxa"/>
            <w:vAlign w:val="center"/>
          </w:tcPr>
          <w:p w14:paraId="6013FF44">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sz w:val="21"/>
                <w:szCs w:val="21"/>
                <w:highlight w:val="none"/>
                <w:lang w:val="zh-CN"/>
              </w:rPr>
              <w:t>响应文件份数</w:t>
            </w:r>
          </w:p>
        </w:tc>
        <w:tc>
          <w:tcPr>
            <w:tcW w:w="5163" w:type="dxa"/>
            <w:vAlign w:val="center"/>
          </w:tcPr>
          <w:p w14:paraId="0FD82485">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响应文件正、副本数量（含电子文档）符合竞争性磋商文件要求。</w:t>
            </w:r>
          </w:p>
        </w:tc>
      </w:tr>
      <w:tr w14:paraId="53F3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67" w:type="dxa"/>
            <w:vMerge w:val="restart"/>
            <w:vAlign w:val="center"/>
          </w:tcPr>
          <w:p w14:paraId="12EAB777">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w:t>
            </w:r>
          </w:p>
        </w:tc>
        <w:tc>
          <w:tcPr>
            <w:tcW w:w="1555" w:type="dxa"/>
            <w:vMerge w:val="restart"/>
            <w:vAlign w:val="center"/>
          </w:tcPr>
          <w:p w14:paraId="5C27C97D">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lang w:val="zh-CN"/>
              </w:rPr>
            </w:pPr>
            <w:r>
              <w:rPr>
                <w:rFonts w:hint="eastAsia" w:ascii="宋体" w:hAnsi="宋体" w:cs="宋体"/>
                <w:color w:val="auto"/>
                <w:kern w:val="0"/>
                <w:sz w:val="21"/>
                <w:szCs w:val="21"/>
                <w:highlight w:val="none"/>
              </w:rPr>
              <w:t>实质性审查</w:t>
            </w:r>
          </w:p>
        </w:tc>
        <w:tc>
          <w:tcPr>
            <w:tcW w:w="1974" w:type="dxa"/>
            <w:vAlign w:val="center"/>
          </w:tcPr>
          <w:p w14:paraId="6AB5D233">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响应文件内容</w:t>
            </w:r>
          </w:p>
        </w:tc>
        <w:tc>
          <w:tcPr>
            <w:tcW w:w="5163" w:type="dxa"/>
            <w:vAlign w:val="center"/>
          </w:tcPr>
          <w:p w14:paraId="4EDCC56A">
            <w:pPr>
              <w:pStyle w:val="34"/>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竞争性磋商文件第二篇、第三篇“※”标注部分。</w:t>
            </w:r>
          </w:p>
        </w:tc>
      </w:tr>
      <w:tr w14:paraId="00B7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667" w:type="dxa"/>
            <w:vMerge w:val="continue"/>
            <w:vAlign w:val="center"/>
          </w:tcPr>
          <w:p w14:paraId="06639DE4">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宋体"/>
                <w:color w:val="auto"/>
                <w:kern w:val="0"/>
                <w:sz w:val="21"/>
                <w:szCs w:val="21"/>
                <w:highlight w:val="none"/>
              </w:rPr>
            </w:pPr>
          </w:p>
        </w:tc>
        <w:tc>
          <w:tcPr>
            <w:tcW w:w="1555" w:type="dxa"/>
            <w:vMerge w:val="continue"/>
            <w:vAlign w:val="center"/>
          </w:tcPr>
          <w:p w14:paraId="17E4B126">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sz w:val="21"/>
                <w:szCs w:val="21"/>
                <w:highlight w:val="none"/>
                <w:lang w:val="zh-CN"/>
              </w:rPr>
            </w:pPr>
          </w:p>
        </w:tc>
        <w:tc>
          <w:tcPr>
            <w:tcW w:w="1974" w:type="dxa"/>
            <w:vAlign w:val="center"/>
          </w:tcPr>
          <w:p w14:paraId="5222A63A">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磋商有效期</w:t>
            </w:r>
          </w:p>
        </w:tc>
        <w:tc>
          <w:tcPr>
            <w:tcW w:w="5163" w:type="dxa"/>
            <w:vAlign w:val="center"/>
          </w:tcPr>
          <w:p w14:paraId="5E179681">
            <w:pPr>
              <w:keepNext w:val="0"/>
              <w:keepLines w:val="0"/>
              <w:pageBreakBefore w:val="0"/>
              <w:widowControl w:val="0"/>
              <w:kinsoku/>
              <w:wordWrap/>
              <w:overflowPunct/>
              <w:topLinePunct w:val="0"/>
              <w:autoSpaceDE/>
              <w:autoSpaceDN/>
              <w:bidi w:val="0"/>
              <w:adjustRightInd/>
              <w:spacing w:line="500" w:lineRule="exact"/>
              <w:textAlignment w:val="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响应文件及有关承诺文件有效期为提交响应文件截止时间起90天。</w:t>
            </w:r>
          </w:p>
        </w:tc>
      </w:tr>
    </w:tbl>
    <w:p w14:paraId="209A954F">
      <w:pPr>
        <w:keepNext w:val="0"/>
        <w:keepLines w:val="0"/>
        <w:pageBreakBefore w:val="0"/>
        <w:widowControl w:val="0"/>
        <w:numPr>
          <w:ilvl w:val="0"/>
          <w:numId w:val="14"/>
        </w:numPr>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5A7F3DE0">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FB1CE29">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3A153B91">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（五）在磋商过程中磋商的任何一方不得向他人透露与磋商有关的技术资料、价格或其他信息。</w:t>
      </w:r>
    </w:p>
    <w:p w14:paraId="2F727E7D">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六）在磋商过程中，磋商小组可以根据竞争性磋商文件和磋商情况实质性变动采购需求中的技术、商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23AE98E8">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（七）供应商在磋商时作出的所有书面承诺须由法定代表人（或其授权代表）或自然人（供应商为自然人）签署。</w:t>
      </w:r>
    </w:p>
    <w:p w14:paraId="5D90951B">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（八）经磋商确定最终采购需求且磋商结束后，供应商应当按照竞争性磋商文件的变动情况和磋商小组的要求重新提交响应文件或重新</w:t>
      </w:r>
      <w:r>
        <w:rPr>
          <w:rFonts w:hint="eastAsia" w:ascii="宋体" w:hAnsi="宋体" w:cs="宋体"/>
          <w:color w:val="auto"/>
          <w:sz w:val="24"/>
          <w:szCs w:val="24"/>
          <w:highlight w:val="none"/>
          <w:lang w:val="en-US" w:eastAsia="zh-CN"/>
        </w:rPr>
        <w:t>做</w:t>
      </w:r>
      <w:r>
        <w:rPr>
          <w:rFonts w:hint="eastAsia" w:ascii="宋体" w:hAnsi="宋体" w:cs="宋体"/>
          <w:color w:val="auto"/>
          <w:sz w:val="24"/>
          <w:szCs w:val="24"/>
          <w:highlight w:val="none"/>
          <w:lang w:eastAsia="zh-CN"/>
        </w:rPr>
        <w:t>出</w:t>
      </w:r>
      <w:r>
        <w:rPr>
          <w:rFonts w:hint="eastAsia" w:ascii="宋体" w:hAnsi="宋体" w:cs="宋体"/>
          <w:color w:val="auto"/>
          <w:sz w:val="24"/>
          <w:szCs w:val="24"/>
          <w:highlight w:val="none"/>
        </w:rPr>
        <w:t>相关的书面承诺，最后书面提交最后报价及有关承诺（《最后报价表》在磋商现场向供应商提供）。已提交响应文件但未在规定时间内进行最后报价的供应商，视为放弃最后报价，以供应商响应文件中的报价为准。</w:t>
      </w:r>
    </w:p>
    <w:p w14:paraId="1CB33FC3">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九）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技术、商务等评定因素分别按</w:t>
      </w:r>
      <w:bookmarkStart w:id="328" w:name="_GoBack"/>
      <w:bookmarkEnd w:id="328"/>
      <w:r>
        <w:rPr>
          <w:rFonts w:hint="eastAsia" w:ascii="宋体" w:hAnsi="宋体" w:cs="宋体"/>
          <w:color w:val="auto"/>
          <w:sz w:val="24"/>
          <w:szCs w:val="24"/>
          <w:highlight w:val="none"/>
        </w:rPr>
        <w:t>照相应权重值计算分项得分后相加，满分为100分。</w:t>
      </w:r>
    </w:p>
    <w:p w14:paraId="70896799">
      <w:pPr>
        <w:keepNext w:val="0"/>
        <w:keepLines w:val="0"/>
        <w:pageBreakBefore w:val="0"/>
        <w:widowControl w:val="0"/>
        <w:kinsoku/>
        <w:wordWrap/>
        <w:overflowPunct/>
        <w:topLinePunct w:val="0"/>
        <w:autoSpaceDE/>
        <w:autoSpaceDN/>
        <w:bidi w:val="0"/>
        <w:adjustRightInd/>
        <w:spacing w:line="500" w:lineRule="exact"/>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指标优劣顺序排列推荐。技术部分得分为0分的供应商将失去成为成交候选供应商资格。</w:t>
      </w:r>
    </w:p>
    <w:p w14:paraId="52ACFF8C">
      <w:pPr>
        <w:pStyle w:val="6"/>
        <w:spacing w:before="0" w:after="0" w:line="440" w:lineRule="exact"/>
        <w:ind w:firstLine="482" w:firstLineChars="200"/>
        <w:rPr>
          <w:rFonts w:ascii="宋体" w:hAnsi="宋体" w:cs="宋体"/>
          <w:color w:val="auto"/>
          <w:sz w:val="24"/>
          <w:szCs w:val="24"/>
          <w:highlight w:val="none"/>
        </w:rPr>
      </w:pPr>
      <w:bookmarkStart w:id="153" w:name="_Toc32242"/>
      <w:bookmarkStart w:id="154" w:name="_Toc4547"/>
      <w:bookmarkStart w:id="155" w:name="_Toc21803"/>
      <w:bookmarkStart w:id="156" w:name="_Toc4684"/>
      <w:bookmarkStart w:id="157" w:name="_Toc25860"/>
      <w:bookmarkStart w:id="158" w:name="_Toc5628"/>
      <w:r>
        <w:rPr>
          <w:rFonts w:hint="eastAsia" w:ascii="宋体" w:hAnsi="宋体" w:cs="宋体"/>
          <w:color w:val="auto"/>
          <w:sz w:val="24"/>
          <w:szCs w:val="24"/>
          <w:highlight w:val="none"/>
        </w:rPr>
        <w:t>二、</w:t>
      </w:r>
      <w:bookmarkStart w:id="159" w:name="_Toc342913394"/>
      <w:bookmarkStart w:id="160" w:name="_Toc102227320"/>
      <w:r>
        <w:rPr>
          <w:rFonts w:hint="eastAsia" w:ascii="宋体" w:hAnsi="宋体" w:cs="宋体"/>
          <w:color w:val="auto"/>
          <w:sz w:val="24"/>
          <w:szCs w:val="24"/>
          <w:highlight w:val="none"/>
        </w:rPr>
        <w:t>评审标准</w:t>
      </w:r>
      <w:bookmarkEnd w:id="153"/>
      <w:bookmarkEnd w:id="154"/>
      <w:bookmarkEnd w:id="155"/>
      <w:bookmarkEnd w:id="156"/>
      <w:bookmarkEnd w:id="157"/>
      <w:bookmarkEnd w:id="158"/>
    </w:p>
    <w:bookmarkEnd w:id="159"/>
    <w:bookmarkEnd w:id="160"/>
    <w:tbl>
      <w:tblPr>
        <w:tblStyle w:val="60"/>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142"/>
        <w:gridCol w:w="832"/>
        <w:gridCol w:w="5061"/>
        <w:gridCol w:w="1771"/>
      </w:tblGrid>
      <w:tr w14:paraId="12F9F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6E2D41D0">
            <w:pPr>
              <w:spacing w:line="360" w:lineRule="auto"/>
              <w:ind w:firstLine="28"/>
              <w:jc w:val="center"/>
              <w:rPr>
                <w:rFonts w:ascii="宋体" w:hAnsi="宋体" w:cs="宋体"/>
                <w:b/>
                <w:color w:val="auto"/>
                <w:sz w:val="20"/>
                <w:highlight w:val="none"/>
              </w:rPr>
            </w:pPr>
            <w:bookmarkStart w:id="161" w:name="_Toc12293"/>
            <w:bookmarkStart w:id="162" w:name="_Toc29624"/>
            <w:r>
              <w:rPr>
                <w:rFonts w:hint="eastAsia" w:ascii="宋体" w:hAnsi="宋体" w:cs="宋体"/>
                <w:b/>
                <w:color w:val="auto"/>
                <w:sz w:val="20"/>
                <w:highlight w:val="none"/>
              </w:rPr>
              <w:t>序号</w:t>
            </w:r>
          </w:p>
        </w:tc>
        <w:tc>
          <w:tcPr>
            <w:tcW w:w="1142" w:type="dxa"/>
            <w:tcBorders>
              <w:top w:val="single" w:color="auto" w:sz="4" w:space="0"/>
              <w:left w:val="single" w:color="auto" w:sz="4" w:space="0"/>
              <w:bottom w:val="single" w:color="auto" w:sz="4" w:space="0"/>
              <w:right w:val="single" w:color="auto" w:sz="4" w:space="0"/>
            </w:tcBorders>
            <w:vAlign w:val="center"/>
          </w:tcPr>
          <w:p w14:paraId="177A9A4F">
            <w:pPr>
              <w:spacing w:line="360" w:lineRule="auto"/>
              <w:ind w:firstLine="28"/>
              <w:jc w:val="center"/>
              <w:rPr>
                <w:rFonts w:ascii="宋体" w:hAnsi="宋体" w:cs="宋体"/>
                <w:b/>
                <w:color w:val="auto"/>
                <w:sz w:val="20"/>
                <w:highlight w:val="none"/>
              </w:rPr>
            </w:pPr>
            <w:r>
              <w:rPr>
                <w:rFonts w:hint="eastAsia" w:ascii="宋体" w:hAnsi="宋体" w:cs="宋体"/>
                <w:b/>
                <w:color w:val="auto"/>
                <w:sz w:val="20"/>
                <w:highlight w:val="none"/>
              </w:rPr>
              <w:t>评分因素</w:t>
            </w:r>
          </w:p>
          <w:p w14:paraId="230F0A52">
            <w:pPr>
              <w:spacing w:line="360" w:lineRule="auto"/>
              <w:ind w:firstLine="28"/>
              <w:jc w:val="center"/>
              <w:rPr>
                <w:rFonts w:ascii="宋体" w:hAnsi="宋体" w:cs="宋体"/>
                <w:b/>
                <w:color w:val="auto"/>
                <w:sz w:val="20"/>
                <w:highlight w:val="none"/>
              </w:rPr>
            </w:pPr>
            <w:r>
              <w:rPr>
                <w:rFonts w:hint="eastAsia" w:ascii="宋体" w:hAnsi="宋体" w:cs="宋体"/>
                <w:b/>
                <w:color w:val="auto"/>
                <w:sz w:val="20"/>
                <w:highlight w:val="none"/>
              </w:rPr>
              <w:t>及权重</w:t>
            </w:r>
          </w:p>
        </w:tc>
        <w:tc>
          <w:tcPr>
            <w:tcW w:w="832" w:type="dxa"/>
            <w:tcBorders>
              <w:top w:val="single" w:color="auto" w:sz="4" w:space="0"/>
              <w:left w:val="single" w:color="auto" w:sz="4" w:space="0"/>
              <w:bottom w:val="single" w:color="auto" w:sz="4" w:space="0"/>
              <w:right w:val="single" w:color="auto" w:sz="4" w:space="0"/>
            </w:tcBorders>
            <w:vAlign w:val="center"/>
          </w:tcPr>
          <w:p w14:paraId="56590B66">
            <w:pPr>
              <w:spacing w:line="360" w:lineRule="auto"/>
              <w:ind w:firstLine="28"/>
              <w:jc w:val="center"/>
              <w:rPr>
                <w:rFonts w:ascii="宋体" w:hAnsi="宋体" w:cs="宋体"/>
                <w:b/>
                <w:color w:val="auto"/>
                <w:sz w:val="20"/>
                <w:highlight w:val="none"/>
              </w:rPr>
            </w:pPr>
            <w:r>
              <w:rPr>
                <w:rFonts w:hint="eastAsia" w:ascii="宋体" w:hAnsi="宋体" w:cs="宋体"/>
                <w:b/>
                <w:color w:val="auto"/>
                <w:sz w:val="20"/>
                <w:highlight w:val="none"/>
              </w:rPr>
              <w:t>分值</w:t>
            </w:r>
          </w:p>
        </w:tc>
        <w:tc>
          <w:tcPr>
            <w:tcW w:w="5061" w:type="dxa"/>
            <w:tcBorders>
              <w:top w:val="single" w:color="auto" w:sz="4" w:space="0"/>
              <w:left w:val="single" w:color="auto" w:sz="4" w:space="0"/>
              <w:bottom w:val="single" w:color="auto" w:sz="4" w:space="0"/>
              <w:right w:val="single" w:color="auto" w:sz="4" w:space="0"/>
            </w:tcBorders>
            <w:vAlign w:val="center"/>
          </w:tcPr>
          <w:p w14:paraId="5AD849CE">
            <w:pPr>
              <w:spacing w:line="360" w:lineRule="auto"/>
              <w:ind w:firstLine="28"/>
              <w:jc w:val="center"/>
              <w:rPr>
                <w:rFonts w:ascii="宋体" w:hAnsi="宋体" w:cs="宋体"/>
                <w:b/>
                <w:color w:val="auto"/>
                <w:sz w:val="20"/>
                <w:highlight w:val="none"/>
              </w:rPr>
            </w:pPr>
            <w:r>
              <w:rPr>
                <w:rFonts w:hint="eastAsia" w:ascii="宋体" w:hAnsi="宋体" w:cs="宋体"/>
                <w:b/>
                <w:color w:val="auto"/>
                <w:sz w:val="20"/>
                <w:highlight w:val="none"/>
              </w:rPr>
              <w:t>评分标准</w:t>
            </w:r>
          </w:p>
        </w:tc>
        <w:tc>
          <w:tcPr>
            <w:tcW w:w="1771" w:type="dxa"/>
            <w:tcBorders>
              <w:top w:val="single" w:color="auto" w:sz="4" w:space="0"/>
              <w:left w:val="single" w:color="auto" w:sz="4" w:space="0"/>
              <w:bottom w:val="single" w:color="auto" w:sz="4" w:space="0"/>
              <w:right w:val="single" w:color="auto" w:sz="4" w:space="0"/>
            </w:tcBorders>
            <w:vAlign w:val="center"/>
          </w:tcPr>
          <w:p w14:paraId="290E12BC">
            <w:pPr>
              <w:pStyle w:val="234"/>
              <w:spacing w:before="0" w:after="0"/>
              <w:rPr>
                <w:rFonts w:ascii="宋体" w:hAnsi="宋体" w:eastAsia="宋体" w:cs="宋体"/>
                <w:color w:val="auto"/>
                <w:sz w:val="20"/>
                <w:highlight w:val="none"/>
              </w:rPr>
            </w:pPr>
            <w:r>
              <w:rPr>
                <w:rFonts w:hint="eastAsia" w:ascii="宋体" w:hAnsi="宋体" w:eastAsia="宋体" w:cs="宋体"/>
                <w:color w:val="auto"/>
                <w:sz w:val="20"/>
                <w:highlight w:val="none"/>
              </w:rPr>
              <w:t>说明</w:t>
            </w:r>
          </w:p>
        </w:tc>
      </w:tr>
      <w:tr w14:paraId="18884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527" w:type="dxa"/>
            <w:tcBorders>
              <w:top w:val="single" w:color="auto" w:sz="4" w:space="0"/>
              <w:left w:val="single" w:color="auto" w:sz="4" w:space="0"/>
              <w:bottom w:val="single" w:color="auto" w:sz="4" w:space="0"/>
              <w:right w:val="single" w:color="auto" w:sz="4" w:space="0"/>
            </w:tcBorders>
            <w:vAlign w:val="center"/>
          </w:tcPr>
          <w:p w14:paraId="2EBAB0BE">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1974" w:type="dxa"/>
            <w:gridSpan w:val="2"/>
            <w:tcBorders>
              <w:top w:val="single" w:color="auto" w:sz="4" w:space="0"/>
              <w:left w:val="single" w:color="auto" w:sz="4" w:space="0"/>
              <w:bottom w:val="single" w:color="auto" w:sz="4" w:space="0"/>
              <w:right w:val="single" w:color="auto" w:sz="4" w:space="0"/>
            </w:tcBorders>
            <w:vAlign w:val="center"/>
          </w:tcPr>
          <w:p w14:paraId="0F4DBCDD">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磋商报价</w:t>
            </w:r>
          </w:p>
          <w:p w14:paraId="2F3A23B5">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w:t>
            </w:r>
          </w:p>
          <w:p w14:paraId="2F6B68C8">
            <w:pPr>
              <w:spacing w:line="360" w:lineRule="auto"/>
              <w:ind w:firstLine="28"/>
              <w:jc w:val="center"/>
              <w:rPr>
                <w:rFonts w:ascii="宋体" w:hAnsi="宋体" w:cs="宋体"/>
                <w:color w:val="auto"/>
                <w:sz w:val="21"/>
                <w:szCs w:val="21"/>
                <w:highlight w:val="none"/>
              </w:rPr>
            </w:pPr>
          </w:p>
        </w:tc>
        <w:tc>
          <w:tcPr>
            <w:tcW w:w="5061" w:type="dxa"/>
            <w:tcBorders>
              <w:top w:val="single" w:color="auto" w:sz="4" w:space="0"/>
              <w:left w:val="single" w:color="auto" w:sz="4" w:space="0"/>
              <w:bottom w:val="single" w:color="auto" w:sz="4" w:space="0"/>
              <w:right w:val="single" w:color="auto" w:sz="4" w:space="0"/>
            </w:tcBorders>
            <w:vAlign w:val="center"/>
          </w:tcPr>
          <w:p w14:paraId="3BED96E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满足磋商文件资格要求且最后报价最低的供应商的价格为磋商基准价，按照下列公式计算每个供应商的磋商报价得分。</w:t>
            </w:r>
          </w:p>
          <w:p w14:paraId="413D7DB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磋商报价得分=（磋商基准价/最后磋商报价）×价格权值×100</w:t>
            </w:r>
            <w:r>
              <w:rPr>
                <w:rFonts w:hint="eastAsia" w:ascii="宋体" w:hAnsi="宋体" w:cs="宋体"/>
                <w:color w:val="auto"/>
                <w:sz w:val="21"/>
                <w:szCs w:val="21"/>
                <w:highlight w:val="none"/>
                <w:lang w:eastAsia="zh-CN"/>
              </w:rPr>
              <w:t>。</w:t>
            </w:r>
          </w:p>
        </w:tc>
        <w:tc>
          <w:tcPr>
            <w:tcW w:w="1771" w:type="dxa"/>
            <w:tcBorders>
              <w:top w:val="single" w:color="auto" w:sz="4" w:space="0"/>
              <w:left w:val="single" w:color="auto" w:sz="4" w:space="0"/>
              <w:bottom w:val="single" w:color="auto" w:sz="4" w:space="0"/>
              <w:right w:val="single" w:color="auto" w:sz="4" w:space="0"/>
            </w:tcBorders>
            <w:vAlign w:val="center"/>
          </w:tcPr>
          <w:p w14:paraId="14D25FEE">
            <w:pPr>
              <w:spacing w:line="360" w:lineRule="auto"/>
              <w:rPr>
                <w:rFonts w:ascii="宋体" w:hAnsi="宋体" w:cs="宋体"/>
                <w:b/>
                <w:color w:val="auto"/>
                <w:sz w:val="21"/>
                <w:szCs w:val="21"/>
                <w:highlight w:val="none"/>
              </w:rPr>
            </w:pPr>
            <w:r>
              <w:rPr>
                <w:rFonts w:hint="eastAsia" w:ascii="宋体" w:hAnsi="宋体" w:cs="宋体"/>
                <w:color w:val="auto"/>
                <w:sz w:val="21"/>
                <w:szCs w:val="21"/>
                <w:highlight w:val="none"/>
              </w:rPr>
              <w:t>对小微企业的价格用扣除后的价格参与评审，详见“关于小微企业报价扣除比例说明”。</w:t>
            </w:r>
          </w:p>
        </w:tc>
      </w:tr>
      <w:tr w14:paraId="4CC1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527" w:type="dxa"/>
            <w:vMerge w:val="restart"/>
            <w:tcBorders>
              <w:left w:val="single" w:color="auto" w:sz="4" w:space="0"/>
              <w:right w:val="single" w:color="auto" w:sz="4" w:space="0"/>
            </w:tcBorders>
            <w:vAlign w:val="center"/>
          </w:tcPr>
          <w:p w14:paraId="514453C1">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1142" w:type="dxa"/>
            <w:vMerge w:val="restart"/>
            <w:tcBorders>
              <w:left w:val="single" w:color="auto" w:sz="4" w:space="0"/>
              <w:right w:val="single" w:color="auto" w:sz="4" w:space="0"/>
            </w:tcBorders>
            <w:vAlign w:val="center"/>
          </w:tcPr>
          <w:p w14:paraId="33C716A5">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技术部分</w:t>
            </w:r>
          </w:p>
          <w:p w14:paraId="7D1FB71B">
            <w:pPr>
              <w:spacing w:line="360" w:lineRule="auto"/>
              <w:jc w:val="center"/>
              <w:rPr>
                <w:rFonts w:hint="eastAsia" w:ascii="宋体" w:hAnsi="宋体" w:eastAsia="宋体" w:cs="宋体"/>
                <w:color w:val="auto"/>
                <w:highlight w:val="none"/>
                <w:lang w:val="en-US"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70</w:t>
            </w:r>
            <w:r>
              <w:rPr>
                <w:rFonts w:hint="eastAsia" w:ascii="宋体" w:hAnsi="宋体" w:cs="宋体"/>
                <w:color w:val="auto"/>
                <w:sz w:val="21"/>
                <w:szCs w:val="21"/>
                <w:highlight w:val="none"/>
              </w:rPr>
              <w:t>%）</w:t>
            </w:r>
          </w:p>
        </w:tc>
        <w:tc>
          <w:tcPr>
            <w:tcW w:w="832" w:type="dxa"/>
            <w:tcBorders>
              <w:left w:val="single" w:color="auto" w:sz="4" w:space="0"/>
              <w:bottom w:val="single" w:color="auto" w:sz="4" w:space="0"/>
              <w:right w:val="single" w:color="auto" w:sz="4" w:space="0"/>
            </w:tcBorders>
            <w:vAlign w:val="center"/>
          </w:tcPr>
          <w:p w14:paraId="7A6EE46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技术响应部分30分</w:t>
            </w:r>
          </w:p>
        </w:tc>
        <w:tc>
          <w:tcPr>
            <w:tcW w:w="5061" w:type="dxa"/>
            <w:tcBorders>
              <w:top w:val="single" w:color="auto" w:sz="4" w:space="0"/>
              <w:left w:val="single" w:color="auto" w:sz="4" w:space="0"/>
              <w:right w:val="single" w:color="auto" w:sz="4" w:space="0"/>
            </w:tcBorders>
            <w:vAlign w:val="center"/>
          </w:tcPr>
          <w:p w14:paraId="5CD53F8B">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、起评分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0分</w:t>
            </w:r>
            <w:r>
              <w:rPr>
                <w:rFonts w:hint="eastAsia" w:ascii="宋体" w:hAnsi="宋体" w:eastAsia="宋体" w:cs="宋体"/>
                <w:color w:val="auto"/>
                <w:sz w:val="21"/>
                <w:szCs w:val="21"/>
                <w:highlight w:val="none"/>
                <w:lang w:eastAsia="zh-CN"/>
              </w:rPr>
              <w:t>）</w:t>
            </w:r>
          </w:p>
          <w:p w14:paraId="7B250250">
            <w:pPr>
              <w:spacing w:line="360" w:lineRule="auto"/>
              <w:ind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有效供应商的起评分为</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p w14:paraId="3378EB4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、扣分条款：</w:t>
            </w:r>
          </w:p>
          <w:p w14:paraId="0A284189">
            <w:pPr>
              <w:spacing w:line="360" w:lineRule="auto"/>
              <w:ind w:firstLine="420" w:firstLineChars="200"/>
              <w:rPr>
                <w:color w:val="auto"/>
                <w:highlight w:val="none"/>
              </w:rPr>
            </w:pPr>
            <w:r>
              <w:rPr>
                <w:rFonts w:hint="eastAsia" w:ascii="宋体" w:hAnsi="宋体" w:eastAsia="宋体" w:cs="宋体"/>
                <w:color w:val="auto"/>
                <w:sz w:val="21"/>
                <w:szCs w:val="21"/>
                <w:highlight w:val="none"/>
              </w:rPr>
              <w:t>技术参数达不到</w:t>
            </w:r>
            <w:r>
              <w:rPr>
                <w:rFonts w:hint="eastAsia" w:ascii="宋体" w:hAnsi="宋体" w:cs="宋体"/>
                <w:color w:val="auto"/>
                <w:sz w:val="21"/>
                <w:szCs w:val="21"/>
                <w:highlight w:val="none"/>
                <w:lang w:val="en-US" w:eastAsia="zh-CN"/>
              </w:rPr>
              <w:t>第二篇项目技术需求</w:t>
            </w:r>
            <w:r>
              <w:rPr>
                <w:rFonts w:hint="eastAsia" w:ascii="宋体" w:hAnsi="宋体" w:eastAsia="宋体" w:cs="宋体"/>
                <w:color w:val="auto"/>
                <w:sz w:val="21"/>
                <w:szCs w:val="21"/>
                <w:highlight w:val="none"/>
              </w:rPr>
              <w:t>的，每负偏离1条从起评分中扣除5分，</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条及以上不满足技术响应部分得0分。</w:t>
            </w:r>
          </w:p>
        </w:tc>
        <w:tc>
          <w:tcPr>
            <w:tcW w:w="1771" w:type="dxa"/>
            <w:tcBorders>
              <w:top w:val="single" w:color="auto" w:sz="4" w:space="0"/>
              <w:left w:val="single" w:color="auto" w:sz="4" w:space="0"/>
              <w:right w:val="single" w:color="auto" w:sz="4" w:space="0"/>
            </w:tcBorders>
            <w:vAlign w:val="center"/>
          </w:tcPr>
          <w:p w14:paraId="0A8134BF">
            <w:pPr>
              <w:pStyle w:val="234"/>
              <w:jc w:val="left"/>
              <w:rPr>
                <w:rFonts w:hint="eastAsia" w:ascii="宋体" w:hAnsi="宋体" w:eastAsia="宋体" w:cs="宋体"/>
                <w:b w:val="0"/>
                <w:color w:val="auto"/>
                <w:sz w:val="21"/>
                <w:szCs w:val="21"/>
                <w:highlight w:val="none"/>
                <w:lang w:eastAsia="zh-CN"/>
              </w:rPr>
            </w:pPr>
          </w:p>
        </w:tc>
      </w:tr>
      <w:tr w14:paraId="055DD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jc w:val="center"/>
        </w:trPr>
        <w:tc>
          <w:tcPr>
            <w:tcW w:w="527" w:type="dxa"/>
            <w:vMerge w:val="continue"/>
            <w:tcBorders>
              <w:left w:val="single" w:color="auto" w:sz="4" w:space="0"/>
              <w:right w:val="single" w:color="auto" w:sz="4" w:space="0"/>
            </w:tcBorders>
            <w:vAlign w:val="center"/>
          </w:tcPr>
          <w:p w14:paraId="060DED90">
            <w:pPr>
              <w:spacing w:line="360" w:lineRule="auto"/>
              <w:rPr>
                <w:rFonts w:ascii="宋体" w:hAnsi="宋体" w:cs="宋体"/>
                <w:color w:val="auto"/>
                <w:highlight w:val="none"/>
              </w:rPr>
            </w:pPr>
          </w:p>
        </w:tc>
        <w:tc>
          <w:tcPr>
            <w:tcW w:w="1142" w:type="dxa"/>
            <w:vMerge w:val="continue"/>
            <w:tcBorders>
              <w:left w:val="single" w:color="auto" w:sz="4" w:space="0"/>
              <w:right w:val="single" w:color="auto" w:sz="4" w:space="0"/>
            </w:tcBorders>
            <w:vAlign w:val="center"/>
          </w:tcPr>
          <w:p w14:paraId="7737083E">
            <w:pPr>
              <w:spacing w:line="360" w:lineRule="auto"/>
              <w:rPr>
                <w:rFonts w:ascii="宋体" w:hAnsi="宋体" w:cs="宋体"/>
                <w:color w:val="auto"/>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14:paraId="2D6823DC">
            <w:pPr>
              <w:spacing w:line="360" w:lineRule="auto"/>
              <w:jc w:val="center"/>
              <w:rPr>
                <w:color w:val="auto"/>
                <w:highlight w:val="none"/>
              </w:rPr>
            </w:pPr>
            <w:r>
              <w:rPr>
                <w:rFonts w:hint="eastAsia" w:ascii="宋体" w:hAnsi="宋体" w:cs="宋体"/>
                <w:color w:val="auto"/>
                <w:sz w:val="21"/>
                <w:szCs w:val="21"/>
                <w:highlight w:val="none"/>
                <w:lang w:val="en-US" w:eastAsia="zh-CN"/>
              </w:rPr>
              <w:t>服务方案40</w:t>
            </w:r>
            <w:r>
              <w:rPr>
                <w:rFonts w:hint="eastAsia" w:ascii="宋体" w:hAnsi="宋体" w:cs="宋体"/>
                <w:color w:val="auto"/>
                <w:sz w:val="21"/>
                <w:szCs w:val="21"/>
                <w:highlight w:val="none"/>
              </w:rPr>
              <w:t>分</w:t>
            </w:r>
          </w:p>
        </w:tc>
        <w:tc>
          <w:tcPr>
            <w:tcW w:w="5061" w:type="dxa"/>
            <w:tcBorders>
              <w:top w:val="single" w:color="auto" w:sz="4" w:space="0"/>
              <w:left w:val="single" w:color="auto" w:sz="4" w:space="0"/>
              <w:bottom w:val="single" w:color="auto" w:sz="4" w:space="0"/>
              <w:right w:val="single" w:color="auto" w:sz="4" w:space="0"/>
            </w:tcBorders>
            <w:vAlign w:val="center"/>
          </w:tcPr>
          <w:p w14:paraId="3340381E">
            <w:pPr>
              <w:spacing w:line="360" w:lineRule="auto"/>
              <w:ind w:firstLine="420" w:firstLineChars="200"/>
              <w:rPr>
                <w:rFonts w:hint="default" w:ascii="宋体" w:hAnsi="宋体" w:cs="宋体"/>
                <w:color w:val="auto"/>
                <w:sz w:val="21"/>
                <w:szCs w:val="21"/>
                <w:highlight w:val="none"/>
              </w:rPr>
            </w:pPr>
            <w:r>
              <w:rPr>
                <w:rFonts w:hint="default" w:ascii="宋体" w:hAnsi="宋体" w:cs="宋体"/>
                <w:color w:val="auto"/>
                <w:sz w:val="21"/>
                <w:szCs w:val="21"/>
                <w:highlight w:val="none"/>
              </w:rPr>
              <w:t>1.</w:t>
            </w:r>
            <w:r>
              <w:rPr>
                <w:rFonts w:hint="eastAsia" w:ascii="宋体" w:hAnsi="宋体" w:cs="宋体"/>
                <w:color w:val="auto"/>
                <w:sz w:val="21"/>
                <w:szCs w:val="21"/>
                <w:highlight w:val="none"/>
                <w:lang w:val="en-US" w:eastAsia="zh-CN"/>
              </w:rPr>
              <w:t>深化设计</w:t>
            </w:r>
            <w:r>
              <w:rPr>
                <w:rFonts w:hint="default" w:ascii="宋体" w:hAnsi="宋体" w:cs="宋体"/>
                <w:color w:val="auto"/>
                <w:sz w:val="21"/>
                <w:szCs w:val="21"/>
                <w:highlight w:val="none"/>
              </w:rPr>
              <w:t>方案（</w:t>
            </w:r>
            <w:r>
              <w:rPr>
                <w:rFonts w:hint="eastAsia" w:ascii="宋体" w:hAnsi="宋体" w:cs="宋体"/>
                <w:color w:val="auto"/>
                <w:sz w:val="21"/>
                <w:szCs w:val="21"/>
                <w:highlight w:val="none"/>
                <w:lang w:val="en-US" w:eastAsia="zh-CN"/>
              </w:rPr>
              <w:t>20</w:t>
            </w:r>
            <w:r>
              <w:rPr>
                <w:rFonts w:hint="default" w:ascii="宋体" w:hAnsi="宋体" w:cs="宋体"/>
                <w:color w:val="auto"/>
                <w:sz w:val="21"/>
                <w:szCs w:val="21"/>
                <w:highlight w:val="none"/>
              </w:rPr>
              <w:t>分）</w:t>
            </w:r>
          </w:p>
          <w:p w14:paraId="5893C644">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根据</w:t>
            </w:r>
            <w:r>
              <w:rPr>
                <w:rFonts w:hint="default" w:ascii="宋体" w:hAnsi="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提供相关文案，对</w:t>
            </w:r>
            <w:r>
              <w:rPr>
                <w:rFonts w:hint="eastAsia" w:ascii="宋体" w:hAnsi="宋体" w:cs="宋体"/>
                <w:color w:val="auto"/>
                <w:sz w:val="21"/>
                <w:szCs w:val="21"/>
                <w:highlight w:val="none"/>
                <w:lang w:val="en-US" w:eastAsia="zh-CN"/>
              </w:rPr>
              <w:t>展区</w:t>
            </w:r>
            <w:r>
              <w:rPr>
                <w:rFonts w:hint="default" w:ascii="宋体" w:hAnsi="宋体" w:eastAsia="宋体" w:cs="宋体"/>
                <w:color w:val="auto"/>
                <w:sz w:val="21"/>
                <w:szCs w:val="21"/>
                <w:highlight w:val="none"/>
                <w:lang w:val="en-US" w:eastAsia="zh-CN"/>
              </w:rPr>
              <w:t>进行</w:t>
            </w:r>
            <w:r>
              <w:rPr>
                <w:rFonts w:hint="eastAsia" w:ascii="宋体" w:hAnsi="宋体" w:cs="宋体"/>
                <w:color w:val="auto"/>
                <w:sz w:val="21"/>
                <w:szCs w:val="21"/>
                <w:highlight w:val="none"/>
                <w:lang w:val="en-US" w:eastAsia="zh-CN"/>
              </w:rPr>
              <w:t>深化设计</w:t>
            </w:r>
            <w:r>
              <w:rPr>
                <w:rFonts w:hint="default" w:ascii="宋体" w:hAnsi="宋体" w:eastAsia="宋体" w:cs="宋体"/>
                <w:color w:val="auto"/>
                <w:sz w:val="21"/>
                <w:szCs w:val="21"/>
                <w:highlight w:val="none"/>
                <w:lang w:val="en-US" w:eastAsia="zh-CN"/>
              </w:rPr>
              <w:t>。要求：能反映所属</w:t>
            </w:r>
            <w:r>
              <w:rPr>
                <w:rFonts w:hint="eastAsia" w:ascii="宋体" w:hAnsi="宋体" w:cs="宋体"/>
                <w:color w:val="auto"/>
                <w:sz w:val="21"/>
                <w:szCs w:val="21"/>
                <w:highlight w:val="none"/>
                <w:lang w:val="en-US" w:eastAsia="zh-CN"/>
              </w:rPr>
              <w:t>区域</w:t>
            </w:r>
            <w:r>
              <w:rPr>
                <w:rFonts w:hint="default" w:ascii="宋体" w:hAnsi="宋体" w:eastAsia="宋体" w:cs="宋体"/>
                <w:color w:val="auto"/>
                <w:sz w:val="21"/>
                <w:szCs w:val="21"/>
                <w:highlight w:val="none"/>
                <w:lang w:val="en-US" w:eastAsia="zh-CN"/>
              </w:rPr>
              <w:t>的呈现内容和精神，各层级之间有内在逻辑联系，风格一致。</w:t>
            </w:r>
          </w:p>
          <w:p w14:paraId="25B950BD">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方案优得16-20分；</w:t>
            </w:r>
          </w:p>
          <w:p w14:paraId="6EFE4B0E">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方案良得12-16分；</w:t>
            </w:r>
          </w:p>
          <w:p w14:paraId="2F906C2C">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方案一般得8-12分；</w:t>
            </w:r>
          </w:p>
          <w:p w14:paraId="33A76036">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方案差得5-8分；</w:t>
            </w:r>
          </w:p>
          <w:p w14:paraId="2000C21C">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未提供方案得0分。</w:t>
            </w:r>
          </w:p>
          <w:p w14:paraId="3442EA7D">
            <w:pPr>
              <w:spacing w:line="360" w:lineRule="auto"/>
              <w:ind w:firstLine="420" w:firstLineChars="200"/>
              <w:rPr>
                <w:rFonts w:hint="default" w:ascii="宋体" w:hAnsi="宋体" w:cs="宋体"/>
                <w:color w:val="auto"/>
                <w:sz w:val="21"/>
                <w:szCs w:val="21"/>
                <w:highlight w:val="none"/>
              </w:rPr>
            </w:pPr>
            <w:r>
              <w:rPr>
                <w:rFonts w:hint="default" w:ascii="宋体" w:hAnsi="宋体" w:cs="宋体"/>
                <w:color w:val="auto"/>
                <w:sz w:val="21"/>
                <w:szCs w:val="21"/>
                <w:highlight w:val="none"/>
              </w:rPr>
              <w:t>2.</w:t>
            </w:r>
            <w:r>
              <w:rPr>
                <w:rFonts w:hint="eastAsia" w:ascii="宋体" w:hAnsi="宋体" w:cs="宋体"/>
                <w:color w:val="auto"/>
                <w:sz w:val="21"/>
                <w:szCs w:val="21"/>
                <w:highlight w:val="none"/>
                <w:lang w:val="en-US" w:eastAsia="zh-CN"/>
              </w:rPr>
              <w:t>施工方案</w:t>
            </w:r>
            <w:r>
              <w:rPr>
                <w:rFonts w:hint="default" w:ascii="宋体" w:hAnsi="宋体" w:cs="宋体"/>
                <w:color w:val="auto"/>
                <w:sz w:val="21"/>
                <w:szCs w:val="21"/>
                <w:highlight w:val="none"/>
              </w:rPr>
              <w:t>（</w:t>
            </w:r>
            <w:r>
              <w:rPr>
                <w:rFonts w:hint="eastAsia" w:ascii="宋体" w:hAnsi="宋体" w:cs="宋体"/>
                <w:color w:val="auto"/>
                <w:sz w:val="21"/>
                <w:szCs w:val="21"/>
                <w:highlight w:val="none"/>
                <w:lang w:val="en-US" w:eastAsia="zh-CN"/>
              </w:rPr>
              <w:t>20</w:t>
            </w:r>
            <w:r>
              <w:rPr>
                <w:rFonts w:hint="default" w:ascii="宋体" w:hAnsi="宋体" w:cs="宋体"/>
                <w:color w:val="auto"/>
                <w:sz w:val="21"/>
                <w:szCs w:val="21"/>
                <w:highlight w:val="none"/>
              </w:rPr>
              <w:t>分）</w:t>
            </w:r>
          </w:p>
          <w:p w14:paraId="75D2651E">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根据采购人提供的初步设计、工程清单内容拟写施工方案。方案内容包括但不限于：</w:t>
            </w:r>
            <w:r>
              <w:rPr>
                <w:rFonts w:hint="eastAsia" w:ascii="宋体" w:hAnsi="宋体" w:cs="宋体"/>
                <w:color w:val="auto"/>
                <w:sz w:val="21"/>
                <w:szCs w:val="21"/>
                <w:highlight w:val="none"/>
              </w:rPr>
              <w:t>施工总体布置合理、清晰，相互干扰小，满足施工条件要求</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TW"/>
              </w:rPr>
              <w:t>质量、安全、保密、环境保护管理体系与措施目标明确、体系及机构健全、措施到</w:t>
            </w:r>
            <w:r>
              <w:rPr>
                <w:rFonts w:hint="eastAsia" w:ascii="宋体" w:hAnsi="宋体" w:cs="宋体"/>
                <w:color w:val="auto"/>
                <w:sz w:val="21"/>
                <w:szCs w:val="21"/>
                <w:highlight w:val="none"/>
                <w:lang w:val="en-US" w:eastAsia="zh-CN"/>
              </w:rPr>
              <w:t>位，</w:t>
            </w:r>
            <w:r>
              <w:rPr>
                <w:rFonts w:hint="eastAsia" w:ascii="宋体" w:hAnsi="宋体" w:cs="宋体"/>
                <w:color w:val="auto"/>
                <w:sz w:val="21"/>
                <w:szCs w:val="21"/>
                <w:highlight w:val="none"/>
              </w:rPr>
              <w:t>总计划各关键节点的工期切实可行，保证工期的措施科学、可靠。施工总体进度计划合理、控制性项目安排得当，工程进度补救措施可行</w:t>
            </w:r>
            <w:r>
              <w:rPr>
                <w:rFonts w:hint="eastAsia" w:ascii="宋体" w:hAnsi="宋体" w:cs="宋体"/>
                <w:color w:val="auto"/>
                <w:sz w:val="21"/>
                <w:szCs w:val="21"/>
                <w:highlight w:val="none"/>
                <w:lang w:eastAsia="zh-CN"/>
              </w:rPr>
              <w:t>。</w:t>
            </w:r>
          </w:p>
          <w:p w14:paraId="29781F99">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方案优得16-20分；</w:t>
            </w:r>
          </w:p>
          <w:p w14:paraId="46FACA39">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方案良得12-16分；</w:t>
            </w:r>
          </w:p>
          <w:p w14:paraId="2509D4B7">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方案一般得8-12分；</w:t>
            </w:r>
          </w:p>
          <w:p w14:paraId="1417737E">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方案差得5-8分；</w:t>
            </w:r>
          </w:p>
          <w:p w14:paraId="6CB53573">
            <w:pPr>
              <w:numPr>
                <w:ilvl w:val="-1"/>
                <w:numId w:val="0"/>
              </w:numPr>
              <w:spacing w:line="360" w:lineRule="auto"/>
              <w:ind w:firstLine="420" w:firstLineChars="200"/>
              <w:rPr>
                <w:color w:val="auto"/>
                <w:highlight w:val="none"/>
                <w:lang w:val="zh-TW"/>
              </w:rPr>
            </w:pPr>
            <w:r>
              <w:rPr>
                <w:rFonts w:hint="eastAsia" w:ascii="宋体" w:hAnsi="宋体" w:cs="宋体"/>
                <w:color w:val="auto"/>
                <w:sz w:val="21"/>
                <w:szCs w:val="21"/>
                <w:highlight w:val="none"/>
                <w:lang w:val="en-US" w:eastAsia="zh-CN"/>
              </w:rPr>
              <w:t>未提供方案得0分。</w:t>
            </w:r>
          </w:p>
        </w:tc>
        <w:tc>
          <w:tcPr>
            <w:tcW w:w="1771" w:type="dxa"/>
            <w:tcBorders>
              <w:left w:val="single" w:color="auto" w:sz="4" w:space="0"/>
              <w:right w:val="single" w:color="auto" w:sz="4" w:space="0"/>
            </w:tcBorders>
            <w:vAlign w:val="center"/>
          </w:tcPr>
          <w:p w14:paraId="32141B22">
            <w:pPr>
              <w:spacing w:line="360" w:lineRule="auto"/>
              <w:rPr>
                <w:rFonts w:ascii="宋体" w:hAnsi="宋体" w:cs="宋体"/>
                <w:color w:val="auto"/>
                <w:sz w:val="21"/>
                <w:szCs w:val="21"/>
                <w:highlight w:val="none"/>
              </w:rPr>
            </w:pPr>
            <w:r>
              <w:rPr>
                <w:rFonts w:hint="eastAsia" w:ascii="宋体" w:hAnsi="宋体" w:eastAsia="宋体" w:cs="宋体"/>
                <w:b w:val="0"/>
                <w:color w:val="auto"/>
                <w:sz w:val="21"/>
                <w:szCs w:val="21"/>
                <w:highlight w:val="none"/>
              </w:rPr>
              <w:t>提供</w:t>
            </w:r>
            <w:r>
              <w:rPr>
                <w:rFonts w:hint="eastAsia" w:ascii="宋体" w:hAnsi="宋体" w:cs="宋体"/>
                <w:b w:val="0"/>
                <w:color w:val="auto"/>
                <w:sz w:val="21"/>
                <w:szCs w:val="21"/>
                <w:highlight w:val="none"/>
                <w:lang w:val="en-US" w:eastAsia="zh-CN"/>
              </w:rPr>
              <w:t>服务</w:t>
            </w:r>
            <w:r>
              <w:rPr>
                <w:rFonts w:hint="eastAsia" w:ascii="宋体" w:hAnsi="宋体" w:eastAsia="宋体" w:cs="宋体"/>
                <w:b w:val="0"/>
                <w:color w:val="auto"/>
                <w:sz w:val="21"/>
                <w:szCs w:val="21"/>
                <w:highlight w:val="none"/>
              </w:rPr>
              <w:t>方案，格式自拟，加盖供应商鲜章</w:t>
            </w:r>
            <w:r>
              <w:rPr>
                <w:rFonts w:hint="eastAsia" w:ascii="宋体" w:hAnsi="宋体" w:eastAsia="宋体" w:cs="宋体"/>
                <w:b w:val="0"/>
                <w:color w:val="auto"/>
                <w:sz w:val="21"/>
                <w:szCs w:val="21"/>
                <w:highlight w:val="none"/>
                <w:lang w:eastAsia="zh-CN"/>
              </w:rPr>
              <w:t>。</w:t>
            </w:r>
          </w:p>
        </w:tc>
      </w:tr>
      <w:tr w14:paraId="7C165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527" w:type="dxa"/>
            <w:vMerge w:val="restart"/>
            <w:vAlign w:val="center"/>
          </w:tcPr>
          <w:p w14:paraId="152435E2">
            <w:pPr>
              <w:spacing w:line="360" w:lineRule="auto"/>
              <w:ind w:firstLine="28"/>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1142" w:type="dxa"/>
            <w:vMerge w:val="restart"/>
            <w:vAlign w:val="center"/>
          </w:tcPr>
          <w:p w14:paraId="3246B67F">
            <w:pPr>
              <w:pStyle w:val="38"/>
              <w:pBdr>
                <w:bottom w:val="none" w:color="auto" w:sz="0" w:space="0"/>
              </w:pBdr>
              <w:tabs>
                <w:tab w:val="left" w:pos="420"/>
              </w:tabs>
              <w:snapToGrid/>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商务部分（</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w:t>
            </w:r>
          </w:p>
        </w:tc>
        <w:tc>
          <w:tcPr>
            <w:tcW w:w="832" w:type="dxa"/>
            <w:vAlign w:val="center"/>
          </w:tcPr>
          <w:p w14:paraId="499E62B9">
            <w:pPr>
              <w:pStyle w:val="38"/>
              <w:pBdr>
                <w:bottom w:val="none" w:color="auto" w:sz="0" w:space="0"/>
              </w:pBdr>
              <w:tabs>
                <w:tab w:val="left" w:pos="420"/>
              </w:tabs>
              <w:snapToGrid/>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人员能力</w:t>
            </w:r>
          </w:p>
          <w:p w14:paraId="300764FF">
            <w:pPr>
              <w:pStyle w:val="38"/>
              <w:pBdr>
                <w:bottom w:val="none" w:color="auto" w:sz="0" w:space="0"/>
              </w:pBdr>
              <w:tabs>
                <w:tab w:val="left" w:pos="420"/>
              </w:tabs>
              <w:snapToGrid/>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分</w:t>
            </w:r>
          </w:p>
        </w:tc>
        <w:tc>
          <w:tcPr>
            <w:tcW w:w="5061" w:type="dxa"/>
            <w:vAlign w:val="center"/>
          </w:tcPr>
          <w:p w14:paraId="3FDC0D68">
            <w:pPr>
              <w:numPr>
                <w:ilvl w:val="0"/>
                <w:numId w:val="0"/>
              </w:numPr>
              <w:spacing w:line="360" w:lineRule="auto"/>
              <w:ind w:firstLine="420" w:firstLineChars="200"/>
              <w:rPr>
                <w:rFonts w:hint="default" w:ascii="宋体" w:hAnsi="宋体" w:cs="宋体"/>
                <w:color w:val="auto"/>
                <w:sz w:val="21"/>
                <w:szCs w:val="21"/>
                <w:highlight w:val="none"/>
              </w:rPr>
            </w:pPr>
            <w:r>
              <w:rPr>
                <w:rFonts w:hint="default" w:ascii="宋体" w:hAnsi="宋体" w:cs="宋体"/>
                <w:color w:val="auto"/>
                <w:sz w:val="21"/>
                <w:szCs w:val="21"/>
                <w:highlight w:val="none"/>
              </w:rPr>
              <w:t>1.项目总负责人（</w:t>
            </w:r>
            <w:r>
              <w:rPr>
                <w:rFonts w:hint="default" w:ascii="宋体" w:hAnsi="宋体" w:cs="宋体"/>
                <w:color w:val="auto"/>
                <w:sz w:val="21"/>
                <w:szCs w:val="21"/>
                <w:highlight w:val="none"/>
                <w:lang w:val="en-US" w:eastAsia="zh-CN"/>
              </w:rPr>
              <w:t>2</w:t>
            </w:r>
            <w:r>
              <w:rPr>
                <w:rFonts w:hint="default" w:ascii="宋体" w:hAnsi="宋体" w:cs="宋体"/>
                <w:color w:val="auto"/>
                <w:sz w:val="21"/>
                <w:szCs w:val="21"/>
                <w:highlight w:val="none"/>
              </w:rPr>
              <w:t>分）</w:t>
            </w:r>
          </w:p>
          <w:p w14:paraId="65264C27">
            <w:pPr>
              <w:numPr>
                <w:ilvl w:val="0"/>
                <w:numId w:val="0"/>
              </w:numPr>
              <w:spacing w:line="360" w:lineRule="auto"/>
              <w:ind w:firstLine="420" w:firstLineChars="200"/>
              <w:rPr>
                <w:rFonts w:hint="default" w:ascii="宋体" w:hAnsi="宋体" w:cs="宋体"/>
                <w:color w:val="auto"/>
                <w:sz w:val="21"/>
                <w:szCs w:val="21"/>
                <w:highlight w:val="none"/>
                <w:lang w:eastAsia="zh-CN"/>
              </w:rPr>
            </w:pPr>
            <w:r>
              <w:rPr>
                <w:rFonts w:hint="default" w:ascii="宋体" w:hAnsi="宋体" w:cs="宋体"/>
                <w:color w:val="auto"/>
                <w:sz w:val="21"/>
                <w:szCs w:val="21"/>
                <w:highlight w:val="none"/>
              </w:rPr>
              <w:t>供应商拟派本项目的项目总负责人2021年 1 月 1 日起至响应文件递交截止时间止（以签订合同时间为准）具有</w:t>
            </w:r>
            <w:r>
              <w:rPr>
                <w:rFonts w:hint="default" w:ascii="宋体" w:hAnsi="宋体" w:cs="宋体"/>
                <w:color w:val="auto"/>
                <w:sz w:val="21"/>
                <w:szCs w:val="21"/>
                <w:highlight w:val="none"/>
                <w:lang w:val="en-US" w:eastAsia="zh-CN"/>
              </w:rPr>
              <w:t>类似展厅设计装修业绩的</w:t>
            </w:r>
            <w:r>
              <w:rPr>
                <w:rFonts w:hint="default" w:ascii="宋体" w:hAnsi="宋体" w:cs="宋体"/>
                <w:color w:val="auto"/>
                <w:sz w:val="21"/>
                <w:szCs w:val="21"/>
                <w:highlight w:val="none"/>
              </w:rPr>
              <w:t>，提供一个项目得1分，最高得</w:t>
            </w:r>
            <w:r>
              <w:rPr>
                <w:rFonts w:hint="default" w:ascii="宋体" w:hAnsi="宋体" w:cs="宋体"/>
                <w:color w:val="auto"/>
                <w:sz w:val="21"/>
                <w:szCs w:val="21"/>
                <w:highlight w:val="none"/>
                <w:lang w:val="en-US" w:eastAsia="zh-CN"/>
              </w:rPr>
              <w:t>2</w:t>
            </w:r>
            <w:r>
              <w:rPr>
                <w:rFonts w:hint="default" w:ascii="宋体" w:hAnsi="宋体" w:cs="宋体"/>
                <w:color w:val="auto"/>
                <w:sz w:val="21"/>
                <w:szCs w:val="21"/>
                <w:highlight w:val="none"/>
              </w:rPr>
              <w:t>分</w:t>
            </w:r>
            <w:r>
              <w:rPr>
                <w:rFonts w:hint="default" w:ascii="宋体" w:hAnsi="宋体" w:cs="宋体"/>
                <w:color w:val="auto"/>
                <w:sz w:val="21"/>
                <w:szCs w:val="21"/>
                <w:highlight w:val="none"/>
                <w:lang w:eastAsia="zh-CN"/>
              </w:rPr>
              <w:t>。</w:t>
            </w:r>
          </w:p>
          <w:p w14:paraId="65236A54">
            <w:pPr>
              <w:numPr>
                <w:ilvl w:val="0"/>
                <w:numId w:val="0"/>
              </w:numPr>
              <w:spacing w:line="360" w:lineRule="auto"/>
              <w:ind w:firstLine="420" w:firstLineChars="200"/>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rPr>
              <w:t>项目成员（</w:t>
            </w:r>
            <w:r>
              <w:rPr>
                <w:rFonts w:hint="eastAsia" w:ascii="宋体" w:hAnsi="宋体" w:eastAsia="宋体" w:cs="宋体"/>
                <w:color w:val="auto"/>
                <w:sz w:val="21"/>
                <w:szCs w:val="21"/>
                <w:highlight w:val="none"/>
                <w:lang w:eastAsia="zh-CN"/>
              </w:rPr>
              <w:t>2</w:t>
            </w:r>
            <w:r>
              <w:rPr>
                <w:rFonts w:hint="default" w:ascii="宋体" w:hAnsi="宋体" w:eastAsia="宋体" w:cs="宋体"/>
                <w:color w:val="auto"/>
                <w:sz w:val="21"/>
                <w:szCs w:val="21"/>
                <w:highlight w:val="none"/>
              </w:rPr>
              <w:t>分）</w:t>
            </w:r>
          </w:p>
          <w:p w14:paraId="2D558291">
            <w:pPr>
              <w:numPr>
                <w:ilvl w:val="0"/>
                <w:numId w:val="0"/>
              </w:numPr>
              <w:spacing w:line="360" w:lineRule="auto"/>
              <w:ind w:firstLine="420" w:firstLineChars="200"/>
              <w:rPr>
                <w:rFonts w:hint="eastAsia" w:ascii="宋体" w:hAnsi="宋体" w:cs="宋体"/>
                <w:color w:val="auto"/>
                <w:sz w:val="21"/>
                <w:szCs w:val="21"/>
                <w:highlight w:val="none"/>
                <w:lang w:eastAsia="zh-CN"/>
              </w:rPr>
            </w:pPr>
            <w:r>
              <w:rPr>
                <w:rFonts w:hint="default" w:ascii="宋体" w:hAnsi="宋体" w:cs="宋体"/>
                <w:color w:val="auto"/>
                <w:sz w:val="21"/>
                <w:szCs w:val="21"/>
                <w:highlight w:val="none"/>
                <w:lang w:eastAsia="zh-CN"/>
              </w:rPr>
              <w:t>供应商拟派本项目的项目成员（除项目总负责人外）中具有参与</w:t>
            </w:r>
            <w:r>
              <w:rPr>
                <w:rFonts w:hint="default" w:ascii="宋体" w:hAnsi="宋体" w:eastAsia="宋体" w:cs="宋体"/>
                <w:color w:val="auto"/>
                <w:sz w:val="21"/>
                <w:szCs w:val="21"/>
                <w:highlight w:val="none"/>
                <w:lang w:val="en-US" w:eastAsia="zh-CN"/>
              </w:rPr>
              <w:t>类似展厅设计装修业绩的</w:t>
            </w:r>
            <w:r>
              <w:rPr>
                <w:rFonts w:hint="default" w:ascii="宋体" w:hAnsi="宋体" w:cs="宋体"/>
                <w:color w:val="auto"/>
                <w:sz w:val="21"/>
                <w:szCs w:val="21"/>
                <w:highlight w:val="none"/>
                <w:lang w:eastAsia="zh-CN"/>
              </w:rPr>
              <w:t>，每提供一人得1分，本项最高得</w:t>
            </w:r>
            <w:r>
              <w:rPr>
                <w:rFonts w:hint="default" w:ascii="宋体" w:hAnsi="宋体" w:cs="宋体"/>
                <w:color w:val="auto"/>
                <w:sz w:val="21"/>
                <w:szCs w:val="21"/>
                <w:highlight w:val="none"/>
                <w:lang w:val="en-US" w:eastAsia="zh-CN"/>
              </w:rPr>
              <w:t>2</w:t>
            </w:r>
            <w:r>
              <w:rPr>
                <w:rFonts w:hint="default" w:ascii="宋体" w:hAnsi="宋体" w:cs="宋体"/>
                <w:color w:val="auto"/>
                <w:sz w:val="21"/>
                <w:szCs w:val="21"/>
                <w:highlight w:val="none"/>
                <w:lang w:eastAsia="zh-CN"/>
              </w:rPr>
              <w:t>分。</w:t>
            </w:r>
          </w:p>
        </w:tc>
        <w:tc>
          <w:tcPr>
            <w:tcW w:w="1771" w:type="dxa"/>
            <w:vAlign w:val="center"/>
          </w:tcPr>
          <w:p w14:paraId="5F3D37B2">
            <w:pPr>
              <w:pStyle w:val="38"/>
              <w:pBdr>
                <w:bottom w:val="none" w:color="auto" w:sz="0" w:space="0"/>
              </w:pBdr>
              <w:tabs>
                <w:tab w:val="left" w:pos="420"/>
              </w:tabs>
              <w:snapToGrid/>
              <w:spacing w:line="360" w:lineRule="auto"/>
              <w:jc w:val="both"/>
              <w:rPr>
                <w:rFonts w:ascii="宋体" w:hAnsi="宋体" w:cs="宋体"/>
                <w:color w:val="auto"/>
                <w:sz w:val="21"/>
                <w:szCs w:val="21"/>
                <w:highlight w:val="none"/>
              </w:rPr>
            </w:pPr>
            <w:r>
              <w:rPr>
                <w:rFonts w:hint="eastAsia" w:ascii="宋体" w:hAnsi="宋体"/>
                <w:color w:val="000000" w:themeColor="text1"/>
                <w:sz w:val="21"/>
                <w:szCs w:val="21"/>
                <w:highlight w:val="none"/>
                <w14:textFill>
                  <w14:solidFill>
                    <w14:schemeClr w14:val="tx1"/>
                  </w14:solidFill>
                </w14:textFill>
              </w:rPr>
              <w:t>提供证明材料，加盖供应商公章</w:t>
            </w:r>
          </w:p>
        </w:tc>
      </w:tr>
      <w:tr w14:paraId="5B740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jc w:val="center"/>
        </w:trPr>
        <w:tc>
          <w:tcPr>
            <w:tcW w:w="527" w:type="dxa"/>
            <w:vMerge w:val="continue"/>
            <w:vAlign w:val="center"/>
          </w:tcPr>
          <w:p w14:paraId="22239920">
            <w:pPr>
              <w:spacing w:line="360" w:lineRule="auto"/>
              <w:ind w:firstLine="28"/>
              <w:jc w:val="center"/>
              <w:rPr>
                <w:rFonts w:ascii="宋体" w:hAnsi="宋体" w:cs="宋体"/>
                <w:color w:val="auto"/>
                <w:sz w:val="21"/>
                <w:szCs w:val="21"/>
                <w:highlight w:val="none"/>
              </w:rPr>
            </w:pPr>
          </w:p>
        </w:tc>
        <w:tc>
          <w:tcPr>
            <w:tcW w:w="1142" w:type="dxa"/>
            <w:vMerge w:val="continue"/>
            <w:vAlign w:val="center"/>
          </w:tcPr>
          <w:p w14:paraId="5A85B25A">
            <w:pPr>
              <w:pStyle w:val="38"/>
              <w:pBdr>
                <w:bottom w:val="none" w:color="auto" w:sz="0" w:space="0"/>
              </w:pBdr>
              <w:tabs>
                <w:tab w:val="left" w:pos="420"/>
              </w:tabs>
              <w:snapToGrid/>
              <w:spacing w:line="360" w:lineRule="auto"/>
              <w:rPr>
                <w:rFonts w:ascii="宋体" w:hAnsi="宋体" w:cs="宋体"/>
                <w:color w:val="auto"/>
                <w:sz w:val="21"/>
                <w:szCs w:val="21"/>
                <w:highlight w:val="none"/>
              </w:rPr>
            </w:pPr>
          </w:p>
        </w:tc>
        <w:tc>
          <w:tcPr>
            <w:tcW w:w="832" w:type="dxa"/>
            <w:vAlign w:val="center"/>
          </w:tcPr>
          <w:p w14:paraId="64CD7828">
            <w:pPr>
              <w:pStyle w:val="38"/>
              <w:pBdr>
                <w:bottom w:val="none" w:color="auto" w:sz="0" w:space="0"/>
              </w:pBdr>
              <w:tabs>
                <w:tab w:val="left" w:pos="420"/>
              </w:tabs>
              <w:snapToGrid/>
              <w:spacing w:line="360" w:lineRule="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6分</w:t>
            </w:r>
          </w:p>
        </w:tc>
        <w:tc>
          <w:tcPr>
            <w:tcW w:w="5061" w:type="dxa"/>
            <w:vAlign w:val="center"/>
          </w:tcPr>
          <w:p w14:paraId="375CD413">
            <w:pPr>
              <w:numPr>
                <w:ilvl w:val="0"/>
                <w:numId w:val="0"/>
              </w:numPr>
              <w:spacing w:line="360" w:lineRule="auto"/>
              <w:ind w:left="0" w:leftChars="0" w:firstLine="420" w:firstLineChars="200"/>
              <w:rPr>
                <w:rFonts w:hint="default" w:ascii="宋体" w:hAnsi="宋体" w:cs="宋体"/>
                <w:color w:val="auto"/>
                <w:sz w:val="21"/>
                <w:szCs w:val="21"/>
                <w:highlight w:val="none"/>
              </w:rPr>
            </w:pPr>
            <w:r>
              <w:rPr>
                <w:rFonts w:hint="default" w:ascii="宋体" w:hAnsi="宋体" w:cs="宋体"/>
                <w:color w:val="auto"/>
                <w:sz w:val="21"/>
                <w:szCs w:val="21"/>
                <w:highlight w:val="none"/>
              </w:rPr>
              <w:t>业绩（</w:t>
            </w:r>
            <w:r>
              <w:rPr>
                <w:rFonts w:hint="eastAsia" w:ascii="宋体" w:hAnsi="宋体" w:cs="宋体"/>
                <w:color w:val="auto"/>
                <w:sz w:val="21"/>
                <w:szCs w:val="21"/>
                <w:highlight w:val="none"/>
                <w:lang w:val="en-US" w:eastAsia="zh-CN"/>
              </w:rPr>
              <w:t>6</w:t>
            </w:r>
            <w:r>
              <w:rPr>
                <w:rFonts w:hint="default" w:ascii="宋体" w:hAnsi="宋体" w:cs="宋体"/>
                <w:color w:val="auto"/>
                <w:sz w:val="21"/>
                <w:szCs w:val="21"/>
                <w:highlight w:val="none"/>
              </w:rPr>
              <w:t>分）</w:t>
            </w:r>
          </w:p>
          <w:p w14:paraId="3158C263">
            <w:pPr>
              <w:numPr>
                <w:ilvl w:val="0"/>
                <w:numId w:val="0"/>
              </w:numPr>
              <w:spacing w:line="360" w:lineRule="auto"/>
              <w:ind w:left="0" w:leftChars="0" w:firstLine="420" w:firstLineChars="200"/>
              <w:rPr>
                <w:rFonts w:hint="eastAsia"/>
                <w:color w:val="auto"/>
                <w:highlight w:val="none"/>
                <w:lang w:val="en-US" w:eastAsia="zh-CN"/>
              </w:rPr>
            </w:pPr>
            <w:r>
              <w:rPr>
                <w:rFonts w:hint="default" w:ascii="宋体" w:hAnsi="宋体" w:cs="宋体"/>
                <w:color w:val="auto"/>
                <w:sz w:val="21"/>
                <w:szCs w:val="21"/>
                <w:highlight w:val="none"/>
              </w:rPr>
              <w:t>20</w:t>
            </w:r>
            <w:r>
              <w:rPr>
                <w:rFonts w:hint="eastAsia" w:ascii="宋体" w:hAnsi="宋体" w:cs="宋体"/>
                <w:color w:val="auto"/>
                <w:sz w:val="21"/>
                <w:szCs w:val="21"/>
                <w:highlight w:val="none"/>
                <w:lang w:val="en-US" w:eastAsia="zh-CN"/>
              </w:rPr>
              <w:t>21</w:t>
            </w:r>
            <w:r>
              <w:rPr>
                <w:rFonts w:hint="default" w:ascii="宋体" w:hAnsi="宋体" w:cs="宋体"/>
                <w:color w:val="auto"/>
                <w:sz w:val="21"/>
                <w:szCs w:val="21"/>
                <w:highlight w:val="none"/>
              </w:rPr>
              <w:t>年1月1日</w:t>
            </w:r>
            <w:r>
              <w:rPr>
                <w:rFonts w:hint="default" w:ascii="宋体" w:hAnsi="宋体" w:cs="宋体"/>
                <w:color w:val="auto"/>
                <w:sz w:val="21"/>
                <w:szCs w:val="21"/>
                <w:highlight w:val="none"/>
                <w:lang w:eastAsia="zh-Hans"/>
              </w:rPr>
              <w:t>至</w:t>
            </w:r>
            <w:r>
              <w:rPr>
                <w:rFonts w:hint="default" w:ascii="宋体" w:hAnsi="宋体" w:cs="宋体"/>
                <w:color w:val="auto"/>
                <w:sz w:val="21"/>
                <w:szCs w:val="21"/>
                <w:highlight w:val="none"/>
              </w:rPr>
              <w:t>响应文件递交截止时间，供应商承接过</w:t>
            </w:r>
            <w:r>
              <w:rPr>
                <w:rFonts w:hint="eastAsia" w:ascii="宋体" w:hAnsi="宋体" w:cs="宋体"/>
                <w:color w:val="auto"/>
                <w:sz w:val="21"/>
                <w:szCs w:val="21"/>
                <w:highlight w:val="none"/>
                <w:lang w:val="en-US" w:eastAsia="zh-CN"/>
              </w:rPr>
              <w:t>类似展厅设计装修的</w:t>
            </w:r>
            <w:r>
              <w:rPr>
                <w:rFonts w:hint="default" w:ascii="宋体" w:hAnsi="宋体" w:cs="宋体"/>
                <w:color w:val="auto"/>
                <w:sz w:val="21"/>
                <w:szCs w:val="21"/>
                <w:highlight w:val="none"/>
              </w:rPr>
              <w:t>，每有一项得2分，最多得</w:t>
            </w:r>
            <w:r>
              <w:rPr>
                <w:rFonts w:hint="eastAsia" w:ascii="宋体" w:hAnsi="宋体" w:cs="宋体"/>
                <w:color w:val="auto"/>
                <w:sz w:val="21"/>
                <w:szCs w:val="21"/>
                <w:highlight w:val="none"/>
                <w:lang w:val="en-US" w:eastAsia="zh-CN"/>
              </w:rPr>
              <w:t>6</w:t>
            </w:r>
            <w:r>
              <w:rPr>
                <w:rFonts w:hint="default" w:ascii="宋体" w:hAnsi="宋体" w:cs="宋体"/>
                <w:color w:val="auto"/>
                <w:sz w:val="21"/>
                <w:szCs w:val="21"/>
                <w:highlight w:val="none"/>
              </w:rPr>
              <w:t>分，没有的不得分。</w:t>
            </w:r>
          </w:p>
        </w:tc>
        <w:tc>
          <w:tcPr>
            <w:tcW w:w="1771" w:type="dxa"/>
            <w:vAlign w:val="center"/>
          </w:tcPr>
          <w:p w14:paraId="5431DAC3">
            <w:pPr>
              <w:pStyle w:val="38"/>
              <w:pBdr>
                <w:bottom w:val="none" w:color="auto" w:sz="0" w:space="0"/>
              </w:pBdr>
              <w:tabs>
                <w:tab w:val="left" w:pos="420"/>
              </w:tabs>
              <w:snapToGrid/>
              <w:spacing w:line="360" w:lineRule="auto"/>
              <w:jc w:val="both"/>
              <w:rPr>
                <w:rFonts w:ascii="宋体" w:hAnsi="宋体" w:cs="宋体"/>
                <w:color w:val="auto"/>
                <w:sz w:val="21"/>
                <w:szCs w:val="21"/>
                <w:highlight w:val="none"/>
              </w:rPr>
            </w:pPr>
            <w:r>
              <w:rPr>
                <w:rFonts w:hint="eastAsia" w:ascii="宋体" w:hAnsi="宋体"/>
                <w:color w:val="000000" w:themeColor="text1"/>
                <w:sz w:val="21"/>
                <w:szCs w:val="21"/>
                <w:highlight w:val="none"/>
                <w14:textFill>
                  <w14:solidFill>
                    <w14:schemeClr w14:val="tx1"/>
                  </w14:solidFill>
                </w14:textFill>
              </w:rPr>
              <w:t>提供合同或其他业绩证明材料复印件，加盖供应商公章。</w:t>
            </w:r>
          </w:p>
        </w:tc>
      </w:tr>
    </w:tbl>
    <w:p w14:paraId="441AC1D1">
      <w:pPr>
        <w:spacing w:line="500" w:lineRule="exact"/>
        <w:rPr>
          <w:rFonts w:ascii="宋体" w:hAnsi="宋体"/>
          <w:bCs/>
          <w:color w:val="auto"/>
          <w:sz w:val="24"/>
          <w:szCs w:val="24"/>
          <w:highlight w:val="none"/>
        </w:rPr>
      </w:pPr>
      <w:r>
        <w:rPr>
          <w:rFonts w:hint="eastAsia" w:ascii="宋体" w:hAnsi="宋体" w:cs="宋体"/>
          <w:b/>
          <w:bCs/>
          <w:color w:val="auto"/>
          <w:sz w:val="24"/>
          <w:szCs w:val="24"/>
          <w:highlight w:val="none"/>
        </w:rPr>
        <w:t>说明：</w:t>
      </w:r>
      <w:bookmarkEnd w:id="161"/>
      <w:bookmarkEnd w:id="162"/>
      <w:bookmarkStart w:id="163" w:name="_Toc4663"/>
      <w:bookmarkStart w:id="164" w:name="_Toc11223"/>
      <w:r>
        <w:rPr>
          <w:rFonts w:hint="eastAsia" w:ascii="宋体" w:hAnsi="宋体"/>
          <w:bCs/>
          <w:color w:val="auto"/>
          <w:sz w:val="24"/>
          <w:szCs w:val="24"/>
          <w:highlight w:val="none"/>
        </w:rPr>
        <w:t>（一）磋商小组认为，排名在前面的供应商候选人的磋商报价或者某些分项报价明显不合理或者低于成本，有可能影响服务质量和不能诚信履约的，将要求其在规定的期限内提供书面文件予以解释说明，并提交相关证明材料；否则，磋商小组可以取消该供应商候选人资格，按顺序由排在后一位的供应商候选人递补，以此类推。</w:t>
      </w:r>
      <w:bookmarkStart w:id="165" w:name="_Toc20938"/>
      <w:bookmarkStart w:id="166" w:name="_Toc24672"/>
    </w:p>
    <w:p w14:paraId="1972971C">
      <w:pPr>
        <w:spacing w:line="5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（二）关于小微企业报价扣除比例说明</w:t>
      </w:r>
      <w:bookmarkEnd w:id="165"/>
      <w:bookmarkEnd w:id="166"/>
    </w:p>
    <w:p w14:paraId="4BDED237">
      <w:pPr>
        <w:spacing w:line="500" w:lineRule="exact"/>
        <w:ind w:firstLine="480" w:firstLineChars="200"/>
        <w:rPr>
          <w:rFonts w:ascii="宋体" w:hAnsi="宋体"/>
          <w:bCs/>
          <w:color w:val="auto"/>
          <w:sz w:val="24"/>
          <w:szCs w:val="24"/>
          <w:highlight w:val="none"/>
        </w:rPr>
      </w:pPr>
      <w:bookmarkStart w:id="167" w:name="_Toc7314"/>
      <w:bookmarkStart w:id="168" w:name="_Toc29550"/>
      <w:r>
        <w:rPr>
          <w:rFonts w:hint="eastAsia" w:ascii="宋体" w:hAnsi="宋体"/>
          <w:bCs/>
          <w:color w:val="auto"/>
          <w:sz w:val="24"/>
          <w:szCs w:val="24"/>
          <w:highlight w:val="none"/>
        </w:rPr>
        <w:t>1.供应商为非联合体参与磋商的，对小微型企业给予</w:t>
      </w:r>
      <w:r>
        <w:rPr>
          <w:rFonts w:hint="eastAsia" w:ascii="宋体" w:hAnsi="宋体"/>
          <w:bCs/>
          <w:color w:val="auto"/>
          <w:sz w:val="24"/>
          <w:szCs w:val="24"/>
          <w:highlight w:val="none"/>
          <w:u w:val="single"/>
          <w:lang w:val="en-US" w:eastAsia="zh-CN"/>
        </w:rPr>
        <w:t>3</w:t>
      </w:r>
      <w:r>
        <w:rPr>
          <w:rFonts w:hint="eastAsia" w:ascii="宋体" w:hAnsi="宋体"/>
          <w:bCs/>
          <w:color w:val="auto"/>
          <w:sz w:val="24"/>
          <w:szCs w:val="24"/>
          <w:highlight w:val="none"/>
          <w:u w:val="single"/>
        </w:rPr>
        <w:t>%</w:t>
      </w:r>
      <w:r>
        <w:rPr>
          <w:rFonts w:hint="eastAsia" w:ascii="宋体" w:hAnsi="宋体"/>
          <w:bCs/>
          <w:color w:val="auto"/>
          <w:sz w:val="24"/>
          <w:szCs w:val="24"/>
          <w:highlight w:val="none"/>
        </w:rPr>
        <w:t>的扣除，以扣除后的报价参与评审。</w:t>
      </w:r>
      <w:bookmarkEnd w:id="167"/>
      <w:bookmarkEnd w:id="168"/>
    </w:p>
    <w:p w14:paraId="087A0B89">
      <w:pPr>
        <w:spacing w:line="5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2.监狱企业、残疾人福利性单位视同小型、微型企业。</w:t>
      </w:r>
      <w:bookmarkEnd w:id="163"/>
      <w:bookmarkEnd w:id="164"/>
    </w:p>
    <w:p w14:paraId="3396B5A8">
      <w:pPr>
        <w:spacing w:line="500" w:lineRule="exact"/>
        <w:ind w:firstLine="482" w:firstLineChars="200"/>
        <w:rPr>
          <w:rFonts w:ascii="宋体" w:hAnsi="宋体"/>
          <w:bCs/>
          <w:color w:val="auto"/>
          <w:sz w:val="24"/>
          <w:szCs w:val="24"/>
          <w:highlight w:val="none"/>
        </w:rPr>
      </w:pPr>
      <w:bookmarkStart w:id="169" w:name="_Toc16259"/>
      <w:bookmarkStart w:id="170" w:name="_Toc30750"/>
      <w:bookmarkStart w:id="171" w:name="_Toc27569"/>
      <w:r>
        <w:rPr>
          <w:rFonts w:hint="eastAsia" w:ascii="宋体" w:hAnsi="宋体"/>
          <w:b/>
          <w:color w:val="auto"/>
          <w:sz w:val="24"/>
          <w:szCs w:val="24"/>
          <w:highlight w:val="none"/>
        </w:rPr>
        <w:t>三、无效响应</w:t>
      </w:r>
      <w:bookmarkEnd w:id="169"/>
      <w:bookmarkEnd w:id="170"/>
      <w:bookmarkEnd w:id="171"/>
    </w:p>
    <w:p w14:paraId="20CCAD04">
      <w:pPr>
        <w:spacing w:line="500" w:lineRule="exact"/>
        <w:rPr>
          <w:rFonts w:ascii="宋体" w:hAnsi="宋体"/>
          <w:bCs/>
          <w:color w:val="auto"/>
          <w:sz w:val="24"/>
          <w:szCs w:val="24"/>
          <w:highlight w:val="none"/>
        </w:rPr>
      </w:pPr>
      <w:r>
        <w:rPr>
          <w:rFonts w:hint="eastAsia" w:ascii="宋体" w:hAnsi="宋体"/>
          <w:bCs/>
          <w:color w:val="auto"/>
          <w:sz w:val="24"/>
          <w:szCs w:val="24"/>
          <w:highlight w:val="none"/>
        </w:rPr>
        <w:t>供应商发生以下条款情况之一者，视为无效响应，其响应文件将被拒绝：</w:t>
      </w:r>
    </w:p>
    <w:p w14:paraId="0F1901B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（一）供应商不符合规定的资格条件的；</w:t>
      </w:r>
    </w:p>
    <w:p w14:paraId="648A1A3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（二）供应商的法定代表人（或其授权代表）或自然人未参加磋商；</w:t>
      </w:r>
    </w:p>
    <w:p w14:paraId="3E7832CA">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（三）供应商所提交的响应文件不按“第七篇响应文件编制要求”要求签署或盖章；</w:t>
      </w:r>
    </w:p>
    <w:p w14:paraId="625108E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（四）供应商的最后报价超过采购预算或最高限价的；</w:t>
      </w:r>
    </w:p>
    <w:p w14:paraId="319BD615">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（五）法定代表人为同一个人的两个及两个以上法人，母公司、全资子公司及其控股公司，在同一包采购中同时参与磋商；</w:t>
      </w:r>
    </w:p>
    <w:p w14:paraId="0DA8602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（六）单位负责人为同一人或者存在直接控股、管理关系的不同供应商，参加同一合同项下的政府采购活动的；</w:t>
      </w:r>
    </w:p>
    <w:p w14:paraId="417C382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（七）为采购项目提供整体设计、规范编制或者项目管理、监理、检测等服务的供应商，再参加该采购项目的其他采购活动；</w:t>
      </w:r>
    </w:p>
    <w:p w14:paraId="5C036E52">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（八）供应商磋商有效期不满足竞争性磋商文件要求的；</w:t>
      </w:r>
    </w:p>
    <w:p w14:paraId="6C04945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（九）供应商响应文件内容有与国家现行法律法规相违背的内容，或附有采购人无法接受的条件；</w:t>
      </w:r>
    </w:p>
    <w:p w14:paraId="79001913">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（十）法律、法规和竞争性磋商文件规定的其他无效情形。</w:t>
      </w:r>
    </w:p>
    <w:p w14:paraId="4CB7F839">
      <w:pPr>
        <w:pStyle w:val="6"/>
        <w:spacing w:before="0" w:after="0" w:line="500" w:lineRule="exact"/>
        <w:ind w:firstLine="482" w:firstLineChars="200"/>
        <w:rPr>
          <w:rFonts w:ascii="宋体" w:hAnsi="宋体" w:cs="宋体"/>
          <w:color w:val="auto"/>
          <w:sz w:val="24"/>
          <w:szCs w:val="24"/>
          <w:highlight w:val="none"/>
        </w:rPr>
      </w:pPr>
      <w:bookmarkStart w:id="172" w:name="_Toc9128"/>
      <w:bookmarkStart w:id="173" w:name="_Toc16983"/>
      <w:bookmarkStart w:id="174" w:name="_Toc2611"/>
      <w:bookmarkStart w:id="175" w:name="_Toc17589"/>
      <w:bookmarkStart w:id="176" w:name="_Toc28120"/>
      <w:r>
        <w:rPr>
          <w:rFonts w:hint="eastAsia" w:ascii="宋体" w:hAnsi="宋体" w:cs="宋体"/>
          <w:color w:val="auto"/>
          <w:sz w:val="24"/>
          <w:szCs w:val="24"/>
          <w:highlight w:val="none"/>
        </w:rPr>
        <w:t>四、采购终止</w:t>
      </w:r>
      <w:bookmarkEnd w:id="172"/>
      <w:bookmarkEnd w:id="173"/>
      <w:bookmarkEnd w:id="174"/>
      <w:bookmarkEnd w:id="175"/>
      <w:bookmarkEnd w:id="176"/>
    </w:p>
    <w:p w14:paraId="6BF4880F">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出现下列情形之一的，采购人或者采购代理机构应当终止竞争性磋商采购活动，发布项目终止公告并说明原因，重新开展采购活动：</w:t>
      </w:r>
    </w:p>
    <w:p w14:paraId="7A63BF20">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（一）因情况变化，不再符合规定的竞争性磋商采购方式适用情形的；</w:t>
      </w:r>
    </w:p>
    <w:p w14:paraId="5438C63B">
      <w:pPr>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（二）出现影响采购公正的违法、违规行为的；</w:t>
      </w:r>
    </w:p>
    <w:p w14:paraId="75EE1D7D">
      <w:pPr>
        <w:spacing w:line="500" w:lineRule="exact"/>
        <w:ind w:firstLine="480" w:firstLineChars="200"/>
        <w:rPr>
          <w:rFonts w:ascii="宋体" w:hAnsi="宋体" w:cs="宋体"/>
          <w:color w:val="auto"/>
          <w:sz w:val="36"/>
          <w:szCs w:val="30"/>
          <w:highlight w:val="none"/>
        </w:rPr>
      </w:pPr>
      <w:r>
        <w:rPr>
          <w:rFonts w:hint="eastAsia" w:ascii="宋体" w:hAnsi="宋体" w:cs="宋体"/>
          <w:color w:val="auto"/>
          <w:sz w:val="24"/>
          <w:szCs w:val="24"/>
          <w:highlight w:val="none"/>
        </w:rPr>
        <w:t>（三）在采购过程中符合要求的供应商或者报价未超过采购预算的供应商不足3家的，但《政府采购竞争性磋商采购方式管理暂行办法》第二十一条第三款规定的情形除外。</w:t>
      </w:r>
      <w:bookmarkStart w:id="177" w:name="_Toc102227313"/>
    </w:p>
    <w:p w14:paraId="295574B1">
      <w:pPr>
        <w:snapToGrid w:val="0"/>
        <w:spacing w:line="360" w:lineRule="auto"/>
        <w:rPr>
          <w:rFonts w:ascii="宋体" w:hAnsi="宋体" w:cs="宋体"/>
          <w:color w:val="auto"/>
          <w:sz w:val="36"/>
          <w:szCs w:val="30"/>
          <w:highlight w:val="none"/>
        </w:rPr>
      </w:pPr>
    </w:p>
    <w:p w14:paraId="59F0A7B1">
      <w:pPr>
        <w:pStyle w:val="4"/>
        <w:bidi w:val="0"/>
        <w:rPr>
          <w:rFonts w:hint="eastAsia"/>
          <w:color w:val="auto"/>
          <w:highlight w:val="none"/>
        </w:rPr>
        <w:sectPr>
          <w:pgSz w:w="11905" w:h="16838"/>
          <w:pgMar w:top="1417" w:right="1417" w:bottom="1417" w:left="1417" w:header="1003" w:footer="986" w:gutter="0"/>
          <w:cols w:space="0" w:num="1"/>
          <w:rtlGutter w:val="0"/>
          <w:docGrid w:linePitch="389" w:charSpace="0"/>
        </w:sectPr>
      </w:pPr>
      <w:bookmarkStart w:id="178" w:name="_Toc20130552"/>
      <w:bookmarkStart w:id="179" w:name="_Toc30537"/>
    </w:p>
    <w:p w14:paraId="7ED74E32">
      <w:pPr>
        <w:pStyle w:val="4"/>
        <w:bidi w:val="0"/>
        <w:jc w:val="center"/>
        <w:rPr>
          <w:rFonts w:ascii="宋体" w:hAnsi="宋体" w:eastAsia="宋体" w:cs="宋体"/>
          <w:b/>
          <w:bCs/>
          <w:color w:val="auto"/>
          <w:sz w:val="32"/>
          <w:szCs w:val="32"/>
          <w:highlight w:val="none"/>
        </w:rPr>
      </w:pPr>
      <w:bookmarkStart w:id="180" w:name="_Toc29520"/>
      <w:bookmarkStart w:id="181" w:name="_Toc18933"/>
      <w:r>
        <w:rPr>
          <w:rFonts w:hint="eastAsia"/>
          <w:b/>
          <w:bCs/>
          <w:color w:val="auto"/>
          <w:sz w:val="32"/>
          <w:szCs w:val="32"/>
          <w:highlight w:val="none"/>
        </w:rPr>
        <w:t>第五篇  供应商须知</w:t>
      </w:r>
      <w:bookmarkEnd w:id="178"/>
      <w:bookmarkEnd w:id="179"/>
      <w:bookmarkEnd w:id="180"/>
      <w:bookmarkEnd w:id="181"/>
    </w:p>
    <w:p w14:paraId="5F064E67">
      <w:pPr>
        <w:pStyle w:val="6"/>
        <w:spacing w:before="0" w:after="0" w:line="540" w:lineRule="exact"/>
        <w:ind w:firstLine="482" w:firstLineChars="200"/>
        <w:rPr>
          <w:rFonts w:ascii="宋体" w:hAnsi="宋体" w:cs="宋体"/>
          <w:color w:val="auto"/>
          <w:sz w:val="24"/>
          <w:szCs w:val="24"/>
          <w:highlight w:val="none"/>
        </w:rPr>
      </w:pPr>
      <w:bookmarkStart w:id="182" w:name="_Toc10196"/>
      <w:bookmarkStart w:id="183" w:name="_Toc13036"/>
      <w:bookmarkStart w:id="184" w:name="_Toc6090"/>
      <w:bookmarkStart w:id="185" w:name="_Toc20130553"/>
      <w:bookmarkStart w:id="186" w:name="_Toc10978"/>
      <w:bookmarkStart w:id="187" w:name="_Toc11284"/>
      <w:r>
        <w:rPr>
          <w:rFonts w:hint="eastAsia" w:ascii="宋体" w:hAnsi="宋体" w:cs="宋体"/>
          <w:color w:val="auto"/>
          <w:sz w:val="24"/>
          <w:szCs w:val="24"/>
          <w:highlight w:val="none"/>
        </w:rPr>
        <w:t>一、磋商费用</w:t>
      </w:r>
      <w:bookmarkEnd w:id="182"/>
      <w:bookmarkEnd w:id="183"/>
      <w:bookmarkEnd w:id="184"/>
      <w:bookmarkEnd w:id="185"/>
      <w:bookmarkEnd w:id="186"/>
      <w:bookmarkEnd w:id="187"/>
    </w:p>
    <w:p w14:paraId="5CCA54B8">
      <w:pPr>
        <w:pStyle w:val="184"/>
        <w:spacing w:line="54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参与磋商的供应商应承担其编制响应文件与递交响应文件所涉及的一切费用，不论磋商结果如何，采购人和采购代理机构在任何情况下无义务也无责任承担这些费用。</w:t>
      </w:r>
    </w:p>
    <w:p w14:paraId="3E0660B6">
      <w:pPr>
        <w:pStyle w:val="6"/>
        <w:tabs>
          <w:tab w:val="left" w:pos="2640"/>
        </w:tabs>
        <w:spacing w:before="0" w:after="0" w:line="540" w:lineRule="exact"/>
        <w:ind w:firstLine="482" w:firstLineChars="200"/>
        <w:rPr>
          <w:rFonts w:ascii="宋体" w:hAnsi="宋体" w:cs="宋体"/>
          <w:color w:val="auto"/>
          <w:sz w:val="24"/>
          <w:szCs w:val="24"/>
          <w:highlight w:val="none"/>
        </w:rPr>
      </w:pPr>
      <w:bookmarkStart w:id="188" w:name="_Toc20130554"/>
      <w:bookmarkStart w:id="189" w:name="_Toc1068"/>
      <w:bookmarkStart w:id="190" w:name="_Toc6755"/>
      <w:bookmarkStart w:id="191" w:name="_Toc21442"/>
      <w:bookmarkStart w:id="192" w:name="_Toc12044"/>
      <w:bookmarkStart w:id="193" w:name="_Toc21212"/>
      <w:r>
        <w:rPr>
          <w:rFonts w:hint="eastAsia" w:ascii="宋体" w:hAnsi="宋体" w:cs="宋体"/>
          <w:color w:val="auto"/>
          <w:sz w:val="24"/>
          <w:szCs w:val="24"/>
          <w:highlight w:val="none"/>
        </w:rPr>
        <w:t>二、竞争性磋商文件</w:t>
      </w:r>
      <w:bookmarkEnd w:id="188"/>
      <w:bookmarkEnd w:id="189"/>
      <w:bookmarkEnd w:id="190"/>
      <w:bookmarkEnd w:id="191"/>
      <w:bookmarkEnd w:id="192"/>
      <w:bookmarkEnd w:id="193"/>
    </w:p>
    <w:p w14:paraId="7A7DB628">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（一）竞争性磋商文件由采购邀请书；采购服务需求；采购商务需求；磋商程序及方法、评审标准、无效响应和采购终止；供应商须知；合同草案条款；响应文件编制要求共七部分组成。</w:t>
      </w:r>
    </w:p>
    <w:p w14:paraId="5ECECC1E">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（二）采购人（或采购代理机构）所作的一切有效的书面通知、修改及补充，都是竞争性磋商文件不可分割的部分。</w:t>
      </w:r>
    </w:p>
    <w:p w14:paraId="00673EEE">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（三）竞争性磋商文件的解释</w:t>
      </w:r>
    </w:p>
    <w:p w14:paraId="505CDD15">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14:paraId="7F175D4C">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（四）本竞争性磋商文件中，磋商小组根据与供应商进行磋商可能实质性变动的内容为竞争性磋商文件第二、三、六篇全部内容。</w:t>
      </w:r>
    </w:p>
    <w:p w14:paraId="50C9AC61">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p w14:paraId="27B7604B">
      <w:pPr>
        <w:pStyle w:val="6"/>
        <w:spacing w:before="0" w:after="0" w:line="540" w:lineRule="exact"/>
        <w:ind w:firstLine="482" w:firstLineChars="200"/>
        <w:rPr>
          <w:rFonts w:ascii="宋体" w:hAnsi="宋体" w:cs="宋体"/>
          <w:color w:val="auto"/>
          <w:sz w:val="24"/>
          <w:szCs w:val="24"/>
          <w:highlight w:val="none"/>
        </w:rPr>
      </w:pPr>
      <w:bookmarkStart w:id="194" w:name="_Toc31861"/>
      <w:bookmarkStart w:id="195" w:name="_Toc17421"/>
      <w:bookmarkStart w:id="196" w:name="_Toc29080"/>
      <w:bookmarkStart w:id="197" w:name="_Toc20130555"/>
      <w:bookmarkStart w:id="198" w:name="_Toc21393"/>
      <w:bookmarkStart w:id="199" w:name="_Toc6072"/>
      <w:r>
        <w:rPr>
          <w:rFonts w:hint="eastAsia" w:ascii="宋体" w:hAnsi="宋体" w:cs="宋体"/>
          <w:color w:val="auto"/>
          <w:sz w:val="24"/>
          <w:szCs w:val="24"/>
          <w:highlight w:val="none"/>
        </w:rPr>
        <w:t>三、磋商要求</w:t>
      </w:r>
      <w:bookmarkEnd w:id="194"/>
      <w:bookmarkEnd w:id="195"/>
      <w:bookmarkEnd w:id="196"/>
      <w:bookmarkEnd w:id="197"/>
      <w:bookmarkEnd w:id="198"/>
      <w:bookmarkEnd w:id="199"/>
    </w:p>
    <w:p w14:paraId="75293083">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（一）响应文件</w:t>
      </w:r>
    </w:p>
    <w:p w14:paraId="38429C61">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14:paraId="05A9DD0B">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2.响应文件组成</w:t>
      </w:r>
    </w:p>
    <w:p w14:paraId="025484F5">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19A549F">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（二）联合体</w:t>
      </w:r>
    </w:p>
    <w:p w14:paraId="25553EC6">
      <w:pPr>
        <w:spacing w:line="5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本项目不接受联合体磋商。</w:t>
      </w:r>
    </w:p>
    <w:p w14:paraId="77DFBE64">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（三）磋商有效期：响应文件及有关承诺文件有效期为提交响应文件截止时间起90天。</w:t>
      </w:r>
    </w:p>
    <w:p w14:paraId="0463405E">
      <w:pPr>
        <w:spacing w:line="5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（四）</w:t>
      </w:r>
      <w:r>
        <w:rPr>
          <w:rFonts w:hint="eastAsia" w:ascii="宋体" w:hAnsi="宋体" w:cs="宋体"/>
          <w:color w:val="auto"/>
          <w:sz w:val="24"/>
          <w:szCs w:val="24"/>
          <w:highlight w:val="none"/>
        </w:rPr>
        <w:t>磋商保证金：</w:t>
      </w:r>
    </w:p>
    <w:p w14:paraId="57FFBC98">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1.供应商提交保证金金额和方式详见本文件第一篇“五、磋商保证金”；</w:t>
      </w:r>
    </w:p>
    <w:p w14:paraId="69A6A887">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2.发生以下情况之一者，磋商保证金不予退还：</w:t>
      </w:r>
    </w:p>
    <w:p w14:paraId="30F9AF46">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 供应商在提交响应文件截止时间后撤回响应文件的；</w:t>
      </w:r>
    </w:p>
    <w:p w14:paraId="6ACA78E3">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 供应商在响应文件中提供虚假材料的；</w:t>
      </w:r>
    </w:p>
    <w:p w14:paraId="5C81BD54">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 除因不可抗力或竞争性磋商文件认可的情形以外，成交供应商不与采购人签订合同的；</w:t>
      </w:r>
    </w:p>
    <w:p w14:paraId="44E5C3D3">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2.4 供应商与采购人、其他供应商或者采购代理机构恶意串通的；</w:t>
      </w:r>
    </w:p>
    <w:p w14:paraId="2D0CE6A7">
      <w:pPr>
        <w:spacing w:line="540" w:lineRule="exact"/>
        <w:ind w:firstLine="480" w:firstLineChars="200"/>
        <w:rPr>
          <w:rFonts w:ascii="宋体" w:hAnsi="宋体" w:cs="宋体"/>
          <w:bCs/>
          <w:color w:val="auto"/>
          <w:sz w:val="24"/>
          <w:szCs w:val="24"/>
          <w:highlight w:val="none"/>
        </w:rPr>
      </w:pPr>
      <w:r>
        <w:rPr>
          <w:rFonts w:hint="eastAsia" w:ascii="宋体" w:hAnsi="宋体" w:cs="宋体"/>
          <w:color w:val="auto"/>
          <w:sz w:val="24"/>
          <w:szCs w:val="24"/>
          <w:highlight w:val="none"/>
        </w:rPr>
        <w:t>2.5 成交供应商不按规定的时间或拒绝按成交状态签订合同（即不按照磋商文件确定的合同文本以及采购标的、规格型号、采购金额、采购数量、技术和服务要求等事项签订政府采购合同的）。</w:t>
      </w:r>
    </w:p>
    <w:p w14:paraId="7198C0D0">
      <w:pPr>
        <w:spacing w:line="540" w:lineRule="exact"/>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（五）修正错误</w:t>
      </w:r>
    </w:p>
    <w:p w14:paraId="132BECDB">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1.若供应商所递交的响应文件或最后报价中的价格出现大写金额和小写金额不一致的错误，以大写金额修正为准。</w:t>
      </w:r>
    </w:p>
    <w:p w14:paraId="5066BFC1">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14:paraId="0EFBDD3B">
      <w:pPr>
        <w:pStyle w:val="6"/>
        <w:spacing w:before="0" w:after="0" w:line="540" w:lineRule="exact"/>
        <w:ind w:firstLine="480" w:firstLineChars="200"/>
        <w:rPr>
          <w:rFonts w:ascii="宋体" w:hAnsi="宋体" w:cs="宋体"/>
          <w:b w:val="0"/>
          <w:bCs/>
          <w:color w:val="auto"/>
          <w:sz w:val="24"/>
          <w:szCs w:val="24"/>
          <w:highlight w:val="none"/>
        </w:rPr>
      </w:pPr>
      <w:bookmarkStart w:id="200" w:name="_Toc18442"/>
      <w:bookmarkStart w:id="201" w:name="_Toc23059"/>
      <w:bookmarkStart w:id="202" w:name="_Toc30702"/>
      <w:bookmarkStart w:id="203" w:name="_Toc13581"/>
      <w:r>
        <w:rPr>
          <w:rFonts w:hint="eastAsia" w:ascii="宋体" w:hAnsi="宋体" w:cs="宋体"/>
          <w:b w:val="0"/>
          <w:bCs/>
          <w:color w:val="auto"/>
          <w:sz w:val="24"/>
          <w:szCs w:val="24"/>
          <w:highlight w:val="none"/>
        </w:rPr>
        <w:t>（六）提交响应文件的份数和签署</w:t>
      </w:r>
      <w:bookmarkEnd w:id="200"/>
      <w:bookmarkEnd w:id="201"/>
      <w:bookmarkEnd w:id="202"/>
      <w:bookmarkEnd w:id="203"/>
    </w:p>
    <w:p w14:paraId="352883F1">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1.响应文件一式三份，其中正本一份，副本一份，电子文档一份（推荐采用U盘</w:t>
      </w:r>
      <w:r>
        <w:rPr>
          <w:rFonts w:hint="eastAsia" w:ascii="宋体" w:hAnsi="宋体" w:cs="宋体"/>
          <w:color w:val="auto"/>
          <w:sz w:val="24"/>
          <w:szCs w:val="24"/>
          <w:highlight w:val="none"/>
          <w:lang w:val="en-US" w:eastAsia="zh-CN"/>
        </w:rPr>
        <w:t>或光盘</w:t>
      </w:r>
      <w:r>
        <w:rPr>
          <w:rFonts w:hint="eastAsia" w:ascii="宋体" w:hAnsi="宋体" w:cs="宋体"/>
          <w:color w:val="auto"/>
          <w:sz w:val="24"/>
          <w:szCs w:val="24"/>
          <w:highlight w:val="none"/>
        </w:rPr>
        <w:t>为电子文档载体）；副本可为正本的复印件，应与正本一致，如出现不一致情况以正本为准。</w:t>
      </w:r>
    </w:p>
    <w:p w14:paraId="251223AD">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2.在响应文件正本中，竞争性磋商文件第七篇响应文件编制要求中规定签字、盖章的地方必须按其规定签字、盖章。</w:t>
      </w:r>
    </w:p>
    <w:p w14:paraId="45B25AE4">
      <w:pPr>
        <w:pStyle w:val="6"/>
        <w:spacing w:before="0" w:after="0" w:line="540" w:lineRule="exact"/>
        <w:ind w:firstLine="480" w:firstLineChars="200"/>
        <w:rPr>
          <w:rFonts w:ascii="宋体" w:hAnsi="宋体" w:cs="宋体"/>
          <w:b w:val="0"/>
          <w:bCs/>
          <w:color w:val="auto"/>
          <w:sz w:val="24"/>
          <w:szCs w:val="24"/>
          <w:highlight w:val="none"/>
        </w:rPr>
      </w:pPr>
      <w:bookmarkStart w:id="204" w:name="_Toc17311"/>
      <w:bookmarkStart w:id="205" w:name="_Toc7474"/>
      <w:bookmarkStart w:id="206" w:name="_Toc28184"/>
      <w:bookmarkStart w:id="207" w:name="_Toc17960"/>
      <w:r>
        <w:rPr>
          <w:rFonts w:hint="eastAsia" w:ascii="宋体" w:hAnsi="宋体" w:cs="宋体"/>
          <w:b w:val="0"/>
          <w:bCs/>
          <w:color w:val="auto"/>
          <w:sz w:val="24"/>
          <w:szCs w:val="24"/>
          <w:highlight w:val="none"/>
        </w:rPr>
        <w:t>（七）响应文件的递交</w:t>
      </w:r>
      <w:bookmarkEnd w:id="204"/>
      <w:bookmarkEnd w:id="205"/>
      <w:bookmarkEnd w:id="206"/>
      <w:bookmarkEnd w:id="207"/>
    </w:p>
    <w:p w14:paraId="51A5CD39">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响应文件的正本、副本以及电子文档均应密封送达磋商地点，应在封套上注明磋商项目名称、供应商名称。若正本、副本以及电子文档分别进行密封的，还应在封套上注明“正本”、“副本”、“电子文档”字样。</w:t>
      </w:r>
    </w:p>
    <w:p w14:paraId="64C1E80B">
      <w:pPr>
        <w:pStyle w:val="6"/>
        <w:spacing w:before="0" w:after="0" w:line="540" w:lineRule="exact"/>
        <w:ind w:firstLine="480" w:firstLineChars="200"/>
        <w:rPr>
          <w:rFonts w:ascii="宋体" w:hAnsi="宋体" w:cs="宋体"/>
          <w:b w:val="0"/>
          <w:bCs/>
          <w:color w:val="auto"/>
          <w:sz w:val="24"/>
          <w:szCs w:val="24"/>
          <w:highlight w:val="none"/>
        </w:rPr>
      </w:pPr>
      <w:bookmarkStart w:id="208" w:name="_Toc26741"/>
      <w:bookmarkStart w:id="209" w:name="_Toc4365"/>
      <w:bookmarkStart w:id="210" w:name="_Toc3112"/>
      <w:bookmarkStart w:id="211" w:name="_Toc14105"/>
      <w:r>
        <w:rPr>
          <w:rFonts w:hint="eastAsia" w:ascii="宋体" w:hAnsi="宋体" w:cs="宋体"/>
          <w:b w:val="0"/>
          <w:bCs/>
          <w:color w:val="auto"/>
          <w:sz w:val="24"/>
          <w:szCs w:val="24"/>
          <w:highlight w:val="none"/>
        </w:rPr>
        <w:t>（八）供应商参与人员</w:t>
      </w:r>
      <w:bookmarkEnd w:id="208"/>
      <w:bookmarkEnd w:id="209"/>
      <w:bookmarkEnd w:id="210"/>
      <w:bookmarkEnd w:id="211"/>
    </w:p>
    <w:p w14:paraId="77F03494">
      <w:pPr>
        <w:snapToGrid w:val="0"/>
        <w:spacing w:line="540" w:lineRule="exact"/>
        <w:ind w:firstLine="480" w:firstLineChars="200"/>
        <w:rPr>
          <w:rFonts w:ascii="宋体" w:hAnsi="宋体" w:cs="宋体"/>
          <w:color w:val="auto"/>
          <w:sz w:val="36"/>
          <w:szCs w:val="30"/>
          <w:highlight w:val="none"/>
        </w:rPr>
      </w:pPr>
      <w:r>
        <w:rPr>
          <w:rFonts w:hint="eastAsia" w:ascii="宋体" w:hAnsi="宋体" w:cs="宋体"/>
          <w:color w:val="auto"/>
          <w:sz w:val="24"/>
          <w:szCs w:val="24"/>
          <w:highlight w:val="none"/>
        </w:rPr>
        <w:t>各个供应商应当派1-2名代表参与磋商，至少1人应为法定代表人（或其授权代表）或自然人（供应商为自然人）。</w:t>
      </w:r>
    </w:p>
    <w:bookmarkEnd w:id="177"/>
    <w:p w14:paraId="7AB43972">
      <w:pPr>
        <w:pStyle w:val="6"/>
        <w:spacing w:before="0" w:after="0" w:line="540" w:lineRule="exact"/>
        <w:ind w:firstLine="482" w:firstLineChars="200"/>
        <w:rPr>
          <w:rFonts w:ascii="宋体" w:hAnsi="宋体" w:cs="宋体"/>
          <w:color w:val="auto"/>
          <w:sz w:val="24"/>
          <w:szCs w:val="24"/>
          <w:highlight w:val="none"/>
        </w:rPr>
      </w:pPr>
      <w:bookmarkStart w:id="212" w:name="_Toc19521"/>
      <w:bookmarkStart w:id="213" w:name="_Toc3967"/>
      <w:bookmarkStart w:id="214" w:name="_Toc6619"/>
      <w:bookmarkStart w:id="215" w:name="_Toc25983"/>
      <w:bookmarkStart w:id="216" w:name="_Toc11725"/>
      <w:r>
        <w:rPr>
          <w:rFonts w:hint="eastAsia" w:ascii="宋体" w:hAnsi="宋体" w:cs="宋体"/>
          <w:color w:val="auto"/>
          <w:sz w:val="24"/>
          <w:szCs w:val="24"/>
          <w:highlight w:val="none"/>
        </w:rPr>
        <w:t>四、成交供应商的确认和变更</w:t>
      </w:r>
      <w:bookmarkEnd w:id="212"/>
      <w:bookmarkEnd w:id="213"/>
      <w:bookmarkEnd w:id="214"/>
      <w:bookmarkEnd w:id="215"/>
      <w:bookmarkEnd w:id="216"/>
    </w:p>
    <w:p w14:paraId="564295E9">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（一）成交供应商的确认</w:t>
      </w:r>
    </w:p>
    <w:p w14:paraId="55AF5D5A">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CE5614E">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（二）成交供应商的变更</w:t>
      </w:r>
    </w:p>
    <w:p w14:paraId="4A03E2C1">
      <w:pPr>
        <w:snapToGrid w:val="0"/>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成交供应商拒绝与采购人签订合同的，采购人可以按照评标报告推荐的成交候选供应商顺序，确定排名下一位的候选人为成交供应商，也可以重新开展政府采购活动。</w:t>
      </w:r>
    </w:p>
    <w:p w14:paraId="6FC657D7">
      <w:pPr>
        <w:pStyle w:val="6"/>
        <w:spacing w:before="0" w:after="0" w:line="540" w:lineRule="exact"/>
        <w:ind w:firstLine="482" w:firstLineChars="200"/>
        <w:rPr>
          <w:rFonts w:ascii="宋体" w:hAnsi="宋体" w:cs="宋体"/>
          <w:color w:val="auto"/>
          <w:sz w:val="24"/>
          <w:szCs w:val="24"/>
          <w:highlight w:val="none"/>
        </w:rPr>
      </w:pPr>
      <w:bookmarkStart w:id="217" w:name="_Toc4470"/>
      <w:bookmarkStart w:id="218" w:name="_Toc20130557"/>
      <w:bookmarkStart w:id="219" w:name="_Toc8056"/>
      <w:bookmarkStart w:id="220" w:name="_Toc28983"/>
      <w:bookmarkStart w:id="221" w:name="_Toc27814"/>
      <w:bookmarkStart w:id="222" w:name="_Toc7029"/>
      <w:r>
        <w:rPr>
          <w:rFonts w:hint="eastAsia" w:ascii="宋体" w:hAnsi="宋体" w:cs="宋体"/>
          <w:color w:val="auto"/>
          <w:sz w:val="24"/>
          <w:szCs w:val="24"/>
          <w:highlight w:val="none"/>
        </w:rPr>
        <w:t>五、成交通知</w:t>
      </w:r>
      <w:bookmarkEnd w:id="217"/>
      <w:bookmarkEnd w:id="218"/>
      <w:bookmarkEnd w:id="219"/>
      <w:bookmarkEnd w:id="220"/>
      <w:bookmarkEnd w:id="221"/>
      <w:bookmarkEnd w:id="222"/>
    </w:p>
    <w:p w14:paraId="73B455C6">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（一）成交供应商确定后，采购人或采购代理机构将在“重庆市经济和信息化委员会网”（https://jjxxw.cq.gov.cn/）上发布成交结果公告。</w:t>
      </w:r>
    </w:p>
    <w:p w14:paraId="79CFEAE7">
      <w:pPr>
        <w:spacing w:line="540" w:lineRule="exact"/>
        <w:ind w:firstLine="570"/>
        <w:rPr>
          <w:rFonts w:ascii="宋体" w:hAnsi="宋体" w:cs="宋体"/>
          <w:color w:val="auto"/>
          <w:sz w:val="24"/>
          <w:szCs w:val="24"/>
          <w:highlight w:val="none"/>
        </w:rPr>
      </w:pPr>
      <w:bookmarkStart w:id="223" w:name="_Toc20130558"/>
      <w:r>
        <w:rPr>
          <w:rFonts w:hint="eastAsia" w:ascii="宋体" w:hAnsi="宋体" w:cs="宋体"/>
          <w:color w:val="auto"/>
          <w:sz w:val="24"/>
          <w:szCs w:val="24"/>
          <w:highlight w:val="none"/>
        </w:rPr>
        <w:t>（二）结果公告发出同时，采购代理机构将以书面形式发出《成交通知书》。《成交通知书》一经发出即发生法律效力。</w:t>
      </w:r>
    </w:p>
    <w:p w14:paraId="008DA931">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（三）《成交通知书》将作为签订合同的依据。</w:t>
      </w:r>
    </w:p>
    <w:p w14:paraId="6645338A">
      <w:pPr>
        <w:pStyle w:val="6"/>
        <w:spacing w:before="0" w:after="0" w:line="540" w:lineRule="exact"/>
        <w:ind w:firstLine="482" w:firstLineChars="200"/>
        <w:rPr>
          <w:rFonts w:ascii="宋体" w:hAnsi="宋体" w:cs="宋体"/>
          <w:color w:val="auto"/>
          <w:sz w:val="24"/>
          <w:szCs w:val="24"/>
          <w:highlight w:val="none"/>
        </w:rPr>
      </w:pPr>
      <w:bookmarkStart w:id="224" w:name="_Toc32622"/>
      <w:bookmarkStart w:id="225" w:name="_Toc2451"/>
      <w:bookmarkStart w:id="226" w:name="_Toc7179"/>
      <w:bookmarkStart w:id="227" w:name="_Toc29197"/>
      <w:bookmarkStart w:id="228" w:name="_Toc26024"/>
      <w:r>
        <w:rPr>
          <w:rFonts w:hint="eastAsia" w:ascii="宋体" w:hAnsi="宋体" w:cs="宋体"/>
          <w:color w:val="auto"/>
          <w:sz w:val="24"/>
          <w:szCs w:val="24"/>
          <w:highlight w:val="none"/>
        </w:rPr>
        <w:t>六、关于质疑和投诉</w:t>
      </w:r>
      <w:bookmarkEnd w:id="223"/>
      <w:bookmarkEnd w:id="224"/>
      <w:bookmarkEnd w:id="225"/>
      <w:bookmarkEnd w:id="226"/>
      <w:bookmarkEnd w:id="227"/>
      <w:bookmarkEnd w:id="228"/>
    </w:p>
    <w:p w14:paraId="2A57CE76">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（一）质疑</w:t>
      </w:r>
    </w:p>
    <w:p w14:paraId="7F22A24D">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供应商认为采购文件、采购过程和成交结果使自己的权益</w:t>
      </w:r>
      <w:r>
        <w:rPr>
          <w:rFonts w:hint="eastAsia" w:ascii="宋体" w:hAnsi="宋体" w:cs="宋体"/>
          <w:color w:val="auto"/>
          <w:sz w:val="24"/>
          <w:szCs w:val="24"/>
          <w:highlight w:val="none"/>
          <w:lang w:eastAsia="zh-CN"/>
        </w:rPr>
        <w:t>受</w:t>
      </w:r>
      <w:r>
        <w:rPr>
          <w:rFonts w:hint="eastAsia" w:ascii="宋体" w:hAnsi="宋体" w:cs="宋体"/>
          <w:color w:val="auto"/>
          <w:sz w:val="24"/>
          <w:szCs w:val="24"/>
          <w:highlight w:val="none"/>
        </w:rPr>
        <w:t>到伤害的，可向采购人或采购代理机构以书面形式提出质疑。</w:t>
      </w:r>
    </w:p>
    <w:p w14:paraId="2BC6AA00">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提出质疑的应当是参与所质疑项目采购活动的供应商。 </w:t>
      </w:r>
    </w:p>
    <w:p w14:paraId="083EE251">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1.质疑时限、内容</w:t>
      </w:r>
    </w:p>
    <w:p w14:paraId="019D7BBC">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供应商认为采购文件、采购过程、成交结果使自己的权益受到损害的，可以在知道或者应知其权益受到损害之日起7个工作日内，以书面形式向采购人、采购代理机构提出质疑。</w:t>
      </w:r>
    </w:p>
    <w:p w14:paraId="19DBD7C7">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1.2供应商提出质疑应当提交质疑函和必要的证明材料，质疑函应当包括下列内容：</w:t>
      </w:r>
    </w:p>
    <w:p w14:paraId="2289D8DD">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1.2.1供应商的姓名或者名称、地址、邮编、联系人及联系电话；</w:t>
      </w:r>
    </w:p>
    <w:p w14:paraId="5D07B5F1">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1.2.2质疑项目的名称、项目号以及采购执行编号；</w:t>
      </w:r>
    </w:p>
    <w:p w14:paraId="44BD2289">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1.2.3具体、明确的质疑事项和与质疑事项相关的请求；</w:t>
      </w:r>
    </w:p>
    <w:p w14:paraId="1272672A">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1.2.4事实依据；</w:t>
      </w:r>
    </w:p>
    <w:p w14:paraId="5E1251AF">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1.2.5必要的法律依据；</w:t>
      </w:r>
    </w:p>
    <w:p w14:paraId="105CBFCE">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1.2.6提出质疑的日期；</w:t>
      </w:r>
    </w:p>
    <w:p w14:paraId="6F68DE1B">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1.2.7营业执照（或事业单位法人证书，或个体工商户营业执照或有效的自然人身份证明）复印件；</w:t>
      </w:r>
    </w:p>
    <w:p w14:paraId="1CFC34E7">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1.2.8法定代表人授权委托书原件、法定代表人身份证复印件和其授权代表的身份证复印件（供应商为自然人的提供自然人身份证复印件）；</w:t>
      </w:r>
    </w:p>
    <w:p w14:paraId="485F03E3">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74A5A123">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2.质疑答复</w:t>
      </w:r>
    </w:p>
    <w:p w14:paraId="05AB5703">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采购人、采购代理机构应当在收到供应商的书面质疑后七个工作日内作出答复，并以书面形式通知质疑供应商和其他有关供应商。</w:t>
      </w:r>
    </w:p>
    <w:p w14:paraId="619414D8">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3.其他</w:t>
      </w:r>
    </w:p>
    <w:p w14:paraId="5E517F9B">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3.1供应商应按照《政府采购质疑和投诉办法》（财政部令第94号）及相关法律法规要求，在法定质疑期内一次性提出针对同一采购程序环节的质疑。</w:t>
      </w:r>
    </w:p>
    <w:p w14:paraId="08159413">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3.2质疑函范本可在财政部门户网站和中国政府采购网下载。</w:t>
      </w:r>
    </w:p>
    <w:p w14:paraId="6B06B61B">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（二）投诉</w:t>
      </w:r>
    </w:p>
    <w:p w14:paraId="0EA25F28">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1.供应商对采购人、采购代理机构的答复不满意，或者采购人、采购代理机构未在规定时间内作出答复的，可以在答复期满后15个工作日内按照相关法律法规向财政部门提起投诉。</w:t>
      </w:r>
    </w:p>
    <w:p w14:paraId="4A0CC46E">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2.供应商应按照《政府采购质疑和投诉办法》（财政部令第94号）及相关法律法规要求递交投诉书和必要的证明材料。投诉书范本可在财政部门户网站和中国政府采购网下载。</w:t>
      </w:r>
    </w:p>
    <w:p w14:paraId="72904234">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F662AFF">
      <w:pPr>
        <w:spacing w:line="54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4.在确定受理投诉后，财政部门自受理投诉之日起30个工作日内（需要检验、检测、鉴定、专家评审以及需要投诉人补正材料的，所需时间不计算在投诉处理期限内）对投诉事项做出处理决定。</w:t>
      </w:r>
    </w:p>
    <w:p w14:paraId="32CEDB1D">
      <w:pPr>
        <w:pStyle w:val="6"/>
        <w:spacing w:before="0" w:after="0" w:line="540" w:lineRule="exact"/>
        <w:ind w:firstLine="482" w:firstLineChars="200"/>
        <w:rPr>
          <w:rFonts w:ascii="宋体" w:hAnsi="宋体" w:cs="宋体"/>
          <w:color w:val="auto"/>
          <w:sz w:val="24"/>
          <w:szCs w:val="24"/>
          <w:highlight w:val="none"/>
        </w:rPr>
      </w:pPr>
      <w:bookmarkStart w:id="229" w:name="_Toc15216"/>
      <w:bookmarkStart w:id="230" w:name="_Toc20130559"/>
      <w:bookmarkStart w:id="231" w:name="_Toc23003"/>
      <w:bookmarkStart w:id="232" w:name="_Toc32126"/>
      <w:bookmarkStart w:id="233" w:name="_Toc14757"/>
      <w:bookmarkStart w:id="234" w:name="_Toc10985"/>
      <w:r>
        <w:rPr>
          <w:rFonts w:hint="eastAsia" w:ascii="宋体" w:hAnsi="宋体" w:cs="宋体"/>
          <w:color w:val="auto"/>
          <w:sz w:val="24"/>
          <w:szCs w:val="24"/>
          <w:highlight w:val="none"/>
        </w:rPr>
        <w:t>七、采购代理服务费</w:t>
      </w:r>
      <w:bookmarkEnd w:id="229"/>
      <w:bookmarkEnd w:id="230"/>
      <w:bookmarkEnd w:id="231"/>
      <w:bookmarkEnd w:id="232"/>
      <w:bookmarkEnd w:id="233"/>
      <w:bookmarkEnd w:id="234"/>
    </w:p>
    <w:p w14:paraId="5A516E1F">
      <w:pPr>
        <w:spacing w:line="5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（一）供应商成交后</w:t>
      </w:r>
      <w:r>
        <w:rPr>
          <w:rFonts w:hint="eastAsia" w:ascii="宋体" w:hAnsi="宋体" w:cs="宋体"/>
          <w:color w:val="auto"/>
          <w:sz w:val="24"/>
          <w:highlight w:val="none"/>
        </w:rPr>
        <w:t>向采购代理机构缴纳</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w:t>
      </w:r>
      <w:r>
        <w:rPr>
          <w:rFonts w:hint="eastAsia" w:ascii="宋体" w:hAnsi="宋体" w:cs="宋体"/>
          <w:color w:val="auto"/>
          <w:sz w:val="24"/>
          <w:szCs w:val="24"/>
          <w:highlight w:val="none"/>
        </w:rPr>
        <w:t>采购</w:t>
      </w:r>
      <w:r>
        <w:rPr>
          <w:rFonts w:hint="eastAsia" w:ascii="宋体" w:hAnsi="宋体" w:cs="宋体"/>
          <w:color w:val="auto"/>
          <w:sz w:val="24"/>
          <w:highlight w:val="none"/>
        </w:rPr>
        <w:t>代理服务费的收取标准按照以下服务类标准执行。</w:t>
      </w:r>
    </w:p>
    <w:tbl>
      <w:tblPr>
        <w:tblStyle w:val="60"/>
        <w:tblW w:w="893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4"/>
        <w:gridCol w:w="1701"/>
        <w:gridCol w:w="1954"/>
        <w:gridCol w:w="2009"/>
      </w:tblGrid>
      <w:tr w14:paraId="39E9D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3274" w:type="dxa"/>
            <w:tcBorders>
              <w:tl2br w:val="single" w:color="auto" w:sz="4" w:space="0"/>
            </w:tcBorders>
            <w:noWrap w:val="0"/>
            <w:vAlign w:val="top"/>
          </w:tcPr>
          <w:p w14:paraId="30E6B3A2">
            <w:pPr>
              <w:keepNext w:val="0"/>
              <w:keepLines w:val="0"/>
              <w:pageBreakBefore w:val="0"/>
              <w:widowControl w:val="0"/>
              <w:kinsoku/>
              <w:wordWrap/>
              <w:overflowPunct/>
              <w:topLinePunct w:val="0"/>
              <w:bidi w:val="0"/>
              <w:spacing w:line="500" w:lineRule="exact"/>
              <w:jc w:val="right"/>
              <w:textAlignment w:val="auto"/>
              <w:rPr>
                <w:rFonts w:hint="eastAsia" w:ascii="宋体" w:hAnsi="宋体" w:eastAsia="宋体" w:cs="宋体"/>
                <w:color w:val="auto"/>
                <w:sz w:val="21"/>
                <w:szCs w:val="21"/>
                <w:highlight w:val="none"/>
              </w:rPr>
            </w:pPr>
            <w:bookmarkStart w:id="235" w:name="_Toc20130560"/>
            <w:bookmarkStart w:id="236" w:name="_Toc2863475"/>
            <w:r>
              <w:rPr>
                <w:rFonts w:hint="eastAsia" w:ascii="宋体" w:hAnsi="宋体" w:eastAsia="宋体" w:cs="宋体"/>
                <w:color w:val="auto"/>
                <w:sz w:val="21"/>
                <w:szCs w:val="21"/>
                <w:highlight w:val="none"/>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8++YPWAAAA&#10;CAEAAA8AAAAAAAAAAQAgAAAAIgAAAGRycy9kb3ducmV2LnhtbFBLAQIUABQAAAAIAIdO4kCVts9z&#10;5gEAALgDAAAOAAAAAAAAAAEAIAAAACUBAABkcnMvZTJvRG9jLnhtbFBLBQYAAAAABgAGAFkBAAB9&#10;BQ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招标类型</w:t>
            </w:r>
          </w:p>
          <w:p w14:paraId="5AC5FA10">
            <w:pPr>
              <w:keepNext w:val="0"/>
              <w:keepLines w:val="0"/>
              <w:pageBreakBefore w:val="0"/>
              <w:widowControl w:val="0"/>
              <w:kinsoku/>
              <w:wordWrap/>
              <w:overflowPunct/>
              <w:topLinePunct w:val="0"/>
              <w:bidi w:val="0"/>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701" w:type="dxa"/>
            <w:noWrap w:val="0"/>
            <w:vAlign w:val="center"/>
          </w:tcPr>
          <w:p w14:paraId="6B0DC253">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54" w:type="dxa"/>
            <w:noWrap w:val="0"/>
            <w:vAlign w:val="center"/>
          </w:tcPr>
          <w:p w14:paraId="61FB348A">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009" w:type="dxa"/>
            <w:noWrap w:val="0"/>
            <w:vAlign w:val="center"/>
          </w:tcPr>
          <w:p w14:paraId="01D22C1E">
            <w:pPr>
              <w:pStyle w:val="196"/>
              <w:keepNext w:val="0"/>
              <w:keepLines w:val="0"/>
              <w:pageBreakBefore w:val="0"/>
              <w:widowControl w:val="0"/>
              <w:pBdr>
                <w:left w:val="none" w:color="auto" w:sz="0" w:space="0"/>
                <w:right w:val="none" w:color="auto" w:sz="0" w:space="0"/>
              </w:pBdr>
              <w:kinsoku/>
              <w:wordWrap/>
              <w:overflowPunct/>
              <w:topLinePunct w:val="0"/>
              <w:bidi w:val="0"/>
              <w:spacing w:before="0" w:beforeAutospacing="0" w:after="0" w:afterAutospacing="0" w:line="500" w:lineRule="exact"/>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工程招标</w:t>
            </w:r>
          </w:p>
        </w:tc>
      </w:tr>
      <w:tr w14:paraId="0709D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74" w:type="dxa"/>
            <w:noWrap w:val="0"/>
            <w:vAlign w:val="center"/>
          </w:tcPr>
          <w:p w14:paraId="7F1908CD">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100及以下</w:t>
            </w:r>
          </w:p>
        </w:tc>
        <w:tc>
          <w:tcPr>
            <w:tcW w:w="1701" w:type="dxa"/>
            <w:noWrap w:val="0"/>
            <w:vAlign w:val="center"/>
          </w:tcPr>
          <w:p w14:paraId="0B3654E3">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54" w:type="dxa"/>
            <w:noWrap w:val="0"/>
            <w:vAlign w:val="center"/>
          </w:tcPr>
          <w:p w14:paraId="3B4B2C48">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009" w:type="dxa"/>
            <w:noWrap w:val="0"/>
            <w:vAlign w:val="center"/>
          </w:tcPr>
          <w:p w14:paraId="7B1564DA">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6352A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74" w:type="dxa"/>
            <w:noWrap w:val="0"/>
            <w:vAlign w:val="center"/>
          </w:tcPr>
          <w:p w14:paraId="5A39D1B7">
            <w:pPr>
              <w:keepNext w:val="0"/>
              <w:keepLines w:val="0"/>
              <w:pageBreakBefore w:val="0"/>
              <w:widowControl w:val="0"/>
              <w:kinsoku/>
              <w:wordWrap/>
              <w:overflowPunct/>
              <w:topLinePunct w:val="0"/>
              <w:bidi w:val="0"/>
              <w:spacing w:line="500" w:lineRule="exact"/>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100-</w:t>
            </w:r>
            <w:r>
              <w:rPr>
                <w:rFonts w:hint="eastAsia" w:ascii="宋体" w:hAnsi="宋体" w:cs="宋体"/>
                <w:color w:val="auto"/>
                <w:sz w:val="21"/>
                <w:szCs w:val="21"/>
                <w:highlight w:val="none"/>
                <w:lang w:val="en-US" w:eastAsia="zh-CN"/>
              </w:rPr>
              <w:t>200</w:t>
            </w:r>
          </w:p>
        </w:tc>
        <w:tc>
          <w:tcPr>
            <w:tcW w:w="1701" w:type="dxa"/>
            <w:noWrap w:val="0"/>
            <w:vAlign w:val="center"/>
          </w:tcPr>
          <w:p w14:paraId="7C66FB37">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54" w:type="dxa"/>
            <w:noWrap w:val="0"/>
            <w:vAlign w:val="center"/>
          </w:tcPr>
          <w:p w14:paraId="06D436F0">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009" w:type="dxa"/>
            <w:noWrap w:val="0"/>
            <w:vAlign w:val="center"/>
          </w:tcPr>
          <w:p w14:paraId="7AFDF6EE">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14:paraId="2502E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274" w:type="dxa"/>
            <w:noWrap w:val="0"/>
            <w:vAlign w:val="center"/>
          </w:tcPr>
          <w:p w14:paraId="594339C6">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200</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500</w:t>
            </w:r>
          </w:p>
        </w:tc>
        <w:tc>
          <w:tcPr>
            <w:tcW w:w="1701" w:type="dxa"/>
            <w:noWrap w:val="0"/>
            <w:vAlign w:val="center"/>
          </w:tcPr>
          <w:p w14:paraId="750AC810">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08%</w:t>
            </w:r>
          </w:p>
        </w:tc>
        <w:tc>
          <w:tcPr>
            <w:tcW w:w="1954" w:type="dxa"/>
            <w:noWrap w:val="0"/>
            <w:vAlign w:val="center"/>
          </w:tcPr>
          <w:p w14:paraId="67B5AB93">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78</w:t>
            </w:r>
            <w:r>
              <w:rPr>
                <w:rFonts w:hint="eastAsia" w:ascii="宋体" w:hAnsi="宋体" w:eastAsia="宋体" w:cs="宋体"/>
                <w:color w:val="auto"/>
                <w:sz w:val="21"/>
                <w:szCs w:val="21"/>
                <w:highlight w:val="none"/>
              </w:rPr>
              <w:t>%</w:t>
            </w:r>
          </w:p>
        </w:tc>
        <w:tc>
          <w:tcPr>
            <w:tcW w:w="2009" w:type="dxa"/>
            <w:noWrap w:val="0"/>
            <w:vAlign w:val="center"/>
          </w:tcPr>
          <w:p w14:paraId="61A18705">
            <w:pPr>
              <w:keepNext w:val="0"/>
              <w:keepLines w:val="0"/>
              <w:pageBreakBefore w:val="0"/>
              <w:widowControl w:val="0"/>
              <w:kinsoku/>
              <w:wordWrap/>
              <w:overflowPunct/>
              <w:topLinePunct w:val="0"/>
              <w:bidi w:val="0"/>
              <w:spacing w:line="5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w:t>
            </w:r>
            <w:r>
              <w:rPr>
                <w:rFonts w:hint="eastAsia" w:ascii="宋体" w:hAnsi="宋体" w:cs="宋体"/>
                <w:color w:val="auto"/>
                <w:sz w:val="21"/>
                <w:szCs w:val="21"/>
                <w:highlight w:val="none"/>
                <w:lang w:val="en-US" w:eastAsia="zh-CN"/>
              </w:rPr>
              <w:t>69</w:t>
            </w:r>
            <w:r>
              <w:rPr>
                <w:rFonts w:hint="eastAsia" w:ascii="宋体" w:hAnsi="宋体" w:eastAsia="宋体" w:cs="宋体"/>
                <w:color w:val="auto"/>
                <w:sz w:val="21"/>
                <w:szCs w:val="21"/>
                <w:highlight w:val="none"/>
              </w:rPr>
              <w:t>%</w:t>
            </w:r>
          </w:p>
        </w:tc>
      </w:tr>
    </w:tbl>
    <w:p w14:paraId="6D003360">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注：采购代理服务收费按差额定率累进法计算。采购代理服务费按</w:t>
      </w:r>
      <w:r>
        <w:rPr>
          <w:rFonts w:hint="eastAsia" w:ascii="宋体" w:hAnsi="宋体" w:cs="宋体"/>
          <w:color w:val="auto"/>
          <w:sz w:val="24"/>
          <w:highlight w:val="none"/>
          <w:lang w:eastAsia="zh-CN"/>
        </w:rPr>
        <w:t>上述</w:t>
      </w:r>
      <w:r>
        <w:rPr>
          <w:rFonts w:hint="eastAsia" w:ascii="宋体" w:hAnsi="宋体" w:cs="宋体"/>
          <w:color w:val="auto"/>
          <w:sz w:val="24"/>
          <w:highlight w:val="none"/>
        </w:rPr>
        <w:t>标准计算出不足3500元的，按3500元记取。</w:t>
      </w:r>
    </w:p>
    <w:p w14:paraId="1CBF379B">
      <w:pPr>
        <w:pStyle w:val="6"/>
        <w:spacing w:before="0" w:after="0" w:line="540" w:lineRule="exact"/>
        <w:ind w:firstLine="482" w:firstLineChars="200"/>
        <w:rPr>
          <w:rFonts w:ascii="宋体" w:hAnsi="宋体" w:cs="宋体"/>
          <w:color w:val="auto"/>
          <w:sz w:val="24"/>
          <w:szCs w:val="24"/>
          <w:highlight w:val="none"/>
        </w:rPr>
      </w:pPr>
      <w:bookmarkStart w:id="237" w:name="_Toc9166"/>
      <w:bookmarkStart w:id="238" w:name="_Toc20130561"/>
      <w:bookmarkStart w:id="239" w:name="_Toc13702"/>
      <w:bookmarkStart w:id="240" w:name="_Toc28893"/>
      <w:bookmarkStart w:id="241" w:name="_Toc24868"/>
      <w:bookmarkStart w:id="242" w:name="_Toc1271"/>
      <w:r>
        <w:rPr>
          <w:rFonts w:hint="eastAsia" w:ascii="宋体" w:hAnsi="宋体" w:cs="宋体"/>
          <w:color w:val="auto"/>
          <w:sz w:val="24"/>
          <w:szCs w:val="24"/>
          <w:highlight w:val="none"/>
        </w:rPr>
        <w:t>八、签订合同</w:t>
      </w:r>
      <w:bookmarkEnd w:id="237"/>
      <w:bookmarkEnd w:id="238"/>
      <w:bookmarkEnd w:id="239"/>
      <w:bookmarkEnd w:id="240"/>
      <w:bookmarkEnd w:id="241"/>
      <w:bookmarkEnd w:id="242"/>
    </w:p>
    <w:p w14:paraId="7A05BC44">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采购人原则上应在成交通知书发出之日起二十日内和成交供应商签订合同，无正当理由不得拒绝或拖延合同签订。所签订的合同不得对竞争性磋商文件和供应商的响应文件作实质性修改。其他未尽事宜由采购人和成交供应商在采购合同中详细约定。</w:t>
      </w:r>
    </w:p>
    <w:p w14:paraId="3779E1C3">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（二）竞争性磋商文件、供应商的响应文件及澄清文件等，均为签订合同的依据。</w:t>
      </w:r>
    </w:p>
    <w:p w14:paraId="6AD089ED">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（三）如成交供应商放弃成交项目或在签订合同时擅自改变成交状态的，采购人将按照相关法律法规处理。</w:t>
      </w:r>
    </w:p>
    <w:p w14:paraId="402086A2">
      <w:pPr>
        <w:spacing w:line="5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（四）合同生效条款由供需双方约定，法律、行政法规规定应当办理批准、登记等手续后生效的合同，依照其规定。</w:t>
      </w:r>
    </w:p>
    <w:p w14:paraId="603701C2">
      <w:pPr>
        <w:pStyle w:val="70"/>
        <w:spacing w:line="540" w:lineRule="exact"/>
        <w:ind w:firstLine="480" w:firstLineChars="200"/>
        <w:rPr>
          <w:rFonts w:hAnsi="宋体" w:cs="宋体"/>
          <w:color w:val="auto"/>
          <w:highlight w:val="none"/>
        </w:rPr>
      </w:pPr>
      <w:r>
        <w:rPr>
          <w:rFonts w:hint="eastAsia" w:hAnsi="宋体" w:cs="宋体"/>
          <w:color w:val="auto"/>
          <w:highlight w:val="none"/>
        </w:rPr>
        <w:t>（五）除不可抗力等因素外，成交通知书发出后，采购人改变成交结果，或者成交供应商拒绝签订政府采购合同的，应当承担相应的法律责任。</w:t>
      </w:r>
    </w:p>
    <w:bookmarkEnd w:id="235"/>
    <w:bookmarkEnd w:id="236"/>
    <w:p w14:paraId="51C25725">
      <w:pPr>
        <w:pStyle w:val="70"/>
        <w:spacing w:line="500" w:lineRule="exact"/>
        <w:rPr>
          <w:rFonts w:hAnsi="宋体" w:cs="宋体"/>
          <w:color w:val="auto"/>
          <w:szCs w:val="24"/>
          <w:highlight w:val="none"/>
        </w:rPr>
      </w:pPr>
    </w:p>
    <w:p w14:paraId="61D22CED">
      <w:pPr>
        <w:snapToGrid w:val="0"/>
        <w:spacing w:line="360" w:lineRule="auto"/>
        <w:jc w:val="center"/>
        <w:rPr>
          <w:rFonts w:ascii="宋体" w:hAnsi="宋体" w:cs="宋体"/>
          <w:color w:val="auto"/>
          <w:sz w:val="44"/>
          <w:highlight w:val="none"/>
        </w:rPr>
        <w:sectPr>
          <w:pgSz w:w="11905" w:h="16838"/>
          <w:pgMar w:top="1417" w:right="1417" w:bottom="1417" w:left="1417" w:header="1003" w:footer="986" w:gutter="0"/>
          <w:cols w:space="0" w:num="1"/>
          <w:rtlGutter w:val="0"/>
          <w:docGrid w:linePitch="389" w:charSpace="0"/>
        </w:sectPr>
      </w:pPr>
      <w:bookmarkStart w:id="243" w:name="_Toc12789072"/>
    </w:p>
    <w:bookmarkEnd w:id="243"/>
    <w:p w14:paraId="656D2869">
      <w:pPr>
        <w:pStyle w:val="4"/>
        <w:bidi w:val="0"/>
        <w:jc w:val="center"/>
        <w:rPr>
          <w:rFonts w:ascii="宋体" w:hAnsi="宋体" w:eastAsia="宋体" w:cs="宋体"/>
          <w:color w:val="auto"/>
          <w:szCs w:val="30"/>
          <w:highlight w:val="none"/>
        </w:rPr>
      </w:pPr>
      <w:bookmarkStart w:id="244" w:name="_Toc28690"/>
      <w:bookmarkStart w:id="245" w:name="_Toc32399"/>
      <w:bookmarkStart w:id="246" w:name="_Toc19857"/>
      <w:bookmarkStart w:id="247" w:name="_Toc23764521"/>
      <w:r>
        <w:rPr>
          <w:rFonts w:hint="eastAsia"/>
          <w:b/>
          <w:bCs/>
          <w:color w:val="auto"/>
          <w:sz w:val="32"/>
          <w:szCs w:val="32"/>
          <w:highlight w:val="none"/>
        </w:rPr>
        <w:t>第六篇  合同草案条款</w:t>
      </w:r>
      <w:bookmarkEnd w:id="244"/>
      <w:bookmarkEnd w:id="245"/>
      <w:bookmarkEnd w:id="246"/>
    </w:p>
    <w:p w14:paraId="513B6976">
      <w:pPr>
        <w:pStyle w:val="6"/>
        <w:spacing w:before="0" w:after="0" w:line="360" w:lineRule="auto"/>
        <w:ind w:firstLine="482" w:firstLineChars="200"/>
        <w:rPr>
          <w:rFonts w:ascii="宋体" w:hAnsi="宋体" w:cs="宋体"/>
          <w:color w:val="auto"/>
          <w:sz w:val="24"/>
          <w:szCs w:val="24"/>
          <w:highlight w:val="none"/>
        </w:rPr>
      </w:pPr>
      <w:bookmarkStart w:id="248" w:name="_Hlt41879464"/>
      <w:bookmarkEnd w:id="248"/>
      <w:bookmarkStart w:id="249" w:name="_Toc277084870"/>
      <w:bookmarkStart w:id="250" w:name="_Toc508007737"/>
      <w:bookmarkStart w:id="251" w:name="_Toc23356"/>
      <w:bookmarkStart w:id="252" w:name="_Toc16324"/>
      <w:bookmarkStart w:id="253" w:name="_Toc15310"/>
      <w:bookmarkStart w:id="254" w:name="_Toc285722712"/>
      <w:bookmarkStart w:id="255" w:name="_Toc78194465"/>
      <w:bookmarkStart w:id="256" w:name="_Toc12198"/>
      <w:r>
        <w:rPr>
          <w:rFonts w:hint="eastAsia" w:ascii="宋体" w:hAnsi="宋体" w:cs="宋体"/>
          <w:color w:val="auto"/>
          <w:sz w:val="24"/>
          <w:szCs w:val="24"/>
          <w:highlight w:val="none"/>
        </w:rPr>
        <w:t>一、合同主要条款</w:t>
      </w:r>
      <w:bookmarkEnd w:id="249"/>
      <w:bookmarkEnd w:id="250"/>
      <w:bookmarkEnd w:id="251"/>
      <w:bookmarkEnd w:id="252"/>
      <w:bookmarkEnd w:id="253"/>
      <w:bookmarkEnd w:id="254"/>
      <w:bookmarkEnd w:id="255"/>
      <w:bookmarkEnd w:id="256"/>
    </w:p>
    <w:p w14:paraId="1A97D857">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（一）定义</w:t>
      </w:r>
    </w:p>
    <w:p w14:paraId="59266A3D">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1.甲方（需方）即采购人，是指通过招标采购，接受服务的各级国家机关、事业单位和团体组织。</w:t>
      </w:r>
    </w:p>
    <w:p w14:paraId="0671B9E9">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2.乙方（供方）即成交供应商，是指中标后提供服务的自然人、法人及其他组织。</w:t>
      </w:r>
    </w:p>
    <w:p w14:paraId="263969E2">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3.合同是指由甲乙双方按照采购文件和响应文件的实质性内容，通过协商一致达成的书面协议。</w:t>
      </w:r>
    </w:p>
    <w:p w14:paraId="6089444B">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4.合同价格指以中标价格为依据，在供方全面履行合同义务后，需方应支付给供方的金额。</w:t>
      </w:r>
    </w:p>
    <w:p w14:paraId="06AA68A6">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（二）服务内容</w:t>
      </w:r>
    </w:p>
    <w:p w14:paraId="7189F851">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 xml:space="preserve">合同包括以下服务内容： </w:t>
      </w:r>
    </w:p>
    <w:p w14:paraId="71A6E6C7">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（三）合同价格</w:t>
      </w:r>
    </w:p>
    <w:p w14:paraId="6EDCA753">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1.合同价格即合同总价。</w:t>
      </w:r>
    </w:p>
    <w:p w14:paraId="40788182">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2.合同价格</w:t>
      </w:r>
      <w:r>
        <w:rPr>
          <w:rFonts w:hint="eastAsia" w:ascii="宋体" w:hAnsi="宋体" w:cs="宋体"/>
          <w:color w:val="auto"/>
          <w:sz w:val="24"/>
          <w:szCs w:val="24"/>
          <w:highlight w:val="none"/>
        </w:rPr>
        <w:t>包括（但不限于）施工费、材料费、运输费（含装卸费）、安装费、调试费、人工费、保险费、税费等所有费用。因乙方供应商自身原因造成漏报、少报皆由其自行承担责任，甲方不再补偿。</w:t>
      </w:r>
    </w:p>
    <w:p w14:paraId="57649948">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3.合同价为不变价。</w:t>
      </w:r>
    </w:p>
    <w:p w14:paraId="64D25CE4">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（四）转包和分包</w:t>
      </w:r>
    </w:p>
    <w:p w14:paraId="4D83D0C4">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1.本合同范围的所有服务工作，应由乙方直接提供，不得转让他人提供。</w:t>
      </w:r>
    </w:p>
    <w:p w14:paraId="2A812EAE">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2.非经甲方书面同意，乙方不得将本合同范围的服务工作全部或部分转包给他人提供。</w:t>
      </w:r>
    </w:p>
    <w:p w14:paraId="71BA097F">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3.如有转包和未经甲方同意的分包行为，甲方有权解除合同，没收履约保证金并追究乙方的违约责任。</w:t>
      </w:r>
    </w:p>
    <w:p w14:paraId="613FCD5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bCs/>
          <w:color w:val="auto"/>
          <w:sz w:val="24"/>
          <w:highlight w:val="none"/>
        </w:rPr>
        <w:t>（五）质量保证及售后服务</w:t>
      </w:r>
    </w:p>
    <w:p w14:paraId="5B4871A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1.乙方应按采购文件规定要求向甲方提供服务。</w:t>
      </w:r>
    </w:p>
    <w:p w14:paraId="0C0BE8B1">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2.在服务期内，乙方应对服务质量负责。</w:t>
      </w:r>
    </w:p>
    <w:p w14:paraId="0D3C8567">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3.如甲方要求乙方提供履约保证金的，履约保证金的收取和退还应按本项目采购文件第三篇“项目商务要求”的要求处理。</w:t>
      </w:r>
    </w:p>
    <w:p w14:paraId="105699B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（六）付款</w:t>
      </w:r>
    </w:p>
    <w:p w14:paraId="4323E2CE">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1.本合同使用货币币制如未作特别说明均为人民币。</w:t>
      </w:r>
    </w:p>
    <w:p w14:paraId="339FCD5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2.付款方式：银行转账、现金支票。</w:t>
      </w:r>
    </w:p>
    <w:p w14:paraId="3E9F1292">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3.付款方法：参照本项目采购文件第三篇“项目商务要求”中关于付款方式的约定。</w:t>
      </w:r>
    </w:p>
    <w:p w14:paraId="7BB73630">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（七）检查验收</w:t>
      </w:r>
    </w:p>
    <w:p w14:paraId="52C9FD4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（八）索赔</w:t>
      </w:r>
    </w:p>
    <w:p w14:paraId="3EC33574">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供方对服务与合同要求不符负有责任，并且需方已于规定服务</w:t>
      </w:r>
      <w:r>
        <w:rPr>
          <w:rFonts w:hint="eastAsia" w:ascii="宋体" w:hAnsi="宋体" w:cs="宋体"/>
          <w:color w:val="auto"/>
          <w:sz w:val="24"/>
          <w:highlight w:val="none"/>
          <w:lang w:eastAsia="zh-CN"/>
        </w:rPr>
        <w:t>内容</w:t>
      </w:r>
      <w:r>
        <w:rPr>
          <w:rFonts w:hint="eastAsia" w:ascii="宋体" w:hAnsi="宋体" w:cs="宋体"/>
          <w:color w:val="auto"/>
          <w:sz w:val="24"/>
          <w:highlight w:val="none"/>
        </w:rPr>
        <w:t>和质量保证期内提出索赔，供方应按需方同意的下述一种或多种方法解决索赔事宜。</w:t>
      </w:r>
    </w:p>
    <w:p w14:paraId="531774C6">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（九）知识产权</w:t>
      </w:r>
    </w:p>
    <w:p w14:paraId="297F95A5">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szCs w:val="24"/>
          <w:highlight w:val="none"/>
        </w:rPr>
        <w:t>甲方在中华人民共和国境内使用乙方提供的服务时免受第三方提出的侵犯其专利权或其它知识产权的起诉。如果第三方提出侵权指控，乙方应承担由此而引起的一切法律责任和费用。</w:t>
      </w:r>
    </w:p>
    <w:p w14:paraId="14B38630">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（十）合同争议的解决</w:t>
      </w:r>
    </w:p>
    <w:p w14:paraId="53F98793">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1.当事人友好协商达成一致；</w:t>
      </w:r>
    </w:p>
    <w:p w14:paraId="7FE25812">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2.在60天内当事人协商不能达成协议的，可提请采购人当地仲裁机构仲裁。</w:t>
      </w:r>
    </w:p>
    <w:p w14:paraId="5C0A4EE0">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（十一）违约责任</w:t>
      </w:r>
    </w:p>
    <w:p w14:paraId="68FDA60E">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按《中华人民共和国民法典》、《中华人民共和国政府采购法》有关条款，或由供需双方约定。</w:t>
      </w:r>
    </w:p>
    <w:p w14:paraId="223F0A75">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（十二）合同生效及其它</w:t>
      </w:r>
    </w:p>
    <w:p w14:paraId="1D5DE7D9">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1.合同生效及其效力应符合《中华人民共和国民法典》有关规定。</w:t>
      </w:r>
    </w:p>
    <w:p w14:paraId="385583D0">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2.合同应经当事人法定代表人或委托代理人签字，加盖双方合同专用章或公章。</w:t>
      </w:r>
    </w:p>
    <w:p w14:paraId="62B3AE4C">
      <w:pPr>
        <w:snapToGrid w:val="0"/>
        <w:spacing w:line="360" w:lineRule="auto"/>
        <w:ind w:firstLine="480" w:firstLineChars="200"/>
        <w:outlineLvl w:val="0"/>
        <w:rPr>
          <w:rFonts w:ascii="宋体" w:hAnsi="宋体" w:cs="宋体"/>
          <w:bCs/>
          <w:color w:val="auto"/>
          <w:sz w:val="24"/>
          <w:highlight w:val="none"/>
        </w:rPr>
      </w:pPr>
      <w:r>
        <w:rPr>
          <w:rFonts w:hint="eastAsia" w:ascii="宋体" w:hAnsi="宋体" w:cs="宋体"/>
          <w:bCs/>
          <w:color w:val="auto"/>
          <w:sz w:val="24"/>
          <w:highlight w:val="none"/>
        </w:rPr>
        <w:t>3.合同所包括附件，是合同不可分割的一部分，具有</w:t>
      </w:r>
      <w:r>
        <w:rPr>
          <w:rFonts w:hint="eastAsia" w:ascii="宋体" w:hAnsi="宋体" w:cs="宋体"/>
          <w:bCs/>
          <w:color w:val="auto"/>
          <w:sz w:val="24"/>
          <w:highlight w:val="none"/>
          <w:lang w:eastAsia="zh-CN"/>
        </w:rPr>
        <w:t>同等</w:t>
      </w:r>
      <w:r>
        <w:rPr>
          <w:rFonts w:hint="eastAsia" w:ascii="宋体" w:hAnsi="宋体" w:cs="宋体"/>
          <w:bCs/>
          <w:color w:val="auto"/>
          <w:sz w:val="24"/>
          <w:highlight w:val="none"/>
        </w:rPr>
        <w:t>法律效力。</w:t>
      </w:r>
    </w:p>
    <w:p w14:paraId="1A5983F6">
      <w:pPr>
        <w:spacing w:line="500" w:lineRule="exact"/>
        <w:jc w:val="center"/>
        <w:rPr>
          <w:rFonts w:ascii="宋体" w:hAnsi="宋体" w:cs="宋体"/>
          <w:bCs/>
          <w:color w:val="auto"/>
          <w:sz w:val="24"/>
          <w:highlight w:val="none"/>
        </w:rPr>
      </w:pPr>
      <w:r>
        <w:rPr>
          <w:rFonts w:hint="eastAsia" w:ascii="宋体" w:hAnsi="宋体" w:cs="宋体"/>
          <w:bCs/>
          <w:color w:val="auto"/>
          <w:sz w:val="24"/>
          <w:highlight w:val="none"/>
        </w:rPr>
        <w:t>4.本合同条件未尽事宜依照《中华人民共和国民法典》，由供需双方共同协商确定。</w:t>
      </w:r>
    </w:p>
    <w:p w14:paraId="1D00068F">
      <w:pPr>
        <w:spacing w:line="500" w:lineRule="exact"/>
        <w:jc w:val="center"/>
        <w:rPr>
          <w:rFonts w:ascii="宋体" w:hAnsi="宋体" w:cs="宋体"/>
          <w:b/>
          <w:color w:val="auto"/>
          <w:sz w:val="44"/>
          <w:highlight w:val="none"/>
        </w:rPr>
        <w:sectPr>
          <w:footerReference r:id="rId7" w:type="default"/>
          <w:pgSz w:w="11905" w:h="16838"/>
          <w:pgMar w:top="1417" w:right="1417" w:bottom="1417" w:left="1417" w:header="1003" w:footer="986" w:gutter="0"/>
          <w:cols w:space="0" w:num="1"/>
          <w:rtlGutter w:val="0"/>
          <w:docGrid w:linePitch="389" w:charSpace="0"/>
        </w:sectPr>
      </w:pPr>
    </w:p>
    <w:p w14:paraId="02D44ACD">
      <w:pPr>
        <w:spacing w:line="500" w:lineRule="exact"/>
        <w:rPr>
          <w:rFonts w:ascii="宋体" w:hAnsi="宋体" w:cs="宋体"/>
          <w:b/>
          <w:color w:val="auto"/>
          <w:sz w:val="30"/>
          <w:szCs w:val="30"/>
          <w:highlight w:val="none"/>
        </w:rPr>
      </w:pPr>
      <w:r>
        <w:rPr>
          <w:rFonts w:hint="eastAsia" w:ascii="宋体" w:hAnsi="宋体" w:cs="宋体"/>
          <w:b/>
          <w:color w:val="auto"/>
          <w:sz w:val="30"/>
          <w:szCs w:val="30"/>
          <w:highlight w:val="none"/>
        </w:rPr>
        <w:t>二、政府采购合同（格式）</w:t>
      </w:r>
    </w:p>
    <w:p w14:paraId="7F6C818B">
      <w:pPr>
        <w:spacing w:line="500" w:lineRule="exact"/>
        <w:jc w:val="center"/>
        <w:rPr>
          <w:rFonts w:ascii="宋体" w:hAnsi="宋体" w:cs="宋体"/>
          <w:b/>
          <w:color w:val="auto"/>
          <w:sz w:val="44"/>
          <w:highlight w:val="none"/>
        </w:rPr>
      </w:pPr>
    </w:p>
    <w:p w14:paraId="2AC49142">
      <w:pPr>
        <w:spacing w:line="500" w:lineRule="exact"/>
        <w:jc w:val="center"/>
        <w:rPr>
          <w:rFonts w:ascii="宋体" w:hAnsi="宋体" w:cs="宋体"/>
          <w:b/>
          <w:color w:val="auto"/>
          <w:sz w:val="44"/>
          <w:highlight w:val="none"/>
        </w:rPr>
      </w:pPr>
      <w:r>
        <w:rPr>
          <w:rFonts w:hint="eastAsia" w:ascii="宋体" w:hAnsi="宋体" w:cs="宋体"/>
          <w:b/>
          <w:color w:val="auto"/>
          <w:sz w:val="44"/>
          <w:highlight w:val="none"/>
        </w:rPr>
        <w:t>重庆市政府采购合同</w:t>
      </w:r>
    </w:p>
    <w:p w14:paraId="2369E926">
      <w:pPr>
        <w:spacing w:line="500" w:lineRule="exact"/>
        <w:jc w:val="center"/>
        <w:rPr>
          <w:rFonts w:ascii="宋体" w:hAnsi="宋体" w:cs="宋体"/>
          <w:color w:val="auto"/>
          <w:highlight w:val="none"/>
        </w:rPr>
      </w:pPr>
      <w:r>
        <w:rPr>
          <w:rFonts w:hint="eastAsia" w:ascii="宋体" w:hAnsi="宋体" w:cs="宋体"/>
          <w:color w:val="auto"/>
          <w:highlight w:val="none"/>
        </w:rPr>
        <w:t>（项目号：     ）</w:t>
      </w:r>
    </w:p>
    <w:p w14:paraId="7AF66045">
      <w:pPr>
        <w:spacing w:line="500" w:lineRule="exact"/>
        <w:rPr>
          <w:rFonts w:ascii="宋体" w:hAnsi="宋体" w:cs="宋体"/>
          <w:color w:val="auto"/>
          <w:sz w:val="24"/>
          <w:highlight w:val="none"/>
        </w:rPr>
      </w:pPr>
      <w:r>
        <w:rPr>
          <w:rFonts w:hint="eastAsia" w:ascii="宋体" w:hAnsi="宋体" w:cs="宋体"/>
          <w:color w:val="auto"/>
          <w:sz w:val="24"/>
          <w:highlight w:val="none"/>
        </w:rPr>
        <w:t>甲方（需方）：___________________________      计价单位：____________</w:t>
      </w:r>
    </w:p>
    <w:p w14:paraId="29814C1D">
      <w:pPr>
        <w:spacing w:line="500" w:lineRule="exact"/>
        <w:rPr>
          <w:rFonts w:ascii="宋体" w:hAnsi="宋体" w:cs="宋体"/>
          <w:color w:val="auto"/>
          <w:sz w:val="24"/>
          <w:highlight w:val="none"/>
        </w:rPr>
      </w:pPr>
      <w:r>
        <w:rPr>
          <w:rFonts w:hint="eastAsia" w:ascii="宋体" w:hAnsi="宋体" w:cs="宋体"/>
          <w:color w:val="auto"/>
          <w:sz w:val="24"/>
          <w:highlight w:val="none"/>
        </w:rPr>
        <w:t>乙方（供方）：___________________________      计量单位：_____________</w:t>
      </w:r>
    </w:p>
    <w:p w14:paraId="76E00D4A">
      <w:pPr>
        <w:spacing w:line="500" w:lineRule="exact"/>
        <w:rPr>
          <w:rFonts w:ascii="宋体" w:hAnsi="宋体" w:cs="宋体"/>
          <w:color w:val="auto"/>
          <w:sz w:val="24"/>
          <w:highlight w:val="none"/>
        </w:rPr>
      </w:pPr>
      <w:r>
        <w:rPr>
          <w:rFonts w:hint="eastAsia" w:ascii="宋体" w:hAnsi="宋体" w:cs="宋体"/>
          <w:color w:val="auto"/>
          <w:sz w:val="24"/>
          <w:highlight w:val="none"/>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938"/>
        <w:gridCol w:w="561"/>
        <w:gridCol w:w="676"/>
        <w:gridCol w:w="1081"/>
        <w:gridCol w:w="1486"/>
        <w:gridCol w:w="1494"/>
        <w:gridCol w:w="16"/>
      </w:tblGrid>
      <w:tr w14:paraId="67E3A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2C30BEBD">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磋商项目名称</w:t>
            </w:r>
          </w:p>
        </w:tc>
        <w:tc>
          <w:tcPr>
            <w:tcW w:w="938" w:type="dxa"/>
            <w:vAlign w:val="center"/>
          </w:tcPr>
          <w:p w14:paraId="4FF0B7E0">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数量</w:t>
            </w:r>
          </w:p>
        </w:tc>
        <w:tc>
          <w:tcPr>
            <w:tcW w:w="1237" w:type="dxa"/>
            <w:gridSpan w:val="2"/>
            <w:vAlign w:val="center"/>
          </w:tcPr>
          <w:p w14:paraId="69CDAC32">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综合单价</w:t>
            </w:r>
          </w:p>
        </w:tc>
        <w:tc>
          <w:tcPr>
            <w:tcW w:w="1081" w:type="dxa"/>
            <w:vAlign w:val="center"/>
          </w:tcPr>
          <w:p w14:paraId="4A1A74AB">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总价</w:t>
            </w:r>
          </w:p>
        </w:tc>
        <w:tc>
          <w:tcPr>
            <w:tcW w:w="1486" w:type="dxa"/>
            <w:vAlign w:val="center"/>
          </w:tcPr>
          <w:p w14:paraId="52372F73">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服务时间</w:t>
            </w:r>
          </w:p>
        </w:tc>
        <w:tc>
          <w:tcPr>
            <w:tcW w:w="1494" w:type="dxa"/>
            <w:vAlign w:val="center"/>
          </w:tcPr>
          <w:p w14:paraId="4CAABEB7">
            <w:pPr>
              <w:spacing w:line="360" w:lineRule="exact"/>
              <w:jc w:val="center"/>
              <w:rPr>
                <w:rFonts w:ascii="宋体" w:hAnsi="宋体" w:cs="宋体"/>
                <w:color w:val="auto"/>
                <w:sz w:val="21"/>
                <w:szCs w:val="21"/>
                <w:highlight w:val="none"/>
              </w:rPr>
            </w:pPr>
            <w:r>
              <w:rPr>
                <w:rFonts w:hint="eastAsia" w:ascii="宋体" w:hAnsi="宋体" w:cs="宋体"/>
                <w:color w:val="auto"/>
                <w:sz w:val="21"/>
                <w:szCs w:val="21"/>
                <w:highlight w:val="none"/>
              </w:rPr>
              <w:t>服务地点</w:t>
            </w:r>
          </w:p>
        </w:tc>
      </w:tr>
      <w:tr w14:paraId="1439B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53742FEE">
            <w:pPr>
              <w:spacing w:line="360" w:lineRule="exact"/>
              <w:jc w:val="center"/>
              <w:rPr>
                <w:rFonts w:ascii="宋体" w:hAnsi="宋体" w:cs="宋体"/>
                <w:color w:val="auto"/>
                <w:sz w:val="21"/>
                <w:szCs w:val="21"/>
                <w:highlight w:val="none"/>
              </w:rPr>
            </w:pPr>
          </w:p>
        </w:tc>
        <w:tc>
          <w:tcPr>
            <w:tcW w:w="938" w:type="dxa"/>
            <w:vAlign w:val="center"/>
          </w:tcPr>
          <w:p w14:paraId="6FED27DD">
            <w:pPr>
              <w:spacing w:line="360" w:lineRule="exact"/>
              <w:jc w:val="center"/>
              <w:rPr>
                <w:rFonts w:ascii="宋体" w:hAnsi="宋体" w:cs="宋体"/>
                <w:color w:val="auto"/>
                <w:sz w:val="21"/>
                <w:szCs w:val="21"/>
                <w:highlight w:val="none"/>
              </w:rPr>
            </w:pPr>
          </w:p>
        </w:tc>
        <w:tc>
          <w:tcPr>
            <w:tcW w:w="1237" w:type="dxa"/>
            <w:gridSpan w:val="2"/>
            <w:vAlign w:val="center"/>
          </w:tcPr>
          <w:p w14:paraId="0F94A46A">
            <w:pPr>
              <w:spacing w:line="360" w:lineRule="exact"/>
              <w:jc w:val="center"/>
              <w:rPr>
                <w:rFonts w:ascii="宋体" w:hAnsi="宋体" w:cs="宋体"/>
                <w:color w:val="auto"/>
                <w:sz w:val="21"/>
                <w:szCs w:val="21"/>
                <w:highlight w:val="none"/>
              </w:rPr>
            </w:pPr>
          </w:p>
        </w:tc>
        <w:tc>
          <w:tcPr>
            <w:tcW w:w="1081" w:type="dxa"/>
            <w:vAlign w:val="center"/>
          </w:tcPr>
          <w:p w14:paraId="3DA0FF48">
            <w:pPr>
              <w:spacing w:line="360" w:lineRule="exact"/>
              <w:jc w:val="center"/>
              <w:rPr>
                <w:rFonts w:ascii="宋体" w:hAnsi="宋体" w:cs="宋体"/>
                <w:color w:val="auto"/>
                <w:sz w:val="21"/>
                <w:szCs w:val="21"/>
                <w:highlight w:val="none"/>
              </w:rPr>
            </w:pPr>
          </w:p>
        </w:tc>
        <w:tc>
          <w:tcPr>
            <w:tcW w:w="1486" w:type="dxa"/>
            <w:vAlign w:val="center"/>
          </w:tcPr>
          <w:p w14:paraId="5838A9C3">
            <w:pPr>
              <w:spacing w:line="360" w:lineRule="exact"/>
              <w:jc w:val="center"/>
              <w:rPr>
                <w:rFonts w:ascii="宋体" w:hAnsi="宋体" w:cs="宋体"/>
                <w:color w:val="auto"/>
                <w:sz w:val="21"/>
                <w:szCs w:val="21"/>
                <w:highlight w:val="none"/>
              </w:rPr>
            </w:pPr>
          </w:p>
        </w:tc>
        <w:tc>
          <w:tcPr>
            <w:tcW w:w="1494" w:type="dxa"/>
            <w:vAlign w:val="center"/>
          </w:tcPr>
          <w:p w14:paraId="6C515B25">
            <w:pPr>
              <w:spacing w:line="360" w:lineRule="exact"/>
              <w:jc w:val="center"/>
              <w:rPr>
                <w:rFonts w:ascii="宋体" w:hAnsi="宋体" w:cs="宋体"/>
                <w:color w:val="auto"/>
                <w:sz w:val="21"/>
                <w:szCs w:val="21"/>
                <w:highlight w:val="none"/>
              </w:rPr>
            </w:pPr>
          </w:p>
        </w:tc>
      </w:tr>
      <w:tr w14:paraId="3DE3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2928" w:type="dxa"/>
            <w:vAlign w:val="center"/>
          </w:tcPr>
          <w:p w14:paraId="5D3C235C">
            <w:pPr>
              <w:spacing w:line="360" w:lineRule="exact"/>
              <w:jc w:val="center"/>
              <w:rPr>
                <w:rFonts w:ascii="宋体" w:hAnsi="宋体" w:cs="宋体"/>
                <w:color w:val="auto"/>
                <w:sz w:val="21"/>
                <w:szCs w:val="21"/>
                <w:highlight w:val="none"/>
              </w:rPr>
            </w:pPr>
          </w:p>
        </w:tc>
        <w:tc>
          <w:tcPr>
            <w:tcW w:w="938" w:type="dxa"/>
            <w:vAlign w:val="center"/>
          </w:tcPr>
          <w:p w14:paraId="2EDE2E8F">
            <w:pPr>
              <w:spacing w:line="360" w:lineRule="exact"/>
              <w:jc w:val="center"/>
              <w:rPr>
                <w:rFonts w:ascii="宋体" w:hAnsi="宋体" w:cs="宋体"/>
                <w:color w:val="auto"/>
                <w:sz w:val="21"/>
                <w:szCs w:val="21"/>
                <w:highlight w:val="none"/>
              </w:rPr>
            </w:pPr>
          </w:p>
        </w:tc>
        <w:tc>
          <w:tcPr>
            <w:tcW w:w="1237" w:type="dxa"/>
            <w:gridSpan w:val="2"/>
            <w:vAlign w:val="center"/>
          </w:tcPr>
          <w:p w14:paraId="397B744C">
            <w:pPr>
              <w:spacing w:line="360" w:lineRule="exact"/>
              <w:jc w:val="center"/>
              <w:rPr>
                <w:rFonts w:ascii="宋体" w:hAnsi="宋体" w:cs="宋体"/>
                <w:color w:val="auto"/>
                <w:sz w:val="21"/>
                <w:szCs w:val="21"/>
                <w:highlight w:val="none"/>
              </w:rPr>
            </w:pPr>
          </w:p>
        </w:tc>
        <w:tc>
          <w:tcPr>
            <w:tcW w:w="1081" w:type="dxa"/>
            <w:vAlign w:val="center"/>
          </w:tcPr>
          <w:p w14:paraId="49E74951">
            <w:pPr>
              <w:spacing w:line="360" w:lineRule="exact"/>
              <w:jc w:val="center"/>
              <w:rPr>
                <w:rFonts w:ascii="宋体" w:hAnsi="宋体" w:cs="宋体"/>
                <w:color w:val="auto"/>
                <w:sz w:val="21"/>
                <w:szCs w:val="21"/>
                <w:highlight w:val="none"/>
              </w:rPr>
            </w:pPr>
          </w:p>
        </w:tc>
        <w:tc>
          <w:tcPr>
            <w:tcW w:w="1486" w:type="dxa"/>
            <w:vAlign w:val="center"/>
          </w:tcPr>
          <w:p w14:paraId="61567DDD">
            <w:pPr>
              <w:spacing w:line="360" w:lineRule="exact"/>
              <w:jc w:val="center"/>
              <w:rPr>
                <w:rFonts w:ascii="宋体" w:hAnsi="宋体" w:cs="宋体"/>
                <w:color w:val="auto"/>
                <w:sz w:val="21"/>
                <w:szCs w:val="21"/>
                <w:highlight w:val="none"/>
              </w:rPr>
            </w:pPr>
          </w:p>
        </w:tc>
        <w:tc>
          <w:tcPr>
            <w:tcW w:w="1494" w:type="dxa"/>
            <w:vAlign w:val="center"/>
          </w:tcPr>
          <w:p w14:paraId="12509794">
            <w:pPr>
              <w:spacing w:line="360" w:lineRule="exact"/>
              <w:jc w:val="center"/>
              <w:rPr>
                <w:rFonts w:ascii="宋体" w:hAnsi="宋体" w:cs="宋体"/>
                <w:color w:val="auto"/>
                <w:sz w:val="21"/>
                <w:szCs w:val="21"/>
                <w:highlight w:val="none"/>
              </w:rPr>
            </w:pPr>
          </w:p>
        </w:tc>
      </w:tr>
      <w:tr w14:paraId="2FBC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vAlign w:val="center"/>
          </w:tcPr>
          <w:p w14:paraId="621AB24F">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合计人民币（小写）：</w:t>
            </w:r>
          </w:p>
        </w:tc>
      </w:tr>
      <w:tr w14:paraId="14F90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vAlign w:val="center"/>
          </w:tcPr>
          <w:p w14:paraId="031EC4CA">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合计人民币（大写）：</w:t>
            </w:r>
          </w:p>
        </w:tc>
      </w:tr>
      <w:tr w14:paraId="7D5C5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trHeight w:val="363" w:hRule="atLeast"/>
        </w:trPr>
        <w:tc>
          <w:tcPr>
            <w:tcW w:w="9164" w:type="dxa"/>
            <w:gridSpan w:val="7"/>
          </w:tcPr>
          <w:p w14:paraId="4D314888">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一、服务要求</w:t>
            </w:r>
          </w:p>
        </w:tc>
      </w:tr>
      <w:tr w14:paraId="3BCD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30189A69">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二、考核方式</w:t>
            </w:r>
          </w:p>
        </w:tc>
      </w:tr>
      <w:tr w14:paraId="3547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220CF527">
            <w:pPr>
              <w:spacing w:line="360" w:lineRule="exact"/>
              <w:rPr>
                <w:rFonts w:ascii="宋体" w:hAnsi="宋体" w:cs="宋体"/>
                <w:color w:val="auto"/>
                <w:highlight w:val="none"/>
              </w:rPr>
            </w:pPr>
            <w:r>
              <w:rPr>
                <w:rFonts w:hint="eastAsia" w:ascii="宋体" w:hAnsi="宋体" w:cs="宋体"/>
                <w:color w:val="auto"/>
                <w:sz w:val="21"/>
                <w:szCs w:val="21"/>
                <w:highlight w:val="none"/>
              </w:rPr>
              <w:t>三、付款方式：</w:t>
            </w:r>
          </w:p>
        </w:tc>
      </w:tr>
      <w:tr w14:paraId="1752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80" w:type="dxa"/>
            <w:gridSpan w:val="8"/>
          </w:tcPr>
          <w:p w14:paraId="53A743E1">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X、履约保证金：</w:t>
            </w:r>
          </w:p>
        </w:tc>
      </w:tr>
      <w:tr w14:paraId="09B2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9180" w:type="dxa"/>
            <w:gridSpan w:val="8"/>
          </w:tcPr>
          <w:p w14:paraId="43688DA8">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四、违约责任：</w:t>
            </w:r>
          </w:p>
          <w:p w14:paraId="2DB817A6">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按《中华人民共和国民法典》、《中华人民共和国政府采购法》执行，或按双方约定。</w:t>
            </w:r>
          </w:p>
        </w:tc>
      </w:tr>
      <w:tr w14:paraId="772BE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9180" w:type="dxa"/>
            <w:gridSpan w:val="8"/>
          </w:tcPr>
          <w:p w14:paraId="60CDB575">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五、其他约定事项：</w:t>
            </w:r>
          </w:p>
          <w:p w14:paraId="4EFA2693">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1.采购文件及其澄清文件、响应文件和承诺是本合同不可分割的部分。</w:t>
            </w:r>
          </w:p>
          <w:p w14:paraId="52884EF0">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2.本合同如发生争议由双方协商解决，协商不成向需方所在人民法院提请诉讼。</w:t>
            </w:r>
          </w:p>
          <w:p w14:paraId="1BF1EC0C">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3.本合同一式__份， 需方__份，供方__份，具同等法律效力。</w:t>
            </w:r>
          </w:p>
          <w:p w14:paraId="7133854A">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4.其他：</w:t>
            </w:r>
          </w:p>
        </w:tc>
      </w:tr>
      <w:tr w14:paraId="5A06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0" w:hRule="atLeast"/>
        </w:trPr>
        <w:tc>
          <w:tcPr>
            <w:tcW w:w="4427" w:type="dxa"/>
            <w:gridSpan w:val="3"/>
          </w:tcPr>
          <w:p w14:paraId="5FFBF1AA">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需方：</w:t>
            </w:r>
          </w:p>
          <w:p w14:paraId="4BBAB02C">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145405BF">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联系电话：</w:t>
            </w:r>
          </w:p>
          <w:p w14:paraId="4532B430">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授权代表：</w:t>
            </w:r>
          </w:p>
        </w:tc>
        <w:tc>
          <w:tcPr>
            <w:tcW w:w="4753" w:type="dxa"/>
            <w:gridSpan w:val="5"/>
          </w:tcPr>
          <w:p w14:paraId="14B83BED">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供方：</w:t>
            </w:r>
          </w:p>
          <w:p w14:paraId="6637FB11">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地址：</w:t>
            </w:r>
          </w:p>
          <w:p w14:paraId="169E4EFB">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电话：</w:t>
            </w:r>
          </w:p>
          <w:p w14:paraId="7F374723">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传真：</w:t>
            </w:r>
          </w:p>
          <w:p w14:paraId="34049FBC">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开户银行：</w:t>
            </w:r>
          </w:p>
          <w:p w14:paraId="2A26DFC5">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账号：</w:t>
            </w:r>
          </w:p>
          <w:p w14:paraId="61A6080E">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授权代表：</w:t>
            </w:r>
          </w:p>
          <w:p w14:paraId="28B18140">
            <w:pPr>
              <w:widowControl/>
              <w:spacing w:line="360" w:lineRule="exact"/>
              <w:jc w:val="left"/>
              <w:rPr>
                <w:rFonts w:ascii="宋体" w:hAnsi="宋体" w:cs="宋体"/>
                <w:color w:val="auto"/>
                <w:sz w:val="21"/>
                <w:szCs w:val="21"/>
                <w:highlight w:val="none"/>
              </w:rPr>
            </w:pPr>
            <w:r>
              <w:rPr>
                <w:rFonts w:hint="eastAsia" w:ascii="宋体" w:hAnsi="宋体" w:cs="宋体"/>
                <w:color w:val="auto"/>
                <w:sz w:val="21"/>
                <w:szCs w:val="21"/>
                <w:highlight w:val="none"/>
              </w:rPr>
              <w:t>（本栏请用计算机打印以便于准确付款）</w:t>
            </w:r>
          </w:p>
        </w:tc>
      </w:tr>
      <w:tr w14:paraId="291E0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9180" w:type="dxa"/>
            <w:gridSpan w:val="8"/>
          </w:tcPr>
          <w:p w14:paraId="314D6423">
            <w:pPr>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备注：</w:t>
            </w:r>
          </w:p>
          <w:p w14:paraId="6D691B39">
            <w:pPr>
              <w:spacing w:line="360" w:lineRule="exact"/>
              <w:rPr>
                <w:rFonts w:ascii="宋体" w:hAnsi="宋体" w:cs="宋体"/>
                <w:color w:val="auto"/>
                <w:sz w:val="21"/>
                <w:szCs w:val="21"/>
                <w:highlight w:val="none"/>
              </w:rPr>
            </w:pPr>
          </w:p>
          <w:p w14:paraId="2E85AD1C">
            <w:pPr>
              <w:spacing w:line="360" w:lineRule="exact"/>
              <w:rPr>
                <w:rFonts w:ascii="宋体" w:hAnsi="宋体" w:cs="宋体"/>
                <w:color w:val="auto"/>
                <w:sz w:val="21"/>
                <w:szCs w:val="21"/>
                <w:highlight w:val="none"/>
              </w:rPr>
            </w:pPr>
          </w:p>
        </w:tc>
      </w:tr>
    </w:tbl>
    <w:p w14:paraId="6EE86197">
      <w:pPr>
        <w:spacing w:line="360" w:lineRule="exact"/>
        <w:rPr>
          <w:rFonts w:ascii="宋体" w:hAnsi="宋体" w:cs="宋体"/>
          <w:color w:val="auto"/>
          <w:sz w:val="21"/>
          <w:szCs w:val="21"/>
          <w:highlight w:val="none"/>
        </w:rPr>
        <w:sectPr>
          <w:pgSz w:w="11905" w:h="16838"/>
          <w:pgMar w:top="1417" w:right="1417" w:bottom="1417" w:left="1417" w:header="1003" w:footer="986" w:gutter="0"/>
          <w:cols w:space="0" w:num="1"/>
          <w:rtlGutter w:val="0"/>
          <w:docGrid w:linePitch="389" w:charSpace="0"/>
        </w:sectPr>
      </w:pPr>
      <w:r>
        <w:rPr>
          <w:rFonts w:hint="eastAsia" w:ascii="宋体" w:hAnsi="宋体" w:cs="宋体"/>
          <w:color w:val="auto"/>
          <w:sz w:val="24"/>
          <w:highlight w:val="none"/>
        </w:rPr>
        <w:t>签约时间：           年   月   日      签约地点：</w:t>
      </w:r>
    </w:p>
    <w:p w14:paraId="4D50470C">
      <w:pPr>
        <w:pStyle w:val="4"/>
        <w:bidi w:val="0"/>
        <w:jc w:val="center"/>
        <w:rPr>
          <w:rFonts w:ascii="宋体" w:hAnsi="宋体" w:eastAsia="宋体" w:cs="宋体"/>
          <w:color w:val="auto"/>
          <w:szCs w:val="30"/>
          <w:highlight w:val="none"/>
        </w:rPr>
      </w:pPr>
      <w:bookmarkStart w:id="257" w:name="_Toc6458"/>
      <w:bookmarkStart w:id="258" w:name="_Toc8589"/>
      <w:r>
        <w:rPr>
          <w:rFonts w:hint="eastAsia"/>
          <w:b/>
          <w:bCs/>
          <w:color w:val="auto"/>
          <w:sz w:val="32"/>
          <w:szCs w:val="32"/>
          <w:highlight w:val="none"/>
        </w:rPr>
        <w:t>第七篇  响应文件编制要求</w:t>
      </w:r>
      <w:bookmarkEnd w:id="247"/>
      <w:bookmarkEnd w:id="257"/>
      <w:bookmarkEnd w:id="258"/>
    </w:p>
    <w:p w14:paraId="161C8572">
      <w:pPr>
        <w:spacing w:line="360" w:lineRule="auto"/>
        <w:ind w:firstLine="482" w:firstLineChars="200"/>
        <w:outlineLvl w:val="0"/>
        <w:rPr>
          <w:rFonts w:ascii="宋体" w:hAnsi="宋体" w:cs="宋体"/>
          <w:b/>
          <w:bCs/>
          <w:color w:val="auto"/>
          <w:sz w:val="24"/>
          <w:szCs w:val="24"/>
          <w:highlight w:val="none"/>
        </w:rPr>
      </w:pPr>
      <w:bookmarkStart w:id="259" w:name="_Toc9864"/>
      <w:r>
        <w:rPr>
          <w:rFonts w:hint="eastAsia" w:ascii="宋体" w:hAnsi="宋体" w:cs="宋体"/>
          <w:b/>
          <w:bCs/>
          <w:color w:val="auto"/>
          <w:sz w:val="24"/>
          <w:szCs w:val="24"/>
          <w:highlight w:val="none"/>
        </w:rPr>
        <w:t>一、经济部分</w:t>
      </w:r>
      <w:bookmarkEnd w:id="259"/>
    </w:p>
    <w:p w14:paraId="30D2A81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146F045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已标价工程清单</w:t>
      </w:r>
    </w:p>
    <w:p w14:paraId="4E477D89">
      <w:pPr>
        <w:spacing w:line="360" w:lineRule="auto"/>
        <w:ind w:firstLine="480" w:firstLineChars="200"/>
        <w:rPr>
          <w:rFonts w:ascii="宋体" w:hAnsi="宋体" w:cs="宋体"/>
          <w:color w:val="auto"/>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）最后报价表</w:t>
      </w:r>
    </w:p>
    <w:p w14:paraId="3DCFD467">
      <w:pPr>
        <w:spacing w:line="360" w:lineRule="auto"/>
        <w:ind w:firstLine="482" w:firstLineChars="200"/>
        <w:outlineLvl w:val="0"/>
        <w:rPr>
          <w:rFonts w:ascii="宋体" w:hAnsi="宋体" w:cs="宋体"/>
          <w:b/>
          <w:bCs/>
          <w:color w:val="auto"/>
          <w:sz w:val="24"/>
          <w:szCs w:val="24"/>
          <w:highlight w:val="none"/>
        </w:rPr>
      </w:pPr>
      <w:bookmarkStart w:id="260" w:name="_Toc28266"/>
      <w:r>
        <w:rPr>
          <w:rFonts w:hint="eastAsia" w:ascii="宋体" w:hAnsi="宋体" w:cs="宋体"/>
          <w:b/>
          <w:bCs/>
          <w:color w:val="auto"/>
          <w:sz w:val="24"/>
          <w:szCs w:val="24"/>
          <w:highlight w:val="none"/>
        </w:rPr>
        <w:t>二、技术部分</w:t>
      </w:r>
      <w:bookmarkEnd w:id="260"/>
    </w:p>
    <w:p w14:paraId="608BB048">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（一）技术响应偏离表</w:t>
      </w:r>
    </w:p>
    <w:p w14:paraId="7AEC05C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方案</w:t>
      </w:r>
    </w:p>
    <w:p w14:paraId="1ED5E2BF">
      <w:pPr>
        <w:spacing w:line="360" w:lineRule="auto"/>
        <w:ind w:firstLine="482" w:firstLineChars="200"/>
        <w:outlineLvl w:val="0"/>
        <w:rPr>
          <w:rFonts w:ascii="宋体" w:hAnsi="宋体" w:cs="宋体"/>
          <w:b/>
          <w:bCs/>
          <w:color w:val="auto"/>
          <w:sz w:val="24"/>
          <w:szCs w:val="24"/>
          <w:highlight w:val="none"/>
        </w:rPr>
      </w:pPr>
      <w:bookmarkStart w:id="261" w:name="_Toc32373"/>
      <w:r>
        <w:rPr>
          <w:rFonts w:hint="eastAsia" w:ascii="宋体" w:hAnsi="宋体" w:cs="宋体"/>
          <w:b/>
          <w:bCs/>
          <w:color w:val="auto"/>
          <w:sz w:val="24"/>
          <w:szCs w:val="24"/>
          <w:highlight w:val="none"/>
        </w:rPr>
        <w:t>三、商务部分</w:t>
      </w:r>
      <w:bookmarkEnd w:id="261"/>
    </w:p>
    <w:p w14:paraId="0D03B996">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4936B2E0">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14:paraId="3EE4BED6">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（三）其它</w:t>
      </w:r>
      <w:r>
        <w:rPr>
          <w:rFonts w:hint="eastAsia" w:ascii="宋体" w:hAnsi="宋体" w:cs="宋体"/>
          <w:color w:val="auto"/>
          <w:sz w:val="24"/>
          <w:szCs w:val="24"/>
          <w:highlight w:val="none"/>
          <w:lang w:val="en-US" w:eastAsia="zh-CN"/>
        </w:rPr>
        <w:t>资料</w:t>
      </w:r>
    </w:p>
    <w:p w14:paraId="5285C668">
      <w:pPr>
        <w:spacing w:line="360" w:lineRule="auto"/>
        <w:ind w:firstLine="482" w:firstLineChars="200"/>
        <w:outlineLvl w:val="0"/>
        <w:rPr>
          <w:rFonts w:ascii="宋体" w:hAnsi="宋体" w:cs="宋体"/>
          <w:b/>
          <w:bCs/>
          <w:color w:val="auto"/>
          <w:sz w:val="24"/>
          <w:szCs w:val="24"/>
          <w:highlight w:val="none"/>
        </w:rPr>
      </w:pPr>
      <w:bookmarkStart w:id="262" w:name="_Toc32427"/>
      <w:r>
        <w:rPr>
          <w:rFonts w:hint="eastAsia" w:ascii="宋体" w:hAnsi="宋体" w:cs="宋体"/>
          <w:b/>
          <w:bCs/>
          <w:color w:val="auto"/>
          <w:sz w:val="24"/>
          <w:szCs w:val="24"/>
          <w:highlight w:val="none"/>
        </w:rPr>
        <w:t>四、资格条件及其他</w:t>
      </w:r>
      <w:bookmarkEnd w:id="262"/>
    </w:p>
    <w:p w14:paraId="14F23E6F">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7AF261D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（二）法定代表人身份证明书（格式）</w:t>
      </w:r>
    </w:p>
    <w:p w14:paraId="3CCF2B72">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（三）法定代表人授权委托书（格式）</w:t>
      </w:r>
    </w:p>
    <w:p w14:paraId="2FF3104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（四）基本资格条件承诺函（格式）</w:t>
      </w:r>
    </w:p>
    <w:p w14:paraId="42E80B5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（五）特定资格条件证书或证明文件</w:t>
      </w:r>
    </w:p>
    <w:p w14:paraId="39DA307A">
      <w:pPr>
        <w:spacing w:line="360" w:lineRule="auto"/>
        <w:ind w:firstLine="482" w:firstLineChars="200"/>
        <w:outlineLvl w:val="0"/>
        <w:rPr>
          <w:rFonts w:ascii="宋体" w:hAnsi="宋体" w:cs="宋体"/>
          <w:b/>
          <w:bCs/>
          <w:color w:val="auto"/>
          <w:sz w:val="24"/>
          <w:szCs w:val="24"/>
          <w:highlight w:val="none"/>
        </w:rPr>
      </w:pPr>
      <w:bookmarkStart w:id="263" w:name="_Toc30389"/>
      <w:r>
        <w:rPr>
          <w:rFonts w:hint="eastAsia" w:ascii="宋体" w:hAnsi="宋体" w:cs="宋体"/>
          <w:b/>
          <w:bCs/>
          <w:color w:val="auto"/>
          <w:sz w:val="24"/>
          <w:szCs w:val="24"/>
          <w:highlight w:val="none"/>
        </w:rPr>
        <w:t>五、其他资料</w:t>
      </w:r>
      <w:bookmarkEnd w:id="263"/>
    </w:p>
    <w:p w14:paraId="053BDE72">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2437C344">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（二）其他与项目有关的资料</w:t>
      </w:r>
    </w:p>
    <w:p w14:paraId="5CA561E9">
      <w:pPr>
        <w:pStyle w:val="35"/>
        <w:spacing w:line="360" w:lineRule="auto"/>
        <w:ind w:firstLine="480" w:firstLineChars="200"/>
        <w:rPr>
          <w:rFonts w:ascii="宋体" w:hAnsi="宋体" w:cs="宋体"/>
          <w:color w:val="auto"/>
          <w:sz w:val="24"/>
          <w:szCs w:val="24"/>
          <w:highlight w:val="none"/>
        </w:rPr>
      </w:pPr>
    </w:p>
    <w:p w14:paraId="7758DC75">
      <w:pPr>
        <w:snapToGrid w:val="0"/>
        <w:spacing w:line="360" w:lineRule="auto"/>
        <w:ind w:firstLine="480" w:firstLineChars="200"/>
        <w:rPr>
          <w:rFonts w:ascii="宋体" w:hAnsi="宋体" w:cs="宋体"/>
          <w:color w:val="auto"/>
          <w:sz w:val="24"/>
          <w:szCs w:val="24"/>
          <w:highlight w:val="none"/>
        </w:rPr>
        <w:sectPr>
          <w:headerReference r:id="rId8" w:type="default"/>
          <w:pgSz w:w="11905" w:h="16838"/>
          <w:pgMar w:top="1417" w:right="1417" w:bottom="1417" w:left="1417" w:header="1003" w:footer="986" w:gutter="0"/>
          <w:cols w:space="0" w:num="1"/>
          <w:rtlGutter w:val="0"/>
          <w:docGrid w:linePitch="389" w:charSpace="0"/>
        </w:sectPr>
      </w:pPr>
    </w:p>
    <w:p w14:paraId="5998A724">
      <w:pPr>
        <w:pStyle w:val="6"/>
        <w:spacing w:before="0" w:after="0" w:line="360" w:lineRule="auto"/>
        <w:ind w:firstLine="482" w:firstLineChars="200"/>
        <w:rPr>
          <w:rFonts w:ascii="宋体" w:hAnsi="宋体" w:cs="宋体"/>
          <w:color w:val="auto"/>
          <w:sz w:val="24"/>
          <w:szCs w:val="24"/>
          <w:highlight w:val="none"/>
        </w:rPr>
      </w:pPr>
      <w:bookmarkStart w:id="264" w:name="_Toc20130567"/>
      <w:bookmarkStart w:id="265" w:name="_Toc18307"/>
      <w:bookmarkStart w:id="266" w:name="_Toc313888360"/>
      <w:bookmarkStart w:id="267" w:name="_Toc4609"/>
      <w:bookmarkStart w:id="268" w:name="_Toc6340"/>
      <w:bookmarkStart w:id="269" w:name="_Toc30513"/>
      <w:bookmarkStart w:id="270" w:name="_Toc313008356"/>
      <w:bookmarkStart w:id="271" w:name="_Toc342913419"/>
      <w:bookmarkStart w:id="272" w:name="_Toc20844"/>
      <w:bookmarkStart w:id="273" w:name="_Toc283382454"/>
      <w:bookmarkStart w:id="274" w:name="_Toc12789073"/>
      <w:bookmarkStart w:id="275" w:name="_Toc23764523"/>
      <w:bookmarkStart w:id="276" w:name="_Toc313888361"/>
      <w:bookmarkStart w:id="277" w:name="_Toc313008357"/>
      <w:bookmarkStart w:id="278" w:name="_Toc342913420"/>
      <w:r>
        <w:rPr>
          <w:rFonts w:hint="eastAsia" w:ascii="宋体" w:hAnsi="宋体" w:cs="宋体"/>
          <w:color w:val="auto"/>
          <w:sz w:val="24"/>
          <w:szCs w:val="24"/>
          <w:highlight w:val="none"/>
        </w:rPr>
        <w:t>一、经济部分</w:t>
      </w:r>
      <w:bookmarkEnd w:id="264"/>
      <w:bookmarkEnd w:id="265"/>
      <w:bookmarkEnd w:id="266"/>
      <w:bookmarkEnd w:id="267"/>
      <w:bookmarkEnd w:id="268"/>
      <w:bookmarkEnd w:id="269"/>
      <w:bookmarkEnd w:id="270"/>
      <w:bookmarkEnd w:id="271"/>
      <w:bookmarkEnd w:id="272"/>
    </w:p>
    <w:bookmarkEnd w:id="273"/>
    <w:bookmarkEnd w:id="274"/>
    <w:p w14:paraId="7AE5EDEF">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（一）竞争性磋商报价函</w:t>
      </w:r>
    </w:p>
    <w:p w14:paraId="05E524B2">
      <w:pPr>
        <w:tabs>
          <w:tab w:val="left" w:pos="6300"/>
        </w:tabs>
        <w:snapToGrid w:val="0"/>
        <w:spacing w:line="520" w:lineRule="exact"/>
        <w:jc w:val="center"/>
        <w:outlineLvl w:val="0"/>
        <w:rPr>
          <w:rFonts w:ascii="宋体" w:hAnsi="宋体" w:cs="宋体"/>
          <w:b/>
          <w:color w:val="auto"/>
          <w:szCs w:val="28"/>
          <w:highlight w:val="none"/>
        </w:rPr>
      </w:pPr>
      <w:bookmarkStart w:id="279" w:name="_Toc391"/>
      <w:r>
        <w:rPr>
          <w:rFonts w:hint="eastAsia" w:ascii="宋体" w:hAnsi="宋体" w:cs="宋体"/>
          <w:b/>
          <w:color w:val="auto"/>
          <w:szCs w:val="28"/>
          <w:highlight w:val="none"/>
        </w:rPr>
        <w:t>竞争性磋商报价函</w:t>
      </w:r>
      <w:bookmarkEnd w:id="279"/>
    </w:p>
    <w:p w14:paraId="4A26F96D">
      <w:pPr>
        <w:tabs>
          <w:tab w:val="left" w:pos="6300"/>
        </w:tabs>
        <w:snapToGrid w:val="0"/>
        <w:spacing w:line="520" w:lineRule="exact"/>
        <w:rPr>
          <w:rFonts w:ascii="宋体" w:hAnsi="宋体" w:cs="宋体"/>
          <w:color w:val="auto"/>
          <w:sz w:val="24"/>
          <w:szCs w:val="24"/>
          <w:highlight w:val="none"/>
        </w:rPr>
      </w:pPr>
      <w:r>
        <w:rPr>
          <w:rFonts w:hint="eastAsia" w:ascii="宋体" w:hAnsi="宋体" w:cs="宋体"/>
          <w:color w:val="auto"/>
          <w:sz w:val="24"/>
          <w:szCs w:val="24"/>
          <w:highlight w:val="none"/>
          <w:u w:val="single"/>
        </w:rPr>
        <w:t>（采购代理机构名称）</w:t>
      </w:r>
      <w:r>
        <w:rPr>
          <w:rFonts w:hint="eastAsia" w:ascii="宋体" w:hAnsi="宋体" w:cs="宋体"/>
          <w:color w:val="auto"/>
          <w:sz w:val="24"/>
          <w:szCs w:val="24"/>
          <w:highlight w:val="none"/>
        </w:rPr>
        <w:t>：</w:t>
      </w:r>
    </w:p>
    <w:p w14:paraId="143F8578">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我方收到</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（项目名称）的竞争性磋商文件，经详细研究，决定参加该项目的磋商。</w:t>
      </w:r>
    </w:p>
    <w:p w14:paraId="112FCE59">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1.愿意按照竞争性磋商文件中的一切要求，提供本项目的服务，初始报价为人民币大写：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元整；人民币小写：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元。以我公司最后报价为准。</w:t>
      </w:r>
    </w:p>
    <w:p w14:paraId="2956050B">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2.我方现提交的响应文件为：响应文件正本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份，副本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份</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电子文件</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份</w:t>
      </w:r>
      <w:r>
        <w:rPr>
          <w:rFonts w:hint="eastAsia" w:ascii="宋体" w:hAnsi="宋体" w:cs="宋体"/>
          <w:color w:val="auto"/>
          <w:sz w:val="24"/>
          <w:szCs w:val="24"/>
          <w:highlight w:val="none"/>
        </w:rPr>
        <w:t>。</w:t>
      </w:r>
    </w:p>
    <w:p w14:paraId="36D15B8B">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3.我方承诺：本次磋商的有效期为90天。</w:t>
      </w:r>
    </w:p>
    <w:p w14:paraId="6722FAE8">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4.我方完全理解和接受贵方竞争性磋商文件的一切规定和要求及评审办法。</w:t>
      </w:r>
    </w:p>
    <w:p w14:paraId="60957BBD">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5.在整个竞争性磋商过程中，我方若有违规行为，接受按照《中华人民共和国政府采购法》和《竞争性磋商文件》之规定给予惩罚。</w:t>
      </w:r>
    </w:p>
    <w:p w14:paraId="1E0AF1FC">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14:paraId="1E84F63B">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7.如果我方成为成交供应商，保证在接到成交通知书后，向采购代理机构缴纳竞争性磋商文件规定的采购代理服务费。</w:t>
      </w:r>
    </w:p>
    <w:p w14:paraId="29AF6DE6">
      <w:pPr>
        <w:tabs>
          <w:tab w:val="left" w:pos="6300"/>
        </w:tabs>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8.</w:t>
      </w:r>
      <w:r>
        <w:rPr>
          <w:rFonts w:hint="eastAsia" w:ascii="宋体" w:hAnsi="宋体" w:cs="宋体"/>
          <w:color w:val="auto"/>
          <w:sz w:val="24"/>
          <w:szCs w:val="28"/>
          <w:highlight w:val="none"/>
        </w:rPr>
        <w:t>我方未</w:t>
      </w:r>
      <w:r>
        <w:rPr>
          <w:rFonts w:hint="eastAsia" w:ascii="宋体" w:hAnsi="宋体" w:cs="宋体"/>
          <w:color w:val="auto"/>
          <w:sz w:val="24"/>
          <w:szCs w:val="24"/>
          <w:highlight w:val="none"/>
        </w:rPr>
        <w:t>为采购项目提供整体设计、规范编制或者项目管理、监理、检测等服务。</w:t>
      </w:r>
    </w:p>
    <w:p w14:paraId="4788AF42">
      <w:pPr>
        <w:tabs>
          <w:tab w:val="left" w:pos="6300"/>
        </w:tabs>
        <w:snapToGrid w:val="0"/>
        <w:spacing w:line="520" w:lineRule="exact"/>
        <w:ind w:firstLine="570"/>
        <w:rPr>
          <w:rFonts w:hint="eastAsia" w:ascii="宋体" w:hAnsi="宋体" w:cs="宋体"/>
          <w:color w:val="auto"/>
          <w:sz w:val="24"/>
          <w:szCs w:val="24"/>
          <w:highlight w:val="none"/>
        </w:rPr>
      </w:pPr>
    </w:p>
    <w:p w14:paraId="69CAA1BA">
      <w:pPr>
        <w:tabs>
          <w:tab w:val="left" w:pos="6300"/>
        </w:tabs>
        <w:snapToGrid w:val="0"/>
        <w:spacing w:line="520" w:lineRule="exact"/>
        <w:ind w:firstLine="570"/>
        <w:rPr>
          <w:rFonts w:hint="eastAsia" w:ascii="宋体" w:hAnsi="宋体" w:cs="宋体"/>
          <w:color w:val="auto"/>
          <w:sz w:val="24"/>
          <w:szCs w:val="24"/>
          <w:highlight w:val="none"/>
        </w:rPr>
      </w:pPr>
    </w:p>
    <w:p w14:paraId="12A265A6">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供应商（公章）：</w:t>
      </w:r>
    </w:p>
    <w:p w14:paraId="3F68F0F4">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 xml:space="preserve">地址：  </w:t>
      </w:r>
    </w:p>
    <w:p w14:paraId="3DCA8B65">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电话：                                             传真：</w:t>
      </w:r>
    </w:p>
    <w:p w14:paraId="78EFD785">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网址：                                             邮编：</w:t>
      </w:r>
    </w:p>
    <w:p w14:paraId="0C90DDB2">
      <w:pPr>
        <w:tabs>
          <w:tab w:val="left" w:pos="6300"/>
        </w:tabs>
        <w:snapToGrid w:val="0"/>
        <w:spacing w:line="52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联系人：</w:t>
      </w:r>
    </w:p>
    <w:p w14:paraId="4569F515">
      <w:pPr>
        <w:tabs>
          <w:tab w:val="left" w:pos="6300"/>
        </w:tabs>
        <w:snapToGrid w:val="0"/>
        <w:spacing w:line="520" w:lineRule="exact"/>
        <w:ind w:firstLine="570"/>
        <w:rPr>
          <w:rFonts w:ascii="宋体" w:hAnsi="宋体" w:cs="宋体"/>
          <w:color w:val="auto"/>
          <w:sz w:val="24"/>
          <w:szCs w:val="24"/>
          <w:highlight w:val="none"/>
        </w:rPr>
      </w:pPr>
    </w:p>
    <w:p w14:paraId="4F9389B0">
      <w:pPr>
        <w:snapToGrid w:val="0"/>
        <w:spacing w:line="52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B242B12">
      <w:pPr>
        <w:snapToGrid w:val="0"/>
        <w:spacing w:line="500" w:lineRule="exact"/>
        <w:ind w:firstLine="480" w:firstLineChars="200"/>
        <w:rPr>
          <w:rFonts w:hint="eastAsia" w:ascii="宋体" w:hAnsi="宋体" w:cs="宋体"/>
          <w:color w:val="auto"/>
          <w:sz w:val="24"/>
          <w:szCs w:val="24"/>
          <w:highlight w:val="none"/>
        </w:rPr>
        <w:sectPr>
          <w:pgSz w:w="11905" w:h="16838"/>
          <w:pgMar w:top="1417" w:right="1417" w:bottom="1417" w:left="1417" w:header="1003" w:footer="986" w:gutter="0"/>
          <w:cols w:space="0" w:num="1"/>
          <w:rtlGutter w:val="0"/>
          <w:docGrid w:linePitch="389" w:charSpace="0"/>
        </w:sectPr>
      </w:pPr>
    </w:p>
    <w:p w14:paraId="5105DEB6">
      <w:pPr>
        <w:numPr>
          <w:ilvl w:val="0"/>
          <w:numId w:val="15"/>
        </w:numPr>
        <w:snapToGrid w:val="0"/>
        <w:spacing w:line="500" w:lineRule="exact"/>
        <w:ind w:firstLine="480" w:firstLineChars="2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已标价工程清单</w:t>
      </w:r>
    </w:p>
    <w:p w14:paraId="2B228A08">
      <w:pPr>
        <w:numPr>
          <w:ilvl w:val="0"/>
          <w:numId w:val="0"/>
        </w:numPr>
        <w:snapToGrid w:val="0"/>
        <w:spacing w:line="500" w:lineRule="exact"/>
        <w:ind w:firstLine="480" w:firstLineChars="200"/>
        <w:rPr>
          <w:rFonts w:hint="default" w:ascii="宋体" w:hAnsi="宋体" w:cs="宋体"/>
          <w:color w:val="auto"/>
          <w:sz w:val="24"/>
          <w:szCs w:val="24"/>
          <w:highlight w:val="none"/>
          <w:lang w:val="en-US" w:eastAsia="zh-CN"/>
        </w:rPr>
      </w:pPr>
    </w:p>
    <w:p w14:paraId="4BB4E171">
      <w:pPr>
        <w:numPr>
          <w:ilvl w:val="0"/>
          <w:numId w:val="0"/>
        </w:numPr>
        <w:snapToGrid w:val="0"/>
        <w:spacing w:line="500" w:lineRule="exact"/>
        <w:ind w:firstLine="480" w:firstLineChars="200"/>
        <w:rPr>
          <w:rFonts w:hint="default" w:ascii="宋体" w:hAnsi="宋体" w:cs="宋体"/>
          <w:color w:val="auto"/>
          <w:sz w:val="24"/>
          <w:szCs w:val="24"/>
          <w:highlight w:val="none"/>
          <w:lang w:val="en-US" w:eastAsia="zh-CN"/>
        </w:rPr>
        <w:sectPr>
          <w:pgSz w:w="11905" w:h="16838"/>
          <w:pgMar w:top="1417" w:right="1417" w:bottom="1417" w:left="1417" w:header="1003" w:footer="986" w:gutter="0"/>
          <w:cols w:space="0" w:num="1"/>
          <w:rtlGutter w:val="0"/>
          <w:docGrid w:linePitch="389" w:charSpace="0"/>
        </w:sectPr>
      </w:pPr>
      <w:r>
        <w:rPr>
          <w:rFonts w:hint="eastAsia" w:ascii="宋体" w:hAnsi="宋体" w:cs="宋体"/>
          <w:color w:val="auto"/>
          <w:sz w:val="24"/>
          <w:szCs w:val="24"/>
          <w:highlight w:val="none"/>
          <w:lang w:val="en-US" w:eastAsia="zh-CN"/>
        </w:rPr>
        <w:t>按采购人给出的工程清单填写。</w:t>
      </w:r>
    </w:p>
    <w:p w14:paraId="52A1FB59">
      <w:pPr>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）最后报价表</w:t>
      </w:r>
    </w:p>
    <w:p w14:paraId="35E6E3BA">
      <w:pPr>
        <w:snapToGrid w:val="0"/>
        <w:spacing w:line="50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最后报价表</w:t>
      </w:r>
    </w:p>
    <w:p w14:paraId="0B5E8FBB">
      <w:pPr>
        <w:pStyle w:val="70"/>
        <w:rPr>
          <w:rFonts w:hAnsi="宋体" w:cs="宋体"/>
          <w:color w:val="auto"/>
          <w:highlight w:val="none"/>
        </w:rPr>
      </w:pPr>
    </w:p>
    <w:tbl>
      <w:tblPr>
        <w:tblStyle w:val="60"/>
        <w:tblW w:w="9292"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7769"/>
      </w:tblGrid>
      <w:tr w14:paraId="54CBF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4" w:hRule="atLeast"/>
        </w:trPr>
        <w:tc>
          <w:tcPr>
            <w:tcW w:w="1523" w:type="dxa"/>
            <w:vAlign w:val="center"/>
          </w:tcPr>
          <w:p w14:paraId="643257B5">
            <w:pPr>
              <w:spacing w:line="500" w:lineRule="exact"/>
              <w:jc w:val="center"/>
              <w:rPr>
                <w:rFonts w:ascii="宋体" w:hAnsi="宋体" w:cs="宋体"/>
                <w:color w:val="auto"/>
                <w:sz w:val="24"/>
                <w:szCs w:val="24"/>
                <w:highlight w:val="none"/>
              </w:rPr>
            </w:pPr>
            <w:r>
              <w:rPr>
                <w:rFonts w:hint="eastAsia" w:ascii="宋体" w:hAnsi="宋体" w:cs="宋体"/>
                <w:color w:val="auto"/>
                <w:sz w:val="24"/>
                <w:szCs w:val="24"/>
                <w:highlight w:val="none"/>
              </w:rPr>
              <w:t>供应商全称</w:t>
            </w:r>
          </w:p>
        </w:tc>
        <w:tc>
          <w:tcPr>
            <w:tcW w:w="7769" w:type="dxa"/>
            <w:vAlign w:val="center"/>
          </w:tcPr>
          <w:p w14:paraId="79122DBC">
            <w:pPr>
              <w:spacing w:line="500" w:lineRule="exact"/>
              <w:jc w:val="center"/>
              <w:rPr>
                <w:rFonts w:ascii="宋体" w:hAnsi="宋体" w:cs="宋体"/>
                <w:color w:val="auto"/>
                <w:sz w:val="24"/>
                <w:szCs w:val="24"/>
                <w:highlight w:val="none"/>
              </w:rPr>
            </w:pPr>
          </w:p>
        </w:tc>
      </w:tr>
      <w:tr w14:paraId="1111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0" w:hRule="atLeast"/>
        </w:trPr>
        <w:tc>
          <w:tcPr>
            <w:tcW w:w="9292" w:type="dxa"/>
            <w:gridSpan w:val="2"/>
            <w:vAlign w:val="center"/>
          </w:tcPr>
          <w:p w14:paraId="6A5D2A21">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r>
      <w:tr w14:paraId="7CCD6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5" w:hRule="atLeast"/>
        </w:trPr>
        <w:tc>
          <w:tcPr>
            <w:tcW w:w="9292" w:type="dxa"/>
            <w:gridSpan w:val="2"/>
            <w:tcBorders>
              <w:bottom w:val="single" w:color="auto" w:sz="4" w:space="0"/>
            </w:tcBorders>
            <w:vAlign w:val="center"/>
          </w:tcPr>
          <w:p w14:paraId="513C0485">
            <w:pPr>
              <w:spacing w:line="56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总价报价（大写）：                        小写：         元                         </w:t>
            </w:r>
          </w:p>
        </w:tc>
      </w:tr>
      <w:tr w14:paraId="2750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9" w:hRule="atLeast"/>
        </w:trPr>
        <w:tc>
          <w:tcPr>
            <w:tcW w:w="9292" w:type="dxa"/>
            <w:gridSpan w:val="2"/>
            <w:vAlign w:val="center"/>
          </w:tcPr>
          <w:p w14:paraId="1479D2F1">
            <w:pPr>
              <w:pStyle w:val="34"/>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备注：</w:t>
            </w:r>
          </w:p>
        </w:tc>
      </w:tr>
    </w:tbl>
    <w:p w14:paraId="7FB03715">
      <w:pPr>
        <w:pStyle w:val="355"/>
        <w:rPr>
          <w:rFonts w:ascii="宋体" w:hAnsi="宋体" w:cs="宋体"/>
          <w:color w:val="auto"/>
          <w:sz w:val="24"/>
          <w:szCs w:val="24"/>
          <w:highlight w:val="none"/>
        </w:rPr>
      </w:pPr>
    </w:p>
    <w:p w14:paraId="460ADA6F">
      <w:pPr>
        <w:pStyle w:val="355"/>
        <w:rPr>
          <w:rFonts w:ascii="宋体" w:hAnsi="宋体" w:cs="宋体"/>
          <w:color w:val="auto"/>
          <w:sz w:val="24"/>
          <w:szCs w:val="24"/>
          <w:highlight w:val="none"/>
        </w:rPr>
      </w:pPr>
    </w:p>
    <w:p w14:paraId="27B65AAE">
      <w:pPr>
        <w:snapToGrid w:val="0"/>
        <w:spacing w:line="500" w:lineRule="exact"/>
        <w:ind w:firstLine="570"/>
        <w:jc w:val="center"/>
        <w:rPr>
          <w:rFonts w:ascii="宋体" w:hAnsi="宋体" w:cs="宋体"/>
          <w:b/>
          <w:bCs/>
          <w:color w:val="auto"/>
          <w:sz w:val="24"/>
          <w:szCs w:val="24"/>
          <w:highlight w:val="none"/>
        </w:rPr>
      </w:pPr>
    </w:p>
    <w:p w14:paraId="6D04F1D2">
      <w:pPr>
        <w:spacing w:line="500" w:lineRule="exact"/>
        <w:ind w:firstLine="241" w:firstLineChars="100"/>
        <w:rPr>
          <w:rFonts w:ascii="宋体" w:hAnsi="宋体" w:cs="宋体"/>
          <w:b/>
          <w:bCs/>
          <w:color w:val="auto"/>
          <w:sz w:val="24"/>
          <w:szCs w:val="24"/>
          <w:highlight w:val="none"/>
        </w:rPr>
      </w:pPr>
      <w:r>
        <w:rPr>
          <w:rFonts w:hint="eastAsia" w:ascii="宋体" w:hAnsi="宋体" w:cs="宋体"/>
          <w:b/>
          <w:bCs/>
          <w:color w:val="auto"/>
          <w:sz w:val="24"/>
          <w:szCs w:val="24"/>
          <w:highlight w:val="none"/>
        </w:rPr>
        <w:t>供应商：                            法人授权代表：</w:t>
      </w:r>
    </w:p>
    <w:p w14:paraId="2BC48BB9">
      <w:pPr>
        <w:spacing w:line="500" w:lineRule="exact"/>
        <w:rPr>
          <w:rFonts w:ascii="宋体" w:hAnsi="宋体" w:cs="宋体"/>
          <w:color w:val="auto"/>
          <w:sz w:val="24"/>
          <w:szCs w:val="24"/>
          <w:highlight w:val="none"/>
        </w:rPr>
      </w:pPr>
      <w:r>
        <w:rPr>
          <w:rFonts w:hint="eastAsia" w:ascii="宋体" w:hAnsi="宋体" w:cs="宋体"/>
          <w:b/>
          <w:bCs/>
          <w:color w:val="auto"/>
          <w:sz w:val="24"/>
          <w:szCs w:val="24"/>
          <w:highlight w:val="none"/>
        </w:rPr>
        <w:t xml:space="preserve">                               </w:t>
      </w:r>
    </w:p>
    <w:p w14:paraId="653D422E">
      <w:pPr>
        <w:spacing w:line="500" w:lineRule="exact"/>
        <w:rPr>
          <w:rFonts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14:paraId="2234F981">
      <w:pPr>
        <w:snapToGrid w:val="0"/>
        <w:spacing w:line="500" w:lineRule="exact"/>
        <w:ind w:firstLine="480" w:firstLineChars="200"/>
        <w:rPr>
          <w:rFonts w:ascii="宋体" w:hAnsi="宋体" w:cs="宋体"/>
          <w:color w:val="auto"/>
          <w:sz w:val="24"/>
          <w:szCs w:val="24"/>
          <w:highlight w:val="none"/>
        </w:rPr>
      </w:pPr>
    </w:p>
    <w:p w14:paraId="40940085">
      <w:pPr>
        <w:snapToGrid w:val="0"/>
        <w:spacing w:line="500" w:lineRule="exact"/>
        <w:ind w:firstLine="480" w:firstLineChars="200"/>
        <w:rPr>
          <w:rFonts w:ascii="宋体" w:hAnsi="宋体" w:cs="宋体"/>
          <w:color w:val="auto"/>
          <w:sz w:val="24"/>
          <w:szCs w:val="24"/>
          <w:highlight w:val="none"/>
        </w:rPr>
      </w:pPr>
    </w:p>
    <w:p w14:paraId="2580A998">
      <w:pPr>
        <w:pStyle w:val="6"/>
        <w:spacing w:before="0" w:after="0" w:line="360" w:lineRule="auto"/>
        <w:ind w:firstLine="480" w:firstLineChars="200"/>
        <w:rPr>
          <w:rFonts w:ascii="宋体" w:hAnsi="宋体" w:cs="宋体"/>
          <w:b w:val="0"/>
          <w:bCs/>
          <w:color w:val="auto"/>
          <w:sz w:val="24"/>
          <w:szCs w:val="24"/>
          <w:highlight w:val="none"/>
        </w:rPr>
        <w:sectPr>
          <w:pgSz w:w="11905" w:h="16838"/>
          <w:pgMar w:top="1417" w:right="1417" w:bottom="1417" w:left="1417" w:header="1003" w:footer="986" w:gutter="0"/>
          <w:cols w:space="0" w:num="1"/>
          <w:rtlGutter w:val="0"/>
          <w:docGrid w:linePitch="389" w:charSpace="0"/>
        </w:sectPr>
      </w:pPr>
      <w:bookmarkStart w:id="280" w:name="_Toc30477"/>
      <w:bookmarkStart w:id="281" w:name="_Toc15778"/>
      <w:bookmarkStart w:id="282" w:name="_Toc15322"/>
      <w:bookmarkStart w:id="283" w:name="_Toc3509"/>
      <w:r>
        <w:rPr>
          <w:rFonts w:hint="eastAsia" w:ascii="宋体" w:hAnsi="宋体" w:cs="宋体"/>
          <w:b w:val="0"/>
          <w:bCs/>
          <w:color w:val="auto"/>
          <w:sz w:val="24"/>
          <w:szCs w:val="24"/>
          <w:highlight w:val="none"/>
        </w:rPr>
        <w:t>请各供应商将最后报价表单独打印（响应文件中不提供本表），并随身携带到开标现场，通过磋商后，在开标现场填写最后报价表，务必填写清楚，准确无误。</w:t>
      </w:r>
      <w:r>
        <w:rPr>
          <w:rFonts w:hint="default" w:ascii="宋体" w:hAnsi="宋体" w:cs="宋体"/>
          <w:b w:val="0"/>
          <w:bCs/>
          <w:color w:val="auto"/>
          <w:sz w:val="24"/>
          <w:szCs w:val="24"/>
          <w:highlight w:val="none"/>
        </w:rPr>
        <w:t>已提交响应文件但未在规定时间内进行最后报价的供应商，视为放弃最后报价，以供应商响应文件中的报价为准</w:t>
      </w:r>
      <w:r>
        <w:rPr>
          <w:rFonts w:hint="eastAsia" w:ascii="宋体" w:hAnsi="宋体" w:cs="宋体"/>
          <w:b w:val="0"/>
          <w:bCs/>
          <w:color w:val="auto"/>
          <w:sz w:val="24"/>
          <w:szCs w:val="24"/>
          <w:highlight w:val="none"/>
        </w:rPr>
        <w:t>。最后报价不得高于</w:t>
      </w:r>
      <w:r>
        <w:rPr>
          <w:rFonts w:hint="eastAsia" w:ascii="宋体" w:hAnsi="宋体" w:cs="宋体"/>
          <w:b w:val="0"/>
          <w:bCs/>
          <w:color w:val="auto"/>
          <w:sz w:val="24"/>
          <w:szCs w:val="24"/>
          <w:highlight w:val="none"/>
          <w:lang w:val="en-US" w:eastAsia="zh-CN"/>
        </w:rPr>
        <w:t>响应文件中的</w:t>
      </w:r>
      <w:r>
        <w:rPr>
          <w:rFonts w:hint="eastAsia" w:ascii="宋体" w:hAnsi="宋体" w:cs="宋体"/>
          <w:b w:val="0"/>
          <w:bCs/>
          <w:color w:val="auto"/>
          <w:sz w:val="24"/>
          <w:szCs w:val="24"/>
          <w:highlight w:val="none"/>
        </w:rPr>
        <w:t>报价，否则</w:t>
      </w:r>
      <w:r>
        <w:rPr>
          <w:rFonts w:hint="default" w:ascii="宋体" w:hAnsi="宋体" w:cs="宋体"/>
          <w:b w:val="0"/>
          <w:bCs/>
          <w:color w:val="auto"/>
          <w:sz w:val="24"/>
          <w:szCs w:val="24"/>
          <w:highlight w:val="none"/>
        </w:rPr>
        <w:t>以供应商响应文件中的报价为准</w:t>
      </w:r>
      <w:r>
        <w:rPr>
          <w:rFonts w:hint="eastAsia" w:ascii="宋体" w:hAnsi="宋体" w:cs="宋体"/>
          <w:b w:val="0"/>
          <w:bCs/>
          <w:color w:val="auto"/>
          <w:sz w:val="24"/>
          <w:szCs w:val="24"/>
          <w:highlight w:val="none"/>
        </w:rPr>
        <w:t>。</w:t>
      </w:r>
      <w:bookmarkEnd w:id="280"/>
      <w:bookmarkEnd w:id="281"/>
      <w:bookmarkEnd w:id="282"/>
      <w:bookmarkEnd w:id="283"/>
    </w:p>
    <w:bookmarkEnd w:id="275"/>
    <w:bookmarkEnd w:id="276"/>
    <w:bookmarkEnd w:id="277"/>
    <w:bookmarkEnd w:id="278"/>
    <w:p w14:paraId="37ECED94">
      <w:pPr>
        <w:pStyle w:val="6"/>
        <w:spacing w:before="0" w:after="0" w:line="360" w:lineRule="auto"/>
        <w:ind w:firstLine="482" w:firstLineChars="200"/>
        <w:rPr>
          <w:rFonts w:ascii="宋体" w:hAnsi="宋体" w:cs="宋体"/>
          <w:color w:val="auto"/>
          <w:sz w:val="24"/>
          <w:szCs w:val="24"/>
          <w:highlight w:val="none"/>
        </w:rPr>
      </w:pPr>
      <w:bookmarkStart w:id="284" w:name="_Toc15476"/>
      <w:bookmarkStart w:id="285" w:name="_Toc21255"/>
      <w:bookmarkStart w:id="286" w:name="_Toc11266"/>
      <w:bookmarkStart w:id="287" w:name="_Toc2214"/>
      <w:bookmarkStart w:id="288" w:name="_Toc20564"/>
      <w:r>
        <w:rPr>
          <w:rFonts w:hint="eastAsia" w:ascii="宋体" w:hAnsi="宋体" w:cs="宋体"/>
          <w:color w:val="auto"/>
          <w:sz w:val="24"/>
          <w:szCs w:val="24"/>
          <w:highlight w:val="none"/>
        </w:rPr>
        <w:t>二、技术部分</w:t>
      </w:r>
      <w:bookmarkEnd w:id="284"/>
      <w:bookmarkEnd w:id="285"/>
      <w:bookmarkEnd w:id="286"/>
      <w:bookmarkEnd w:id="287"/>
      <w:bookmarkEnd w:id="288"/>
    </w:p>
    <w:p w14:paraId="43BDAA04">
      <w:pPr>
        <w:tabs>
          <w:tab w:val="left" w:pos="6300"/>
        </w:tabs>
        <w:snapToGrid w:val="0"/>
        <w:spacing w:line="500" w:lineRule="exact"/>
        <w:ind w:firstLine="480" w:firstLineChars="200"/>
        <w:rPr>
          <w:rFonts w:ascii="宋体" w:hAnsi="宋体" w:cs="宋体"/>
          <w:color w:val="auto"/>
          <w:szCs w:val="24"/>
          <w:highlight w:val="none"/>
        </w:rPr>
      </w:pPr>
      <w:bookmarkStart w:id="289" w:name="_Toc22826"/>
      <w:bookmarkStart w:id="290" w:name="_Toc9393"/>
      <w:bookmarkStart w:id="291" w:name="_Toc5634"/>
      <w:bookmarkStart w:id="292" w:name="_Toc313888362"/>
      <w:bookmarkStart w:id="293" w:name="_Toc342913421"/>
      <w:bookmarkStart w:id="294" w:name="_Toc313008358"/>
      <w:r>
        <w:rPr>
          <w:rFonts w:hint="eastAsia" w:ascii="宋体" w:hAnsi="宋体" w:cs="宋体"/>
          <w:color w:val="auto"/>
          <w:sz w:val="24"/>
          <w:szCs w:val="24"/>
          <w:highlight w:val="none"/>
        </w:rPr>
        <w:t>（一）技术响应偏离表</w:t>
      </w:r>
    </w:p>
    <w:p w14:paraId="3CF3F2A0">
      <w:pPr>
        <w:pStyle w:val="34"/>
        <w:tabs>
          <w:tab w:val="left" w:pos="6300"/>
        </w:tabs>
        <w:snapToGrid w:val="0"/>
        <w:spacing w:line="500" w:lineRule="exact"/>
        <w:ind w:firstLine="480" w:firstLineChars="200"/>
        <w:outlineLvl w:val="0"/>
        <w:rPr>
          <w:rFonts w:ascii="宋体" w:hAnsi="宋体" w:cs="宋体"/>
          <w:color w:val="auto"/>
          <w:sz w:val="24"/>
          <w:highlight w:val="none"/>
        </w:rPr>
      </w:pPr>
      <w:bookmarkStart w:id="295" w:name="_Toc25717"/>
      <w:r>
        <w:rPr>
          <w:rFonts w:hint="eastAsia" w:ascii="宋体" w:hAnsi="宋体" w:cs="宋体"/>
          <w:color w:val="auto"/>
          <w:sz w:val="24"/>
          <w:highlight w:val="none"/>
        </w:rPr>
        <w:t>项目号：</w:t>
      </w:r>
      <w:bookmarkEnd w:id="295"/>
    </w:p>
    <w:p w14:paraId="2E81ED9E">
      <w:pPr>
        <w:pStyle w:val="34"/>
        <w:tabs>
          <w:tab w:val="left" w:pos="6300"/>
        </w:tabs>
        <w:snapToGrid w:val="0"/>
        <w:spacing w:line="500" w:lineRule="exact"/>
        <w:ind w:firstLine="480" w:firstLineChars="200"/>
        <w:outlineLvl w:val="0"/>
        <w:rPr>
          <w:rFonts w:ascii="宋体" w:hAnsi="宋体" w:cs="宋体"/>
          <w:color w:val="auto"/>
          <w:sz w:val="24"/>
          <w:highlight w:val="none"/>
        </w:rPr>
      </w:pPr>
      <w:bookmarkStart w:id="296" w:name="_Toc2935"/>
      <w:r>
        <w:rPr>
          <w:rFonts w:hint="eastAsia" w:ascii="宋体" w:hAnsi="宋体" w:cs="宋体"/>
          <w:color w:val="auto"/>
          <w:sz w:val="24"/>
          <w:highlight w:val="none"/>
        </w:rPr>
        <w:t>磋商项目名称：</w:t>
      </w:r>
      <w:bookmarkEnd w:id="296"/>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4725D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DCB1796">
            <w:pPr>
              <w:tabs>
                <w:tab w:val="left" w:pos="6300"/>
              </w:tabs>
              <w:snapToGrid w:val="0"/>
              <w:spacing w:line="500" w:lineRule="exact"/>
              <w:jc w:val="center"/>
              <w:outlineLvl w:val="0"/>
              <w:rPr>
                <w:rFonts w:ascii="宋体" w:hAnsi="宋体" w:cs="宋体"/>
                <w:color w:val="auto"/>
                <w:sz w:val="21"/>
                <w:szCs w:val="21"/>
                <w:highlight w:val="none"/>
              </w:rPr>
            </w:pPr>
            <w:bookmarkStart w:id="297" w:name="_Toc32082"/>
            <w:r>
              <w:rPr>
                <w:rFonts w:hint="eastAsia" w:ascii="宋体" w:hAnsi="宋体" w:cs="宋体"/>
                <w:color w:val="auto"/>
                <w:sz w:val="21"/>
                <w:szCs w:val="21"/>
                <w:highlight w:val="none"/>
              </w:rPr>
              <w:t>序号</w:t>
            </w:r>
            <w:bookmarkEnd w:id="297"/>
          </w:p>
        </w:tc>
        <w:tc>
          <w:tcPr>
            <w:tcW w:w="2658" w:type="dxa"/>
            <w:vAlign w:val="center"/>
          </w:tcPr>
          <w:p w14:paraId="36A5FA57">
            <w:pPr>
              <w:tabs>
                <w:tab w:val="left" w:pos="6300"/>
              </w:tabs>
              <w:snapToGrid w:val="0"/>
              <w:spacing w:line="500" w:lineRule="exact"/>
              <w:jc w:val="center"/>
              <w:outlineLvl w:val="0"/>
              <w:rPr>
                <w:rFonts w:ascii="宋体" w:hAnsi="宋体" w:cs="宋体"/>
                <w:color w:val="auto"/>
                <w:sz w:val="21"/>
                <w:szCs w:val="21"/>
                <w:highlight w:val="none"/>
              </w:rPr>
            </w:pPr>
            <w:bookmarkStart w:id="298" w:name="_Toc28814"/>
            <w:r>
              <w:rPr>
                <w:rFonts w:hint="eastAsia" w:ascii="宋体" w:hAnsi="宋体" w:cs="宋体"/>
                <w:color w:val="auto"/>
                <w:sz w:val="21"/>
                <w:szCs w:val="21"/>
                <w:highlight w:val="none"/>
              </w:rPr>
              <w:t>采购需求</w:t>
            </w:r>
            <w:bookmarkEnd w:id="298"/>
          </w:p>
        </w:tc>
        <w:tc>
          <w:tcPr>
            <w:tcW w:w="2759" w:type="dxa"/>
            <w:vAlign w:val="center"/>
          </w:tcPr>
          <w:p w14:paraId="22A3D139">
            <w:pPr>
              <w:tabs>
                <w:tab w:val="left" w:pos="6300"/>
              </w:tabs>
              <w:snapToGrid w:val="0"/>
              <w:spacing w:line="500" w:lineRule="exact"/>
              <w:jc w:val="center"/>
              <w:outlineLvl w:val="0"/>
              <w:rPr>
                <w:rFonts w:ascii="宋体" w:hAnsi="宋体" w:cs="宋体"/>
                <w:color w:val="auto"/>
                <w:sz w:val="21"/>
                <w:szCs w:val="21"/>
                <w:highlight w:val="none"/>
              </w:rPr>
            </w:pPr>
            <w:bookmarkStart w:id="299" w:name="_Toc1057"/>
            <w:r>
              <w:rPr>
                <w:rFonts w:hint="eastAsia" w:ascii="宋体" w:hAnsi="宋体" w:cs="宋体"/>
                <w:color w:val="auto"/>
                <w:sz w:val="21"/>
                <w:szCs w:val="21"/>
                <w:highlight w:val="none"/>
              </w:rPr>
              <w:t>响应情况</w:t>
            </w:r>
            <w:bookmarkEnd w:id="299"/>
          </w:p>
        </w:tc>
        <w:tc>
          <w:tcPr>
            <w:tcW w:w="2067" w:type="dxa"/>
            <w:vAlign w:val="center"/>
          </w:tcPr>
          <w:p w14:paraId="0A3AF505">
            <w:pPr>
              <w:tabs>
                <w:tab w:val="left" w:pos="6300"/>
              </w:tabs>
              <w:snapToGrid w:val="0"/>
              <w:spacing w:line="500" w:lineRule="exact"/>
              <w:jc w:val="center"/>
              <w:outlineLvl w:val="0"/>
              <w:rPr>
                <w:rFonts w:ascii="宋体" w:hAnsi="宋体" w:cs="宋体"/>
                <w:color w:val="auto"/>
                <w:sz w:val="21"/>
                <w:szCs w:val="21"/>
                <w:highlight w:val="none"/>
              </w:rPr>
            </w:pPr>
            <w:bookmarkStart w:id="300" w:name="_Toc27270"/>
            <w:r>
              <w:rPr>
                <w:rFonts w:hint="eastAsia" w:ascii="宋体" w:hAnsi="宋体" w:cs="宋体"/>
                <w:color w:val="auto"/>
                <w:sz w:val="21"/>
                <w:szCs w:val="21"/>
                <w:highlight w:val="none"/>
              </w:rPr>
              <w:t>差异说明</w:t>
            </w:r>
            <w:bookmarkEnd w:id="300"/>
          </w:p>
        </w:tc>
      </w:tr>
      <w:tr w14:paraId="37A5D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028C685">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21ADB9C7">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705CBABC">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71C3743B">
            <w:pPr>
              <w:tabs>
                <w:tab w:val="left" w:pos="6300"/>
              </w:tabs>
              <w:snapToGrid w:val="0"/>
              <w:spacing w:line="500" w:lineRule="exact"/>
              <w:jc w:val="center"/>
              <w:rPr>
                <w:rFonts w:ascii="宋体" w:hAnsi="宋体" w:cs="宋体"/>
                <w:color w:val="auto"/>
                <w:sz w:val="21"/>
                <w:szCs w:val="21"/>
                <w:highlight w:val="none"/>
              </w:rPr>
            </w:pPr>
          </w:p>
        </w:tc>
      </w:tr>
      <w:tr w14:paraId="4BD2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D2AB0E4">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200DDBEE">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03DEA596">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09F0192F">
            <w:pPr>
              <w:tabs>
                <w:tab w:val="left" w:pos="6300"/>
              </w:tabs>
              <w:snapToGrid w:val="0"/>
              <w:spacing w:line="500" w:lineRule="exact"/>
              <w:jc w:val="center"/>
              <w:rPr>
                <w:rFonts w:ascii="宋体" w:hAnsi="宋体" w:cs="宋体"/>
                <w:color w:val="auto"/>
                <w:sz w:val="21"/>
                <w:szCs w:val="21"/>
                <w:highlight w:val="none"/>
              </w:rPr>
            </w:pPr>
          </w:p>
        </w:tc>
      </w:tr>
      <w:tr w14:paraId="455C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FEA017F">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36CEDBFE">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4B387140">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4865A65F">
            <w:pPr>
              <w:tabs>
                <w:tab w:val="left" w:pos="6300"/>
              </w:tabs>
              <w:snapToGrid w:val="0"/>
              <w:spacing w:line="500" w:lineRule="exact"/>
              <w:jc w:val="center"/>
              <w:rPr>
                <w:rFonts w:ascii="宋体" w:hAnsi="宋体" w:cs="宋体"/>
                <w:color w:val="auto"/>
                <w:sz w:val="21"/>
                <w:szCs w:val="21"/>
                <w:highlight w:val="none"/>
              </w:rPr>
            </w:pPr>
          </w:p>
        </w:tc>
      </w:tr>
      <w:tr w14:paraId="3A3F3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0AF9F133">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05F5B044">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7630047C">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2E410CAB">
            <w:pPr>
              <w:tabs>
                <w:tab w:val="left" w:pos="6300"/>
              </w:tabs>
              <w:snapToGrid w:val="0"/>
              <w:spacing w:line="500" w:lineRule="exact"/>
              <w:jc w:val="center"/>
              <w:rPr>
                <w:rFonts w:ascii="宋体" w:hAnsi="宋体" w:cs="宋体"/>
                <w:color w:val="auto"/>
                <w:sz w:val="21"/>
                <w:szCs w:val="21"/>
                <w:highlight w:val="none"/>
              </w:rPr>
            </w:pPr>
          </w:p>
        </w:tc>
      </w:tr>
      <w:tr w14:paraId="752ED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6C5BA0B4">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46BCF75D">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1E1D62F1">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7F6AE5EB">
            <w:pPr>
              <w:tabs>
                <w:tab w:val="left" w:pos="6300"/>
              </w:tabs>
              <w:snapToGrid w:val="0"/>
              <w:spacing w:line="500" w:lineRule="exact"/>
              <w:jc w:val="center"/>
              <w:rPr>
                <w:rFonts w:ascii="宋体" w:hAnsi="宋体" w:cs="宋体"/>
                <w:color w:val="auto"/>
                <w:sz w:val="21"/>
                <w:szCs w:val="21"/>
                <w:highlight w:val="none"/>
              </w:rPr>
            </w:pPr>
          </w:p>
        </w:tc>
      </w:tr>
      <w:tr w14:paraId="49E8C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486EE1C">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359E784A">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63C1E0DB">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739ACE26">
            <w:pPr>
              <w:tabs>
                <w:tab w:val="left" w:pos="6300"/>
              </w:tabs>
              <w:snapToGrid w:val="0"/>
              <w:spacing w:line="500" w:lineRule="exact"/>
              <w:jc w:val="center"/>
              <w:rPr>
                <w:rFonts w:ascii="宋体" w:hAnsi="宋体" w:cs="宋体"/>
                <w:color w:val="auto"/>
                <w:sz w:val="21"/>
                <w:szCs w:val="21"/>
                <w:highlight w:val="none"/>
              </w:rPr>
            </w:pPr>
          </w:p>
        </w:tc>
      </w:tr>
      <w:tr w14:paraId="757A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3D01183F">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1F0C24BA">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4187DCE5">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55837295">
            <w:pPr>
              <w:tabs>
                <w:tab w:val="left" w:pos="6300"/>
              </w:tabs>
              <w:snapToGrid w:val="0"/>
              <w:spacing w:line="500" w:lineRule="exact"/>
              <w:jc w:val="center"/>
              <w:rPr>
                <w:rFonts w:ascii="宋体" w:hAnsi="宋体" w:cs="宋体"/>
                <w:color w:val="auto"/>
                <w:sz w:val="21"/>
                <w:szCs w:val="21"/>
                <w:highlight w:val="none"/>
              </w:rPr>
            </w:pPr>
          </w:p>
        </w:tc>
      </w:tr>
      <w:tr w14:paraId="7F66D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E999B9E">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20AC837F">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67064D1A">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727B674D">
            <w:pPr>
              <w:tabs>
                <w:tab w:val="left" w:pos="6300"/>
              </w:tabs>
              <w:snapToGrid w:val="0"/>
              <w:spacing w:line="500" w:lineRule="exact"/>
              <w:jc w:val="center"/>
              <w:rPr>
                <w:rFonts w:ascii="宋体" w:hAnsi="宋体" w:cs="宋体"/>
                <w:color w:val="auto"/>
                <w:sz w:val="21"/>
                <w:szCs w:val="21"/>
                <w:highlight w:val="none"/>
              </w:rPr>
            </w:pPr>
          </w:p>
        </w:tc>
      </w:tr>
    </w:tbl>
    <w:p w14:paraId="09FA3922">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法人授权代表：</w:t>
      </w:r>
    </w:p>
    <w:p w14:paraId="50EF5CB6">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00427296">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083C622A">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59D6A81A">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7C32224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1.本表即为对本项目“第二篇  项目技术需求”中所列条款进行比较和响应；</w:t>
      </w:r>
    </w:p>
    <w:p w14:paraId="2F5CC471">
      <w:pPr>
        <w:pStyle w:val="6"/>
        <w:spacing w:before="0" w:after="0" w:line="360" w:lineRule="auto"/>
        <w:ind w:firstLine="482" w:firstLineChars="200"/>
        <w:rPr>
          <w:rFonts w:ascii="宋体" w:hAnsi="宋体" w:cs="宋体"/>
          <w:color w:val="auto"/>
          <w:sz w:val="24"/>
          <w:highlight w:val="none"/>
        </w:rPr>
        <w:sectPr>
          <w:pgSz w:w="11905" w:h="16838"/>
          <w:pgMar w:top="1417" w:right="1417" w:bottom="1417" w:left="1417" w:header="1003" w:footer="986" w:gutter="0"/>
          <w:cols w:space="0" w:num="1"/>
          <w:rtlGutter w:val="0"/>
          <w:docGrid w:linePitch="389" w:charSpace="0"/>
        </w:sectPr>
      </w:pPr>
      <w:bookmarkStart w:id="301" w:name="_Toc26697"/>
      <w:bookmarkStart w:id="302" w:name="_Toc20523"/>
      <w:r>
        <w:rPr>
          <w:rFonts w:hint="eastAsia" w:ascii="宋体" w:hAnsi="宋体" w:cs="宋体"/>
          <w:color w:val="auto"/>
          <w:sz w:val="24"/>
          <w:highlight w:val="none"/>
        </w:rPr>
        <w:t>2.本表可扩展。</w:t>
      </w:r>
      <w:bookmarkEnd w:id="301"/>
      <w:bookmarkEnd w:id="302"/>
    </w:p>
    <w:p w14:paraId="12ADEEFD">
      <w:pPr>
        <w:rPr>
          <w:color w:val="auto"/>
          <w:highlight w:val="none"/>
        </w:rPr>
        <w:sectPr>
          <w:pgSz w:w="11905" w:h="16838"/>
          <w:pgMar w:top="1417" w:right="1417" w:bottom="1417" w:left="1417" w:header="1003" w:footer="986" w:gutter="0"/>
          <w:cols w:space="0" w:num="1"/>
          <w:rtlGutter w:val="0"/>
          <w:docGrid w:linePitch="389" w:charSpace="0"/>
        </w:sectPr>
      </w:pPr>
      <w:r>
        <w:rPr>
          <w:rFonts w:hint="eastAsia"/>
          <w:color w:val="auto"/>
          <w:highlight w:val="none"/>
        </w:rPr>
        <w:t>（二）</w:t>
      </w:r>
      <w:r>
        <w:rPr>
          <w:rFonts w:hint="eastAsia"/>
          <w:color w:val="auto"/>
          <w:highlight w:val="none"/>
          <w:lang w:val="en-US" w:eastAsia="zh-CN"/>
        </w:rPr>
        <w:t>服务</w:t>
      </w:r>
      <w:r>
        <w:rPr>
          <w:rFonts w:hint="eastAsia"/>
          <w:color w:val="auto"/>
          <w:highlight w:val="none"/>
        </w:rPr>
        <w:t>方案（格式自拟）</w:t>
      </w:r>
    </w:p>
    <w:p w14:paraId="4F70799A">
      <w:pPr>
        <w:pStyle w:val="6"/>
        <w:spacing w:before="0" w:after="0" w:line="360" w:lineRule="auto"/>
        <w:ind w:firstLine="482" w:firstLineChars="200"/>
        <w:rPr>
          <w:rFonts w:ascii="宋体" w:hAnsi="宋体" w:cs="宋体"/>
          <w:color w:val="auto"/>
          <w:sz w:val="24"/>
          <w:szCs w:val="24"/>
          <w:highlight w:val="none"/>
        </w:rPr>
      </w:pPr>
      <w:bookmarkStart w:id="303" w:name="_Toc25761"/>
      <w:bookmarkStart w:id="304" w:name="_Toc29823"/>
      <w:r>
        <w:rPr>
          <w:rFonts w:hint="eastAsia" w:ascii="宋体" w:hAnsi="宋体" w:cs="宋体"/>
          <w:color w:val="auto"/>
          <w:sz w:val="24"/>
          <w:szCs w:val="24"/>
          <w:highlight w:val="none"/>
        </w:rPr>
        <w:t>三、商务部分</w:t>
      </w:r>
      <w:bookmarkEnd w:id="289"/>
      <w:bookmarkEnd w:id="290"/>
      <w:bookmarkEnd w:id="291"/>
      <w:bookmarkEnd w:id="303"/>
      <w:bookmarkEnd w:id="304"/>
    </w:p>
    <w:p w14:paraId="5D51E17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（一）商务响应偏离表</w:t>
      </w:r>
    </w:p>
    <w:p w14:paraId="34FB5D4E">
      <w:pPr>
        <w:pStyle w:val="34"/>
        <w:tabs>
          <w:tab w:val="left" w:pos="6300"/>
        </w:tabs>
        <w:snapToGrid w:val="0"/>
        <w:spacing w:line="500" w:lineRule="exact"/>
        <w:ind w:firstLine="480" w:firstLineChars="200"/>
        <w:outlineLvl w:val="0"/>
        <w:rPr>
          <w:rFonts w:ascii="宋体" w:hAnsi="宋体" w:cs="宋体"/>
          <w:color w:val="auto"/>
          <w:sz w:val="24"/>
          <w:highlight w:val="none"/>
        </w:rPr>
      </w:pPr>
      <w:bookmarkStart w:id="305" w:name="_Toc22584"/>
      <w:r>
        <w:rPr>
          <w:rFonts w:hint="eastAsia" w:ascii="宋体" w:hAnsi="宋体" w:cs="宋体"/>
          <w:color w:val="auto"/>
          <w:sz w:val="24"/>
          <w:highlight w:val="none"/>
        </w:rPr>
        <w:t>项目号：</w:t>
      </w:r>
      <w:bookmarkEnd w:id="305"/>
    </w:p>
    <w:p w14:paraId="0A1F2B44">
      <w:pPr>
        <w:pStyle w:val="34"/>
        <w:tabs>
          <w:tab w:val="left" w:pos="6300"/>
        </w:tabs>
        <w:snapToGrid w:val="0"/>
        <w:spacing w:line="500" w:lineRule="exact"/>
        <w:ind w:firstLine="480" w:firstLineChars="200"/>
        <w:outlineLvl w:val="0"/>
        <w:rPr>
          <w:rFonts w:ascii="宋体" w:hAnsi="宋体" w:cs="宋体"/>
          <w:color w:val="auto"/>
          <w:sz w:val="24"/>
          <w:highlight w:val="none"/>
        </w:rPr>
      </w:pPr>
      <w:bookmarkStart w:id="306" w:name="_Toc10444"/>
      <w:r>
        <w:rPr>
          <w:rFonts w:hint="eastAsia" w:ascii="宋体" w:hAnsi="宋体" w:cs="宋体"/>
          <w:color w:val="auto"/>
          <w:sz w:val="24"/>
          <w:highlight w:val="none"/>
        </w:rPr>
        <w:t>磋商项目名称：</w:t>
      </w:r>
      <w:bookmarkEnd w:id="306"/>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1DA2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14:paraId="6EAA7C33">
            <w:pPr>
              <w:tabs>
                <w:tab w:val="left" w:pos="6300"/>
              </w:tabs>
              <w:snapToGrid w:val="0"/>
              <w:spacing w:line="500" w:lineRule="exact"/>
              <w:jc w:val="center"/>
              <w:outlineLvl w:val="0"/>
              <w:rPr>
                <w:rFonts w:ascii="宋体" w:hAnsi="宋体" w:cs="宋体"/>
                <w:color w:val="auto"/>
                <w:sz w:val="21"/>
                <w:szCs w:val="21"/>
                <w:highlight w:val="none"/>
              </w:rPr>
            </w:pPr>
            <w:bookmarkStart w:id="307" w:name="_Toc459"/>
            <w:r>
              <w:rPr>
                <w:rFonts w:hint="eastAsia" w:ascii="宋体" w:hAnsi="宋体" w:cs="宋体"/>
                <w:color w:val="auto"/>
                <w:sz w:val="21"/>
                <w:szCs w:val="21"/>
                <w:highlight w:val="none"/>
              </w:rPr>
              <w:t>序号</w:t>
            </w:r>
            <w:bookmarkEnd w:id="307"/>
          </w:p>
        </w:tc>
        <w:tc>
          <w:tcPr>
            <w:tcW w:w="2658" w:type="dxa"/>
            <w:vAlign w:val="center"/>
          </w:tcPr>
          <w:p w14:paraId="024ACADD">
            <w:pPr>
              <w:tabs>
                <w:tab w:val="left" w:pos="6300"/>
              </w:tabs>
              <w:snapToGrid w:val="0"/>
              <w:spacing w:line="500" w:lineRule="exact"/>
              <w:jc w:val="center"/>
              <w:outlineLvl w:val="0"/>
              <w:rPr>
                <w:rFonts w:ascii="宋体" w:hAnsi="宋体" w:cs="宋体"/>
                <w:color w:val="auto"/>
                <w:sz w:val="21"/>
                <w:szCs w:val="21"/>
                <w:highlight w:val="none"/>
              </w:rPr>
            </w:pPr>
            <w:bookmarkStart w:id="308" w:name="_Toc15051"/>
            <w:r>
              <w:rPr>
                <w:rFonts w:hint="eastAsia" w:ascii="宋体" w:hAnsi="宋体" w:cs="宋体"/>
                <w:color w:val="auto"/>
                <w:sz w:val="21"/>
                <w:szCs w:val="21"/>
                <w:highlight w:val="none"/>
              </w:rPr>
              <w:t>采购需求</w:t>
            </w:r>
            <w:bookmarkEnd w:id="308"/>
          </w:p>
        </w:tc>
        <w:tc>
          <w:tcPr>
            <w:tcW w:w="2759" w:type="dxa"/>
            <w:vAlign w:val="center"/>
          </w:tcPr>
          <w:p w14:paraId="10602BBF">
            <w:pPr>
              <w:tabs>
                <w:tab w:val="left" w:pos="6300"/>
              </w:tabs>
              <w:snapToGrid w:val="0"/>
              <w:spacing w:line="500" w:lineRule="exact"/>
              <w:jc w:val="center"/>
              <w:outlineLvl w:val="0"/>
              <w:rPr>
                <w:rFonts w:ascii="宋体" w:hAnsi="宋体" w:cs="宋体"/>
                <w:color w:val="auto"/>
                <w:sz w:val="21"/>
                <w:szCs w:val="21"/>
                <w:highlight w:val="none"/>
              </w:rPr>
            </w:pPr>
            <w:bookmarkStart w:id="309" w:name="_Toc5952"/>
            <w:r>
              <w:rPr>
                <w:rFonts w:hint="eastAsia" w:ascii="宋体" w:hAnsi="宋体" w:cs="宋体"/>
                <w:color w:val="auto"/>
                <w:sz w:val="21"/>
                <w:szCs w:val="21"/>
                <w:highlight w:val="none"/>
              </w:rPr>
              <w:t>响应情况</w:t>
            </w:r>
            <w:bookmarkEnd w:id="309"/>
          </w:p>
        </w:tc>
        <w:tc>
          <w:tcPr>
            <w:tcW w:w="2067" w:type="dxa"/>
            <w:vAlign w:val="center"/>
          </w:tcPr>
          <w:p w14:paraId="0FB913CF">
            <w:pPr>
              <w:tabs>
                <w:tab w:val="left" w:pos="6300"/>
              </w:tabs>
              <w:snapToGrid w:val="0"/>
              <w:spacing w:line="500" w:lineRule="exact"/>
              <w:jc w:val="center"/>
              <w:outlineLvl w:val="0"/>
              <w:rPr>
                <w:rFonts w:ascii="宋体" w:hAnsi="宋体" w:cs="宋体"/>
                <w:color w:val="auto"/>
                <w:sz w:val="21"/>
                <w:szCs w:val="21"/>
                <w:highlight w:val="none"/>
              </w:rPr>
            </w:pPr>
            <w:bookmarkStart w:id="310" w:name="_Toc12592"/>
            <w:r>
              <w:rPr>
                <w:rFonts w:hint="eastAsia" w:ascii="宋体" w:hAnsi="宋体" w:cs="宋体"/>
                <w:color w:val="auto"/>
                <w:sz w:val="21"/>
                <w:szCs w:val="21"/>
                <w:highlight w:val="none"/>
              </w:rPr>
              <w:t>差异说明</w:t>
            </w:r>
            <w:bookmarkEnd w:id="310"/>
          </w:p>
        </w:tc>
      </w:tr>
      <w:tr w14:paraId="45B7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9D8AD0F">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5858F65A">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03ECE62A">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36A6AAEF">
            <w:pPr>
              <w:tabs>
                <w:tab w:val="left" w:pos="6300"/>
              </w:tabs>
              <w:snapToGrid w:val="0"/>
              <w:spacing w:line="500" w:lineRule="exact"/>
              <w:jc w:val="center"/>
              <w:rPr>
                <w:rFonts w:ascii="宋体" w:hAnsi="宋体" w:cs="宋体"/>
                <w:color w:val="auto"/>
                <w:sz w:val="21"/>
                <w:szCs w:val="21"/>
                <w:highlight w:val="none"/>
              </w:rPr>
            </w:pPr>
          </w:p>
        </w:tc>
      </w:tr>
      <w:tr w14:paraId="2D073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5B5453C7">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20C8DBCB">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7B70837B">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1AF1685C">
            <w:pPr>
              <w:tabs>
                <w:tab w:val="left" w:pos="6300"/>
              </w:tabs>
              <w:snapToGrid w:val="0"/>
              <w:spacing w:line="500" w:lineRule="exact"/>
              <w:jc w:val="center"/>
              <w:rPr>
                <w:rFonts w:ascii="宋体" w:hAnsi="宋体" w:cs="宋体"/>
                <w:color w:val="auto"/>
                <w:sz w:val="21"/>
                <w:szCs w:val="21"/>
                <w:highlight w:val="none"/>
              </w:rPr>
            </w:pPr>
          </w:p>
        </w:tc>
      </w:tr>
      <w:tr w14:paraId="5F5A1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0C014ED">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7F1EE6EB">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08F285AD">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2A349074">
            <w:pPr>
              <w:tabs>
                <w:tab w:val="left" w:pos="6300"/>
              </w:tabs>
              <w:snapToGrid w:val="0"/>
              <w:spacing w:line="500" w:lineRule="exact"/>
              <w:jc w:val="center"/>
              <w:rPr>
                <w:rFonts w:ascii="宋体" w:hAnsi="宋体" w:cs="宋体"/>
                <w:color w:val="auto"/>
                <w:sz w:val="21"/>
                <w:szCs w:val="21"/>
                <w:highlight w:val="none"/>
              </w:rPr>
            </w:pPr>
          </w:p>
        </w:tc>
      </w:tr>
      <w:tr w14:paraId="4232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76A13A73">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29BB1A56">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5813E73A">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18C2C1CB">
            <w:pPr>
              <w:tabs>
                <w:tab w:val="left" w:pos="6300"/>
              </w:tabs>
              <w:snapToGrid w:val="0"/>
              <w:spacing w:line="500" w:lineRule="exact"/>
              <w:jc w:val="center"/>
              <w:rPr>
                <w:rFonts w:ascii="宋体" w:hAnsi="宋体" w:cs="宋体"/>
                <w:color w:val="auto"/>
                <w:sz w:val="21"/>
                <w:szCs w:val="21"/>
                <w:highlight w:val="none"/>
              </w:rPr>
            </w:pPr>
          </w:p>
        </w:tc>
      </w:tr>
      <w:tr w14:paraId="625EB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46E52181">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53A0AB02">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31C1FF56">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7114812C">
            <w:pPr>
              <w:tabs>
                <w:tab w:val="left" w:pos="6300"/>
              </w:tabs>
              <w:snapToGrid w:val="0"/>
              <w:spacing w:line="500" w:lineRule="exact"/>
              <w:jc w:val="center"/>
              <w:rPr>
                <w:rFonts w:ascii="宋体" w:hAnsi="宋体" w:cs="宋体"/>
                <w:color w:val="auto"/>
                <w:sz w:val="21"/>
                <w:szCs w:val="21"/>
                <w:highlight w:val="none"/>
              </w:rPr>
            </w:pPr>
          </w:p>
        </w:tc>
      </w:tr>
      <w:tr w14:paraId="6B64B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2D75661">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5C14FFFA">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679ACB5B">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104DB1B1">
            <w:pPr>
              <w:tabs>
                <w:tab w:val="left" w:pos="6300"/>
              </w:tabs>
              <w:snapToGrid w:val="0"/>
              <w:spacing w:line="500" w:lineRule="exact"/>
              <w:jc w:val="center"/>
              <w:rPr>
                <w:rFonts w:ascii="宋体" w:hAnsi="宋体" w:cs="宋体"/>
                <w:color w:val="auto"/>
                <w:sz w:val="21"/>
                <w:szCs w:val="21"/>
                <w:highlight w:val="none"/>
              </w:rPr>
            </w:pPr>
          </w:p>
        </w:tc>
      </w:tr>
      <w:tr w14:paraId="62BA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181168C4">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1542CDC3">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14560839">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2FBD7D1E">
            <w:pPr>
              <w:tabs>
                <w:tab w:val="left" w:pos="6300"/>
              </w:tabs>
              <w:snapToGrid w:val="0"/>
              <w:spacing w:line="500" w:lineRule="exact"/>
              <w:jc w:val="center"/>
              <w:rPr>
                <w:rFonts w:ascii="宋体" w:hAnsi="宋体" w:cs="宋体"/>
                <w:color w:val="auto"/>
                <w:sz w:val="21"/>
                <w:szCs w:val="21"/>
                <w:highlight w:val="none"/>
              </w:rPr>
            </w:pPr>
          </w:p>
        </w:tc>
      </w:tr>
      <w:tr w14:paraId="5DCAB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14:paraId="202D5812">
            <w:pPr>
              <w:tabs>
                <w:tab w:val="left" w:pos="6300"/>
              </w:tabs>
              <w:snapToGrid w:val="0"/>
              <w:spacing w:line="500" w:lineRule="exact"/>
              <w:jc w:val="center"/>
              <w:rPr>
                <w:rFonts w:ascii="宋体" w:hAnsi="宋体" w:cs="宋体"/>
                <w:color w:val="auto"/>
                <w:sz w:val="21"/>
                <w:szCs w:val="21"/>
                <w:highlight w:val="none"/>
              </w:rPr>
            </w:pPr>
          </w:p>
        </w:tc>
        <w:tc>
          <w:tcPr>
            <w:tcW w:w="2658" w:type="dxa"/>
            <w:vAlign w:val="center"/>
          </w:tcPr>
          <w:p w14:paraId="6069658A">
            <w:pPr>
              <w:tabs>
                <w:tab w:val="left" w:pos="6300"/>
              </w:tabs>
              <w:snapToGrid w:val="0"/>
              <w:spacing w:line="500" w:lineRule="exact"/>
              <w:jc w:val="center"/>
              <w:rPr>
                <w:rFonts w:ascii="宋体" w:hAnsi="宋体" w:cs="宋体"/>
                <w:color w:val="auto"/>
                <w:sz w:val="21"/>
                <w:szCs w:val="21"/>
                <w:highlight w:val="none"/>
              </w:rPr>
            </w:pPr>
          </w:p>
        </w:tc>
        <w:tc>
          <w:tcPr>
            <w:tcW w:w="2759" w:type="dxa"/>
            <w:vAlign w:val="center"/>
          </w:tcPr>
          <w:p w14:paraId="2BA61BF1">
            <w:pPr>
              <w:tabs>
                <w:tab w:val="left" w:pos="6300"/>
              </w:tabs>
              <w:snapToGrid w:val="0"/>
              <w:spacing w:line="500" w:lineRule="exact"/>
              <w:jc w:val="center"/>
              <w:rPr>
                <w:rFonts w:ascii="宋体" w:hAnsi="宋体" w:cs="宋体"/>
                <w:color w:val="auto"/>
                <w:sz w:val="21"/>
                <w:szCs w:val="21"/>
                <w:highlight w:val="none"/>
              </w:rPr>
            </w:pPr>
          </w:p>
        </w:tc>
        <w:tc>
          <w:tcPr>
            <w:tcW w:w="2067" w:type="dxa"/>
            <w:vAlign w:val="center"/>
          </w:tcPr>
          <w:p w14:paraId="2FE8BD6B">
            <w:pPr>
              <w:tabs>
                <w:tab w:val="left" w:pos="6300"/>
              </w:tabs>
              <w:snapToGrid w:val="0"/>
              <w:spacing w:line="500" w:lineRule="exact"/>
              <w:jc w:val="center"/>
              <w:rPr>
                <w:rFonts w:ascii="宋体" w:hAnsi="宋体" w:cs="宋体"/>
                <w:color w:val="auto"/>
                <w:sz w:val="21"/>
                <w:szCs w:val="21"/>
                <w:highlight w:val="none"/>
              </w:rPr>
            </w:pPr>
          </w:p>
        </w:tc>
      </w:tr>
    </w:tbl>
    <w:p w14:paraId="64BB10FC">
      <w:pPr>
        <w:spacing w:line="500" w:lineRule="exact"/>
        <w:ind w:firstLine="600" w:firstLineChars="250"/>
        <w:rPr>
          <w:rFonts w:ascii="宋体" w:hAnsi="宋体" w:cs="宋体"/>
          <w:color w:val="auto"/>
          <w:sz w:val="24"/>
          <w:szCs w:val="28"/>
          <w:highlight w:val="none"/>
        </w:rPr>
      </w:pPr>
      <w:r>
        <w:rPr>
          <w:rFonts w:hint="eastAsia" w:ascii="宋体" w:hAnsi="宋体" w:cs="宋体"/>
          <w:color w:val="auto"/>
          <w:sz w:val="24"/>
          <w:szCs w:val="28"/>
          <w:highlight w:val="none"/>
        </w:rPr>
        <w:t>供应商：                                      法人授权代表：</w:t>
      </w:r>
    </w:p>
    <w:p w14:paraId="5EC9D1CE">
      <w:pPr>
        <w:spacing w:line="500" w:lineRule="exact"/>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340A185F">
      <w:pPr>
        <w:spacing w:line="500" w:lineRule="exact"/>
        <w:ind w:firstLine="720" w:firstLineChars="300"/>
        <w:rPr>
          <w:rFonts w:ascii="宋体" w:hAnsi="宋体" w:cs="宋体"/>
          <w:color w:val="auto"/>
          <w:sz w:val="24"/>
          <w:szCs w:val="28"/>
          <w:highlight w:val="none"/>
        </w:rPr>
      </w:pPr>
      <w:r>
        <w:rPr>
          <w:rFonts w:hint="eastAsia" w:ascii="宋体" w:hAnsi="宋体" w:cs="宋体"/>
          <w:color w:val="auto"/>
          <w:sz w:val="24"/>
          <w:szCs w:val="28"/>
          <w:highlight w:val="none"/>
        </w:rPr>
        <w:t>（供应商公章）                               （签字或盖章）</w:t>
      </w:r>
    </w:p>
    <w:p w14:paraId="24F44C6D">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szCs w:val="28"/>
          <w:highlight w:val="none"/>
        </w:rPr>
        <w:t xml:space="preserve">                                              年     月     日</w:t>
      </w:r>
    </w:p>
    <w:p w14:paraId="6BE7091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E900F4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1.本表即为对本项目“第二篇  项目商务需求”中所列条款进行比较和响应；</w:t>
      </w:r>
    </w:p>
    <w:p w14:paraId="32ED1D79">
      <w:pPr>
        <w:tabs>
          <w:tab w:val="left" w:pos="6300"/>
        </w:tabs>
        <w:snapToGrid w:val="0"/>
        <w:spacing w:line="50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rPr>
        <w:t>2.本表可扩展。</w:t>
      </w:r>
    </w:p>
    <w:p w14:paraId="42AF0E3E">
      <w:pPr>
        <w:spacing w:line="360" w:lineRule="auto"/>
        <w:rPr>
          <w:rFonts w:ascii="宋体" w:hAnsi="宋体" w:cs="宋体"/>
          <w:color w:val="auto"/>
          <w:highlight w:val="none"/>
        </w:rPr>
        <w:sectPr>
          <w:pgSz w:w="11905" w:h="16838"/>
          <w:pgMar w:top="1417" w:right="1417" w:bottom="1417" w:left="1417" w:header="1003" w:footer="986" w:gutter="0"/>
          <w:cols w:space="0" w:num="1"/>
          <w:rtlGutter w:val="0"/>
          <w:docGrid w:linePitch="389" w:charSpace="0"/>
        </w:sectPr>
      </w:pPr>
    </w:p>
    <w:p w14:paraId="269D2452">
      <w:pPr>
        <w:snapToGrid w:val="0"/>
        <w:spacing w:line="360" w:lineRule="auto"/>
        <w:ind w:left="465"/>
        <w:rPr>
          <w:rFonts w:ascii="宋体" w:hAnsi="宋体" w:cs="宋体"/>
          <w:color w:val="auto"/>
          <w:sz w:val="24"/>
          <w:szCs w:val="24"/>
          <w:highlight w:val="none"/>
        </w:rPr>
      </w:pPr>
      <w:r>
        <w:rPr>
          <w:rFonts w:hint="eastAsia" w:ascii="宋体" w:hAnsi="宋体" w:cs="宋体"/>
          <w:color w:val="auto"/>
          <w:sz w:val="24"/>
          <w:szCs w:val="24"/>
          <w:highlight w:val="none"/>
        </w:rPr>
        <w:t>（二）商务部分评分所需资料（格式自定）</w:t>
      </w:r>
    </w:p>
    <w:p w14:paraId="6A87AF18">
      <w:pPr>
        <w:snapToGrid w:val="0"/>
        <w:spacing w:line="360" w:lineRule="auto"/>
        <w:ind w:left="465"/>
        <w:rPr>
          <w:rFonts w:ascii="宋体" w:hAnsi="宋体" w:cs="宋体"/>
          <w:color w:val="auto"/>
          <w:szCs w:val="28"/>
          <w:highlight w:val="none"/>
        </w:rPr>
      </w:pPr>
    </w:p>
    <w:p w14:paraId="08C68FBA">
      <w:pPr>
        <w:pStyle w:val="70"/>
        <w:rPr>
          <w:rFonts w:hAnsi="宋体" w:cs="宋体"/>
          <w:color w:val="auto"/>
          <w:szCs w:val="28"/>
          <w:highlight w:val="none"/>
        </w:rPr>
      </w:pPr>
    </w:p>
    <w:p w14:paraId="69C98A9B">
      <w:pPr>
        <w:pStyle w:val="70"/>
        <w:rPr>
          <w:rFonts w:hAnsi="宋体" w:cs="宋体"/>
          <w:color w:val="auto"/>
          <w:szCs w:val="28"/>
          <w:highlight w:val="none"/>
        </w:rPr>
      </w:pPr>
    </w:p>
    <w:p w14:paraId="5A7AB23D">
      <w:pPr>
        <w:pStyle w:val="70"/>
        <w:rPr>
          <w:rFonts w:hAnsi="宋体" w:cs="宋体"/>
          <w:color w:val="auto"/>
          <w:szCs w:val="28"/>
          <w:highlight w:val="none"/>
        </w:rPr>
      </w:pPr>
    </w:p>
    <w:p w14:paraId="466C50DC">
      <w:pPr>
        <w:pStyle w:val="70"/>
        <w:rPr>
          <w:rFonts w:hAnsi="宋体" w:cs="宋体"/>
          <w:color w:val="auto"/>
          <w:szCs w:val="28"/>
          <w:highlight w:val="none"/>
        </w:rPr>
      </w:pPr>
    </w:p>
    <w:p w14:paraId="0D6AE624">
      <w:pPr>
        <w:pStyle w:val="70"/>
        <w:rPr>
          <w:rFonts w:hAnsi="宋体" w:cs="宋体"/>
          <w:color w:val="auto"/>
          <w:szCs w:val="28"/>
          <w:highlight w:val="none"/>
        </w:rPr>
      </w:pPr>
    </w:p>
    <w:p w14:paraId="1726E0E1">
      <w:pPr>
        <w:pStyle w:val="70"/>
        <w:rPr>
          <w:rFonts w:hAnsi="宋体" w:cs="宋体"/>
          <w:color w:val="auto"/>
          <w:szCs w:val="28"/>
          <w:highlight w:val="none"/>
        </w:rPr>
      </w:pPr>
    </w:p>
    <w:p w14:paraId="70BD28E1">
      <w:pPr>
        <w:pStyle w:val="70"/>
        <w:rPr>
          <w:rFonts w:hAnsi="宋体" w:cs="宋体"/>
          <w:color w:val="auto"/>
          <w:szCs w:val="28"/>
          <w:highlight w:val="none"/>
        </w:rPr>
      </w:pPr>
    </w:p>
    <w:p w14:paraId="3D5401E5">
      <w:pPr>
        <w:pStyle w:val="70"/>
        <w:rPr>
          <w:rFonts w:hAnsi="宋体" w:cs="宋体"/>
          <w:color w:val="auto"/>
          <w:szCs w:val="28"/>
          <w:highlight w:val="none"/>
        </w:rPr>
      </w:pPr>
    </w:p>
    <w:p w14:paraId="29C747AA">
      <w:pPr>
        <w:pStyle w:val="70"/>
        <w:rPr>
          <w:rFonts w:hAnsi="宋体" w:cs="宋体"/>
          <w:color w:val="auto"/>
          <w:szCs w:val="28"/>
          <w:highlight w:val="none"/>
        </w:rPr>
      </w:pPr>
    </w:p>
    <w:p w14:paraId="411C45FC">
      <w:pPr>
        <w:pStyle w:val="70"/>
        <w:rPr>
          <w:rFonts w:hAnsi="宋体" w:cs="宋体"/>
          <w:color w:val="auto"/>
          <w:szCs w:val="28"/>
          <w:highlight w:val="none"/>
        </w:rPr>
      </w:pPr>
    </w:p>
    <w:p w14:paraId="40BA79EF">
      <w:pPr>
        <w:pStyle w:val="70"/>
        <w:rPr>
          <w:rFonts w:hAnsi="宋体" w:cs="宋体"/>
          <w:color w:val="auto"/>
          <w:szCs w:val="28"/>
          <w:highlight w:val="none"/>
        </w:rPr>
      </w:pPr>
    </w:p>
    <w:p w14:paraId="7FAF1951">
      <w:pPr>
        <w:pStyle w:val="70"/>
        <w:rPr>
          <w:rFonts w:hAnsi="宋体" w:cs="宋体"/>
          <w:color w:val="auto"/>
          <w:szCs w:val="28"/>
          <w:highlight w:val="none"/>
        </w:rPr>
      </w:pPr>
    </w:p>
    <w:p w14:paraId="4249B2ED">
      <w:pPr>
        <w:pStyle w:val="70"/>
        <w:rPr>
          <w:rFonts w:hAnsi="宋体" w:cs="宋体"/>
          <w:color w:val="auto"/>
          <w:szCs w:val="28"/>
          <w:highlight w:val="none"/>
        </w:rPr>
      </w:pPr>
    </w:p>
    <w:p w14:paraId="5B920E66">
      <w:pPr>
        <w:pStyle w:val="70"/>
        <w:rPr>
          <w:rFonts w:hAnsi="宋体" w:cs="宋体"/>
          <w:color w:val="auto"/>
          <w:szCs w:val="28"/>
          <w:highlight w:val="none"/>
        </w:rPr>
      </w:pPr>
    </w:p>
    <w:p w14:paraId="7330AA69">
      <w:pPr>
        <w:pStyle w:val="70"/>
        <w:rPr>
          <w:rFonts w:hAnsi="宋体" w:cs="宋体"/>
          <w:color w:val="auto"/>
          <w:szCs w:val="28"/>
          <w:highlight w:val="none"/>
        </w:rPr>
      </w:pPr>
    </w:p>
    <w:p w14:paraId="7CAD8667">
      <w:pPr>
        <w:pStyle w:val="70"/>
        <w:rPr>
          <w:rFonts w:hAnsi="宋体" w:cs="宋体"/>
          <w:color w:val="auto"/>
          <w:szCs w:val="28"/>
          <w:highlight w:val="none"/>
        </w:rPr>
      </w:pPr>
    </w:p>
    <w:p w14:paraId="18209418">
      <w:pPr>
        <w:pStyle w:val="70"/>
        <w:rPr>
          <w:rFonts w:hAnsi="宋体" w:cs="宋体"/>
          <w:color w:val="auto"/>
          <w:szCs w:val="28"/>
          <w:highlight w:val="none"/>
        </w:rPr>
      </w:pPr>
    </w:p>
    <w:p w14:paraId="5FE49B57">
      <w:pPr>
        <w:pStyle w:val="70"/>
        <w:rPr>
          <w:rFonts w:hAnsi="宋体" w:cs="宋体"/>
          <w:color w:val="auto"/>
          <w:szCs w:val="28"/>
          <w:highlight w:val="none"/>
        </w:rPr>
      </w:pPr>
    </w:p>
    <w:p w14:paraId="133A3571">
      <w:pPr>
        <w:pStyle w:val="70"/>
        <w:rPr>
          <w:rFonts w:hAnsi="宋体" w:cs="宋体"/>
          <w:color w:val="auto"/>
          <w:szCs w:val="28"/>
          <w:highlight w:val="none"/>
        </w:rPr>
      </w:pPr>
    </w:p>
    <w:p w14:paraId="0172488B">
      <w:pPr>
        <w:pStyle w:val="70"/>
        <w:rPr>
          <w:rFonts w:hAnsi="宋体" w:cs="宋体"/>
          <w:color w:val="auto"/>
          <w:szCs w:val="28"/>
          <w:highlight w:val="none"/>
        </w:rPr>
      </w:pPr>
    </w:p>
    <w:p w14:paraId="4223F32F">
      <w:pPr>
        <w:pStyle w:val="70"/>
        <w:rPr>
          <w:rFonts w:hAnsi="宋体" w:cs="宋体"/>
          <w:color w:val="auto"/>
          <w:szCs w:val="28"/>
          <w:highlight w:val="none"/>
        </w:rPr>
      </w:pPr>
    </w:p>
    <w:p w14:paraId="6769DE0F">
      <w:pPr>
        <w:pStyle w:val="70"/>
        <w:rPr>
          <w:rFonts w:hAnsi="宋体" w:cs="宋体"/>
          <w:color w:val="auto"/>
          <w:szCs w:val="28"/>
          <w:highlight w:val="none"/>
        </w:rPr>
      </w:pPr>
    </w:p>
    <w:p w14:paraId="6104F22E">
      <w:pPr>
        <w:pStyle w:val="70"/>
        <w:rPr>
          <w:rFonts w:hAnsi="宋体" w:cs="宋体"/>
          <w:color w:val="auto"/>
          <w:szCs w:val="28"/>
          <w:highlight w:val="none"/>
        </w:rPr>
      </w:pPr>
    </w:p>
    <w:p w14:paraId="26FF7921">
      <w:pPr>
        <w:pStyle w:val="70"/>
        <w:rPr>
          <w:rFonts w:hAnsi="宋体" w:cs="宋体"/>
          <w:color w:val="auto"/>
          <w:szCs w:val="28"/>
          <w:highlight w:val="none"/>
        </w:rPr>
      </w:pPr>
    </w:p>
    <w:p w14:paraId="06AA950E">
      <w:pPr>
        <w:pStyle w:val="70"/>
        <w:rPr>
          <w:rFonts w:hAnsi="宋体" w:cs="宋体"/>
          <w:color w:val="auto"/>
          <w:szCs w:val="28"/>
          <w:highlight w:val="none"/>
        </w:rPr>
      </w:pPr>
    </w:p>
    <w:p w14:paraId="1A95745B">
      <w:pPr>
        <w:pStyle w:val="70"/>
        <w:rPr>
          <w:rFonts w:hAnsi="宋体" w:cs="宋体"/>
          <w:color w:val="auto"/>
          <w:szCs w:val="28"/>
          <w:highlight w:val="none"/>
        </w:rPr>
      </w:pPr>
    </w:p>
    <w:p w14:paraId="4927AF22">
      <w:pPr>
        <w:pStyle w:val="70"/>
        <w:rPr>
          <w:rFonts w:hAnsi="宋体" w:cs="宋体"/>
          <w:color w:val="auto"/>
          <w:szCs w:val="28"/>
          <w:highlight w:val="none"/>
        </w:rPr>
      </w:pPr>
    </w:p>
    <w:p w14:paraId="48B884CC">
      <w:pPr>
        <w:pStyle w:val="70"/>
        <w:rPr>
          <w:rFonts w:hAnsi="宋体" w:cs="宋体"/>
          <w:color w:val="auto"/>
          <w:szCs w:val="28"/>
          <w:highlight w:val="none"/>
        </w:rPr>
      </w:pPr>
    </w:p>
    <w:p w14:paraId="6BFB6EAA">
      <w:pPr>
        <w:pStyle w:val="70"/>
        <w:rPr>
          <w:rFonts w:hAnsi="宋体" w:cs="宋体"/>
          <w:color w:val="auto"/>
          <w:szCs w:val="28"/>
          <w:highlight w:val="none"/>
        </w:rPr>
      </w:pPr>
    </w:p>
    <w:p w14:paraId="3F152357">
      <w:pPr>
        <w:pStyle w:val="70"/>
        <w:rPr>
          <w:rFonts w:hAnsi="宋体" w:cs="宋体"/>
          <w:color w:val="auto"/>
          <w:szCs w:val="28"/>
          <w:highlight w:val="none"/>
        </w:rPr>
      </w:pPr>
    </w:p>
    <w:p w14:paraId="593AB4C0">
      <w:pPr>
        <w:pStyle w:val="70"/>
        <w:rPr>
          <w:rFonts w:hAnsi="宋体" w:cs="宋体"/>
          <w:color w:val="auto"/>
          <w:szCs w:val="28"/>
          <w:highlight w:val="none"/>
        </w:rPr>
      </w:pPr>
    </w:p>
    <w:p w14:paraId="2764C495">
      <w:pPr>
        <w:pStyle w:val="70"/>
        <w:rPr>
          <w:rFonts w:hAnsi="宋体" w:cs="宋体"/>
          <w:color w:val="auto"/>
          <w:szCs w:val="28"/>
          <w:highlight w:val="none"/>
        </w:rPr>
      </w:pPr>
    </w:p>
    <w:p w14:paraId="0BE21E80">
      <w:pPr>
        <w:pStyle w:val="70"/>
        <w:rPr>
          <w:rFonts w:hAnsi="宋体" w:cs="宋体"/>
          <w:color w:val="auto"/>
          <w:szCs w:val="28"/>
          <w:highlight w:val="none"/>
        </w:rPr>
      </w:pPr>
    </w:p>
    <w:p w14:paraId="4EFA7930">
      <w:pPr>
        <w:snapToGrid w:val="0"/>
        <w:spacing w:line="360" w:lineRule="auto"/>
        <w:rPr>
          <w:rFonts w:ascii="宋体" w:hAnsi="宋体" w:cs="宋体"/>
          <w:color w:val="auto"/>
          <w:sz w:val="24"/>
          <w:szCs w:val="24"/>
          <w:highlight w:val="none"/>
        </w:rPr>
        <w:sectPr>
          <w:pgSz w:w="11905" w:h="16838"/>
          <w:pgMar w:top="1417" w:right="1417" w:bottom="1417" w:left="1417" w:header="1003" w:footer="986" w:gutter="0"/>
          <w:cols w:space="0" w:num="1"/>
          <w:rtlGutter w:val="0"/>
          <w:docGrid w:linePitch="389" w:charSpace="0"/>
        </w:sectPr>
      </w:pPr>
    </w:p>
    <w:p w14:paraId="40C31DD2">
      <w:pPr>
        <w:snapToGrid w:val="0"/>
        <w:spacing w:line="360" w:lineRule="auto"/>
        <w:ind w:firstLine="480" w:firstLineChars="200"/>
        <w:rPr>
          <w:rFonts w:hint="eastAsia" w:ascii="宋体" w:hAnsi="宋体" w:eastAsia="宋体" w:cs="宋体"/>
          <w:color w:val="auto"/>
          <w:sz w:val="24"/>
          <w:szCs w:val="24"/>
          <w:highlight w:val="none"/>
          <w:lang w:eastAsia="zh-CN"/>
        </w:rPr>
        <w:sectPr>
          <w:pgSz w:w="11905" w:h="16838"/>
          <w:pgMar w:top="1417" w:right="1417" w:bottom="1417" w:left="1417" w:header="1003" w:footer="986" w:gutter="0"/>
          <w:cols w:space="0" w:num="1"/>
          <w:rtlGutter w:val="0"/>
          <w:docGrid w:linePitch="389" w:charSpace="0"/>
        </w:sectPr>
      </w:pPr>
      <w:r>
        <w:rPr>
          <w:rFonts w:hint="eastAsia" w:ascii="宋体" w:hAnsi="宋体" w:cs="宋体"/>
          <w:color w:val="auto"/>
          <w:sz w:val="24"/>
          <w:szCs w:val="24"/>
          <w:highlight w:val="none"/>
        </w:rPr>
        <w:t>（三）其它</w:t>
      </w:r>
      <w:r>
        <w:rPr>
          <w:rFonts w:hint="eastAsia" w:ascii="宋体" w:hAnsi="宋体" w:cs="宋体"/>
          <w:color w:val="auto"/>
          <w:sz w:val="24"/>
          <w:szCs w:val="24"/>
          <w:highlight w:val="none"/>
          <w:lang w:val="en-US" w:eastAsia="zh-CN"/>
        </w:rPr>
        <w:t>资料</w:t>
      </w:r>
    </w:p>
    <w:p w14:paraId="765D2B7B">
      <w:pPr>
        <w:snapToGrid w:val="0"/>
        <w:spacing w:line="360" w:lineRule="auto"/>
        <w:ind w:firstLine="482" w:firstLineChars="200"/>
        <w:outlineLvl w:val="0"/>
        <w:rPr>
          <w:rFonts w:ascii="宋体" w:hAnsi="宋体" w:cs="宋体"/>
          <w:color w:val="auto"/>
          <w:sz w:val="24"/>
          <w:highlight w:val="none"/>
        </w:rPr>
      </w:pPr>
      <w:bookmarkStart w:id="311" w:name="_Toc17509"/>
      <w:bookmarkStart w:id="312" w:name="_Toc106030909"/>
      <w:bookmarkStart w:id="313" w:name="_Toc76462353"/>
      <w:bookmarkStart w:id="314" w:name="_Toc18125"/>
      <w:bookmarkStart w:id="315" w:name="_Toc2082"/>
      <w:bookmarkStart w:id="316" w:name="_Toc160701979"/>
      <w:bookmarkStart w:id="317" w:name="_Toc20162"/>
      <w:bookmarkStart w:id="318" w:name="_Toc65660382"/>
      <w:r>
        <w:rPr>
          <w:rFonts w:hint="eastAsia" w:ascii="宋体" w:hAnsi="宋体" w:cs="宋体"/>
          <w:b/>
          <w:bCs/>
          <w:color w:val="auto"/>
          <w:sz w:val="24"/>
          <w:highlight w:val="none"/>
        </w:rPr>
        <w:t>四、资格条件</w:t>
      </w:r>
      <w:bookmarkEnd w:id="311"/>
      <w:bookmarkEnd w:id="312"/>
      <w:bookmarkEnd w:id="313"/>
    </w:p>
    <w:p w14:paraId="16A3A3E7">
      <w:pPr>
        <w:tabs>
          <w:tab w:val="left" w:pos="6300"/>
        </w:tabs>
        <w:snapToGrid w:val="0"/>
        <w:spacing w:line="400" w:lineRule="exact"/>
        <w:ind w:firstLine="570"/>
        <w:rPr>
          <w:rFonts w:ascii="宋体" w:hAnsi="宋体" w:cs="宋体"/>
          <w:color w:val="auto"/>
          <w:sz w:val="24"/>
          <w:szCs w:val="24"/>
          <w:highlight w:val="none"/>
        </w:rPr>
      </w:pPr>
      <w:r>
        <w:rPr>
          <w:rFonts w:hint="eastAsia" w:ascii="宋体" w:hAnsi="宋体" w:cs="宋体"/>
          <w:color w:val="auto"/>
          <w:sz w:val="24"/>
          <w:szCs w:val="24"/>
          <w:highlight w:val="none"/>
        </w:rPr>
        <w:t>（一）法人营业执照（副本）或事业单位法人证书（副本）或个体工商户营业执照或有效的自然人身份证明或社会团体法人登记证书复印件</w:t>
      </w:r>
    </w:p>
    <w:p w14:paraId="39F5A43D">
      <w:pPr>
        <w:tabs>
          <w:tab w:val="left" w:pos="6300"/>
        </w:tabs>
        <w:snapToGrid w:val="0"/>
        <w:spacing w:line="400" w:lineRule="exact"/>
        <w:ind w:firstLine="570"/>
        <w:rPr>
          <w:rFonts w:ascii="宋体" w:hAnsi="宋体" w:cs="宋体"/>
          <w:color w:val="auto"/>
          <w:highlight w:val="none"/>
        </w:rPr>
      </w:pPr>
    </w:p>
    <w:p w14:paraId="4EDDCAB1">
      <w:pPr>
        <w:tabs>
          <w:tab w:val="left" w:pos="6300"/>
        </w:tabs>
        <w:snapToGrid w:val="0"/>
        <w:spacing w:line="500" w:lineRule="exact"/>
        <w:ind w:firstLine="570"/>
        <w:rPr>
          <w:rFonts w:ascii="宋体" w:hAnsi="宋体" w:cs="宋体"/>
          <w:color w:val="auto"/>
          <w:highlight w:val="none"/>
        </w:rPr>
      </w:pPr>
    </w:p>
    <w:p w14:paraId="500B12AA">
      <w:pPr>
        <w:tabs>
          <w:tab w:val="left" w:pos="6300"/>
        </w:tabs>
        <w:snapToGrid w:val="0"/>
        <w:spacing w:line="500" w:lineRule="exact"/>
        <w:ind w:firstLine="570"/>
        <w:rPr>
          <w:rFonts w:ascii="宋体" w:hAnsi="宋体" w:cs="宋体"/>
          <w:color w:val="auto"/>
          <w:highlight w:val="none"/>
        </w:rPr>
      </w:pPr>
    </w:p>
    <w:p w14:paraId="527F07F5">
      <w:pPr>
        <w:tabs>
          <w:tab w:val="left" w:pos="6300"/>
        </w:tabs>
        <w:snapToGrid w:val="0"/>
        <w:spacing w:line="500" w:lineRule="exact"/>
        <w:ind w:firstLine="570"/>
        <w:rPr>
          <w:rFonts w:ascii="宋体" w:hAnsi="宋体" w:cs="宋体"/>
          <w:color w:val="auto"/>
          <w:highlight w:val="none"/>
        </w:rPr>
      </w:pPr>
    </w:p>
    <w:p w14:paraId="31AF18D8">
      <w:pPr>
        <w:tabs>
          <w:tab w:val="left" w:pos="6300"/>
        </w:tabs>
        <w:snapToGrid w:val="0"/>
        <w:spacing w:line="500" w:lineRule="exact"/>
        <w:ind w:firstLine="570"/>
        <w:rPr>
          <w:rFonts w:ascii="宋体" w:hAnsi="宋体" w:cs="宋体"/>
          <w:color w:val="auto"/>
          <w:highlight w:val="none"/>
        </w:rPr>
      </w:pPr>
    </w:p>
    <w:p w14:paraId="29F607E3">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（二）法定代表人身份证明书（格式）</w:t>
      </w:r>
    </w:p>
    <w:p w14:paraId="387FDE4C">
      <w:pPr>
        <w:tabs>
          <w:tab w:val="left" w:pos="6300"/>
        </w:tabs>
        <w:snapToGrid w:val="0"/>
        <w:spacing w:line="500" w:lineRule="exact"/>
        <w:ind w:firstLine="570"/>
        <w:rPr>
          <w:rFonts w:ascii="宋体" w:hAnsi="宋体" w:cs="宋体"/>
          <w:color w:val="auto"/>
          <w:sz w:val="24"/>
          <w:highlight w:val="none"/>
        </w:rPr>
      </w:pPr>
    </w:p>
    <w:p w14:paraId="2E40D0A7">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磋商项目名称：</w:t>
      </w:r>
      <w:r>
        <w:rPr>
          <w:rFonts w:hint="eastAsia" w:ascii="宋体" w:hAnsi="宋体" w:cs="宋体"/>
          <w:color w:val="auto"/>
          <w:sz w:val="24"/>
          <w:highlight w:val="none"/>
          <w:u w:val="single"/>
        </w:rPr>
        <w:t xml:space="preserve">          </w:t>
      </w:r>
    </w:p>
    <w:p w14:paraId="7F4182B2">
      <w:pPr>
        <w:tabs>
          <w:tab w:val="left" w:pos="6300"/>
        </w:tabs>
        <w:snapToGrid w:val="0"/>
        <w:spacing w:line="500" w:lineRule="exact"/>
        <w:ind w:firstLine="570"/>
        <w:rPr>
          <w:rFonts w:ascii="宋体" w:hAnsi="宋体" w:cs="宋体"/>
          <w:color w:val="auto"/>
          <w:sz w:val="24"/>
          <w:highlight w:val="none"/>
        </w:rPr>
      </w:pPr>
    </w:p>
    <w:p w14:paraId="041BA4A0">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583FAA45">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（职务名称）职务，是（供应商名称）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05CED444">
      <w:pPr>
        <w:tabs>
          <w:tab w:val="left" w:pos="6300"/>
        </w:tabs>
        <w:snapToGrid w:val="0"/>
        <w:spacing w:line="500" w:lineRule="exact"/>
        <w:ind w:firstLine="570"/>
        <w:rPr>
          <w:rFonts w:ascii="宋体" w:hAnsi="宋体" w:cs="宋体"/>
          <w:color w:val="auto"/>
          <w:sz w:val="24"/>
          <w:highlight w:val="none"/>
        </w:rPr>
      </w:pPr>
    </w:p>
    <w:p w14:paraId="24E14C8D">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特此证明。</w:t>
      </w:r>
    </w:p>
    <w:p w14:paraId="3382845F">
      <w:pPr>
        <w:tabs>
          <w:tab w:val="left" w:pos="6300"/>
        </w:tabs>
        <w:snapToGrid w:val="0"/>
        <w:spacing w:line="500" w:lineRule="exact"/>
        <w:ind w:firstLine="570"/>
        <w:rPr>
          <w:rFonts w:ascii="宋体" w:hAnsi="宋体" w:cs="宋体"/>
          <w:color w:val="auto"/>
          <w:sz w:val="24"/>
          <w:highlight w:val="none"/>
        </w:rPr>
      </w:pPr>
    </w:p>
    <w:p w14:paraId="720BA35F">
      <w:pPr>
        <w:tabs>
          <w:tab w:val="left" w:pos="6300"/>
        </w:tabs>
        <w:snapToGrid w:val="0"/>
        <w:spacing w:line="500" w:lineRule="exact"/>
        <w:ind w:firstLine="570"/>
        <w:rPr>
          <w:rFonts w:ascii="宋体" w:hAnsi="宋体" w:cs="宋体"/>
          <w:color w:val="auto"/>
          <w:sz w:val="24"/>
          <w:highlight w:val="none"/>
        </w:rPr>
      </w:pPr>
    </w:p>
    <w:p w14:paraId="3D8EFFBA">
      <w:pPr>
        <w:tabs>
          <w:tab w:val="left" w:pos="6300"/>
        </w:tabs>
        <w:snapToGrid w:val="0"/>
        <w:spacing w:line="500" w:lineRule="exact"/>
        <w:ind w:firstLine="570"/>
        <w:rPr>
          <w:rFonts w:ascii="宋体" w:hAnsi="宋体" w:cs="宋体"/>
          <w:color w:val="auto"/>
          <w:sz w:val="24"/>
          <w:highlight w:val="none"/>
        </w:rPr>
      </w:pPr>
    </w:p>
    <w:p w14:paraId="0B682ED4">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（供应商公章）</w:t>
      </w:r>
    </w:p>
    <w:p w14:paraId="4C9B5CCA">
      <w:pPr>
        <w:tabs>
          <w:tab w:val="left" w:pos="6300"/>
        </w:tabs>
        <w:snapToGrid w:val="0"/>
        <w:spacing w:line="500" w:lineRule="exact"/>
        <w:ind w:firstLine="570"/>
        <w:rPr>
          <w:rFonts w:ascii="宋体" w:hAnsi="宋体" w:cs="宋体"/>
          <w:color w:val="auto"/>
          <w:sz w:val="24"/>
          <w:highlight w:val="none"/>
        </w:rPr>
      </w:pPr>
    </w:p>
    <w:p w14:paraId="089C2C38">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年   月   日</w:t>
      </w:r>
    </w:p>
    <w:p w14:paraId="7B536B1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法定代表人电话：XXXXXXX      电子邮箱：XXXXXX@XXXXX（若授权他人办理并签署响应文件的可不填写）</w:t>
      </w:r>
    </w:p>
    <w:p w14:paraId="783815E3">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（附：法定代表人身份证正反面复印件）</w:t>
      </w:r>
    </w:p>
    <w:p w14:paraId="271797A1">
      <w:pPr>
        <w:tabs>
          <w:tab w:val="left" w:pos="6300"/>
        </w:tabs>
        <w:snapToGrid w:val="0"/>
        <w:spacing w:line="500" w:lineRule="exact"/>
        <w:ind w:firstLine="570"/>
        <w:rPr>
          <w:rFonts w:ascii="宋体" w:hAnsi="宋体" w:cs="宋体"/>
          <w:color w:val="auto"/>
          <w:sz w:val="24"/>
          <w:highlight w:val="none"/>
        </w:rPr>
      </w:pPr>
    </w:p>
    <w:p w14:paraId="09D3A137">
      <w:pPr>
        <w:tabs>
          <w:tab w:val="left" w:pos="6300"/>
        </w:tabs>
        <w:snapToGrid w:val="0"/>
        <w:spacing w:line="500" w:lineRule="exact"/>
        <w:ind w:firstLine="570"/>
        <w:rPr>
          <w:rFonts w:ascii="宋体" w:hAnsi="宋体" w:cs="宋体"/>
          <w:color w:val="auto"/>
          <w:sz w:val="24"/>
          <w:highlight w:val="none"/>
        </w:rPr>
      </w:pPr>
    </w:p>
    <w:p w14:paraId="2CA7DA64">
      <w:pPr>
        <w:tabs>
          <w:tab w:val="left" w:pos="6300"/>
        </w:tabs>
        <w:snapToGrid w:val="0"/>
        <w:spacing w:line="500" w:lineRule="exact"/>
        <w:ind w:firstLine="570"/>
        <w:rPr>
          <w:rFonts w:ascii="宋体" w:hAnsi="宋体" w:cs="宋体"/>
          <w:color w:val="auto"/>
          <w:sz w:val="24"/>
          <w:highlight w:val="none"/>
        </w:rPr>
      </w:pPr>
    </w:p>
    <w:p w14:paraId="3842FF27">
      <w:pPr>
        <w:tabs>
          <w:tab w:val="left" w:pos="6300"/>
        </w:tabs>
        <w:snapToGrid w:val="0"/>
        <w:spacing w:line="500" w:lineRule="exact"/>
        <w:ind w:firstLine="570"/>
        <w:rPr>
          <w:rFonts w:ascii="宋体" w:hAnsi="宋体" w:cs="宋体"/>
          <w:color w:val="auto"/>
          <w:sz w:val="24"/>
          <w:highlight w:val="none"/>
        </w:rPr>
      </w:pPr>
    </w:p>
    <w:p w14:paraId="6E5B7B5D">
      <w:pPr>
        <w:tabs>
          <w:tab w:val="left" w:pos="6300"/>
        </w:tabs>
        <w:snapToGrid w:val="0"/>
        <w:spacing w:line="500" w:lineRule="exact"/>
        <w:ind w:firstLine="570"/>
        <w:rPr>
          <w:rFonts w:ascii="宋体" w:hAnsi="宋体" w:cs="宋体"/>
          <w:color w:val="auto"/>
          <w:sz w:val="24"/>
          <w:highlight w:val="none"/>
        </w:rPr>
      </w:pPr>
    </w:p>
    <w:p w14:paraId="5A7511CA">
      <w:pPr>
        <w:tabs>
          <w:tab w:val="left" w:pos="6300"/>
        </w:tabs>
        <w:snapToGrid w:val="0"/>
        <w:spacing w:line="500" w:lineRule="exact"/>
        <w:ind w:firstLine="570"/>
        <w:rPr>
          <w:rFonts w:ascii="宋体" w:hAnsi="宋体" w:cs="宋体"/>
          <w:color w:val="auto"/>
          <w:sz w:val="24"/>
          <w:highlight w:val="none"/>
        </w:rPr>
      </w:pPr>
    </w:p>
    <w:p w14:paraId="483B5C7A">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sz w:val="24"/>
          <w:szCs w:val="24"/>
          <w:highlight w:val="none"/>
        </w:rPr>
        <w:t>（三）法定代表人授权委托书（格式）</w:t>
      </w:r>
    </w:p>
    <w:p w14:paraId="209213EE">
      <w:pPr>
        <w:pStyle w:val="70"/>
        <w:rPr>
          <w:rFonts w:hAnsi="宋体" w:cs="宋体"/>
          <w:color w:val="auto"/>
          <w:highlight w:val="none"/>
        </w:rPr>
      </w:pPr>
      <w:r>
        <w:rPr>
          <w:rFonts w:hint="eastAsia" w:hAnsi="宋体" w:cs="宋体"/>
          <w:color w:val="auto"/>
          <w:highlight w:val="none"/>
        </w:rPr>
        <w:t xml:space="preserve">    </w:t>
      </w:r>
    </w:p>
    <w:p w14:paraId="2002C47A">
      <w:pPr>
        <w:pStyle w:val="70"/>
        <w:rPr>
          <w:rFonts w:hAnsi="宋体" w:cs="宋体"/>
          <w:color w:val="auto"/>
          <w:highlight w:val="none"/>
        </w:rPr>
      </w:pPr>
      <w:sdt>
        <w:sdtPr>
          <w:rPr>
            <w:rFonts w:hint="eastAsia" w:hAnsi="宋体" w:cs="宋体"/>
            <w:color w:val="auto"/>
            <w:kern w:val="2"/>
            <w:sz w:val="21"/>
            <w:highlight w:val="none"/>
          </w:rPr>
          <w:id w:val="147452959"/>
          <w:showingPlcHdr/>
          <w:docPartObj>
            <w:docPartGallery w:val="Table of Contents"/>
            <w:docPartUnique/>
          </w:docPartObj>
        </w:sdtPr>
        <w:sdtEndPr>
          <w:rPr>
            <w:rFonts w:hint="eastAsia" w:hAnsi="宋体" w:cs="宋体"/>
            <w:color w:val="auto"/>
            <w:kern w:val="2"/>
            <w:sz w:val="21"/>
            <w:highlight w:val="none"/>
          </w:rPr>
        </w:sdtEndPr>
        <w:sdtContent/>
      </w:sdt>
    </w:p>
    <w:p w14:paraId="45D97B69">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szCs w:val="28"/>
          <w:highlight w:val="none"/>
        </w:rPr>
        <w:t>磋商项目名称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p>
    <w:p w14:paraId="1E7B5A2D">
      <w:pPr>
        <w:tabs>
          <w:tab w:val="left" w:pos="6300"/>
        </w:tabs>
        <w:snapToGrid w:val="0"/>
        <w:spacing w:line="500" w:lineRule="exact"/>
        <w:ind w:firstLine="570"/>
        <w:rPr>
          <w:rFonts w:ascii="宋体" w:hAnsi="宋体" w:cs="宋体"/>
          <w:color w:val="auto"/>
          <w:sz w:val="24"/>
          <w:highlight w:val="none"/>
        </w:rPr>
      </w:pPr>
    </w:p>
    <w:p w14:paraId="5C57D00A">
      <w:pPr>
        <w:tabs>
          <w:tab w:val="left" w:pos="6300"/>
        </w:tabs>
        <w:snapToGrid w:val="0"/>
        <w:spacing w:line="500" w:lineRule="exact"/>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0642934C">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（供应商法定代表人名称）是</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（供应商名称）的法定代表人，特授权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（被授权人姓名及身份证代码）代表我单位全权办理上述项目的磋商、签约等具体工作，并签署全部有关文件、协议及合同。</w:t>
      </w:r>
    </w:p>
    <w:p w14:paraId="076A6D63">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我单位对被授权人的</w:t>
      </w:r>
      <w:r>
        <w:rPr>
          <w:rFonts w:hint="eastAsia" w:ascii="宋体" w:hAnsi="宋体" w:cs="宋体"/>
          <w:color w:val="auto"/>
          <w:sz w:val="24"/>
          <w:szCs w:val="28"/>
          <w:highlight w:val="none"/>
        </w:rPr>
        <w:t>签署</w:t>
      </w:r>
      <w:r>
        <w:rPr>
          <w:rFonts w:hint="eastAsia" w:ascii="宋体" w:hAnsi="宋体" w:cs="宋体"/>
          <w:color w:val="auto"/>
          <w:sz w:val="24"/>
          <w:highlight w:val="none"/>
        </w:rPr>
        <w:t>负全部责任。</w:t>
      </w:r>
    </w:p>
    <w:p w14:paraId="4D8B74E9">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在撤销授权的书面通知以前，本授权书一直有效。被授权人在授权书有效期内签署的所有文件不因授权的撤销而失效。</w:t>
      </w:r>
    </w:p>
    <w:p w14:paraId="2904EFC0">
      <w:pPr>
        <w:tabs>
          <w:tab w:val="left" w:pos="6300"/>
        </w:tabs>
        <w:snapToGrid w:val="0"/>
        <w:spacing w:line="500" w:lineRule="exact"/>
        <w:ind w:firstLine="570"/>
        <w:rPr>
          <w:rFonts w:ascii="宋体" w:hAnsi="宋体" w:cs="宋体"/>
          <w:color w:val="auto"/>
          <w:sz w:val="24"/>
          <w:highlight w:val="none"/>
        </w:rPr>
      </w:pPr>
    </w:p>
    <w:p w14:paraId="73D791A0">
      <w:pPr>
        <w:tabs>
          <w:tab w:val="left" w:pos="6300"/>
        </w:tabs>
        <w:snapToGrid w:val="0"/>
        <w:spacing w:line="500" w:lineRule="exact"/>
        <w:ind w:firstLine="570"/>
        <w:rPr>
          <w:rFonts w:ascii="宋体" w:hAnsi="宋体" w:cs="宋体"/>
          <w:color w:val="auto"/>
          <w:sz w:val="24"/>
          <w:highlight w:val="none"/>
        </w:rPr>
      </w:pPr>
    </w:p>
    <w:p w14:paraId="4AB9D2BB">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被授权人：                                 供应商法定代表人：</w:t>
      </w:r>
    </w:p>
    <w:p w14:paraId="475B9380">
      <w:pPr>
        <w:tabs>
          <w:tab w:val="left" w:pos="6300"/>
        </w:tabs>
        <w:snapToGrid w:val="0"/>
        <w:spacing w:line="500" w:lineRule="exact"/>
        <w:ind w:firstLine="570"/>
        <w:rPr>
          <w:rFonts w:ascii="宋体" w:hAnsi="宋体" w:cs="宋体"/>
          <w:color w:val="auto"/>
          <w:sz w:val="24"/>
          <w:szCs w:val="28"/>
          <w:highlight w:val="none"/>
        </w:rPr>
      </w:pPr>
      <w:r>
        <w:rPr>
          <w:rFonts w:hint="eastAsia" w:ascii="宋体" w:hAnsi="宋体" w:cs="宋体"/>
          <w:color w:val="auto"/>
          <w:sz w:val="24"/>
          <w:szCs w:val="28"/>
          <w:highlight w:val="none"/>
        </w:rPr>
        <w:t>（签署或盖章）                                （签署或盖章）</w:t>
      </w:r>
    </w:p>
    <w:p w14:paraId="73EEAA86">
      <w:pPr>
        <w:tabs>
          <w:tab w:val="left" w:pos="6300"/>
        </w:tabs>
        <w:snapToGrid w:val="0"/>
        <w:spacing w:line="500" w:lineRule="exact"/>
        <w:ind w:firstLine="570"/>
        <w:rPr>
          <w:rFonts w:ascii="宋体" w:hAnsi="宋体" w:cs="宋体"/>
          <w:color w:val="auto"/>
          <w:sz w:val="24"/>
          <w:szCs w:val="28"/>
          <w:highlight w:val="none"/>
        </w:rPr>
      </w:pPr>
    </w:p>
    <w:p w14:paraId="56A84C14">
      <w:pPr>
        <w:tabs>
          <w:tab w:val="left" w:pos="6300"/>
        </w:tabs>
        <w:snapToGrid w:val="0"/>
        <w:spacing w:line="500" w:lineRule="exact"/>
        <w:ind w:firstLine="570"/>
        <w:rPr>
          <w:rFonts w:ascii="宋体" w:hAnsi="宋体" w:cs="宋体"/>
          <w:color w:val="auto"/>
          <w:sz w:val="24"/>
          <w:highlight w:val="none"/>
        </w:rPr>
      </w:pPr>
    </w:p>
    <w:p w14:paraId="44BBD3BD">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（附：被授权人身份证正反面复印件）</w:t>
      </w:r>
    </w:p>
    <w:p w14:paraId="72A04EDE">
      <w:pPr>
        <w:tabs>
          <w:tab w:val="left" w:pos="6300"/>
        </w:tabs>
        <w:snapToGrid w:val="0"/>
        <w:spacing w:line="500" w:lineRule="exact"/>
        <w:ind w:firstLine="570"/>
        <w:rPr>
          <w:rFonts w:ascii="宋体" w:hAnsi="宋体" w:cs="宋体"/>
          <w:color w:val="auto"/>
          <w:sz w:val="24"/>
          <w:highlight w:val="none"/>
        </w:rPr>
      </w:pPr>
      <w:r>
        <w:rPr>
          <w:rFonts w:hint="eastAsia" w:ascii="宋体" w:hAnsi="宋体" w:cs="宋体"/>
          <w:color w:val="auto"/>
          <w:sz w:val="24"/>
          <w:highlight w:val="none"/>
        </w:rPr>
        <w:t xml:space="preserve">                                          </w:t>
      </w:r>
    </w:p>
    <w:p w14:paraId="52CFDAE2">
      <w:pPr>
        <w:tabs>
          <w:tab w:val="left" w:pos="6300"/>
        </w:tabs>
        <w:snapToGrid w:val="0"/>
        <w:spacing w:line="500" w:lineRule="exact"/>
        <w:ind w:firstLine="570"/>
        <w:rPr>
          <w:rFonts w:ascii="宋体" w:hAnsi="宋体" w:cs="宋体"/>
          <w:color w:val="auto"/>
          <w:sz w:val="24"/>
          <w:highlight w:val="none"/>
        </w:rPr>
      </w:pPr>
    </w:p>
    <w:p w14:paraId="4A318E99">
      <w:pPr>
        <w:tabs>
          <w:tab w:val="left" w:pos="6300"/>
        </w:tabs>
        <w:snapToGrid w:val="0"/>
        <w:spacing w:line="500" w:lineRule="exact"/>
        <w:ind w:firstLine="570"/>
        <w:rPr>
          <w:rFonts w:ascii="宋体" w:hAnsi="宋体" w:cs="宋体"/>
          <w:color w:val="auto"/>
          <w:sz w:val="24"/>
          <w:highlight w:val="none"/>
        </w:rPr>
      </w:pPr>
    </w:p>
    <w:p w14:paraId="7686658C">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（供应商公章）</w:t>
      </w:r>
    </w:p>
    <w:p w14:paraId="7854EFA0">
      <w:pPr>
        <w:tabs>
          <w:tab w:val="left" w:pos="6300"/>
        </w:tabs>
        <w:snapToGrid w:val="0"/>
        <w:spacing w:line="500" w:lineRule="exact"/>
        <w:ind w:right="480" w:firstLine="570"/>
        <w:jc w:val="right"/>
        <w:rPr>
          <w:rFonts w:ascii="宋体" w:hAnsi="宋体" w:cs="宋体"/>
          <w:color w:val="auto"/>
          <w:sz w:val="24"/>
          <w:highlight w:val="none"/>
        </w:rPr>
      </w:pPr>
      <w:r>
        <w:rPr>
          <w:rFonts w:hint="eastAsia" w:ascii="宋体" w:hAnsi="宋体" w:cs="宋体"/>
          <w:color w:val="auto"/>
          <w:sz w:val="24"/>
          <w:highlight w:val="none"/>
        </w:rPr>
        <w:t>年   月   日</w:t>
      </w:r>
    </w:p>
    <w:p w14:paraId="07F1DB21">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被授权人电话：XXXXXXX     电子邮箱：XXXXXX@XXXXX（若法定代表人办理并签署响应文件的可不填写）</w:t>
      </w:r>
    </w:p>
    <w:p w14:paraId="7246F7D6">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注：</w:t>
      </w:r>
    </w:p>
    <w:p w14:paraId="766FB5F4">
      <w:pPr>
        <w:tabs>
          <w:tab w:val="left" w:pos="6300"/>
        </w:tabs>
        <w:snapToGrid w:val="0"/>
        <w:spacing w:line="500" w:lineRule="exact"/>
        <w:ind w:right="480" w:firstLine="570"/>
        <w:jc w:val="left"/>
        <w:rPr>
          <w:rFonts w:ascii="宋体" w:hAnsi="宋体" w:cs="宋体"/>
          <w:color w:val="auto"/>
          <w:sz w:val="24"/>
          <w:highlight w:val="none"/>
        </w:rPr>
      </w:pPr>
      <w:r>
        <w:rPr>
          <w:rFonts w:hint="eastAsia" w:ascii="宋体" w:hAnsi="宋体" w:cs="宋体"/>
          <w:color w:val="auto"/>
          <w:sz w:val="24"/>
          <w:highlight w:val="none"/>
        </w:rPr>
        <w:t>1.若为法定代表人办理并签署响应文件的，不提供此文件。</w:t>
      </w:r>
    </w:p>
    <w:p w14:paraId="0A724A95">
      <w:pPr>
        <w:tabs>
          <w:tab w:val="left" w:pos="6300"/>
        </w:tabs>
        <w:snapToGrid w:val="0"/>
        <w:spacing w:line="500" w:lineRule="exact"/>
        <w:rPr>
          <w:rFonts w:ascii="宋体" w:hAnsi="宋体" w:cs="宋体"/>
          <w:color w:val="auto"/>
          <w:sz w:val="24"/>
          <w:szCs w:val="24"/>
          <w:highlight w:val="none"/>
        </w:rPr>
      </w:pPr>
      <w:r>
        <w:rPr>
          <w:rFonts w:hint="eastAsia" w:ascii="宋体" w:hAnsi="宋体" w:cs="宋体"/>
          <w:color w:val="auto"/>
          <w:highlight w:val="none"/>
        </w:rPr>
        <w:br w:type="column"/>
      </w:r>
      <w:r>
        <w:rPr>
          <w:rFonts w:hint="eastAsia" w:ascii="宋体" w:hAnsi="宋体" w:cs="宋体"/>
          <w:color w:val="auto"/>
          <w:highlight w:val="none"/>
        </w:rPr>
        <w:t xml:space="preserve">   </w:t>
      </w:r>
      <w:r>
        <w:rPr>
          <w:rFonts w:hint="eastAsia" w:ascii="宋体" w:hAnsi="宋体" w:cs="宋体"/>
          <w:color w:val="auto"/>
          <w:sz w:val="24"/>
          <w:szCs w:val="24"/>
          <w:highlight w:val="none"/>
        </w:rPr>
        <w:t>（四）</w:t>
      </w:r>
      <w:r>
        <w:rPr>
          <w:rFonts w:hint="eastAsia" w:ascii="宋体" w:hAnsi="宋体" w:cs="宋体"/>
          <w:color w:val="auto"/>
          <w:sz w:val="24"/>
          <w:szCs w:val="28"/>
          <w:highlight w:val="none"/>
        </w:rPr>
        <w:t>基本资格条件承诺函</w:t>
      </w:r>
    </w:p>
    <w:p w14:paraId="28E10F60">
      <w:pPr>
        <w:tabs>
          <w:tab w:val="left" w:pos="6300"/>
        </w:tabs>
        <w:snapToGrid w:val="0"/>
        <w:spacing w:line="500" w:lineRule="exact"/>
        <w:ind w:firstLine="643" w:firstLineChars="20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基本资格条件承诺函</w:t>
      </w:r>
    </w:p>
    <w:p w14:paraId="024E1990">
      <w:pPr>
        <w:tabs>
          <w:tab w:val="left" w:pos="6300"/>
        </w:tabs>
        <w:snapToGrid w:val="0"/>
        <w:spacing w:line="530" w:lineRule="exact"/>
        <w:rPr>
          <w:rFonts w:ascii="宋体" w:hAnsi="宋体" w:cs="宋体"/>
          <w:color w:val="auto"/>
          <w:sz w:val="24"/>
          <w:highlight w:val="none"/>
        </w:rPr>
      </w:pPr>
    </w:p>
    <w:p w14:paraId="710B3D2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（采购代理机构名称）：</w:t>
      </w:r>
    </w:p>
    <w:p w14:paraId="7B7C5922">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（供应商名称）郑重承诺：</w:t>
      </w:r>
    </w:p>
    <w:p w14:paraId="470EEF37">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1.我方具有良好的商业信誉和健全的财务会计制度，具有履行合同所必需的设备和专业技术能力，具</w:t>
      </w:r>
      <w:r>
        <w:rPr>
          <w:rFonts w:hint="eastAsia" w:ascii="宋体" w:hAnsi="宋体" w:cs="宋体"/>
          <w:color w:val="auto"/>
          <w:sz w:val="24"/>
          <w:highlight w:val="none"/>
          <w:lang w:val="zh-CN"/>
        </w:rPr>
        <w:t>有依法缴纳税收和社会保障金的良好记录</w:t>
      </w:r>
      <w:r>
        <w:rPr>
          <w:rFonts w:hint="eastAsia" w:ascii="宋体" w:hAnsi="宋体" w:cs="宋体"/>
          <w:color w:val="auto"/>
          <w:sz w:val="24"/>
          <w:highlight w:val="none"/>
        </w:rPr>
        <w:t>，参加本项目采购活动前三年内无重大违法活动记录。</w:t>
      </w:r>
    </w:p>
    <w:p w14:paraId="7AFAED4F">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22B24330">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791D476E">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我方对以上承诺负全部法律责任。</w:t>
      </w:r>
    </w:p>
    <w:p w14:paraId="6E1F20BD">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77251077">
      <w:pPr>
        <w:tabs>
          <w:tab w:val="left" w:pos="6300"/>
        </w:tabs>
        <w:snapToGrid w:val="0"/>
        <w:spacing w:line="500" w:lineRule="exact"/>
        <w:ind w:firstLine="480" w:firstLineChars="200"/>
        <w:rPr>
          <w:rFonts w:ascii="宋体" w:hAnsi="宋体" w:cs="宋体"/>
          <w:color w:val="auto"/>
          <w:sz w:val="24"/>
          <w:highlight w:val="none"/>
        </w:rPr>
      </w:pPr>
    </w:p>
    <w:p w14:paraId="3F4BFF23">
      <w:pPr>
        <w:tabs>
          <w:tab w:val="left" w:pos="6300"/>
        </w:tabs>
        <w:snapToGrid w:val="0"/>
        <w:spacing w:line="500" w:lineRule="exact"/>
        <w:ind w:firstLine="480" w:firstLineChars="200"/>
        <w:jc w:val="right"/>
        <w:rPr>
          <w:rFonts w:ascii="宋体" w:hAnsi="宋体" w:cs="宋体"/>
          <w:color w:val="auto"/>
          <w:sz w:val="24"/>
          <w:highlight w:val="none"/>
        </w:rPr>
      </w:pPr>
      <w:r>
        <w:rPr>
          <w:rFonts w:hint="eastAsia" w:ascii="宋体" w:hAnsi="宋体" w:cs="宋体"/>
          <w:color w:val="auto"/>
          <w:sz w:val="24"/>
          <w:highlight w:val="none"/>
        </w:rPr>
        <w:t>（供应商公章）</w:t>
      </w:r>
    </w:p>
    <w:p w14:paraId="76171862">
      <w:pPr>
        <w:tabs>
          <w:tab w:val="left" w:pos="6300"/>
        </w:tabs>
        <w:snapToGrid w:val="0"/>
        <w:spacing w:line="500" w:lineRule="exact"/>
        <w:jc w:val="right"/>
        <w:rPr>
          <w:rFonts w:ascii="宋体" w:hAnsi="宋体" w:cs="宋体"/>
          <w:color w:val="auto"/>
          <w:sz w:val="24"/>
          <w:szCs w:val="24"/>
          <w:highlight w:val="none"/>
        </w:rPr>
      </w:pPr>
      <w:r>
        <w:rPr>
          <w:rFonts w:hint="eastAsia" w:ascii="宋体" w:hAnsi="宋体" w:cs="宋体"/>
          <w:color w:val="auto"/>
          <w:sz w:val="24"/>
          <w:highlight w:val="none"/>
        </w:rPr>
        <w:t>年   月   日</w:t>
      </w:r>
    </w:p>
    <w:p w14:paraId="2C74D659">
      <w:pPr>
        <w:snapToGrid w:val="0"/>
        <w:spacing w:line="400" w:lineRule="exact"/>
        <w:ind w:firstLine="560" w:firstLineChars="200"/>
        <w:rPr>
          <w:rFonts w:ascii="宋体" w:hAnsi="宋体" w:cs="宋体"/>
          <w:color w:val="auto"/>
          <w:sz w:val="24"/>
          <w:szCs w:val="24"/>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（五）特定资格条件证明文件</w:t>
      </w:r>
    </w:p>
    <w:p w14:paraId="79632E4E">
      <w:pPr>
        <w:tabs>
          <w:tab w:val="left" w:pos="6300"/>
        </w:tabs>
        <w:snapToGrid w:val="0"/>
        <w:spacing w:line="400" w:lineRule="exact"/>
        <w:ind w:firstLine="480" w:firstLineChars="200"/>
        <w:rPr>
          <w:rFonts w:ascii="宋体" w:hAnsi="宋体" w:cs="宋体"/>
          <w:color w:val="auto"/>
          <w:sz w:val="24"/>
          <w:szCs w:val="24"/>
          <w:highlight w:val="none"/>
        </w:rPr>
      </w:pPr>
    </w:p>
    <w:p w14:paraId="7C2D5C55">
      <w:pPr>
        <w:pStyle w:val="5"/>
        <w:adjustRightInd w:val="0"/>
        <w:snapToGrid w:val="0"/>
        <w:spacing w:before="0" w:after="0" w:line="400" w:lineRule="exact"/>
        <w:ind w:firstLine="560" w:firstLineChars="200"/>
        <w:rPr>
          <w:rFonts w:ascii="宋体" w:hAnsi="宋体" w:eastAsia="宋体" w:cs="宋体"/>
          <w:color w:val="auto"/>
          <w:sz w:val="24"/>
          <w:highlight w:val="none"/>
        </w:rPr>
      </w:pPr>
      <w:bookmarkStart w:id="319" w:name="_Toc14422"/>
      <w:r>
        <w:rPr>
          <w:rFonts w:hint="eastAsia" w:ascii="宋体" w:hAnsi="宋体" w:eastAsia="宋体" w:cs="宋体"/>
          <w:b w:val="0"/>
          <w:color w:val="auto"/>
          <w:sz w:val="28"/>
          <w:highlight w:val="none"/>
        </w:rPr>
        <w:br w:type="page"/>
      </w:r>
      <w:bookmarkStart w:id="320" w:name="_Toc23277"/>
      <w:bookmarkStart w:id="321" w:name="_Toc76462354"/>
      <w:bookmarkStart w:id="322" w:name="_Toc106030910"/>
      <w:bookmarkStart w:id="323" w:name="_Toc23123"/>
      <w:bookmarkStart w:id="324" w:name="_Toc18392"/>
      <w:bookmarkStart w:id="325" w:name="_Toc21838"/>
      <w:bookmarkStart w:id="326" w:name="_Toc2552"/>
      <w:r>
        <w:rPr>
          <w:rFonts w:hint="eastAsia" w:ascii="宋体" w:hAnsi="宋体" w:eastAsia="宋体" w:cs="宋体"/>
          <w:color w:val="auto"/>
          <w:sz w:val="24"/>
          <w:highlight w:val="none"/>
        </w:rPr>
        <w:t>五、其他资料</w:t>
      </w:r>
      <w:bookmarkEnd w:id="319"/>
      <w:bookmarkEnd w:id="320"/>
      <w:bookmarkEnd w:id="321"/>
      <w:bookmarkEnd w:id="322"/>
      <w:bookmarkEnd w:id="323"/>
      <w:bookmarkEnd w:id="324"/>
      <w:bookmarkEnd w:id="325"/>
      <w:bookmarkEnd w:id="326"/>
    </w:p>
    <w:p w14:paraId="104D4005">
      <w:pPr>
        <w:tabs>
          <w:tab w:val="left" w:pos="6300"/>
        </w:tabs>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（一）中小企业声明函、监狱企业证明文件、残疾人福利性单位声明函</w:t>
      </w:r>
    </w:p>
    <w:p w14:paraId="5AEC030B">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中小企业声明函</w:t>
      </w:r>
    </w:p>
    <w:p w14:paraId="1707AEE1">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本公司（联合体）郑重声明，根据《政府采购促进中小企业发展管理办法》（</w:t>
      </w:r>
      <w:r>
        <w:rPr>
          <w:rFonts w:hint="eastAsia" w:ascii="宋体" w:hAnsi="宋体" w:cs="宋体"/>
          <w:color w:val="auto"/>
          <w:sz w:val="24"/>
          <w:szCs w:val="24"/>
          <w:highlight w:val="none"/>
        </w:rPr>
        <w:t>财库〔2020〕46号</w:t>
      </w:r>
      <w:r>
        <w:rPr>
          <w:rFonts w:hint="eastAsia" w:ascii="宋体" w:hAnsi="宋体" w:cs="宋体"/>
          <w:color w:val="auto"/>
          <w:sz w:val="24"/>
          <w:szCs w:val="28"/>
          <w:highlight w:val="none"/>
        </w:rPr>
        <w:t>）的规定，本公司（联合体）参加</w:t>
      </w:r>
      <w:r>
        <w:rPr>
          <w:rFonts w:hint="eastAsia" w:ascii="宋体" w:hAnsi="宋体" w:cs="宋体"/>
          <w:i/>
          <w:color w:val="auto"/>
          <w:sz w:val="24"/>
          <w:szCs w:val="28"/>
          <w:highlight w:val="none"/>
          <w:u w:val="single"/>
        </w:rPr>
        <w:t>（单位名称）</w:t>
      </w:r>
      <w:r>
        <w:rPr>
          <w:rFonts w:hint="eastAsia" w:ascii="宋体" w:hAnsi="宋体" w:cs="宋体"/>
          <w:color w:val="auto"/>
          <w:sz w:val="24"/>
          <w:szCs w:val="28"/>
          <w:highlight w:val="none"/>
        </w:rPr>
        <w:t>的</w:t>
      </w:r>
      <w:r>
        <w:rPr>
          <w:rFonts w:hint="eastAsia" w:ascii="宋体" w:hAnsi="宋体" w:cs="宋体"/>
          <w:i/>
          <w:color w:val="auto"/>
          <w:sz w:val="24"/>
          <w:szCs w:val="28"/>
          <w:highlight w:val="none"/>
          <w:u w:val="single"/>
        </w:rPr>
        <w:t>（项目名称）</w:t>
      </w:r>
      <w:r>
        <w:rPr>
          <w:rFonts w:hint="eastAsia" w:ascii="宋体" w:hAnsi="宋体" w:cs="宋体"/>
          <w:color w:val="auto"/>
          <w:sz w:val="24"/>
          <w:szCs w:val="28"/>
          <w:highlight w:val="none"/>
        </w:rPr>
        <w:t>采购活动，</w:t>
      </w:r>
      <w:r>
        <w:rPr>
          <w:rFonts w:hint="eastAsia" w:ascii="宋体" w:hAnsi="宋体" w:cs="宋体"/>
          <w:color w:val="auto"/>
          <w:sz w:val="24"/>
          <w:szCs w:val="28"/>
          <w:highlight w:val="none"/>
          <w:lang w:val="en-US" w:eastAsia="zh-CN"/>
        </w:rPr>
        <w:t>工程内容全部由符合政策要求的中小企业承接</w:t>
      </w:r>
      <w:r>
        <w:rPr>
          <w:rFonts w:hint="eastAsia" w:ascii="宋体" w:hAnsi="宋体" w:cs="宋体"/>
          <w:color w:val="auto"/>
          <w:sz w:val="24"/>
          <w:szCs w:val="28"/>
          <w:highlight w:val="none"/>
        </w:rPr>
        <w:t>。相关企业（含联合体中的中小企业、签订分包意向协议的中小企业）的具体情况如下：</w:t>
      </w:r>
    </w:p>
    <w:p w14:paraId="4DA9E390">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1.</w:t>
      </w:r>
      <w:r>
        <w:rPr>
          <w:rFonts w:hint="eastAsia" w:ascii="宋体" w:hAnsi="宋体" w:cs="宋体"/>
          <w:i/>
          <w:color w:val="auto"/>
          <w:sz w:val="24"/>
          <w:szCs w:val="28"/>
          <w:highlight w:val="none"/>
          <w:u w:val="single"/>
        </w:rPr>
        <w:t>（标的名称）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；承接企业为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019A7487">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2.</w:t>
      </w:r>
      <w:r>
        <w:rPr>
          <w:rFonts w:hint="eastAsia" w:ascii="宋体" w:hAnsi="宋体" w:cs="宋体"/>
          <w:i/>
          <w:color w:val="auto"/>
          <w:sz w:val="24"/>
          <w:szCs w:val="28"/>
          <w:highlight w:val="none"/>
          <w:u w:val="single"/>
        </w:rPr>
        <w:t xml:space="preserve"> （标的名称）</w:t>
      </w:r>
      <w:r>
        <w:rPr>
          <w:rFonts w:hint="eastAsia" w:ascii="宋体" w:hAnsi="宋体" w:cs="宋体"/>
          <w:color w:val="auto"/>
          <w:sz w:val="24"/>
          <w:szCs w:val="28"/>
          <w:highlight w:val="none"/>
        </w:rPr>
        <w:t>，属于</w:t>
      </w:r>
      <w:r>
        <w:rPr>
          <w:rFonts w:hint="eastAsia" w:ascii="宋体" w:hAnsi="宋体" w:cs="宋体"/>
          <w:i/>
          <w:color w:val="auto"/>
          <w:sz w:val="24"/>
          <w:szCs w:val="28"/>
          <w:highlight w:val="none"/>
          <w:u w:val="single"/>
        </w:rPr>
        <w:t>（采购文件中明确的所属行业）</w:t>
      </w:r>
      <w:r>
        <w:rPr>
          <w:rFonts w:hint="eastAsia" w:ascii="宋体" w:hAnsi="宋体" w:cs="宋体"/>
          <w:color w:val="auto"/>
          <w:sz w:val="24"/>
          <w:szCs w:val="28"/>
          <w:highlight w:val="none"/>
        </w:rPr>
        <w:t>；承接企业为</w:t>
      </w:r>
      <w:r>
        <w:rPr>
          <w:rFonts w:hint="eastAsia" w:ascii="宋体" w:hAnsi="宋体" w:cs="宋体"/>
          <w:i/>
          <w:color w:val="auto"/>
          <w:sz w:val="24"/>
          <w:szCs w:val="28"/>
          <w:highlight w:val="none"/>
          <w:u w:val="single"/>
        </w:rPr>
        <w:t>（企业名称）</w:t>
      </w:r>
      <w:r>
        <w:rPr>
          <w:rFonts w:hint="eastAsia" w:ascii="宋体" w:hAnsi="宋体" w:cs="宋体"/>
          <w:color w:val="auto"/>
          <w:sz w:val="24"/>
          <w:szCs w:val="28"/>
          <w:highlight w:val="none"/>
        </w:rPr>
        <w:t>，从业人员</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人，营业收入为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万元，资产总额为</w:t>
      </w:r>
      <w:r>
        <w:rPr>
          <w:rFonts w:hint="eastAsia" w:ascii="宋体" w:hAnsi="宋体" w:cs="宋体"/>
          <w:color w:val="auto"/>
          <w:sz w:val="24"/>
          <w:szCs w:val="28"/>
          <w:highlight w:val="none"/>
          <w:u w:val="single"/>
        </w:rPr>
        <w:t xml:space="preserve">    </w:t>
      </w:r>
      <w:r>
        <w:rPr>
          <w:rFonts w:hint="eastAsia" w:ascii="宋体" w:hAnsi="宋体" w:cs="宋体"/>
          <w:color w:val="auto"/>
          <w:sz w:val="24"/>
          <w:szCs w:val="28"/>
          <w:highlight w:val="none"/>
        </w:rPr>
        <w:t>万元，属于</w:t>
      </w:r>
      <w:r>
        <w:rPr>
          <w:rFonts w:hint="eastAsia" w:ascii="宋体" w:hAnsi="宋体" w:cs="宋体"/>
          <w:i/>
          <w:color w:val="auto"/>
          <w:sz w:val="24"/>
          <w:szCs w:val="28"/>
          <w:highlight w:val="none"/>
          <w:u w:val="single"/>
        </w:rPr>
        <w:t>（中型企业、小型企业、微型企业）</w:t>
      </w:r>
      <w:r>
        <w:rPr>
          <w:rFonts w:hint="eastAsia" w:ascii="宋体" w:hAnsi="宋体" w:cs="宋体"/>
          <w:color w:val="auto"/>
          <w:sz w:val="24"/>
          <w:szCs w:val="28"/>
          <w:highlight w:val="none"/>
        </w:rPr>
        <w:t>；</w:t>
      </w:r>
    </w:p>
    <w:p w14:paraId="23B69167">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w:t>
      </w:r>
    </w:p>
    <w:p w14:paraId="1F5CD3E5">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以上企业，不属于大企业的分支机构，不存在控股股东为大企业的情形，也不存在与大企业的负责人为同一人的情形。</w:t>
      </w:r>
    </w:p>
    <w:p w14:paraId="28F7E653">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本企业对上述声明内容的真实性负责。如有虚假，将依法承担相应责任。</w:t>
      </w:r>
    </w:p>
    <w:p w14:paraId="6B762736">
      <w:pPr>
        <w:tabs>
          <w:tab w:val="left" w:pos="6300"/>
        </w:tabs>
        <w:snapToGrid w:val="0"/>
        <w:spacing w:line="500" w:lineRule="exact"/>
        <w:ind w:firstLine="480" w:firstLineChars="200"/>
        <w:rPr>
          <w:rFonts w:ascii="宋体" w:hAnsi="宋体" w:cs="宋体"/>
          <w:color w:val="auto"/>
          <w:sz w:val="24"/>
          <w:szCs w:val="28"/>
          <w:highlight w:val="none"/>
        </w:rPr>
      </w:pPr>
      <w:r>
        <w:rPr>
          <w:rFonts w:hint="eastAsia" w:ascii="宋体" w:hAnsi="宋体" w:cs="宋体"/>
          <w:color w:val="auto"/>
          <w:sz w:val="24"/>
          <w:szCs w:val="28"/>
          <w:highlight w:val="none"/>
        </w:rPr>
        <w:t xml:space="preserve">                                                    </w:t>
      </w:r>
    </w:p>
    <w:p w14:paraId="53B0E07C">
      <w:pPr>
        <w:tabs>
          <w:tab w:val="left" w:pos="6300"/>
        </w:tabs>
        <w:snapToGrid w:val="0"/>
        <w:spacing w:line="500" w:lineRule="exact"/>
        <w:ind w:firstLine="6120" w:firstLineChars="2550"/>
        <w:rPr>
          <w:rFonts w:ascii="宋体" w:hAnsi="宋体" w:cs="宋体"/>
          <w:color w:val="auto"/>
          <w:sz w:val="24"/>
          <w:szCs w:val="28"/>
          <w:highlight w:val="none"/>
        </w:rPr>
      </w:pPr>
      <w:r>
        <w:rPr>
          <w:rFonts w:hint="eastAsia" w:ascii="宋体" w:hAnsi="宋体" w:cs="宋体"/>
          <w:color w:val="auto"/>
          <w:sz w:val="24"/>
          <w:szCs w:val="28"/>
          <w:highlight w:val="none"/>
        </w:rPr>
        <w:t xml:space="preserve">企业名称（盖章）： </w:t>
      </w:r>
    </w:p>
    <w:p w14:paraId="3B19BCC3">
      <w:pPr>
        <w:tabs>
          <w:tab w:val="left" w:pos="6300"/>
        </w:tabs>
        <w:snapToGrid w:val="0"/>
        <w:spacing w:line="500" w:lineRule="exact"/>
        <w:ind w:right="784" w:firstLine="6120" w:firstLineChars="2550"/>
        <w:rPr>
          <w:rFonts w:ascii="宋体" w:hAnsi="宋体" w:cs="宋体"/>
          <w:color w:val="auto"/>
          <w:sz w:val="24"/>
          <w:highlight w:val="none"/>
        </w:rPr>
      </w:pPr>
      <w:r>
        <w:rPr>
          <w:rFonts w:hint="eastAsia" w:ascii="宋体" w:hAnsi="宋体" w:cs="宋体"/>
          <w:color w:val="auto"/>
          <w:sz w:val="24"/>
          <w:szCs w:val="28"/>
          <w:highlight w:val="none"/>
        </w:rPr>
        <w:t>日期：</w:t>
      </w:r>
    </w:p>
    <w:p w14:paraId="50D7055E">
      <w:pPr>
        <w:tabs>
          <w:tab w:val="left" w:pos="6300"/>
        </w:tabs>
        <w:snapToGrid w:val="0"/>
        <w:rPr>
          <w:rFonts w:ascii="宋体" w:hAnsi="宋体" w:cs="宋体"/>
          <w:color w:val="auto"/>
          <w:kern w:val="0"/>
          <w:sz w:val="21"/>
          <w:szCs w:val="21"/>
          <w:highlight w:val="none"/>
        </w:rPr>
      </w:pPr>
      <w:r>
        <w:rPr>
          <w:rFonts w:hint="eastAsia" w:ascii="宋体" w:hAnsi="宋体" w:cs="宋体"/>
          <w:color w:val="auto"/>
          <w:kern w:val="0"/>
          <w:sz w:val="21"/>
          <w:szCs w:val="21"/>
          <w:highlight w:val="none"/>
        </w:rPr>
        <w:t>填写时应注意以下事项：</w:t>
      </w:r>
    </w:p>
    <w:p w14:paraId="5FD79547">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1.从业人员、营业收入、资产总额填报上一年度数据，无上一年度数据的新成立企业可不填报。</w:t>
      </w:r>
    </w:p>
    <w:p w14:paraId="7430D76E">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2.中小企业应当按照《中小企业划型标准规定》（工信部联企业〔2011〕300号），如实填写并提交《中小企业声明函》。</w:t>
      </w:r>
    </w:p>
    <w:p w14:paraId="084BAC04">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3.供应商填写《中小企业声明函》中所属行业时，应与采购文件第一篇“采购标的对应的中小企业划分标准所属行业”中填写的所属行业一致。</w:t>
      </w:r>
    </w:p>
    <w:p w14:paraId="177A5DAE">
      <w:pPr>
        <w:tabs>
          <w:tab w:val="left" w:pos="6300"/>
        </w:tabs>
        <w:snapToGrid w:val="0"/>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4.本声明函“企业名称（盖章）”处为供应商盖章。</w:t>
      </w:r>
    </w:p>
    <w:p w14:paraId="20C13AF0">
      <w:pPr>
        <w:tabs>
          <w:tab w:val="left" w:pos="6300"/>
        </w:tabs>
        <w:snapToGrid w:val="0"/>
        <w:ind w:firstLine="420" w:firstLineChars="200"/>
        <w:rPr>
          <w:rFonts w:ascii="宋体" w:hAnsi="宋体" w:cs="宋体"/>
          <w:color w:val="auto"/>
          <w:kern w:val="0"/>
          <w:sz w:val="21"/>
          <w:szCs w:val="21"/>
          <w:highlight w:val="none"/>
        </w:rPr>
        <w:sectPr>
          <w:pgSz w:w="11905" w:h="16838"/>
          <w:pgMar w:top="1417" w:right="1417" w:bottom="1417" w:left="1417" w:header="1003" w:footer="986" w:gutter="0"/>
          <w:cols w:space="0" w:num="1"/>
          <w:rtlGutter w:val="0"/>
          <w:docGrid w:linePitch="389" w:charSpace="0"/>
        </w:sectPr>
      </w:pPr>
    </w:p>
    <w:p w14:paraId="37A63E03">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注：各行业划型标准：</w:t>
      </w:r>
    </w:p>
    <w:p w14:paraId="0DC956AF">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20743AA">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14E79CF">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B4120C8">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C3D5639">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48E1769">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56E2B5B9">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D736E20">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6E668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358979C">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7BDC777">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6E6D10C">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19EED92">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9BB30D4">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D312F15">
      <w:pPr>
        <w:tabs>
          <w:tab w:val="left" w:pos="6300"/>
        </w:tabs>
        <w:snapToGrid w:val="0"/>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AA0721D">
      <w:pPr>
        <w:tabs>
          <w:tab w:val="left" w:pos="6300"/>
        </w:tabs>
        <w:snapToGrid w:val="0"/>
        <w:spacing w:line="360" w:lineRule="auto"/>
        <w:ind w:firstLine="570"/>
        <w:jc w:val="left"/>
        <w:rPr>
          <w:rFonts w:ascii="宋体" w:hAnsi="宋体" w:cs="宋体"/>
          <w:color w:val="auto"/>
          <w:sz w:val="24"/>
          <w:szCs w:val="24"/>
          <w:highlight w:val="none"/>
        </w:rPr>
      </w:pPr>
      <w:r>
        <w:rPr>
          <w:rFonts w:hint="eastAsia" w:ascii="宋体" w:hAnsi="宋体" w:cs="宋体"/>
          <w:color w:val="auto"/>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39321B6F">
      <w:pPr>
        <w:tabs>
          <w:tab w:val="left" w:pos="6300"/>
        </w:tabs>
        <w:snapToGrid w:val="0"/>
        <w:spacing w:line="360" w:lineRule="auto"/>
        <w:ind w:firstLine="570"/>
        <w:jc w:val="left"/>
        <w:rPr>
          <w:rFonts w:ascii="宋体" w:hAnsi="宋体" w:cs="宋体"/>
          <w:color w:val="auto"/>
          <w:sz w:val="24"/>
          <w:szCs w:val="24"/>
          <w:highlight w:val="none"/>
        </w:rPr>
      </w:pPr>
    </w:p>
    <w:p w14:paraId="620AFD9D">
      <w:pPr>
        <w:tabs>
          <w:tab w:val="left" w:pos="6300"/>
        </w:tabs>
        <w:snapToGrid w:val="0"/>
        <w:spacing w:line="360" w:lineRule="auto"/>
        <w:ind w:firstLine="570"/>
        <w:jc w:val="left"/>
        <w:rPr>
          <w:rFonts w:ascii="宋体" w:hAnsi="宋体" w:cs="宋体"/>
          <w:color w:val="auto"/>
          <w:sz w:val="24"/>
          <w:szCs w:val="24"/>
          <w:highlight w:val="none"/>
        </w:rPr>
      </w:pPr>
    </w:p>
    <w:p w14:paraId="32A9C97C">
      <w:pPr>
        <w:tabs>
          <w:tab w:val="left" w:pos="6300"/>
        </w:tabs>
        <w:snapToGrid w:val="0"/>
        <w:spacing w:line="500" w:lineRule="exact"/>
        <w:ind w:firstLine="560" w:firstLineChars="200"/>
        <w:jc w:val="center"/>
        <w:rPr>
          <w:rFonts w:hint="eastAsia" w:ascii="宋体" w:hAnsi="宋体" w:cs="宋体"/>
          <w:color w:val="auto"/>
          <w:highlight w:val="none"/>
        </w:rPr>
        <w:sectPr>
          <w:headerReference r:id="rId9" w:type="default"/>
          <w:pgSz w:w="11905" w:h="16838"/>
          <w:pgMar w:top="1417" w:right="1417" w:bottom="1417" w:left="1417" w:header="1003" w:footer="986" w:gutter="0"/>
          <w:cols w:space="0" w:num="1"/>
          <w:rtlGutter w:val="0"/>
          <w:docGrid w:linePitch="389" w:charSpace="0"/>
        </w:sectPr>
      </w:pPr>
    </w:p>
    <w:p w14:paraId="6FD21B5B">
      <w:pPr>
        <w:tabs>
          <w:tab w:val="left" w:pos="6300"/>
        </w:tabs>
        <w:snapToGrid w:val="0"/>
        <w:spacing w:line="500" w:lineRule="exact"/>
        <w:ind w:firstLine="560" w:firstLineChars="200"/>
        <w:jc w:val="center"/>
        <w:rPr>
          <w:rFonts w:ascii="宋体" w:hAnsi="宋体" w:cs="宋体"/>
          <w:color w:val="auto"/>
          <w:highlight w:val="none"/>
        </w:rPr>
      </w:pPr>
      <w:r>
        <w:rPr>
          <w:rFonts w:hint="eastAsia" w:ascii="宋体" w:hAnsi="宋体" w:cs="宋体"/>
          <w:color w:val="auto"/>
          <w:highlight w:val="none"/>
        </w:rPr>
        <w:t>监狱企业证明文件</w:t>
      </w:r>
    </w:p>
    <w:p w14:paraId="78C2EC0D">
      <w:pPr>
        <w:tabs>
          <w:tab w:val="left" w:pos="6300"/>
        </w:tabs>
        <w:snapToGrid w:val="0"/>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以省级以上监狱管理局、戒毒管理局（含新疆生产建设兵团）出具的属于监狱企业的证明文件为准。</w:t>
      </w:r>
    </w:p>
    <w:p w14:paraId="4D18F201">
      <w:pPr>
        <w:tabs>
          <w:tab w:val="left" w:pos="6300"/>
        </w:tabs>
        <w:snapToGrid w:val="0"/>
        <w:spacing w:line="500" w:lineRule="exact"/>
        <w:ind w:firstLine="480" w:firstLineChars="200"/>
        <w:jc w:val="center"/>
        <w:rPr>
          <w:rFonts w:ascii="宋体" w:hAnsi="宋体" w:cs="宋体"/>
          <w:color w:val="auto"/>
          <w:highlight w:val="none"/>
        </w:rPr>
      </w:pPr>
      <w:r>
        <w:rPr>
          <w:rFonts w:hint="eastAsia" w:ascii="宋体" w:hAnsi="宋体" w:cs="宋体"/>
          <w:color w:val="auto"/>
          <w:sz w:val="24"/>
          <w:highlight w:val="none"/>
        </w:rPr>
        <w:br w:type="page"/>
      </w:r>
      <w:r>
        <w:rPr>
          <w:rFonts w:hint="eastAsia" w:ascii="宋体" w:hAnsi="宋体" w:cs="宋体"/>
          <w:color w:val="auto"/>
          <w:highlight w:val="none"/>
        </w:rPr>
        <w:t>残疾人福利性单位声明函</w:t>
      </w:r>
    </w:p>
    <w:p w14:paraId="017F4B98">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D6D1A15">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DE725DC">
      <w:pPr>
        <w:tabs>
          <w:tab w:val="left" w:pos="6300"/>
        </w:tabs>
        <w:snapToGrid w:val="0"/>
        <w:spacing w:line="500" w:lineRule="exact"/>
        <w:ind w:firstLine="480" w:firstLineChars="200"/>
        <w:rPr>
          <w:rFonts w:ascii="宋体" w:hAnsi="宋体" w:cs="宋体"/>
          <w:color w:val="auto"/>
          <w:sz w:val="24"/>
          <w:highlight w:val="none"/>
        </w:rPr>
      </w:pPr>
    </w:p>
    <w:p w14:paraId="26A2E41F">
      <w:pPr>
        <w:tabs>
          <w:tab w:val="left" w:pos="6300"/>
        </w:tabs>
        <w:snapToGrid w:val="0"/>
        <w:spacing w:line="500" w:lineRule="exact"/>
        <w:ind w:firstLine="480" w:firstLineChars="200"/>
        <w:rPr>
          <w:rFonts w:ascii="宋体" w:hAnsi="宋体" w:cs="宋体"/>
          <w:color w:val="auto"/>
          <w:sz w:val="24"/>
          <w:highlight w:val="none"/>
        </w:rPr>
      </w:pPr>
    </w:p>
    <w:p w14:paraId="030E0721">
      <w:pPr>
        <w:tabs>
          <w:tab w:val="left" w:pos="6300"/>
        </w:tabs>
        <w:snapToGrid w:val="0"/>
        <w:spacing w:line="5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供应商名称（盖章）：</w:t>
      </w:r>
    </w:p>
    <w:p w14:paraId="7596A5F4">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日  期：</w:t>
      </w:r>
    </w:p>
    <w:p w14:paraId="4A475869">
      <w:pPr>
        <w:snapToGrid w:val="0"/>
        <w:spacing w:line="440" w:lineRule="exact"/>
        <w:ind w:firstLine="480" w:firstLineChars="200"/>
        <w:rPr>
          <w:rFonts w:ascii="宋体" w:hAnsi="宋体" w:cs="宋体"/>
          <w:color w:val="auto"/>
          <w:sz w:val="24"/>
          <w:highlight w:val="none"/>
        </w:rPr>
      </w:pPr>
    </w:p>
    <w:p w14:paraId="55145783">
      <w:pPr>
        <w:snapToGrid w:val="0"/>
        <w:spacing w:line="440" w:lineRule="exact"/>
        <w:ind w:firstLine="480" w:firstLineChars="200"/>
        <w:rPr>
          <w:rFonts w:ascii="宋体" w:hAnsi="宋体" w:cs="宋体"/>
          <w:color w:val="auto"/>
          <w:sz w:val="24"/>
          <w:highlight w:val="none"/>
        </w:rPr>
      </w:pPr>
    </w:p>
    <w:p w14:paraId="33E21642">
      <w:pPr>
        <w:snapToGrid w:val="0"/>
        <w:spacing w:line="440" w:lineRule="exact"/>
        <w:ind w:firstLine="480" w:firstLineChars="200"/>
        <w:rPr>
          <w:rFonts w:ascii="宋体" w:hAnsi="宋体" w:cs="宋体"/>
          <w:color w:val="auto"/>
          <w:sz w:val="24"/>
          <w:highlight w:val="none"/>
        </w:rPr>
      </w:pPr>
    </w:p>
    <w:p w14:paraId="3C09C461">
      <w:pPr>
        <w:snapToGrid w:val="0"/>
        <w:spacing w:line="440" w:lineRule="exact"/>
        <w:ind w:firstLine="480" w:firstLineChars="200"/>
        <w:rPr>
          <w:rFonts w:ascii="宋体" w:hAnsi="宋体" w:cs="宋体"/>
          <w:color w:val="auto"/>
          <w:sz w:val="24"/>
          <w:highlight w:val="none"/>
        </w:rPr>
      </w:pPr>
    </w:p>
    <w:p w14:paraId="1A5A311C">
      <w:pPr>
        <w:snapToGrid w:val="0"/>
        <w:spacing w:line="440" w:lineRule="exact"/>
        <w:ind w:firstLine="480" w:firstLineChars="200"/>
        <w:rPr>
          <w:rFonts w:ascii="宋体" w:hAnsi="宋体" w:cs="宋体"/>
          <w:color w:val="auto"/>
          <w:sz w:val="24"/>
          <w:highlight w:val="none"/>
        </w:rPr>
      </w:pPr>
    </w:p>
    <w:p w14:paraId="68A37D1E">
      <w:pPr>
        <w:snapToGrid w:val="0"/>
        <w:spacing w:line="440" w:lineRule="exact"/>
        <w:ind w:firstLine="480" w:firstLineChars="200"/>
        <w:rPr>
          <w:rFonts w:ascii="宋体" w:hAnsi="宋体" w:cs="宋体"/>
          <w:color w:val="auto"/>
          <w:sz w:val="24"/>
          <w:highlight w:val="none"/>
        </w:rPr>
      </w:pPr>
    </w:p>
    <w:p w14:paraId="3FFF32FA">
      <w:pPr>
        <w:snapToGrid w:val="0"/>
        <w:spacing w:line="440" w:lineRule="exact"/>
        <w:ind w:firstLine="480" w:firstLineChars="200"/>
        <w:rPr>
          <w:rFonts w:ascii="宋体" w:hAnsi="宋体" w:cs="宋体"/>
          <w:color w:val="auto"/>
          <w:sz w:val="24"/>
          <w:highlight w:val="none"/>
        </w:rPr>
      </w:pPr>
    </w:p>
    <w:p w14:paraId="2C5C3903">
      <w:pPr>
        <w:snapToGrid w:val="0"/>
        <w:spacing w:line="440" w:lineRule="exact"/>
        <w:ind w:firstLine="480" w:firstLineChars="200"/>
        <w:rPr>
          <w:rFonts w:ascii="宋体" w:hAnsi="宋体" w:cs="宋体"/>
          <w:color w:val="auto"/>
          <w:sz w:val="24"/>
          <w:highlight w:val="none"/>
        </w:rPr>
      </w:pPr>
    </w:p>
    <w:p w14:paraId="77D63731">
      <w:pPr>
        <w:snapToGrid w:val="0"/>
        <w:spacing w:line="440" w:lineRule="exact"/>
        <w:ind w:firstLine="480" w:firstLineChars="200"/>
        <w:rPr>
          <w:rFonts w:ascii="宋体" w:hAnsi="宋体" w:cs="宋体"/>
          <w:color w:val="auto"/>
          <w:sz w:val="24"/>
          <w:highlight w:val="none"/>
        </w:rPr>
      </w:pPr>
    </w:p>
    <w:p w14:paraId="3A1C9F0F">
      <w:pPr>
        <w:snapToGrid w:val="0"/>
        <w:spacing w:line="440" w:lineRule="exact"/>
        <w:ind w:firstLine="480" w:firstLineChars="200"/>
        <w:rPr>
          <w:rFonts w:ascii="宋体" w:hAnsi="宋体" w:cs="宋体"/>
          <w:color w:val="auto"/>
          <w:sz w:val="24"/>
          <w:highlight w:val="none"/>
        </w:rPr>
      </w:pPr>
    </w:p>
    <w:p w14:paraId="24B32E32">
      <w:pPr>
        <w:snapToGrid w:val="0"/>
        <w:spacing w:line="440" w:lineRule="exact"/>
        <w:ind w:firstLine="480" w:firstLineChars="200"/>
        <w:rPr>
          <w:rFonts w:ascii="宋体" w:hAnsi="宋体" w:cs="宋体"/>
          <w:color w:val="auto"/>
          <w:sz w:val="24"/>
          <w:highlight w:val="none"/>
        </w:rPr>
      </w:pPr>
    </w:p>
    <w:p w14:paraId="48F181F3">
      <w:pPr>
        <w:snapToGrid w:val="0"/>
        <w:spacing w:line="440" w:lineRule="exact"/>
        <w:ind w:firstLine="480" w:firstLineChars="200"/>
        <w:rPr>
          <w:rFonts w:ascii="宋体" w:hAnsi="宋体" w:cs="宋体"/>
          <w:color w:val="auto"/>
          <w:sz w:val="24"/>
          <w:highlight w:val="none"/>
        </w:rPr>
      </w:pPr>
    </w:p>
    <w:p w14:paraId="222A4B66">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highlight w:val="none"/>
        </w:rPr>
        <w:t>若成交供应商为残疾人福利性单位的，将在结果公告时公告其《残疾人福利性单位声明函》。</w:t>
      </w:r>
    </w:p>
    <w:p w14:paraId="47B86249">
      <w:pPr>
        <w:snapToGrid w:val="0"/>
        <w:spacing w:line="440" w:lineRule="exact"/>
        <w:ind w:firstLine="480" w:firstLineChars="200"/>
        <w:rPr>
          <w:rFonts w:ascii="宋体" w:hAnsi="宋体" w:cs="宋体"/>
          <w:color w:val="auto"/>
          <w:sz w:val="24"/>
          <w:highlight w:val="none"/>
        </w:rPr>
      </w:pPr>
    </w:p>
    <w:p w14:paraId="4A893301">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color w:val="auto"/>
          <w:sz w:val="24"/>
          <w:szCs w:val="24"/>
          <w:highlight w:val="none"/>
        </w:rPr>
        <w:t>（二）其他与项目有关的资料</w:t>
      </w:r>
    </w:p>
    <w:p w14:paraId="5325DE01">
      <w:pPr>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其他与项目有关的资料（自附）：供应商总体情况介绍、其他与本项目有关的资料等。</w:t>
      </w:r>
    </w:p>
    <w:p w14:paraId="2DE929F8">
      <w:pPr>
        <w:spacing w:line="360" w:lineRule="auto"/>
        <w:ind w:firstLine="480" w:firstLineChars="200"/>
        <w:rPr>
          <w:rFonts w:ascii="宋体" w:hAnsi="宋体" w:cs="宋体"/>
          <w:color w:val="auto"/>
          <w:sz w:val="24"/>
          <w:szCs w:val="24"/>
          <w:highlight w:val="none"/>
        </w:rPr>
      </w:pPr>
    </w:p>
    <w:p w14:paraId="0185B29A">
      <w:pPr>
        <w:spacing w:line="360" w:lineRule="auto"/>
        <w:ind w:firstLine="480" w:firstLineChars="200"/>
        <w:jc w:val="center"/>
        <w:rPr>
          <w:rFonts w:ascii="宋体" w:hAnsi="宋体" w:cs="宋体"/>
          <w:color w:val="auto"/>
          <w:sz w:val="24"/>
          <w:szCs w:val="24"/>
          <w:highlight w:val="none"/>
        </w:rPr>
      </w:pPr>
    </w:p>
    <w:p w14:paraId="7B378FCF">
      <w:pPr>
        <w:spacing w:line="360" w:lineRule="auto"/>
        <w:ind w:firstLine="480" w:firstLineChars="200"/>
        <w:jc w:val="center"/>
        <w:rPr>
          <w:rFonts w:ascii="宋体" w:hAnsi="宋体" w:cs="宋体"/>
          <w:color w:val="auto"/>
          <w:sz w:val="24"/>
          <w:szCs w:val="24"/>
          <w:highlight w:val="none"/>
        </w:rPr>
      </w:pPr>
    </w:p>
    <w:p w14:paraId="46E8605C">
      <w:pPr>
        <w:spacing w:line="360" w:lineRule="auto"/>
        <w:ind w:firstLine="480" w:firstLineChars="200"/>
        <w:jc w:val="center"/>
        <w:rPr>
          <w:rFonts w:ascii="宋体" w:hAnsi="宋体" w:cs="宋体"/>
          <w:color w:val="auto"/>
          <w:sz w:val="24"/>
          <w:szCs w:val="24"/>
          <w:highlight w:val="none"/>
        </w:rPr>
      </w:pPr>
    </w:p>
    <w:p w14:paraId="4B178C60">
      <w:pPr>
        <w:spacing w:line="360" w:lineRule="auto"/>
        <w:ind w:firstLine="480" w:firstLineChars="200"/>
        <w:jc w:val="center"/>
        <w:rPr>
          <w:rFonts w:ascii="宋体" w:hAnsi="宋体" w:cs="宋体"/>
          <w:color w:val="auto"/>
          <w:sz w:val="24"/>
          <w:szCs w:val="24"/>
          <w:highlight w:val="none"/>
        </w:rPr>
      </w:pPr>
    </w:p>
    <w:p w14:paraId="58433EB9">
      <w:pPr>
        <w:spacing w:line="360" w:lineRule="auto"/>
        <w:ind w:firstLine="480" w:firstLineChars="200"/>
        <w:jc w:val="center"/>
        <w:rPr>
          <w:rFonts w:ascii="宋体" w:hAnsi="宋体" w:cs="宋体"/>
          <w:color w:val="auto"/>
          <w:sz w:val="24"/>
          <w:szCs w:val="24"/>
          <w:highlight w:val="none"/>
        </w:rPr>
      </w:pPr>
    </w:p>
    <w:p w14:paraId="313DC4A0">
      <w:pPr>
        <w:spacing w:line="360" w:lineRule="auto"/>
        <w:ind w:firstLine="480" w:firstLineChars="200"/>
        <w:jc w:val="center"/>
        <w:rPr>
          <w:rFonts w:ascii="宋体" w:hAnsi="宋体" w:cs="宋体"/>
          <w:color w:val="auto"/>
          <w:sz w:val="24"/>
          <w:szCs w:val="24"/>
          <w:highlight w:val="none"/>
        </w:rPr>
      </w:pPr>
    </w:p>
    <w:p w14:paraId="671866C0">
      <w:pPr>
        <w:spacing w:line="360" w:lineRule="auto"/>
        <w:ind w:firstLine="480" w:firstLineChars="200"/>
        <w:jc w:val="center"/>
        <w:rPr>
          <w:rFonts w:ascii="宋体" w:hAnsi="宋体" w:cs="宋体"/>
          <w:color w:val="auto"/>
          <w:sz w:val="24"/>
          <w:szCs w:val="24"/>
          <w:highlight w:val="none"/>
        </w:rPr>
      </w:pPr>
    </w:p>
    <w:p w14:paraId="6FEFD280">
      <w:pPr>
        <w:spacing w:line="360" w:lineRule="auto"/>
        <w:ind w:firstLine="480" w:firstLineChars="200"/>
        <w:jc w:val="center"/>
        <w:rPr>
          <w:rFonts w:ascii="宋体" w:hAnsi="宋体" w:cs="宋体"/>
          <w:color w:val="auto"/>
          <w:sz w:val="24"/>
          <w:szCs w:val="24"/>
          <w:highlight w:val="none"/>
        </w:rPr>
      </w:pPr>
    </w:p>
    <w:p w14:paraId="69979148">
      <w:pPr>
        <w:spacing w:line="360" w:lineRule="auto"/>
        <w:ind w:firstLine="480" w:firstLineChars="200"/>
        <w:jc w:val="center"/>
        <w:rPr>
          <w:rFonts w:ascii="宋体" w:hAnsi="宋体" w:cs="宋体"/>
          <w:color w:val="auto"/>
          <w:sz w:val="24"/>
          <w:szCs w:val="24"/>
          <w:highlight w:val="none"/>
        </w:rPr>
      </w:pPr>
    </w:p>
    <w:p w14:paraId="3631EB7F">
      <w:pPr>
        <w:spacing w:line="360" w:lineRule="auto"/>
        <w:ind w:firstLine="480" w:firstLineChars="200"/>
        <w:jc w:val="center"/>
        <w:rPr>
          <w:rFonts w:ascii="宋体" w:hAnsi="宋体" w:cs="宋体"/>
          <w:color w:val="auto"/>
          <w:sz w:val="24"/>
          <w:szCs w:val="24"/>
          <w:highlight w:val="none"/>
        </w:rPr>
      </w:pPr>
    </w:p>
    <w:p w14:paraId="270B03BE">
      <w:pPr>
        <w:spacing w:line="360" w:lineRule="auto"/>
        <w:ind w:firstLine="480" w:firstLineChars="200"/>
        <w:jc w:val="center"/>
        <w:rPr>
          <w:rFonts w:ascii="宋体" w:hAnsi="宋体" w:cs="宋体"/>
          <w:color w:val="auto"/>
          <w:sz w:val="24"/>
          <w:szCs w:val="24"/>
          <w:highlight w:val="none"/>
        </w:rPr>
      </w:pPr>
    </w:p>
    <w:p w14:paraId="18FB6BFD">
      <w:pPr>
        <w:spacing w:line="360" w:lineRule="auto"/>
        <w:ind w:firstLine="480" w:firstLineChars="200"/>
        <w:jc w:val="center"/>
        <w:outlineLvl w:val="0"/>
        <w:rPr>
          <w:rFonts w:ascii="宋体" w:hAnsi="宋体" w:cs="宋体"/>
          <w:color w:val="auto"/>
          <w:highlight w:val="none"/>
        </w:rPr>
      </w:pPr>
      <w:bookmarkStart w:id="327" w:name="_Toc3407"/>
      <w:r>
        <w:rPr>
          <w:rFonts w:hint="eastAsia" w:ascii="宋体" w:hAnsi="宋体" w:cs="宋体"/>
          <w:color w:val="auto"/>
          <w:sz w:val="24"/>
          <w:szCs w:val="24"/>
          <w:highlight w:val="none"/>
        </w:rPr>
        <w:t>（结束）</w:t>
      </w:r>
      <w:bookmarkEnd w:id="327"/>
    </w:p>
    <w:p w14:paraId="4DB4B0FC">
      <w:pPr>
        <w:tabs>
          <w:tab w:val="left" w:pos="6300"/>
        </w:tabs>
        <w:snapToGrid w:val="0"/>
        <w:spacing w:line="500" w:lineRule="exact"/>
        <w:ind w:firstLine="4560" w:firstLineChars="1900"/>
        <w:rPr>
          <w:rFonts w:ascii="宋体" w:hAnsi="宋体" w:cs="宋体"/>
          <w:color w:val="auto"/>
          <w:sz w:val="24"/>
          <w:szCs w:val="24"/>
          <w:highlight w:val="none"/>
        </w:rPr>
      </w:pPr>
    </w:p>
    <w:p w14:paraId="07457BFA">
      <w:pPr>
        <w:pStyle w:val="5"/>
        <w:adjustRightInd w:val="0"/>
        <w:snapToGrid w:val="0"/>
        <w:spacing w:before="0" w:after="0" w:line="400" w:lineRule="exact"/>
        <w:ind w:firstLine="482" w:firstLineChars="200"/>
        <w:rPr>
          <w:rFonts w:ascii="宋体" w:hAnsi="宋体" w:eastAsia="宋体" w:cs="宋体"/>
          <w:color w:val="auto"/>
          <w:sz w:val="24"/>
          <w:highlight w:val="none"/>
        </w:rPr>
      </w:pPr>
    </w:p>
    <w:p w14:paraId="742FBBF0">
      <w:pPr>
        <w:pStyle w:val="5"/>
        <w:adjustRightInd w:val="0"/>
        <w:snapToGrid w:val="0"/>
        <w:spacing w:before="0" w:after="0" w:line="400" w:lineRule="exact"/>
        <w:ind w:firstLine="482" w:firstLineChars="200"/>
        <w:rPr>
          <w:rFonts w:ascii="宋体" w:hAnsi="宋体" w:eastAsia="宋体" w:cs="宋体"/>
          <w:color w:val="auto"/>
          <w:sz w:val="24"/>
          <w:highlight w:val="none"/>
        </w:rPr>
      </w:pPr>
    </w:p>
    <w:p w14:paraId="624D64BA">
      <w:pPr>
        <w:pStyle w:val="5"/>
        <w:adjustRightInd w:val="0"/>
        <w:snapToGrid w:val="0"/>
        <w:spacing w:before="0" w:after="0" w:line="400" w:lineRule="exact"/>
        <w:ind w:firstLine="482" w:firstLineChars="200"/>
        <w:rPr>
          <w:rFonts w:ascii="宋体" w:hAnsi="宋体" w:eastAsia="宋体" w:cs="宋体"/>
          <w:color w:val="auto"/>
          <w:sz w:val="24"/>
          <w:highlight w:val="none"/>
        </w:rPr>
      </w:pPr>
    </w:p>
    <w:p w14:paraId="1AD90F92">
      <w:pPr>
        <w:pStyle w:val="5"/>
        <w:adjustRightInd w:val="0"/>
        <w:snapToGrid w:val="0"/>
        <w:spacing w:before="0" w:after="0" w:line="400" w:lineRule="exact"/>
        <w:ind w:firstLine="482" w:firstLineChars="200"/>
        <w:rPr>
          <w:rFonts w:ascii="宋体" w:hAnsi="宋体" w:eastAsia="宋体" w:cs="宋体"/>
          <w:color w:val="auto"/>
          <w:sz w:val="24"/>
          <w:highlight w:val="none"/>
        </w:rPr>
      </w:pPr>
    </w:p>
    <w:p w14:paraId="0B30D2F1">
      <w:pPr>
        <w:pStyle w:val="5"/>
        <w:adjustRightInd w:val="0"/>
        <w:snapToGrid w:val="0"/>
        <w:spacing w:before="0" w:after="0" w:line="400" w:lineRule="exact"/>
        <w:ind w:firstLine="482" w:firstLineChars="200"/>
        <w:rPr>
          <w:rFonts w:ascii="宋体" w:hAnsi="宋体" w:eastAsia="宋体" w:cs="宋体"/>
          <w:color w:val="auto"/>
          <w:sz w:val="24"/>
          <w:highlight w:val="none"/>
        </w:rPr>
      </w:pPr>
    </w:p>
    <w:p w14:paraId="621E8EC6">
      <w:pPr>
        <w:pStyle w:val="5"/>
        <w:adjustRightInd w:val="0"/>
        <w:snapToGrid w:val="0"/>
        <w:spacing w:before="0" w:after="0" w:line="400" w:lineRule="exact"/>
        <w:ind w:firstLine="482" w:firstLineChars="200"/>
        <w:rPr>
          <w:rFonts w:ascii="宋体" w:hAnsi="宋体" w:eastAsia="宋体" w:cs="宋体"/>
          <w:color w:val="auto"/>
          <w:sz w:val="24"/>
          <w:highlight w:val="none"/>
        </w:rPr>
      </w:pPr>
    </w:p>
    <w:p w14:paraId="6F713C13">
      <w:pPr>
        <w:pStyle w:val="5"/>
        <w:adjustRightInd w:val="0"/>
        <w:snapToGrid w:val="0"/>
        <w:spacing w:before="0" w:after="0" w:line="400" w:lineRule="exact"/>
        <w:ind w:firstLine="482" w:firstLineChars="200"/>
        <w:rPr>
          <w:rFonts w:ascii="宋体" w:hAnsi="宋体" w:eastAsia="宋体" w:cs="宋体"/>
          <w:color w:val="auto"/>
          <w:sz w:val="24"/>
          <w:highlight w:val="none"/>
        </w:rPr>
      </w:pPr>
    </w:p>
    <w:bookmarkEnd w:id="292"/>
    <w:bookmarkEnd w:id="293"/>
    <w:bookmarkEnd w:id="294"/>
    <w:bookmarkEnd w:id="314"/>
    <w:bookmarkEnd w:id="315"/>
    <w:bookmarkEnd w:id="316"/>
    <w:bookmarkEnd w:id="317"/>
    <w:bookmarkEnd w:id="318"/>
    <w:p w14:paraId="2ED8DACD">
      <w:pPr>
        <w:spacing w:line="360" w:lineRule="auto"/>
        <w:ind w:firstLine="480" w:firstLineChars="200"/>
        <w:jc w:val="center"/>
        <w:rPr>
          <w:rFonts w:ascii="宋体" w:hAnsi="宋体" w:cs="宋体"/>
          <w:color w:val="auto"/>
          <w:sz w:val="24"/>
          <w:szCs w:val="24"/>
          <w:highlight w:val="none"/>
        </w:rPr>
      </w:pPr>
    </w:p>
    <w:p w14:paraId="6E268300">
      <w:pPr>
        <w:tabs>
          <w:tab w:val="left" w:pos="6300"/>
        </w:tabs>
        <w:snapToGrid w:val="0"/>
        <w:spacing w:line="500" w:lineRule="exact"/>
        <w:jc w:val="center"/>
        <w:rPr>
          <w:rFonts w:ascii="宋体" w:hAnsi="宋体" w:cs="宋体"/>
          <w:b/>
          <w:color w:val="auto"/>
          <w:sz w:val="24"/>
          <w:szCs w:val="24"/>
          <w:highlight w:val="none"/>
        </w:rPr>
      </w:pPr>
    </w:p>
    <w:sectPr>
      <w:pgSz w:w="11905" w:h="16838"/>
      <w:pgMar w:top="1417" w:right="1417" w:bottom="1417" w:left="1417" w:header="1003" w:footer="986" w:gutter="0"/>
      <w:cols w:space="0" w:num="1"/>
      <w:rtlGutter w:val="0"/>
      <w:docGrid w:linePitch="3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文鼎粗黑">
    <w:altName w:val="新宋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FrutigerNextLT-Light">
    <w:altName w:val="Times New Roman"/>
    <w:panose1 w:val="00000000000000000000"/>
    <w:charset w:val="00"/>
    <w:family w:val="roman"/>
    <w:pitch w:val="default"/>
    <w:sig w:usb0="00000000" w:usb1="00000000" w:usb2="00000000"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C4D9C">
    <w:pPr>
      <w:pStyle w:val="3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0BA5B">
                          <w:pPr>
                            <w:pStyle w:val="3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4410BA5B">
                    <w:pPr>
                      <w:pStyle w:val="3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BE373">
    <w:pPr>
      <w:pStyle w:val="37"/>
      <w:rPr>
        <w:rFonts w:asci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205693">
                          <w:pPr>
                            <w:pStyle w:val="3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0E205693">
                    <w:pPr>
                      <w:pStyle w:val="3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0175F">
    <w:pPr>
      <w:pStyle w:val="37"/>
      <w:rPr>
        <w:rFonts w:ascii="宋体" w:hAns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33C81C">
                          <w:pPr>
                            <w:pStyle w:val="37"/>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2A33C81C">
                    <w:pPr>
                      <w:pStyle w:val="37"/>
                    </w:pPr>
                    <w:r>
                      <w:fldChar w:fldCharType="begin"/>
                    </w:r>
                    <w:r>
                      <w:instrText xml:space="preserve"> PAGE  \* MERGEFORMAT </w:instrText>
                    </w:r>
                    <w:r>
                      <w:fldChar w:fldCharType="separate"/>
                    </w:r>
                    <w:r>
                      <w:t>40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FDA85">
    <w:pPr>
      <w:pStyle w:val="38"/>
      <w:ind w:left="3570" w:hanging="3570" w:hangingChars="1700"/>
      <w:jc w:val="left"/>
      <w:rPr>
        <w:sz w:val="21"/>
        <w:szCs w:val="21"/>
      </w:rPr>
    </w:pPr>
    <w:r>
      <w:rPr>
        <w:rFonts w:hint="eastAsia"/>
        <w:sz w:val="21"/>
        <w:szCs w:val="21"/>
        <w:lang w:val="en-US" w:eastAsia="zh-CN"/>
      </w:rPr>
      <w:t>攀钢集团工科工程咨询有限公司</w:t>
    </w:r>
    <w:r>
      <w:rPr>
        <w:rFonts w:hint="eastAsia"/>
        <w:sz w:val="21"/>
        <w:szCs w:val="21"/>
      </w:rPr>
      <w:t xml:space="preserve">                       </w:t>
    </w:r>
    <w:r>
      <w:rPr>
        <w:rFonts w:hint="eastAsia"/>
        <w:sz w:val="21"/>
        <w:szCs w:val="21"/>
        <w:lang w:val="en-US" w:eastAsia="zh-CN"/>
      </w:rPr>
      <w:t xml:space="preserve">                    </w:t>
    </w:r>
    <w:r>
      <w:rPr>
        <w:rFonts w:hint="eastAsia"/>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0943C">
    <w:pPr>
      <w:pStyle w:val="38"/>
      <w:jc w:val="left"/>
      <w:rPr>
        <w:sz w:val="21"/>
        <w:szCs w:val="21"/>
      </w:rPr>
    </w:pPr>
    <w:r>
      <w:rPr>
        <w:rFonts w:hint="eastAsia" w:ascii="宋体" w:hAnsi="宋体" w:cs="宋体"/>
        <w:sz w:val="21"/>
        <w:szCs w:val="21"/>
        <w:lang w:val="en-US" w:eastAsia="zh-CN"/>
      </w:rPr>
      <w:t>攀钢集团工科工程咨询有限公司</w:t>
    </w:r>
    <w:r>
      <w:rPr>
        <w:rFonts w:hint="eastAsia"/>
        <w:sz w:val="21"/>
        <w:szCs w:val="21"/>
      </w:rPr>
      <w:t xml:space="preserve">                         </w:t>
    </w:r>
    <w:r>
      <w:rPr>
        <w:rFonts w:hint="eastAsia"/>
        <w:sz w:val="21"/>
        <w:szCs w:val="21"/>
        <w:lang w:val="en-US" w:eastAsia="zh-CN"/>
      </w:rPr>
      <w:t xml:space="preserve">                 </w:t>
    </w:r>
    <w:r>
      <w:rPr>
        <w:rFonts w:hint="eastAsia"/>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582A7">
    <w:pPr>
      <w:pStyle w:val="38"/>
      <w:jc w:val="left"/>
    </w:pPr>
    <w:r>
      <w:rPr>
        <w:rFonts w:hint="eastAsia" w:ascii="宋体" w:hAnsi="宋体" w:cs="宋体"/>
        <w:sz w:val="21"/>
        <w:szCs w:val="21"/>
        <w:lang w:val="en-US" w:eastAsia="zh-CN"/>
      </w:rPr>
      <w:t>攀钢集团工科工程咨询有限公司</w:t>
    </w:r>
    <w:r>
      <w:rPr>
        <w:rFonts w:hint="eastAsia"/>
        <w:sz w:val="21"/>
        <w:szCs w:val="21"/>
      </w:rPr>
      <w:t xml:space="preserve">                        </w:t>
    </w:r>
    <w:r>
      <w:rPr>
        <w:rFonts w:hint="eastAsia"/>
        <w:sz w:val="21"/>
        <w:szCs w:val="21"/>
        <w:lang w:val="en-US" w:eastAsia="zh-CN"/>
      </w:rPr>
      <w:t xml:space="preserve">                 </w:t>
    </w:r>
    <w:r>
      <w:rPr>
        <w:rFonts w:hint="eastAsia"/>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2E7B">
    <w:pPr>
      <w:pStyle w:val="38"/>
      <w:jc w:val="left"/>
    </w:pPr>
    <w:r>
      <w:rPr>
        <w:rFonts w:hint="eastAsia" w:ascii="宋体" w:hAnsi="宋体" w:cs="宋体"/>
        <w:sz w:val="21"/>
        <w:szCs w:val="21"/>
        <w:lang w:val="en-US" w:eastAsia="zh-CN"/>
      </w:rPr>
      <w:t>攀钢集团工科工程咨询有限公司</w:t>
    </w:r>
    <w:r>
      <w:rPr>
        <w:rFonts w:hint="eastAsia"/>
        <w:sz w:val="21"/>
        <w:szCs w:val="21"/>
      </w:rPr>
      <w:t xml:space="preserve">                       </w:t>
    </w:r>
    <w:r>
      <w:rPr>
        <w:rFonts w:hint="eastAsia"/>
        <w:sz w:val="21"/>
        <w:szCs w:val="21"/>
        <w:lang w:val="en-US" w:eastAsia="zh-CN"/>
      </w:rPr>
      <w:t xml:space="preserve">                    </w:t>
    </w:r>
    <w:r>
      <w:rPr>
        <w:rFonts w:hint="eastAsia"/>
        <w:sz w:val="21"/>
        <w:szCs w:val="21"/>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6E9B05"/>
    <w:multiLevelType w:val="singleLevel"/>
    <w:tmpl w:val="F96E9B05"/>
    <w:lvl w:ilvl="0" w:tentative="0">
      <w:start w:val="3"/>
      <w:numFmt w:val="decimal"/>
      <w:lvlText w:val="%1."/>
      <w:lvlJc w:val="left"/>
      <w:pPr>
        <w:tabs>
          <w:tab w:val="left" w:pos="312"/>
        </w:tabs>
      </w:pPr>
    </w:lvl>
  </w:abstractNum>
  <w:abstractNum w:abstractNumId="1">
    <w:nsid w:val="00000009"/>
    <w:multiLevelType w:val="multilevel"/>
    <w:tmpl w:val="00000009"/>
    <w:lvl w:ilvl="0" w:tentative="0">
      <w:start w:val="1"/>
      <w:numFmt w:val="upperLetter"/>
      <w:pStyle w:val="275"/>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41"/>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2">
    <w:nsid w:val="0000000A"/>
    <w:multiLevelType w:val="multilevel"/>
    <w:tmpl w:val="0000000A"/>
    <w:lvl w:ilvl="0" w:tentative="0">
      <w:start w:val="1"/>
      <w:numFmt w:val="bullet"/>
      <w:pStyle w:val="202"/>
      <w:lvlText w:val=""/>
      <w:lvlJc w:val="left"/>
      <w:pPr>
        <w:tabs>
          <w:tab w:val="left" w:pos="0"/>
        </w:tabs>
        <w:ind w:left="987" w:hanging="420"/>
      </w:pPr>
      <w:rPr>
        <w:rFonts w:hint="default" w:ascii="Wingdings" w:hAnsi="Wingdings"/>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00" w:hanging="360"/>
      </w:pPr>
      <w:rPr>
        <w:rFonts w:hint="eastAsia"/>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3">
    <w:nsid w:val="0000000B"/>
    <w:multiLevelType w:val="singleLevel"/>
    <w:tmpl w:val="0000000B"/>
    <w:lvl w:ilvl="0" w:tentative="0">
      <w:start w:val="1"/>
      <w:numFmt w:val="bullet"/>
      <w:pStyle w:val="222"/>
      <w:lvlText w:val=""/>
      <w:lvlJc w:val="left"/>
      <w:pPr>
        <w:tabs>
          <w:tab w:val="left" w:pos="0"/>
        </w:tabs>
        <w:ind w:left="360" w:hanging="360"/>
      </w:pPr>
      <w:rPr>
        <w:rFonts w:hint="default" w:ascii="Wingdings" w:hAnsi="Wingdings"/>
      </w:rPr>
    </w:lvl>
  </w:abstractNum>
  <w:abstractNum w:abstractNumId="4">
    <w:nsid w:val="0000000C"/>
    <w:multiLevelType w:val="multilevel"/>
    <w:tmpl w:val="0000000C"/>
    <w:lvl w:ilvl="0" w:tentative="0">
      <w:start w:val="5"/>
      <w:numFmt w:val="japaneseCounting"/>
      <w:pStyle w:val="131"/>
      <w:lvlText w:val="%1、"/>
      <w:lvlJc w:val="left"/>
      <w:pPr>
        <w:tabs>
          <w:tab w:val="left" w:pos="0"/>
        </w:tabs>
        <w:ind w:left="480" w:hanging="48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0000000D"/>
    <w:multiLevelType w:val="singleLevel"/>
    <w:tmpl w:val="0000000D"/>
    <w:lvl w:ilvl="0" w:tentative="0">
      <w:start w:val="1"/>
      <w:numFmt w:val="bullet"/>
      <w:pStyle w:val="138"/>
      <w:lvlText w:val=""/>
      <w:lvlJc w:val="left"/>
      <w:pPr>
        <w:tabs>
          <w:tab w:val="left" w:pos="0"/>
        </w:tabs>
        <w:ind w:left="1200" w:hanging="360"/>
      </w:pPr>
      <w:rPr>
        <w:rFonts w:hint="default" w:ascii="Wingdings" w:hAnsi="Wingdings"/>
      </w:rPr>
    </w:lvl>
  </w:abstractNum>
  <w:abstractNum w:abstractNumId="6">
    <w:nsid w:val="0000000E"/>
    <w:multiLevelType w:val="multilevel"/>
    <w:tmpl w:val="0000000E"/>
    <w:lvl w:ilvl="0" w:tentative="0">
      <w:start w:val="1"/>
      <w:numFmt w:val="bullet"/>
      <w:pStyle w:val="211"/>
      <w:lvlText w:val=""/>
      <w:lvlJc w:val="left"/>
      <w:pPr>
        <w:tabs>
          <w:tab w:val="left" w:pos="0"/>
        </w:tabs>
        <w:ind w:left="540" w:firstLine="0"/>
      </w:pPr>
      <w:rPr>
        <w:rFonts w:hint="default" w:ascii="Wingdings" w:hAnsi="Wingdings"/>
        <w:sz w:val="16"/>
      </w:rPr>
    </w:lvl>
    <w:lvl w:ilvl="1" w:tentative="0">
      <w:start w:val="1"/>
      <w:numFmt w:val="bullet"/>
      <w:lvlText w:val=""/>
      <w:lvlJc w:val="left"/>
      <w:pPr>
        <w:tabs>
          <w:tab w:val="left" w:pos="0"/>
        </w:tabs>
        <w:ind w:left="1940" w:hanging="420"/>
      </w:pPr>
      <w:rPr>
        <w:rFonts w:hint="default" w:ascii="Wingdings" w:hAnsi="Wingdings"/>
      </w:rPr>
    </w:lvl>
    <w:lvl w:ilvl="2" w:tentative="0">
      <w:start w:val="1"/>
      <w:numFmt w:val="bullet"/>
      <w:lvlText w:val=""/>
      <w:lvlJc w:val="left"/>
      <w:pPr>
        <w:tabs>
          <w:tab w:val="left" w:pos="0"/>
        </w:tabs>
        <w:ind w:left="2360" w:hanging="420"/>
      </w:pPr>
      <w:rPr>
        <w:rFonts w:hint="default" w:ascii="Wingdings" w:hAnsi="Wingdings"/>
      </w:rPr>
    </w:lvl>
    <w:lvl w:ilvl="3" w:tentative="0">
      <w:start w:val="1"/>
      <w:numFmt w:val="bullet"/>
      <w:lvlText w:val=""/>
      <w:lvlJc w:val="left"/>
      <w:pPr>
        <w:tabs>
          <w:tab w:val="left" w:pos="0"/>
        </w:tabs>
        <w:ind w:left="2780" w:hanging="420"/>
      </w:pPr>
      <w:rPr>
        <w:rFonts w:hint="default" w:ascii="Wingdings" w:hAnsi="Wingdings"/>
      </w:rPr>
    </w:lvl>
    <w:lvl w:ilvl="4" w:tentative="0">
      <w:start w:val="1"/>
      <w:numFmt w:val="bullet"/>
      <w:lvlText w:val=""/>
      <w:lvlJc w:val="left"/>
      <w:pPr>
        <w:tabs>
          <w:tab w:val="left" w:pos="0"/>
        </w:tabs>
        <w:ind w:left="3200" w:hanging="420"/>
      </w:pPr>
      <w:rPr>
        <w:rFonts w:hint="default" w:ascii="Wingdings" w:hAnsi="Wingdings"/>
      </w:rPr>
    </w:lvl>
    <w:lvl w:ilvl="5" w:tentative="0">
      <w:start w:val="1"/>
      <w:numFmt w:val="bullet"/>
      <w:lvlText w:val=""/>
      <w:lvlJc w:val="left"/>
      <w:pPr>
        <w:tabs>
          <w:tab w:val="left" w:pos="0"/>
        </w:tabs>
        <w:ind w:left="3620" w:hanging="420"/>
      </w:pPr>
      <w:rPr>
        <w:rFonts w:hint="default" w:ascii="Wingdings" w:hAnsi="Wingdings"/>
      </w:rPr>
    </w:lvl>
    <w:lvl w:ilvl="6" w:tentative="0">
      <w:start w:val="1"/>
      <w:numFmt w:val="bullet"/>
      <w:lvlText w:val=""/>
      <w:lvlJc w:val="left"/>
      <w:pPr>
        <w:tabs>
          <w:tab w:val="left" w:pos="0"/>
        </w:tabs>
        <w:ind w:left="4040" w:hanging="420"/>
      </w:pPr>
      <w:rPr>
        <w:rFonts w:hint="default" w:ascii="Wingdings" w:hAnsi="Wingdings"/>
      </w:rPr>
    </w:lvl>
    <w:lvl w:ilvl="7" w:tentative="0">
      <w:start w:val="1"/>
      <w:numFmt w:val="bullet"/>
      <w:lvlText w:val=""/>
      <w:lvlJc w:val="left"/>
      <w:pPr>
        <w:tabs>
          <w:tab w:val="left" w:pos="0"/>
        </w:tabs>
        <w:ind w:left="4460" w:hanging="420"/>
      </w:pPr>
      <w:rPr>
        <w:rFonts w:hint="default" w:ascii="Wingdings" w:hAnsi="Wingdings"/>
      </w:rPr>
    </w:lvl>
    <w:lvl w:ilvl="8" w:tentative="0">
      <w:start w:val="1"/>
      <w:numFmt w:val="bullet"/>
      <w:lvlText w:val=""/>
      <w:lvlJc w:val="left"/>
      <w:pPr>
        <w:tabs>
          <w:tab w:val="left" w:pos="0"/>
        </w:tabs>
        <w:ind w:left="4880" w:hanging="420"/>
      </w:pPr>
      <w:rPr>
        <w:rFonts w:hint="default" w:ascii="Wingdings" w:hAnsi="Wingdings"/>
      </w:rPr>
    </w:lvl>
  </w:abstractNum>
  <w:abstractNum w:abstractNumId="7">
    <w:nsid w:val="00000011"/>
    <w:multiLevelType w:val="multilevel"/>
    <w:tmpl w:val="00000011"/>
    <w:lvl w:ilvl="0" w:tentative="0">
      <w:start w:val="1"/>
      <w:numFmt w:val="decimal"/>
      <w:pStyle w:val="198"/>
      <w:lvlText w:val="（%1）"/>
      <w:lvlJc w:val="left"/>
      <w:pPr>
        <w:tabs>
          <w:tab w:val="left" w:pos="0"/>
        </w:tabs>
        <w:ind w:left="0" w:firstLine="510"/>
      </w:pPr>
      <w:rPr>
        <w:rFonts w:hint="default" w:ascii="Arial" w:hAnsi="Arial"/>
        <w:b w:val="0"/>
        <w:i w:val="0"/>
        <w:sz w:val="24"/>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8">
    <w:nsid w:val="00000012"/>
    <w:multiLevelType w:val="multilevel"/>
    <w:tmpl w:val="00000012"/>
    <w:lvl w:ilvl="0" w:tentative="0">
      <w:start w:val="1"/>
      <w:numFmt w:val="bullet"/>
      <w:pStyle w:val="173"/>
      <w:lvlText w:val=""/>
      <w:lvlJc w:val="left"/>
      <w:pPr>
        <w:tabs>
          <w:tab w:val="left" w:pos="0"/>
        </w:tabs>
        <w:ind w:left="1644" w:hanging="510"/>
      </w:pPr>
      <w:rPr>
        <w:rFonts w:hint="default" w:ascii="Wingdings" w:hAnsi="Wingdings"/>
        <w:color w:val="auto"/>
        <w:sz w:val="13"/>
        <w:u w:val="none"/>
      </w:rPr>
    </w:lvl>
    <w:lvl w:ilvl="1" w:tentative="0">
      <w:start w:val="1"/>
      <w:numFmt w:val="bullet"/>
      <w:lvlText w:val=""/>
      <w:lvlJc w:val="left"/>
      <w:pPr>
        <w:tabs>
          <w:tab w:val="left" w:pos="0"/>
        </w:tabs>
        <w:ind w:left="840" w:hanging="420"/>
      </w:pPr>
      <w:rPr>
        <w:rFonts w:hint="default" w:ascii="Wingdings" w:hAnsi="Wingdings"/>
        <w:color w:val="auto"/>
        <w:sz w:val="13"/>
        <w:u w:val="none"/>
      </w:rPr>
    </w:lvl>
    <w:lvl w:ilvl="2" w:tentative="0">
      <w:start w:val="1"/>
      <w:numFmt w:val="bullet"/>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0"/>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76"/>
      <w:lvlText w:val="%1)"/>
      <w:lvlJc w:val="left"/>
      <w:pPr>
        <w:tabs>
          <w:tab w:val="left" w:pos="0"/>
        </w:tabs>
        <w:ind w:left="425" w:hanging="425"/>
      </w:pPr>
      <w:rPr>
        <w:rFonts w:hint="eastAsia"/>
      </w:rPr>
    </w:lvl>
  </w:abstractNum>
  <w:abstractNum w:abstractNumId="12">
    <w:nsid w:val="00000017"/>
    <w:multiLevelType w:val="multilevel"/>
    <w:tmpl w:val="00000017"/>
    <w:lvl w:ilvl="0" w:tentative="0">
      <w:start w:val="1"/>
      <w:numFmt w:val="chineseCountingThousand"/>
      <w:pStyle w:val="180"/>
      <w:lvlText w:val="%1、"/>
      <w:lvlJc w:val="left"/>
      <w:pPr>
        <w:tabs>
          <w:tab w:val="left" w:pos="0"/>
        </w:tabs>
        <w:ind w:left="420" w:hanging="42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3">
    <w:nsid w:val="5E7A3C32"/>
    <w:multiLevelType w:val="multilevel"/>
    <w:tmpl w:val="5E7A3C32"/>
    <w:lvl w:ilvl="0" w:tentative="0">
      <w:start w:val="1"/>
      <w:numFmt w:val="bullet"/>
      <w:lvlText w:val=""/>
      <w:lvlJc w:val="left"/>
      <w:pPr>
        <w:tabs>
          <w:tab w:val="left" w:pos="0"/>
        </w:tabs>
        <w:ind w:left="420" w:hanging="420"/>
      </w:pPr>
      <w:rPr>
        <w:rFonts w:hint="default" w:ascii="Wingdings" w:hAnsi="Wingdings"/>
      </w:rPr>
    </w:lvl>
    <w:lvl w:ilvl="1" w:tentative="0">
      <w:start w:val="1"/>
      <w:numFmt w:val="bullet"/>
      <w:lvlText w:val=""/>
      <w:lvlJc w:val="left"/>
      <w:pPr>
        <w:tabs>
          <w:tab w:val="left" w:pos="0"/>
        </w:tabs>
        <w:ind w:left="840" w:hanging="420"/>
      </w:pPr>
      <w:rPr>
        <w:rFonts w:hint="default" w:ascii="Wingdings" w:hAnsi="Wingdings"/>
      </w:rPr>
    </w:lvl>
    <w:lvl w:ilvl="2" w:tentative="0">
      <w:start w:val="1"/>
      <w:numFmt w:val="bullet"/>
      <w:pStyle w:val="78"/>
      <w:lvlText w:val=""/>
      <w:lvlJc w:val="left"/>
      <w:pPr>
        <w:tabs>
          <w:tab w:val="left" w:pos="0"/>
        </w:tabs>
        <w:ind w:left="1260" w:hanging="420"/>
      </w:pPr>
      <w:rPr>
        <w:rFonts w:hint="default" w:ascii="Wingdings" w:hAnsi="Wingdings"/>
      </w:rPr>
    </w:lvl>
    <w:lvl w:ilvl="3" w:tentative="0">
      <w:start w:val="1"/>
      <w:numFmt w:val="bullet"/>
      <w:lvlText w:val=""/>
      <w:lvlJc w:val="left"/>
      <w:pPr>
        <w:tabs>
          <w:tab w:val="left" w:pos="0"/>
        </w:tabs>
        <w:ind w:left="1680" w:hanging="420"/>
      </w:pPr>
      <w:rPr>
        <w:rFonts w:hint="default" w:ascii="Wingdings" w:hAnsi="Wingdings"/>
      </w:rPr>
    </w:lvl>
    <w:lvl w:ilvl="4" w:tentative="0">
      <w:start w:val="1"/>
      <w:numFmt w:val="bullet"/>
      <w:lvlText w:val=""/>
      <w:lvlJc w:val="left"/>
      <w:pPr>
        <w:tabs>
          <w:tab w:val="left" w:pos="0"/>
        </w:tabs>
        <w:ind w:left="2100" w:hanging="420"/>
      </w:pPr>
      <w:rPr>
        <w:rFonts w:hint="default" w:ascii="Wingdings" w:hAnsi="Wingdings"/>
      </w:rPr>
    </w:lvl>
    <w:lvl w:ilvl="5" w:tentative="0">
      <w:start w:val="1"/>
      <w:numFmt w:val="bullet"/>
      <w:lvlText w:val=""/>
      <w:lvlJc w:val="left"/>
      <w:pPr>
        <w:tabs>
          <w:tab w:val="left" w:pos="0"/>
        </w:tabs>
        <w:ind w:left="2520" w:hanging="420"/>
      </w:pPr>
      <w:rPr>
        <w:rFonts w:hint="default" w:ascii="Wingdings" w:hAnsi="Wingdings"/>
      </w:rPr>
    </w:lvl>
    <w:lvl w:ilvl="6" w:tentative="0">
      <w:start w:val="1"/>
      <w:numFmt w:val="bullet"/>
      <w:lvlText w:val=""/>
      <w:lvlJc w:val="left"/>
      <w:pPr>
        <w:tabs>
          <w:tab w:val="left" w:pos="0"/>
        </w:tabs>
        <w:ind w:left="2940" w:hanging="420"/>
      </w:pPr>
      <w:rPr>
        <w:rFonts w:hint="default" w:ascii="Wingdings" w:hAnsi="Wingdings"/>
      </w:rPr>
    </w:lvl>
    <w:lvl w:ilvl="7" w:tentative="0">
      <w:start w:val="1"/>
      <w:numFmt w:val="bullet"/>
      <w:lvlText w:val=""/>
      <w:lvlJc w:val="left"/>
      <w:pPr>
        <w:tabs>
          <w:tab w:val="left" w:pos="0"/>
        </w:tabs>
        <w:ind w:left="3360" w:hanging="420"/>
      </w:pPr>
      <w:rPr>
        <w:rFonts w:hint="default" w:ascii="Wingdings" w:hAnsi="Wingdings"/>
      </w:rPr>
    </w:lvl>
    <w:lvl w:ilvl="8" w:tentative="0">
      <w:start w:val="1"/>
      <w:numFmt w:val="bullet"/>
      <w:lvlText w:val=""/>
      <w:lvlJc w:val="left"/>
      <w:pPr>
        <w:tabs>
          <w:tab w:val="left" w:pos="0"/>
        </w:tabs>
        <w:ind w:left="3780" w:hanging="420"/>
      </w:pPr>
      <w:rPr>
        <w:rFonts w:hint="default" w:ascii="Wingdings" w:hAnsi="Wingdings"/>
      </w:rPr>
    </w:lvl>
  </w:abstractNum>
  <w:abstractNum w:abstractNumId="14">
    <w:nsid w:val="7BF2FEE5"/>
    <w:multiLevelType w:val="singleLevel"/>
    <w:tmpl w:val="7BF2FEE5"/>
    <w:lvl w:ilvl="0" w:tentative="0">
      <w:start w:val="2"/>
      <w:numFmt w:val="chineseCounting"/>
      <w:suff w:val="nothing"/>
      <w:lvlText w:val="（%1）"/>
      <w:lvlJc w:val="left"/>
      <w:rPr>
        <w:rFonts w:hint="eastAsia"/>
      </w:rPr>
    </w:lvl>
  </w:abstractNum>
  <w:num w:numId="1">
    <w:abstractNumId w:val="9"/>
  </w:num>
  <w:num w:numId="2">
    <w:abstractNumId w:val="10"/>
  </w:num>
  <w:num w:numId="3">
    <w:abstractNumId w:val="13"/>
  </w:num>
  <w:num w:numId="4">
    <w:abstractNumId w:val="4"/>
  </w:num>
  <w:num w:numId="5">
    <w:abstractNumId w:val="5"/>
  </w:num>
  <w:num w:numId="6">
    <w:abstractNumId w:val="1"/>
  </w:num>
  <w:num w:numId="7">
    <w:abstractNumId w:val="8"/>
  </w:num>
  <w:num w:numId="8">
    <w:abstractNumId w:val="11"/>
  </w:num>
  <w:num w:numId="9">
    <w:abstractNumId w:val="12"/>
  </w:num>
  <w:num w:numId="10">
    <w:abstractNumId w:val="7"/>
  </w:num>
  <w:num w:numId="11">
    <w:abstractNumId w:val="2"/>
  </w:num>
  <w:num w:numId="12">
    <w:abstractNumId w:val="6"/>
  </w:num>
  <w:num w:numId="13">
    <w:abstractNumId w:val="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revisionView w:markup="0"/>
  <w:trackRevisions w:val="1"/>
  <w:documentProtection w:enforcement="0"/>
  <w:defaultTabStop w:val="420"/>
  <w:drawingGridHorizontalSpacing w:val="280"/>
  <w:drawingGridVerticalSpacing w:val="-794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ZWU2NzM3NGQ3NWExMjM4ODQzNjQzODdhYmIxZmEifQ=="/>
    <w:docVar w:name="KSO_WPS_MARK_KEY" w:val="c0f78aec-0d59-4c0a-a90d-12c59762d8ed"/>
  </w:docVars>
  <w:rsids>
    <w:rsidRoot w:val="00F8011D"/>
    <w:rsid w:val="000108DE"/>
    <w:rsid w:val="00034929"/>
    <w:rsid w:val="00054EF5"/>
    <w:rsid w:val="00062E11"/>
    <w:rsid w:val="00071B88"/>
    <w:rsid w:val="00084D4B"/>
    <w:rsid w:val="00086FA6"/>
    <w:rsid w:val="000B4DA4"/>
    <w:rsid w:val="000C1BFF"/>
    <w:rsid w:val="000C3F62"/>
    <w:rsid w:val="000D42EF"/>
    <w:rsid w:val="000D59D1"/>
    <w:rsid w:val="000F3295"/>
    <w:rsid w:val="000F4DFB"/>
    <w:rsid w:val="00101DB4"/>
    <w:rsid w:val="00141958"/>
    <w:rsid w:val="00182FC9"/>
    <w:rsid w:val="001A191A"/>
    <w:rsid w:val="00277829"/>
    <w:rsid w:val="00294BB4"/>
    <w:rsid w:val="002957EF"/>
    <w:rsid w:val="002B0045"/>
    <w:rsid w:val="002E0723"/>
    <w:rsid w:val="002F3517"/>
    <w:rsid w:val="00313C2D"/>
    <w:rsid w:val="00332613"/>
    <w:rsid w:val="00344AA5"/>
    <w:rsid w:val="0039025E"/>
    <w:rsid w:val="00391757"/>
    <w:rsid w:val="003D5133"/>
    <w:rsid w:val="003F2617"/>
    <w:rsid w:val="004330FE"/>
    <w:rsid w:val="004364E3"/>
    <w:rsid w:val="00441CBC"/>
    <w:rsid w:val="00442CEE"/>
    <w:rsid w:val="00443D1B"/>
    <w:rsid w:val="00447EA7"/>
    <w:rsid w:val="004836D7"/>
    <w:rsid w:val="00495459"/>
    <w:rsid w:val="004A1A32"/>
    <w:rsid w:val="004A324A"/>
    <w:rsid w:val="004B273F"/>
    <w:rsid w:val="004D4B55"/>
    <w:rsid w:val="00505BDC"/>
    <w:rsid w:val="00554A0B"/>
    <w:rsid w:val="005736AE"/>
    <w:rsid w:val="005745AF"/>
    <w:rsid w:val="005C2F15"/>
    <w:rsid w:val="005E4A50"/>
    <w:rsid w:val="00601D90"/>
    <w:rsid w:val="0061168A"/>
    <w:rsid w:val="00613065"/>
    <w:rsid w:val="00622DF1"/>
    <w:rsid w:val="006333A7"/>
    <w:rsid w:val="0065310D"/>
    <w:rsid w:val="006604D3"/>
    <w:rsid w:val="00675042"/>
    <w:rsid w:val="00691E8A"/>
    <w:rsid w:val="006A0C7A"/>
    <w:rsid w:val="006A7B2F"/>
    <w:rsid w:val="006C490A"/>
    <w:rsid w:val="006D026E"/>
    <w:rsid w:val="006D6DFD"/>
    <w:rsid w:val="006D7141"/>
    <w:rsid w:val="006E2E08"/>
    <w:rsid w:val="007004B1"/>
    <w:rsid w:val="00716980"/>
    <w:rsid w:val="0072017E"/>
    <w:rsid w:val="0072772D"/>
    <w:rsid w:val="00737D6C"/>
    <w:rsid w:val="00742BD7"/>
    <w:rsid w:val="00744687"/>
    <w:rsid w:val="007510EA"/>
    <w:rsid w:val="00757475"/>
    <w:rsid w:val="007841E7"/>
    <w:rsid w:val="00786E48"/>
    <w:rsid w:val="00794B4B"/>
    <w:rsid w:val="00795CF2"/>
    <w:rsid w:val="007E08D1"/>
    <w:rsid w:val="007F6738"/>
    <w:rsid w:val="00816D09"/>
    <w:rsid w:val="00821922"/>
    <w:rsid w:val="008253E3"/>
    <w:rsid w:val="00833DB3"/>
    <w:rsid w:val="00853014"/>
    <w:rsid w:val="00857D5C"/>
    <w:rsid w:val="00882AB5"/>
    <w:rsid w:val="008931F6"/>
    <w:rsid w:val="0089453D"/>
    <w:rsid w:val="008B310B"/>
    <w:rsid w:val="008B528C"/>
    <w:rsid w:val="008B6C56"/>
    <w:rsid w:val="008E26E4"/>
    <w:rsid w:val="009041AF"/>
    <w:rsid w:val="009070ED"/>
    <w:rsid w:val="00913A85"/>
    <w:rsid w:val="009669EE"/>
    <w:rsid w:val="00974E4D"/>
    <w:rsid w:val="00994564"/>
    <w:rsid w:val="009B3A61"/>
    <w:rsid w:val="009B3A7F"/>
    <w:rsid w:val="009B3E42"/>
    <w:rsid w:val="009C4919"/>
    <w:rsid w:val="009C608A"/>
    <w:rsid w:val="009D1EE6"/>
    <w:rsid w:val="009D6D89"/>
    <w:rsid w:val="009E3970"/>
    <w:rsid w:val="00A06BA6"/>
    <w:rsid w:val="00A21936"/>
    <w:rsid w:val="00A4389B"/>
    <w:rsid w:val="00A804D7"/>
    <w:rsid w:val="00A96BDF"/>
    <w:rsid w:val="00AB2E55"/>
    <w:rsid w:val="00AD0C16"/>
    <w:rsid w:val="00AD7BFE"/>
    <w:rsid w:val="00AE035A"/>
    <w:rsid w:val="00AE3C07"/>
    <w:rsid w:val="00AE77F9"/>
    <w:rsid w:val="00AF7D3F"/>
    <w:rsid w:val="00B07D65"/>
    <w:rsid w:val="00B421B9"/>
    <w:rsid w:val="00B46A4F"/>
    <w:rsid w:val="00B47708"/>
    <w:rsid w:val="00B51D7C"/>
    <w:rsid w:val="00B65F56"/>
    <w:rsid w:val="00B81A19"/>
    <w:rsid w:val="00B847AA"/>
    <w:rsid w:val="00B84D50"/>
    <w:rsid w:val="00B873BF"/>
    <w:rsid w:val="00BA0E0A"/>
    <w:rsid w:val="00BA36B0"/>
    <w:rsid w:val="00BB1398"/>
    <w:rsid w:val="00BC3ED0"/>
    <w:rsid w:val="00BD50C6"/>
    <w:rsid w:val="00C00677"/>
    <w:rsid w:val="00C0322D"/>
    <w:rsid w:val="00C45969"/>
    <w:rsid w:val="00C5265E"/>
    <w:rsid w:val="00C73CB2"/>
    <w:rsid w:val="00C80F50"/>
    <w:rsid w:val="00C94049"/>
    <w:rsid w:val="00C97323"/>
    <w:rsid w:val="00CA1E91"/>
    <w:rsid w:val="00CA52BA"/>
    <w:rsid w:val="00D1695E"/>
    <w:rsid w:val="00D340A2"/>
    <w:rsid w:val="00D462B6"/>
    <w:rsid w:val="00D51519"/>
    <w:rsid w:val="00D52B64"/>
    <w:rsid w:val="00D86BBA"/>
    <w:rsid w:val="00DD5D0D"/>
    <w:rsid w:val="00DF0B6F"/>
    <w:rsid w:val="00DF3B72"/>
    <w:rsid w:val="00E2336F"/>
    <w:rsid w:val="00E33900"/>
    <w:rsid w:val="00E41D23"/>
    <w:rsid w:val="00E97754"/>
    <w:rsid w:val="00EB17C6"/>
    <w:rsid w:val="00EC4C8E"/>
    <w:rsid w:val="00ED5F76"/>
    <w:rsid w:val="00EE038B"/>
    <w:rsid w:val="00F37B97"/>
    <w:rsid w:val="00F476F0"/>
    <w:rsid w:val="00F53E99"/>
    <w:rsid w:val="00F8011D"/>
    <w:rsid w:val="00F95995"/>
    <w:rsid w:val="00FE13B7"/>
    <w:rsid w:val="00FE5AA6"/>
    <w:rsid w:val="00FF185F"/>
    <w:rsid w:val="01006CB0"/>
    <w:rsid w:val="013558BC"/>
    <w:rsid w:val="01873257"/>
    <w:rsid w:val="01BD6429"/>
    <w:rsid w:val="0200793B"/>
    <w:rsid w:val="02114D81"/>
    <w:rsid w:val="021F0F7B"/>
    <w:rsid w:val="0224362A"/>
    <w:rsid w:val="023D66C9"/>
    <w:rsid w:val="02555ED9"/>
    <w:rsid w:val="027808F5"/>
    <w:rsid w:val="027D71DE"/>
    <w:rsid w:val="02BD65A0"/>
    <w:rsid w:val="02EA1AAE"/>
    <w:rsid w:val="031D432A"/>
    <w:rsid w:val="034E7C71"/>
    <w:rsid w:val="03D74055"/>
    <w:rsid w:val="03F96CD5"/>
    <w:rsid w:val="03FB03BA"/>
    <w:rsid w:val="04123E6B"/>
    <w:rsid w:val="04293179"/>
    <w:rsid w:val="04652262"/>
    <w:rsid w:val="04C37256"/>
    <w:rsid w:val="04DA26C6"/>
    <w:rsid w:val="04E80C82"/>
    <w:rsid w:val="050636F3"/>
    <w:rsid w:val="051F457C"/>
    <w:rsid w:val="0575430D"/>
    <w:rsid w:val="05790181"/>
    <w:rsid w:val="05A01391"/>
    <w:rsid w:val="05D57E59"/>
    <w:rsid w:val="05DE28CB"/>
    <w:rsid w:val="05E40404"/>
    <w:rsid w:val="05EE4029"/>
    <w:rsid w:val="0616597F"/>
    <w:rsid w:val="06824DC3"/>
    <w:rsid w:val="068F6BE5"/>
    <w:rsid w:val="06924AD0"/>
    <w:rsid w:val="06930D7E"/>
    <w:rsid w:val="06A116ED"/>
    <w:rsid w:val="06A44D39"/>
    <w:rsid w:val="07027CB2"/>
    <w:rsid w:val="071F4BF0"/>
    <w:rsid w:val="079C1EB4"/>
    <w:rsid w:val="07A30F3C"/>
    <w:rsid w:val="08053CB5"/>
    <w:rsid w:val="08203A6B"/>
    <w:rsid w:val="08394A38"/>
    <w:rsid w:val="086E1AA3"/>
    <w:rsid w:val="08975368"/>
    <w:rsid w:val="08A70B11"/>
    <w:rsid w:val="08BF22FE"/>
    <w:rsid w:val="08C90A87"/>
    <w:rsid w:val="08E00906"/>
    <w:rsid w:val="090221EB"/>
    <w:rsid w:val="09151F1E"/>
    <w:rsid w:val="098F7F23"/>
    <w:rsid w:val="09E902BD"/>
    <w:rsid w:val="0A3F535C"/>
    <w:rsid w:val="0A586A77"/>
    <w:rsid w:val="0AC8114E"/>
    <w:rsid w:val="0ADA1FA4"/>
    <w:rsid w:val="0AE35047"/>
    <w:rsid w:val="0AF070C1"/>
    <w:rsid w:val="0AF73D8F"/>
    <w:rsid w:val="0B073AE9"/>
    <w:rsid w:val="0B2527F9"/>
    <w:rsid w:val="0B2853E3"/>
    <w:rsid w:val="0B3F14D4"/>
    <w:rsid w:val="0B641412"/>
    <w:rsid w:val="0B703B78"/>
    <w:rsid w:val="0BE50A99"/>
    <w:rsid w:val="0C334747"/>
    <w:rsid w:val="0C7A30DA"/>
    <w:rsid w:val="0CB13E51"/>
    <w:rsid w:val="0CD143AE"/>
    <w:rsid w:val="0CF84031"/>
    <w:rsid w:val="0D1F511A"/>
    <w:rsid w:val="0D6F0040"/>
    <w:rsid w:val="0D8C3E70"/>
    <w:rsid w:val="0DA31783"/>
    <w:rsid w:val="0DAB1504"/>
    <w:rsid w:val="0DD24882"/>
    <w:rsid w:val="0E3270CE"/>
    <w:rsid w:val="0E4A74F7"/>
    <w:rsid w:val="0E6B438E"/>
    <w:rsid w:val="0E6F42D9"/>
    <w:rsid w:val="0E795C45"/>
    <w:rsid w:val="0EB40767"/>
    <w:rsid w:val="0ECB2CC3"/>
    <w:rsid w:val="0F532AB2"/>
    <w:rsid w:val="0F637C9A"/>
    <w:rsid w:val="0F8762DA"/>
    <w:rsid w:val="0FE632FA"/>
    <w:rsid w:val="10194A08"/>
    <w:rsid w:val="101A62D4"/>
    <w:rsid w:val="102C5496"/>
    <w:rsid w:val="10657405"/>
    <w:rsid w:val="10D95F27"/>
    <w:rsid w:val="10E7792B"/>
    <w:rsid w:val="1111121D"/>
    <w:rsid w:val="112D077D"/>
    <w:rsid w:val="11447845"/>
    <w:rsid w:val="11457119"/>
    <w:rsid w:val="119360D6"/>
    <w:rsid w:val="11A14C4B"/>
    <w:rsid w:val="11C24C0D"/>
    <w:rsid w:val="121B0677"/>
    <w:rsid w:val="12591E14"/>
    <w:rsid w:val="12612E3B"/>
    <w:rsid w:val="1273755D"/>
    <w:rsid w:val="129F10FE"/>
    <w:rsid w:val="12C875DD"/>
    <w:rsid w:val="13286D56"/>
    <w:rsid w:val="135D4BEE"/>
    <w:rsid w:val="13856879"/>
    <w:rsid w:val="139C3E21"/>
    <w:rsid w:val="13CB5614"/>
    <w:rsid w:val="13CC5226"/>
    <w:rsid w:val="13D80718"/>
    <w:rsid w:val="13E9069D"/>
    <w:rsid w:val="13F262AF"/>
    <w:rsid w:val="13FD7D12"/>
    <w:rsid w:val="14233243"/>
    <w:rsid w:val="14373371"/>
    <w:rsid w:val="143C0CA7"/>
    <w:rsid w:val="14B95F3B"/>
    <w:rsid w:val="14E97911"/>
    <w:rsid w:val="15113EE2"/>
    <w:rsid w:val="1566735E"/>
    <w:rsid w:val="15A9411A"/>
    <w:rsid w:val="15F30A5A"/>
    <w:rsid w:val="16095600"/>
    <w:rsid w:val="16655D64"/>
    <w:rsid w:val="16A834AF"/>
    <w:rsid w:val="17155E9D"/>
    <w:rsid w:val="17345C65"/>
    <w:rsid w:val="174661A1"/>
    <w:rsid w:val="175C5BC1"/>
    <w:rsid w:val="17885FB1"/>
    <w:rsid w:val="179B7A92"/>
    <w:rsid w:val="17B50BC6"/>
    <w:rsid w:val="17F51899"/>
    <w:rsid w:val="18040789"/>
    <w:rsid w:val="180B1D78"/>
    <w:rsid w:val="1838257F"/>
    <w:rsid w:val="18C7014D"/>
    <w:rsid w:val="18E15979"/>
    <w:rsid w:val="19143FA0"/>
    <w:rsid w:val="19235F91"/>
    <w:rsid w:val="199926F8"/>
    <w:rsid w:val="19BC0BC4"/>
    <w:rsid w:val="19C40D4A"/>
    <w:rsid w:val="19D83220"/>
    <w:rsid w:val="19DB686C"/>
    <w:rsid w:val="19E04DC1"/>
    <w:rsid w:val="1A206975"/>
    <w:rsid w:val="1A917ED0"/>
    <w:rsid w:val="1A962687"/>
    <w:rsid w:val="1AB0025A"/>
    <w:rsid w:val="1ADF676A"/>
    <w:rsid w:val="1B0071E4"/>
    <w:rsid w:val="1B166FDB"/>
    <w:rsid w:val="1B4252CA"/>
    <w:rsid w:val="1B542D7A"/>
    <w:rsid w:val="1B7730E6"/>
    <w:rsid w:val="1B83427C"/>
    <w:rsid w:val="1B871DC9"/>
    <w:rsid w:val="1B996B59"/>
    <w:rsid w:val="1C057BD0"/>
    <w:rsid w:val="1C496BF8"/>
    <w:rsid w:val="1C974343"/>
    <w:rsid w:val="1C9C11FE"/>
    <w:rsid w:val="1CB735C0"/>
    <w:rsid w:val="1CF15B6B"/>
    <w:rsid w:val="1D0858F3"/>
    <w:rsid w:val="1D2457B5"/>
    <w:rsid w:val="1D526E45"/>
    <w:rsid w:val="1D76522A"/>
    <w:rsid w:val="1D8132E4"/>
    <w:rsid w:val="1D8F1E47"/>
    <w:rsid w:val="1DAC318E"/>
    <w:rsid w:val="1DDF327B"/>
    <w:rsid w:val="1DE26EF7"/>
    <w:rsid w:val="1DE81558"/>
    <w:rsid w:val="1DF11E0B"/>
    <w:rsid w:val="1E0E358A"/>
    <w:rsid w:val="1E1A6FFA"/>
    <w:rsid w:val="1E427447"/>
    <w:rsid w:val="1E5D02B7"/>
    <w:rsid w:val="1E6502D1"/>
    <w:rsid w:val="1E766B63"/>
    <w:rsid w:val="1E7D0317"/>
    <w:rsid w:val="1E9E60BA"/>
    <w:rsid w:val="1EEB1F60"/>
    <w:rsid w:val="1EFF2FFD"/>
    <w:rsid w:val="1F385B09"/>
    <w:rsid w:val="1F62599E"/>
    <w:rsid w:val="1F6466AD"/>
    <w:rsid w:val="1F7304BB"/>
    <w:rsid w:val="1F87144C"/>
    <w:rsid w:val="1F960FFC"/>
    <w:rsid w:val="1FA15027"/>
    <w:rsid w:val="1FB4005B"/>
    <w:rsid w:val="1FE65555"/>
    <w:rsid w:val="1FED78E2"/>
    <w:rsid w:val="20325280"/>
    <w:rsid w:val="207B4905"/>
    <w:rsid w:val="20B10327"/>
    <w:rsid w:val="20C40F70"/>
    <w:rsid w:val="20C82DE1"/>
    <w:rsid w:val="20DA4517"/>
    <w:rsid w:val="20EF2BFD"/>
    <w:rsid w:val="213B4094"/>
    <w:rsid w:val="214E3DC8"/>
    <w:rsid w:val="21A32365"/>
    <w:rsid w:val="2203498B"/>
    <w:rsid w:val="222339F7"/>
    <w:rsid w:val="2228045E"/>
    <w:rsid w:val="223A771E"/>
    <w:rsid w:val="22561186"/>
    <w:rsid w:val="22680EB9"/>
    <w:rsid w:val="227301D5"/>
    <w:rsid w:val="22CA745B"/>
    <w:rsid w:val="22DC7240"/>
    <w:rsid w:val="2305495A"/>
    <w:rsid w:val="2309269C"/>
    <w:rsid w:val="2311495A"/>
    <w:rsid w:val="23322A01"/>
    <w:rsid w:val="233B65CE"/>
    <w:rsid w:val="23873FA6"/>
    <w:rsid w:val="23B62533"/>
    <w:rsid w:val="23BB549D"/>
    <w:rsid w:val="23C16AD3"/>
    <w:rsid w:val="24015121"/>
    <w:rsid w:val="240933E2"/>
    <w:rsid w:val="24332189"/>
    <w:rsid w:val="243948BB"/>
    <w:rsid w:val="244875F7"/>
    <w:rsid w:val="244D0366"/>
    <w:rsid w:val="249A7467"/>
    <w:rsid w:val="24A0691D"/>
    <w:rsid w:val="24DD6EE5"/>
    <w:rsid w:val="25803067"/>
    <w:rsid w:val="2580651A"/>
    <w:rsid w:val="25855D8A"/>
    <w:rsid w:val="259D1E09"/>
    <w:rsid w:val="259D531E"/>
    <w:rsid w:val="25CC7FEF"/>
    <w:rsid w:val="25D30D3F"/>
    <w:rsid w:val="25E74564"/>
    <w:rsid w:val="264F486A"/>
    <w:rsid w:val="26DD3ABC"/>
    <w:rsid w:val="26EB3105"/>
    <w:rsid w:val="27127645"/>
    <w:rsid w:val="271870C2"/>
    <w:rsid w:val="27284ECD"/>
    <w:rsid w:val="27361586"/>
    <w:rsid w:val="27413660"/>
    <w:rsid w:val="27C04E4D"/>
    <w:rsid w:val="27C11201"/>
    <w:rsid w:val="27E61D29"/>
    <w:rsid w:val="282F2563"/>
    <w:rsid w:val="28B575B7"/>
    <w:rsid w:val="29080D00"/>
    <w:rsid w:val="29637ABC"/>
    <w:rsid w:val="296E6328"/>
    <w:rsid w:val="29975957"/>
    <w:rsid w:val="29BF1D06"/>
    <w:rsid w:val="2A070105"/>
    <w:rsid w:val="2A196B34"/>
    <w:rsid w:val="2A50295E"/>
    <w:rsid w:val="2A5547A9"/>
    <w:rsid w:val="2A73625B"/>
    <w:rsid w:val="2A992CF2"/>
    <w:rsid w:val="2B245EEB"/>
    <w:rsid w:val="2B30567A"/>
    <w:rsid w:val="2B496BF1"/>
    <w:rsid w:val="2BD93835"/>
    <w:rsid w:val="2BF75779"/>
    <w:rsid w:val="2C0933C7"/>
    <w:rsid w:val="2C5A3F68"/>
    <w:rsid w:val="2D4F514F"/>
    <w:rsid w:val="2DD815E9"/>
    <w:rsid w:val="2E006963"/>
    <w:rsid w:val="2E1E0468"/>
    <w:rsid w:val="2E2B1D08"/>
    <w:rsid w:val="2E6006B4"/>
    <w:rsid w:val="2EAE36E8"/>
    <w:rsid w:val="2EBC7A55"/>
    <w:rsid w:val="2EC456C9"/>
    <w:rsid w:val="2EE759AB"/>
    <w:rsid w:val="2EF02962"/>
    <w:rsid w:val="2EF57F78"/>
    <w:rsid w:val="2F2D05FC"/>
    <w:rsid w:val="2F77273B"/>
    <w:rsid w:val="2F7876B6"/>
    <w:rsid w:val="2F861A82"/>
    <w:rsid w:val="2F873365"/>
    <w:rsid w:val="2FC2764D"/>
    <w:rsid w:val="2FCE55B5"/>
    <w:rsid w:val="30055F99"/>
    <w:rsid w:val="30111D7B"/>
    <w:rsid w:val="301E3DB5"/>
    <w:rsid w:val="30221655"/>
    <w:rsid w:val="302C5C1C"/>
    <w:rsid w:val="30530D90"/>
    <w:rsid w:val="305A6B4F"/>
    <w:rsid w:val="306A57C0"/>
    <w:rsid w:val="30863DC4"/>
    <w:rsid w:val="309260EA"/>
    <w:rsid w:val="30D342E9"/>
    <w:rsid w:val="30DC38C3"/>
    <w:rsid w:val="30EE1123"/>
    <w:rsid w:val="31271F3F"/>
    <w:rsid w:val="31301566"/>
    <w:rsid w:val="314A45AB"/>
    <w:rsid w:val="314F3970"/>
    <w:rsid w:val="31605B7D"/>
    <w:rsid w:val="31732D9D"/>
    <w:rsid w:val="318A49A8"/>
    <w:rsid w:val="31A57A34"/>
    <w:rsid w:val="31BC3BEB"/>
    <w:rsid w:val="31CE1B07"/>
    <w:rsid w:val="31F956F5"/>
    <w:rsid w:val="31FD7650"/>
    <w:rsid w:val="32005C9B"/>
    <w:rsid w:val="322F2AA2"/>
    <w:rsid w:val="325356E2"/>
    <w:rsid w:val="32683060"/>
    <w:rsid w:val="32825583"/>
    <w:rsid w:val="32BA7254"/>
    <w:rsid w:val="32E21FDF"/>
    <w:rsid w:val="32EA40D1"/>
    <w:rsid w:val="336762D8"/>
    <w:rsid w:val="338813BB"/>
    <w:rsid w:val="33C81887"/>
    <w:rsid w:val="33E44669"/>
    <w:rsid w:val="341C1B03"/>
    <w:rsid w:val="341E3ACD"/>
    <w:rsid w:val="34430B12"/>
    <w:rsid w:val="3490711A"/>
    <w:rsid w:val="34A843EE"/>
    <w:rsid w:val="351A1233"/>
    <w:rsid w:val="351F1FF6"/>
    <w:rsid w:val="353035F5"/>
    <w:rsid w:val="35483360"/>
    <w:rsid w:val="357034B5"/>
    <w:rsid w:val="35726644"/>
    <w:rsid w:val="35793A6A"/>
    <w:rsid w:val="3585675D"/>
    <w:rsid w:val="35A71B21"/>
    <w:rsid w:val="35E52275"/>
    <w:rsid w:val="35FD7A84"/>
    <w:rsid w:val="36077997"/>
    <w:rsid w:val="36140CE4"/>
    <w:rsid w:val="364D41F6"/>
    <w:rsid w:val="36F822C6"/>
    <w:rsid w:val="371C5A9A"/>
    <w:rsid w:val="378123A9"/>
    <w:rsid w:val="378974B0"/>
    <w:rsid w:val="378E4AC6"/>
    <w:rsid w:val="37A61E10"/>
    <w:rsid w:val="37D20230"/>
    <w:rsid w:val="37E3789B"/>
    <w:rsid w:val="37F30661"/>
    <w:rsid w:val="37FB61B7"/>
    <w:rsid w:val="380D1E8F"/>
    <w:rsid w:val="38454CBB"/>
    <w:rsid w:val="38481119"/>
    <w:rsid w:val="38887767"/>
    <w:rsid w:val="389044E9"/>
    <w:rsid w:val="38E33EF7"/>
    <w:rsid w:val="38F43041"/>
    <w:rsid w:val="390C2146"/>
    <w:rsid w:val="39495149"/>
    <w:rsid w:val="39545293"/>
    <w:rsid w:val="39F3730E"/>
    <w:rsid w:val="3A6A6400"/>
    <w:rsid w:val="3A7B609F"/>
    <w:rsid w:val="3AA12D62"/>
    <w:rsid w:val="3ABE1B66"/>
    <w:rsid w:val="3AC2225A"/>
    <w:rsid w:val="3B023801"/>
    <w:rsid w:val="3B083392"/>
    <w:rsid w:val="3B135AA1"/>
    <w:rsid w:val="3B3F1A56"/>
    <w:rsid w:val="3B5F3F38"/>
    <w:rsid w:val="3B633E86"/>
    <w:rsid w:val="3B6926B0"/>
    <w:rsid w:val="3BB07701"/>
    <w:rsid w:val="3BC276EB"/>
    <w:rsid w:val="3C075FF0"/>
    <w:rsid w:val="3C5938F5"/>
    <w:rsid w:val="3C642299"/>
    <w:rsid w:val="3C6D55F2"/>
    <w:rsid w:val="3C720212"/>
    <w:rsid w:val="3C9B295A"/>
    <w:rsid w:val="3D0C6BB9"/>
    <w:rsid w:val="3D2C5E89"/>
    <w:rsid w:val="3D3B3C1C"/>
    <w:rsid w:val="3D400A77"/>
    <w:rsid w:val="3DA363BE"/>
    <w:rsid w:val="3DAD7536"/>
    <w:rsid w:val="3DE10046"/>
    <w:rsid w:val="3E2717D1"/>
    <w:rsid w:val="3E574F0E"/>
    <w:rsid w:val="3E5D14F2"/>
    <w:rsid w:val="3E87373D"/>
    <w:rsid w:val="3EB05C6A"/>
    <w:rsid w:val="3EBC016B"/>
    <w:rsid w:val="3EE97D71"/>
    <w:rsid w:val="3EF0377F"/>
    <w:rsid w:val="3F041198"/>
    <w:rsid w:val="3F050408"/>
    <w:rsid w:val="3F345DC4"/>
    <w:rsid w:val="3F477DB9"/>
    <w:rsid w:val="3F542A99"/>
    <w:rsid w:val="3F7F666B"/>
    <w:rsid w:val="3FA255B3"/>
    <w:rsid w:val="3FAA26B9"/>
    <w:rsid w:val="3FFA0F4B"/>
    <w:rsid w:val="40050F5F"/>
    <w:rsid w:val="40375196"/>
    <w:rsid w:val="4058120B"/>
    <w:rsid w:val="4080278D"/>
    <w:rsid w:val="40E22B29"/>
    <w:rsid w:val="40E90FBF"/>
    <w:rsid w:val="40F2256A"/>
    <w:rsid w:val="413C5B20"/>
    <w:rsid w:val="415D690F"/>
    <w:rsid w:val="415F268B"/>
    <w:rsid w:val="417C2AF7"/>
    <w:rsid w:val="41983EDE"/>
    <w:rsid w:val="41D73972"/>
    <w:rsid w:val="42074ABF"/>
    <w:rsid w:val="423A6D1A"/>
    <w:rsid w:val="42921370"/>
    <w:rsid w:val="42C1786D"/>
    <w:rsid w:val="42FF028A"/>
    <w:rsid w:val="431247FD"/>
    <w:rsid w:val="434626F9"/>
    <w:rsid w:val="43775BA3"/>
    <w:rsid w:val="43996144"/>
    <w:rsid w:val="43996CCD"/>
    <w:rsid w:val="43BF5D4B"/>
    <w:rsid w:val="43C70CA9"/>
    <w:rsid w:val="43DA0ECB"/>
    <w:rsid w:val="44D373DA"/>
    <w:rsid w:val="44E001FA"/>
    <w:rsid w:val="44FF5031"/>
    <w:rsid w:val="45107462"/>
    <w:rsid w:val="451C1160"/>
    <w:rsid w:val="459E0FC8"/>
    <w:rsid w:val="45F211CB"/>
    <w:rsid w:val="460E39A2"/>
    <w:rsid w:val="46215A07"/>
    <w:rsid w:val="465F4009"/>
    <w:rsid w:val="4676244E"/>
    <w:rsid w:val="468D4EDA"/>
    <w:rsid w:val="469A3487"/>
    <w:rsid w:val="46A05D41"/>
    <w:rsid w:val="46AE2A8F"/>
    <w:rsid w:val="46D63D94"/>
    <w:rsid w:val="47213261"/>
    <w:rsid w:val="475450DC"/>
    <w:rsid w:val="475E783E"/>
    <w:rsid w:val="479D1E00"/>
    <w:rsid w:val="47A565F6"/>
    <w:rsid w:val="47BB0949"/>
    <w:rsid w:val="47F01453"/>
    <w:rsid w:val="480C1C24"/>
    <w:rsid w:val="48653621"/>
    <w:rsid w:val="48846C29"/>
    <w:rsid w:val="48931F3C"/>
    <w:rsid w:val="48961A2D"/>
    <w:rsid w:val="48A65227"/>
    <w:rsid w:val="4903474C"/>
    <w:rsid w:val="491A4F45"/>
    <w:rsid w:val="49555444"/>
    <w:rsid w:val="496D5441"/>
    <w:rsid w:val="49CF169A"/>
    <w:rsid w:val="49F32A71"/>
    <w:rsid w:val="4A376DCF"/>
    <w:rsid w:val="4A5F34E7"/>
    <w:rsid w:val="4AE302A8"/>
    <w:rsid w:val="4AF13892"/>
    <w:rsid w:val="4B491961"/>
    <w:rsid w:val="4B9233E7"/>
    <w:rsid w:val="4BFE5A15"/>
    <w:rsid w:val="4C136499"/>
    <w:rsid w:val="4C15710C"/>
    <w:rsid w:val="4C2A650A"/>
    <w:rsid w:val="4C690CD4"/>
    <w:rsid w:val="4C900D1E"/>
    <w:rsid w:val="4CB719C0"/>
    <w:rsid w:val="4D551EB6"/>
    <w:rsid w:val="4DA90201"/>
    <w:rsid w:val="4DAE5A6A"/>
    <w:rsid w:val="4DB40B3C"/>
    <w:rsid w:val="4DC67CB4"/>
    <w:rsid w:val="4DC77914"/>
    <w:rsid w:val="4DDA685F"/>
    <w:rsid w:val="4DDF299E"/>
    <w:rsid w:val="4DE33966"/>
    <w:rsid w:val="4DEC3685"/>
    <w:rsid w:val="4E302968"/>
    <w:rsid w:val="4E30647F"/>
    <w:rsid w:val="4E692DE1"/>
    <w:rsid w:val="4E6B74B7"/>
    <w:rsid w:val="4EA11120"/>
    <w:rsid w:val="4ECC2160"/>
    <w:rsid w:val="4EDB21A2"/>
    <w:rsid w:val="4EEA0932"/>
    <w:rsid w:val="4F053468"/>
    <w:rsid w:val="4F42646A"/>
    <w:rsid w:val="4F487871"/>
    <w:rsid w:val="4F910785"/>
    <w:rsid w:val="4FA113E3"/>
    <w:rsid w:val="4FA12238"/>
    <w:rsid w:val="50342257"/>
    <w:rsid w:val="50660F1E"/>
    <w:rsid w:val="50B63C02"/>
    <w:rsid w:val="50CA4969"/>
    <w:rsid w:val="51074A82"/>
    <w:rsid w:val="51874608"/>
    <w:rsid w:val="51C4760A"/>
    <w:rsid w:val="51D72D57"/>
    <w:rsid w:val="51DF1136"/>
    <w:rsid w:val="51EE4687"/>
    <w:rsid w:val="51F3621E"/>
    <w:rsid w:val="52020133"/>
    <w:rsid w:val="5202362A"/>
    <w:rsid w:val="52067C23"/>
    <w:rsid w:val="52211574"/>
    <w:rsid w:val="5294576A"/>
    <w:rsid w:val="529A1B01"/>
    <w:rsid w:val="52B14033"/>
    <w:rsid w:val="52D93CC9"/>
    <w:rsid w:val="52E95517"/>
    <w:rsid w:val="53E53CEE"/>
    <w:rsid w:val="541A2C24"/>
    <w:rsid w:val="54255290"/>
    <w:rsid w:val="543D4D08"/>
    <w:rsid w:val="54586F56"/>
    <w:rsid w:val="549C6A3A"/>
    <w:rsid w:val="54B73456"/>
    <w:rsid w:val="54CF07A0"/>
    <w:rsid w:val="54E0475B"/>
    <w:rsid w:val="54FC70BB"/>
    <w:rsid w:val="55012924"/>
    <w:rsid w:val="550541C2"/>
    <w:rsid w:val="550A20EB"/>
    <w:rsid w:val="55855D21"/>
    <w:rsid w:val="55BE307C"/>
    <w:rsid w:val="55E921D9"/>
    <w:rsid w:val="55FF50B5"/>
    <w:rsid w:val="56130B60"/>
    <w:rsid w:val="56385ACB"/>
    <w:rsid w:val="56410322"/>
    <w:rsid w:val="56496330"/>
    <w:rsid w:val="566C201F"/>
    <w:rsid w:val="568156FD"/>
    <w:rsid w:val="56D227CA"/>
    <w:rsid w:val="56D552A4"/>
    <w:rsid w:val="56EF6BB5"/>
    <w:rsid w:val="56F50139"/>
    <w:rsid w:val="57340D8E"/>
    <w:rsid w:val="576B22D6"/>
    <w:rsid w:val="577D1B50"/>
    <w:rsid w:val="57877110"/>
    <w:rsid w:val="581F60F1"/>
    <w:rsid w:val="58322079"/>
    <w:rsid w:val="58782EFD"/>
    <w:rsid w:val="588673C8"/>
    <w:rsid w:val="588D77A9"/>
    <w:rsid w:val="589B75A6"/>
    <w:rsid w:val="58AE4B70"/>
    <w:rsid w:val="58C3686E"/>
    <w:rsid w:val="58D327E6"/>
    <w:rsid w:val="590040B1"/>
    <w:rsid w:val="591E5852"/>
    <w:rsid w:val="59404B7D"/>
    <w:rsid w:val="5A731BCE"/>
    <w:rsid w:val="5A7C624A"/>
    <w:rsid w:val="5A8E2EAB"/>
    <w:rsid w:val="5AA4622B"/>
    <w:rsid w:val="5AEB0873"/>
    <w:rsid w:val="5B157129"/>
    <w:rsid w:val="5B5608A6"/>
    <w:rsid w:val="5BA37B30"/>
    <w:rsid w:val="5BD56184"/>
    <w:rsid w:val="5BF161EC"/>
    <w:rsid w:val="5BF4247D"/>
    <w:rsid w:val="5C5A37CC"/>
    <w:rsid w:val="5CAC7619"/>
    <w:rsid w:val="5CB87B65"/>
    <w:rsid w:val="5D2378DB"/>
    <w:rsid w:val="5D7A166C"/>
    <w:rsid w:val="5D7E0D39"/>
    <w:rsid w:val="5D8D2FA6"/>
    <w:rsid w:val="5DC42740"/>
    <w:rsid w:val="5DC5571B"/>
    <w:rsid w:val="5DE3467B"/>
    <w:rsid w:val="5E0A718D"/>
    <w:rsid w:val="5E394EDC"/>
    <w:rsid w:val="5E481638"/>
    <w:rsid w:val="5E6737F7"/>
    <w:rsid w:val="5EC43A11"/>
    <w:rsid w:val="5EE44E48"/>
    <w:rsid w:val="5EE91C97"/>
    <w:rsid w:val="5F160083"/>
    <w:rsid w:val="5F447FDD"/>
    <w:rsid w:val="5F724B4A"/>
    <w:rsid w:val="5FA40A7B"/>
    <w:rsid w:val="5FA41CF6"/>
    <w:rsid w:val="5FC33717"/>
    <w:rsid w:val="5FD628EA"/>
    <w:rsid w:val="600D3C4E"/>
    <w:rsid w:val="60876DF0"/>
    <w:rsid w:val="608E53F7"/>
    <w:rsid w:val="60B3541A"/>
    <w:rsid w:val="60B714B7"/>
    <w:rsid w:val="60F465F9"/>
    <w:rsid w:val="61585C3E"/>
    <w:rsid w:val="615D4F5B"/>
    <w:rsid w:val="616C6475"/>
    <w:rsid w:val="619C5942"/>
    <w:rsid w:val="61AF519D"/>
    <w:rsid w:val="61C41946"/>
    <w:rsid w:val="61D70096"/>
    <w:rsid w:val="621D34CA"/>
    <w:rsid w:val="625E5251"/>
    <w:rsid w:val="62B45691"/>
    <w:rsid w:val="62CF5E0F"/>
    <w:rsid w:val="62EF200D"/>
    <w:rsid w:val="62F85366"/>
    <w:rsid w:val="632E6FDA"/>
    <w:rsid w:val="635307EE"/>
    <w:rsid w:val="63604CB9"/>
    <w:rsid w:val="63D07E18"/>
    <w:rsid w:val="63DB16D9"/>
    <w:rsid w:val="63EE0517"/>
    <w:rsid w:val="641B6B36"/>
    <w:rsid w:val="643C5FDE"/>
    <w:rsid w:val="646638E3"/>
    <w:rsid w:val="64872E45"/>
    <w:rsid w:val="64CD45D0"/>
    <w:rsid w:val="64F948AD"/>
    <w:rsid w:val="650D4AC2"/>
    <w:rsid w:val="65235ED9"/>
    <w:rsid w:val="6550033E"/>
    <w:rsid w:val="660F6247"/>
    <w:rsid w:val="66345CAE"/>
    <w:rsid w:val="6647639F"/>
    <w:rsid w:val="66560974"/>
    <w:rsid w:val="66666A8A"/>
    <w:rsid w:val="669114AF"/>
    <w:rsid w:val="669453A6"/>
    <w:rsid w:val="66CC5997"/>
    <w:rsid w:val="66DB61AD"/>
    <w:rsid w:val="66F80E6B"/>
    <w:rsid w:val="672101E2"/>
    <w:rsid w:val="675240B4"/>
    <w:rsid w:val="675D7E8D"/>
    <w:rsid w:val="67850B36"/>
    <w:rsid w:val="67890948"/>
    <w:rsid w:val="67917B37"/>
    <w:rsid w:val="67E20393"/>
    <w:rsid w:val="6803390C"/>
    <w:rsid w:val="68072C52"/>
    <w:rsid w:val="68164783"/>
    <w:rsid w:val="682C160E"/>
    <w:rsid w:val="68844D66"/>
    <w:rsid w:val="68993147"/>
    <w:rsid w:val="68AD274F"/>
    <w:rsid w:val="68D4417F"/>
    <w:rsid w:val="69434E61"/>
    <w:rsid w:val="69460679"/>
    <w:rsid w:val="696279DD"/>
    <w:rsid w:val="69847953"/>
    <w:rsid w:val="699340CE"/>
    <w:rsid w:val="69957EAE"/>
    <w:rsid w:val="69AC42BC"/>
    <w:rsid w:val="69CF7895"/>
    <w:rsid w:val="69D75139"/>
    <w:rsid w:val="69F24F19"/>
    <w:rsid w:val="6A162806"/>
    <w:rsid w:val="6A2B7DCF"/>
    <w:rsid w:val="6A9C0B2A"/>
    <w:rsid w:val="6AA4241D"/>
    <w:rsid w:val="6AF705F9"/>
    <w:rsid w:val="6B4F3F91"/>
    <w:rsid w:val="6B686E01"/>
    <w:rsid w:val="6BCD4040"/>
    <w:rsid w:val="6BCE4D8E"/>
    <w:rsid w:val="6BF70432"/>
    <w:rsid w:val="6C0219F2"/>
    <w:rsid w:val="6C2725ED"/>
    <w:rsid w:val="6C307222"/>
    <w:rsid w:val="6C397153"/>
    <w:rsid w:val="6C42275F"/>
    <w:rsid w:val="6C686BE9"/>
    <w:rsid w:val="6C7C2B64"/>
    <w:rsid w:val="6C803E37"/>
    <w:rsid w:val="6C8420AC"/>
    <w:rsid w:val="6CBB4CF1"/>
    <w:rsid w:val="6CC4450B"/>
    <w:rsid w:val="6D0C2A35"/>
    <w:rsid w:val="6D4D113F"/>
    <w:rsid w:val="6D697741"/>
    <w:rsid w:val="6D875C64"/>
    <w:rsid w:val="6D8D6119"/>
    <w:rsid w:val="6DA53394"/>
    <w:rsid w:val="6DE013F0"/>
    <w:rsid w:val="6DF21E6F"/>
    <w:rsid w:val="6E0412CE"/>
    <w:rsid w:val="6E162B44"/>
    <w:rsid w:val="6E3D1AD9"/>
    <w:rsid w:val="6E645FA5"/>
    <w:rsid w:val="6E6E4249"/>
    <w:rsid w:val="6E8D5F70"/>
    <w:rsid w:val="6E8D7E4B"/>
    <w:rsid w:val="6EAA558F"/>
    <w:rsid w:val="6F1057E5"/>
    <w:rsid w:val="6F1943A2"/>
    <w:rsid w:val="6F5C0A2B"/>
    <w:rsid w:val="6F967122"/>
    <w:rsid w:val="6FF730A4"/>
    <w:rsid w:val="706978A3"/>
    <w:rsid w:val="707A7A8A"/>
    <w:rsid w:val="70D00C51"/>
    <w:rsid w:val="718A7AD1"/>
    <w:rsid w:val="719426FE"/>
    <w:rsid w:val="72387E01"/>
    <w:rsid w:val="724265FE"/>
    <w:rsid w:val="726D0A15"/>
    <w:rsid w:val="72716CD3"/>
    <w:rsid w:val="72B2237E"/>
    <w:rsid w:val="72F93721"/>
    <w:rsid w:val="730335F5"/>
    <w:rsid w:val="733A4E1B"/>
    <w:rsid w:val="73552361"/>
    <w:rsid w:val="736B748E"/>
    <w:rsid w:val="73942E89"/>
    <w:rsid w:val="739A4D31"/>
    <w:rsid w:val="73AF6F35"/>
    <w:rsid w:val="73BA22F0"/>
    <w:rsid w:val="73C2067A"/>
    <w:rsid w:val="73F531FC"/>
    <w:rsid w:val="740A47E9"/>
    <w:rsid w:val="74183B40"/>
    <w:rsid w:val="74212243"/>
    <w:rsid w:val="744E459F"/>
    <w:rsid w:val="74602D6B"/>
    <w:rsid w:val="74620891"/>
    <w:rsid w:val="746413E5"/>
    <w:rsid w:val="74746816"/>
    <w:rsid w:val="74D6330C"/>
    <w:rsid w:val="74DD0BDD"/>
    <w:rsid w:val="74F743F9"/>
    <w:rsid w:val="755328D0"/>
    <w:rsid w:val="75CA2B92"/>
    <w:rsid w:val="75D67789"/>
    <w:rsid w:val="75DF0D15"/>
    <w:rsid w:val="75E51F07"/>
    <w:rsid w:val="7656161A"/>
    <w:rsid w:val="765A13AA"/>
    <w:rsid w:val="766703E1"/>
    <w:rsid w:val="769474CD"/>
    <w:rsid w:val="76D94AED"/>
    <w:rsid w:val="770A2870"/>
    <w:rsid w:val="772C5355"/>
    <w:rsid w:val="774D46B0"/>
    <w:rsid w:val="778E4093"/>
    <w:rsid w:val="77AB69F3"/>
    <w:rsid w:val="77C27899"/>
    <w:rsid w:val="77E912C9"/>
    <w:rsid w:val="784A7A87"/>
    <w:rsid w:val="786820CA"/>
    <w:rsid w:val="78E21FA1"/>
    <w:rsid w:val="790B1E41"/>
    <w:rsid w:val="790D0346"/>
    <w:rsid w:val="79607369"/>
    <w:rsid w:val="79A80E33"/>
    <w:rsid w:val="7A0B7864"/>
    <w:rsid w:val="7A244B69"/>
    <w:rsid w:val="7A5E5838"/>
    <w:rsid w:val="7A7A445B"/>
    <w:rsid w:val="7A7C01D3"/>
    <w:rsid w:val="7A7C4677"/>
    <w:rsid w:val="7A7D2E2B"/>
    <w:rsid w:val="7A885852"/>
    <w:rsid w:val="7B207941"/>
    <w:rsid w:val="7B230961"/>
    <w:rsid w:val="7B231095"/>
    <w:rsid w:val="7B3A65DD"/>
    <w:rsid w:val="7BBC05CB"/>
    <w:rsid w:val="7BC94A90"/>
    <w:rsid w:val="7BE44AA5"/>
    <w:rsid w:val="7BEC3136"/>
    <w:rsid w:val="7BF42767"/>
    <w:rsid w:val="7C11236D"/>
    <w:rsid w:val="7C3C386D"/>
    <w:rsid w:val="7C452342"/>
    <w:rsid w:val="7C460A98"/>
    <w:rsid w:val="7C4E2850"/>
    <w:rsid w:val="7CBE516E"/>
    <w:rsid w:val="7CC50F88"/>
    <w:rsid w:val="7CC944C7"/>
    <w:rsid w:val="7D0746CC"/>
    <w:rsid w:val="7D0A7D18"/>
    <w:rsid w:val="7D171C1D"/>
    <w:rsid w:val="7D56419E"/>
    <w:rsid w:val="7D6A4C5A"/>
    <w:rsid w:val="7E3D2253"/>
    <w:rsid w:val="7E5D437F"/>
    <w:rsid w:val="7E634613"/>
    <w:rsid w:val="7ED13636"/>
    <w:rsid w:val="7ED97699"/>
    <w:rsid w:val="7EEF14E8"/>
    <w:rsid w:val="7EEF71C5"/>
    <w:rsid w:val="7F183CAE"/>
    <w:rsid w:val="7F4475EB"/>
    <w:rsid w:val="7F47540D"/>
    <w:rsid w:val="7F674330"/>
    <w:rsid w:val="7F791185"/>
    <w:rsid w:val="7FB74922"/>
    <w:rsid w:val="7FCF08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qFormat="1" w:unhideWhenUsed="0" w:uiPriority="0" w:semiHidden="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link w:val="297"/>
    <w:qFormat/>
    <w:uiPriority w:val="0"/>
    <w:pPr>
      <w:keepNext/>
      <w:snapToGrid w:val="0"/>
      <w:spacing w:line="360" w:lineRule="atLeast"/>
      <w:outlineLvl w:val="0"/>
    </w:pPr>
    <w:rPr>
      <w:rFonts w:ascii="宋体"/>
    </w:rPr>
  </w:style>
  <w:style w:type="paragraph" w:styleId="5">
    <w:name w:val="heading 2"/>
    <w:basedOn w:val="1"/>
    <w:next w:val="1"/>
    <w:link w:val="298"/>
    <w:autoRedefine/>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299"/>
    <w:qFormat/>
    <w:uiPriority w:val="0"/>
    <w:pPr>
      <w:keepNext/>
      <w:keepLines/>
      <w:spacing w:before="260" w:after="260" w:line="413" w:lineRule="auto"/>
      <w:outlineLvl w:val="2"/>
    </w:pPr>
    <w:rPr>
      <w:b/>
      <w:sz w:val="32"/>
    </w:rPr>
  </w:style>
  <w:style w:type="paragraph" w:styleId="7">
    <w:name w:val="heading 4"/>
    <w:basedOn w:val="1"/>
    <w:next w:val="1"/>
    <w:link w:val="300"/>
    <w:autoRedefine/>
    <w:qFormat/>
    <w:uiPriority w:val="0"/>
    <w:pPr>
      <w:keepNext/>
      <w:keepLines/>
      <w:spacing w:before="280" w:after="290" w:line="372" w:lineRule="auto"/>
      <w:outlineLvl w:val="3"/>
    </w:pPr>
    <w:rPr>
      <w:rFonts w:ascii="Arial" w:hAnsi="Arial" w:eastAsia="黑体"/>
      <w:b/>
    </w:rPr>
  </w:style>
  <w:style w:type="paragraph" w:styleId="8">
    <w:name w:val="heading 5"/>
    <w:basedOn w:val="1"/>
    <w:next w:val="1"/>
    <w:link w:val="30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link w:val="302"/>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link w:val="303"/>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link w:val="304"/>
    <w:autoRedefine/>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link w:val="305"/>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96"/>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autoRedefine/>
    <w:qFormat/>
    <w:uiPriority w:val="0"/>
    <w:pPr>
      <w:adjustRightInd w:val="0"/>
      <w:snapToGrid w:val="0"/>
      <w:spacing w:line="360" w:lineRule="auto"/>
      <w:ind w:left="600" w:leftChars="400" w:hanging="200" w:hangingChars="200"/>
    </w:pPr>
    <w:rPr>
      <w:sz w:val="24"/>
    </w:rPr>
  </w:style>
  <w:style w:type="paragraph" w:styleId="14">
    <w:name w:val="toc 7"/>
    <w:basedOn w:val="1"/>
    <w:next w:val="1"/>
    <w:autoRedefine/>
    <w:qFormat/>
    <w:uiPriority w:val="0"/>
    <w:pPr>
      <w:ind w:left="1200" w:leftChars="1200"/>
    </w:pPr>
  </w:style>
  <w:style w:type="paragraph" w:styleId="15">
    <w:name w:val="List Number 2"/>
    <w:basedOn w:val="1"/>
    <w:qFormat/>
    <w:uiPriority w:val="0"/>
    <w:pPr>
      <w:numPr>
        <w:ilvl w:val="0"/>
        <w:numId w:val="1"/>
      </w:numPr>
      <w:tabs>
        <w:tab w:val="left" w:pos="780"/>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306"/>
    <w:autoRedefine/>
    <w:qFormat/>
    <w:uiPriority w:val="0"/>
    <w:pPr>
      <w:adjustRightInd w:val="0"/>
      <w:snapToGrid w:val="0"/>
      <w:spacing w:line="360" w:lineRule="auto"/>
      <w:ind w:firstLine="420"/>
    </w:pPr>
    <w:rPr>
      <w:sz w:val="24"/>
    </w:rPr>
  </w:style>
  <w:style w:type="paragraph" w:styleId="18">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307"/>
    <w:qFormat/>
    <w:uiPriority w:val="0"/>
    <w:pPr>
      <w:adjustRightInd w:val="0"/>
      <w:spacing w:line="360" w:lineRule="atLeast"/>
      <w:jc w:val="left"/>
      <w:textAlignment w:val="baseline"/>
    </w:pPr>
    <w:rPr>
      <w:kern w:val="0"/>
      <w:sz w:val="24"/>
    </w:rPr>
  </w:style>
  <w:style w:type="paragraph" w:styleId="22">
    <w:name w:val="Salutation"/>
    <w:basedOn w:val="1"/>
    <w:next w:val="1"/>
    <w:link w:val="308"/>
    <w:qFormat/>
    <w:uiPriority w:val="0"/>
    <w:rPr>
      <w:kern w:val="0"/>
      <w:sz w:val="18"/>
    </w:rPr>
  </w:style>
  <w:style w:type="paragraph" w:styleId="23">
    <w:name w:val="Body Text 3"/>
    <w:basedOn w:val="1"/>
    <w:qFormat/>
    <w:uiPriority w:val="0"/>
    <w:pPr>
      <w:adjustRightInd w:val="0"/>
      <w:snapToGrid w:val="0"/>
      <w:spacing w:after="120" w:line="360" w:lineRule="auto"/>
    </w:pPr>
    <w:rPr>
      <w:sz w:val="16"/>
    </w:rPr>
  </w:style>
  <w:style w:type="paragraph" w:styleId="24">
    <w:name w:val="List Bullet 3"/>
    <w:basedOn w:val="1"/>
    <w:qFormat/>
    <w:uiPriority w:val="0"/>
    <w:pPr>
      <w:tabs>
        <w:tab w:val="left" w:pos="1200"/>
      </w:tabs>
      <w:adjustRightInd w:val="0"/>
      <w:snapToGrid w:val="0"/>
      <w:spacing w:line="360" w:lineRule="auto"/>
      <w:ind w:left="1200" w:hanging="360"/>
    </w:pPr>
    <w:rPr>
      <w:sz w:val="24"/>
    </w:rPr>
  </w:style>
  <w:style w:type="paragraph" w:styleId="25">
    <w:name w:val="Body Text Indent"/>
    <w:basedOn w:val="1"/>
    <w:link w:val="309"/>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400" w:leftChars="200" w:hanging="200" w:hangingChars="200"/>
    </w:pPr>
    <w:rPr>
      <w:sz w:val="24"/>
    </w:rPr>
  </w:style>
  <w:style w:type="paragraph" w:styleId="28">
    <w:name w:val="List Continue"/>
    <w:basedOn w:val="1"/>
    <w:qFormat/>
    <w:uiPriority w:val="0"/>
    <w:pPr>
      <w:adjustRightInd w:val="0"/>
      <w:snapToGrid w:val="0"/>
      <w:spacing w:after="120" w:line="360" w:lineRule="auto"/>
      <w:ind w:left="200" w:leftChars="200"/>
    </w:pPr>
    <w:rPr>
      <w:sz w:val="24"/>
    </w:r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800" w:leftChars="800"/>
    </w:pPr>
  </w:style>
  <w:style w:type="paragraph" w:styleId="31">
    <w:name w:val="toc 3"/>
    <w:basedOn w:val="1"/>
    <w:next w:val="1"/>
    <w:qFormat/>
    <w:uiPriority w:val="39"/>
    <w:pPr>
      <w:ind w:left="400" w:leftChars="400"/>
    </w:pPr>
  </w:style>
  <w:style w:type="paragraph" w:styleId="32">
    <w:name w:val="Plain Text"/>
    <w:basedOn w:val="1"/>
    <w:link w:val="310"/>
    <w:qFormat/>
    <w:uiPriority w:val="0"/>
    <w:rPr>
      <w:rFonts w:ascii="宋体"/>
      <w:sz w:val="21"/>
    </w:rPr>
  </w:style>
  <w:style w:type="paragraph" w:styleId="33">
    <w:name w:val="toc 8"/>
    <w:basedOn w:val="1"/>
    <w:next w:val="1"/>
    <w:qFormat/>
    <w:uiPriority w:val="0"/>
    <w:pPr>
      <w:ind w:left="1400" w:leftChars="1400"/>
    </w:pPr>
  </w:style>
  <w:style w:type="paragraph" w:styleId="34">
    <w:name w:val="Date"/>
    <w:basedOn w:val="1"/>
    <w:next w:val="1"/>
    <w:link w:val="311"/>
    <w:qFormat/>
    <w:uiPriority w:val="0"/>
  </w:style>
  <w:style w:type="paragraph" w:styleId="35">
    <w:name w:val="Body Text Indent 2"/>
    <w:basedOn w:val="1"/>
    <w:link w:val="312"/>
    <w:qFormat/>
    <w:uiPriority w:val="0"/>
    <w:pPr>
      <w:snapToGrid w:val="0"/>
      <w:spacing w:line="560" w:lineRule="atLeast"/>
      <w:ind w:firstLine="540"/>
    </w:pPr>
  </w:style>
  <w:style w:type="paragraph" w:styleId="36">
    <w:name w:val="Balloon Text"/>
    <w:basedOn w:val="1"/>
    <w:link w:val="313"/>
    <w:qFormat/>
    <w:uiPriority w:val="0"/>
    <w:rPr>
      <w:sz w:val="18"/>
    </w:rPr>
  </w:style>
  <w:style w:type="paragraph" w:styleId="37">
    <w:name w:val="footer"/>
    <w:basedOn w:val="1"/>
    <w:link w:val="314"/>
    <w:qFormat/>
    <w:uiPriority w:val="99"/>
    <w:pPr>
      <w:tabs>
        <w:tab w:val="center" w:pos="4153"/>
        <w:tab w:val="right" w:pos="8306"/>
      </w:tabs>
      <w:snapToGrid w:val="0"/>
      <w:jc w:val="left"/>
    </w:pPr>
    <w:rPr>
      <w:sz w:val="18"/>
    </w:rPr>
  </w:style>
  <w:style w:type="paragraph" w:styleId="38">
    <w:name w:val="header"/>
    <w:basedOn w:val="1"/>
    <w:link w:val="315"/>
    <w:qFormat/>
    <w:uiPriority w:val="99"/>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39"/>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800" w:leftChars="800"/>
    </w:pPr>
    <w:rPr>
      <w:sz w:val="24"/>
    </w:rPr>
  </w:style>
  <w:style w:type="paragraph" w:styleId="41">
    <w:name w:val="toc 4"/>
    <w:basedOn w:val="1"/>
    <w:next w:val="1"/>
    <w:qFormat/>
    <w:uiPriority w:val="0"/>
    <w:pPr>
      <w:ind w:left="600" w:leftChars="600"/>
    </w:pPr>
  </w:style>
  <w:style w:type="paragraph" w:styleId="42">
    <w:name w:val="Subtitle"/>
    <w:basedOn w:val="1"/>
    <w:next w:val="1"/>
    <w:link w:val="316"/>
    <w:qFormat/>
    <w:uiPriority w:val="0"/>
    <w:pPr>
      <w:spacing w:before="240" w:after="60" w:line="312" w:lineRule="auto"/>
      <w:jc w:val="center"/>
      <w:outlineLvl w:val="1"/>
    </w:pPr>
    <w:rPr>
      <w:rFonts w:ascii="Cambria" w:hAnsi="Cambria"/>
      <w:b/>
      <w:bCs/>
      <w:kern w:val="28"/>
      <w:sz w:val="32"/>
      <w:szCs w:val="32"/>
    </w:rPr>
  </w:style>
  <w:style w:type="paragraph" w:styleId="43">
    <w:name w:val="footnote text"/>
    <w:basedOn w:val="1"/>
    <w:link w:val="317"/>
    <w:qFormat/>
    <w:uiPriority w:val="0"/>
    <w:pPr>
      <w:spacing w:line="360" w:lineRule="auto"/>
    </w:pPr>
    <w:rPr>
      <w:sz w:val="18"/>
    </w:rPr>
  </w:style>
  <w:style w:type="paragraph" w:styleId="44">
    <w:name w:val="toc 6"/>
    <w:basedOn w:val="1"/>
    <w:next w:val="1"/>
    <w:qFormat/>
    <w:uiPriority w:val="0"/>
    <w:pPr>
      <w:ind w:left="1000" w:leftChars="1000"/>
    </w:pPr>
  </w:style>
  <w:style w:type="paragraph" w:styleId="45">
    <w:name w:val="List 5"/>
    <w:basedOn w:val="1"/>
    <w:qFormat/>
    <w:uiPriority w:val="0"/>
    <w:pPr>
      <w:adjustRightInd w:val="0"/>
      <w:snapToGrid w:val="0"/>
      <w:spacing w:line="360" w:lineRule="auto"/>
      <w:ind w:left="10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ind w:left="200" w:leftChars="200"/>
    </w:pPr>
  </w:style>
  <w:style w:type="paragraph" w:styleId="49">
    <w:name w:val="toc 9"/>
    <w:basedOn w:val="1"/>
    <w:next w:val="1"/>
    <w:qFormat/>
    <w:uiPriority w:val="0"/>
    <w:pPr>
      <w:ind w:left="160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800" w:leftChars="600" w:hanging="200" w:hangingChars="200"/>
    </w:pPr>
    <w:rPr>
      <w:sz w:val="24"/>
    </w:rPr>
  </w:style>
  <w:style w:type="paragraph" w:styleId="52">
    <w:name w:val="List Continue 2"/>
    <w:basedOn w:val="1"/>
    <w:qFormat/>
    <w:uiPriority w:val="0"/>
    <w:pPr>
      <w:adjustRightInd w:val="0"/>
      <w:snapToGrid w:val="0"/>
      <w:spacing w:after="120" w:line="360" w:lineRule="auto"/>
      <w:ind w:left="400" w:leftChars="400"/>
    </w:pPr>
    <w:rPr>
      <w:sz w:val="24"/>
    </w:rPr>
  </w:style>
  <w:style w:type="paragraph" w:styleId="53">
    <w:name w:val="Normal (Web)"/>
    <w:basedOn w:val="1"/>
    <w:autoRedefine/>
    <w:qFormat/>
    <w:uiPriority w:val="0"/>
    <w:pPr>
      <w:widowControl/>
      <w:spacing w:before="100" w:beforeAutospacing="1" w:after="100" w:afterAutospacing="1"/>
      <w:jc w:val="left"/>
    </w:pPr>
    <w:rPr>
      <w:rFonts w:ascii="宋体"/>
      <w:kern w:val="0"/>
      <w:sz w:val="24"/>
    </w:rPr>
  </w:style>
  <w:style w:type="paragraph" w:styleId="54">
    <w:name w:val="List Continue 3"/>
    <w:basedOn w:val="1"/>
    <w:autoRedefine/>
    <w:qFormat/>
    <w:uiPriority w:val="0"/>
    <w:pPr>
      <w:adjustRightInd w:val="0"/>
      <w:snapToGrid w:val="0"/>
      <w:spacing w:after="120" w:line="360" w:lineRule="auto"/>
      <w:ind w:left="60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link w:val="318"/>
    <w:autoRedefine/>
    <w:qFormat/>
    <w:uiPriority w:val="0"/>
    <w:pPr>
      <w:widowControl/>
      <w:spacing w:after="240" w:line="360" w:lineRule="auto"/>
      <w:jc w:val="center"/>
    </w:pPr>
    <w:rPr>
      <w:rFonts w:ascii="Arial" w:hAnsi="Arial"/>
      <w:b/>
      <w:smallCaps/>
      <w:kern w:val="28"/>
      <w:sz w:val="36"/>
    </w:rPr>
  </w:style>
  <w:style w:type="paragraph" w:styleId="57">
    <w:name w:val="annotation subject"/>
    <w:basedOn w:val="21"/>
    <w:next w:val="21"/>
    <w:link w:val="319"/>
    <w:autoRedefine/>
    <w:qFormat/>
    <w:uiPriority w:val="0"/>
    <w:pPr>
      <w:adjustRightInd/>
      <w:spacing w:line="240" w:lineRule="auto"/>
      <w:textAlignment w:val="auto"/>
    </w:pPr>
  </w:style>
  <w:style w:type="paragraph" w:styleId="58">
    <w:name w:val="Body Text First Indent"/>
    <w:basedOn w:val="2"/>
    <w:autoRedefine/>
    <w:qFormat/>
    <w:uiPriority w:val="0"/>
    <w:pPr>
      <w:spacing w:line="360" w:lineRule="auto"/>
      <w:ind w:firstLine="420"/>
    </w:pPr>
    <w:rPr>
      <w:rFonts w:ascii="宋体"/>
      <w:sz w:val="24"/>
    </w:rPr>
  </w:style>
  <w:style w:type="paragraph" w:styleId="59">
    <w:name w:val="Body Text First Indent 2"/>
    <w:basedOn w:val="25"/>
    <w:link w:val="320"/>
    <w:autoRedefine/>
    <w:qFormat/>
    <w:uiPriority w:val="0"/>
    <w:pPr>
      <w:spacing w:after="120" w:line="240" w:lineRule="auto"/>
      <w:ind w:left="200" w:leftChars="200" w:firstLine="200" w:firstLineChars="200"/>
    </w:pPr>
  </w:style>
  <w:style w:type="table" w:styleId="61">
    <w:name w:val="Table Grid"/>
    <w:basedOn w:val="60"/>
    <w:autoRedefine/>
    <w:qFormat/>
    <w:uiPriority w:val="0"/>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3">
    <w:name w:val="Strong"/>
    <w:autoRedefine/>
    <w:qFormat/>
    <w:uiPriority w:val="22"/>
    <w:rPr>
      <w:b/>
    </w:rPr>
  </w:style>
  <w:style w:type="character" w:styleId="64">
    <w:name w:val="page number"/>
    <w:basedOn w:val="62"/>
    <w:autoRedefine/>
    <w:qFormat/>
    <w:uiPriority w:val="0"/>
  </w:style>
  <w:style w:type="character" w:styleId="65">
    <w:name w:val="FollowedHyperlink"/>
    <w:autoRedefine/>
    <w:qFormat/>
    <w:uiPriority w:val="0"/>
    <w:rPr>
      <w:color w:val="800080"/>
      <w:u w:val="single"/>
    </w:rPr>
  </w:style>
  <w:style w:type="character" w:styleId="66">
    <w:name w:val="Emphasis"/>
    <w:autoRedefine/>
    <w:qFormat/>
    <w:uiPriority w:val="0"/>
    <w:rPr>
      <w:i/>
    </w:rPr>
  </w:style>
  <w:style w:type="character" w:styleId="67">
    <w:name w:val="Hyperlink"/>
    <w:autoRedefine/>
    <w:qFormat/>
    <w:uiPriority w:val="99"/>
    <w:rPr>
      <w:color w:val="0000FF"/>
      <w:u w:val="singl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71">
    <w:name w:val="正文（绿盟科技）"/>
    <w:autoRedefine/>
    <w:qFormat/>
    <w:uiPriority w:val="0"/>
    <w:pPr>
      <w:spacing w:line="300" w:lineRule="auto"/>
    </w:pPr>
    <w:rPr>
      <w:rFonts w:ascii="Times New Roman" w:hAnsi="Times New Roman" w:eastAsia="宋体" w:cs="Times New Roman"/>
      <w:sz w:val="21"/>
      <w:szCs w:val="21"/>
      <w:lang w:val="en-US" w:eastAsia="zh-CN" w:bidi="ar-SA"/>
    </w:rPr>
  </w:style>
  <w:style w:type="character" w:customStyle="1" w:styleId="72">
    <w:name w:val="正文 + 三号 Char"/>
    <w:autoRedefine/>
    <w:qFormat/>
    <w:uiPriority w:val="0"/>
    <w:rPr>
      <w:rFonts w:eastAsia="宋体"/>
      <w:kern w:val="2"/>
      <w:sz w:val="21"/>
      <w:lang w:val="en-US" w:eastAsia="zh-CN"/>
    </w:rPr>
  </w:style>
  <w:style w:type="character" w:customStyle="1" w:styleId="73">
    <w:name w:val="正文文本缩进 Char"/>
    <w:autoRedefine/>
    <w:qFormat/>
    <w:uiPriority w:val="0"/>
    <w:rPr>
      <w:kern w:val="2"/>
      <w:sz w:val="44"/>
    </w:rPr>
  </w:style>
  <w:style w:type="character" w:customStyle="1" w:styleId="74">
    <w:name w:val="日期 字符1"/>
    <w:autoRedefine/>
    <w:qFormat/>
    <w:uiPriority w:val="0"/>
    <w:rPr>
      <w:rFonts w:ascii="Times New Roman" w:hAnsi="Times New Roman" w:eastAsia="宋体" w:cs="Times New Roman"/>
      <w:kern w:val="2"/>
      <w:sz w:val="28"/>
    </w:rPr>
  </w:style>
  <w:style w:type="character" w:customStyle="1" w:styleId="75">
    <w:name w:val="H2 Char"/>
    <w:autoRedefine/>
    <w:qFormat/>
    <w:uiPriority w:val="0"/>
    <w:rPr>
      <w:rFonts w:ascii="Arial" w:hAnsi="Arial" w:eastAsia="宋体"/>
      <w:kern w:val="2"/>
      <w:sz w:val="28"/>
      <w:lang w:val="en-US" w:eastAsia="zh-CN"/>
    </w:rPr>
  </w:style>
  <w:style w:type="character" w:customStyle="1" w:styleId="76">
    <w:name w:val="无"/>
    <w:autoRedefine/>
    <w:qFormat/>
    <w:uiPriority w:val="0"/>
    <w:rPr>
      <w:rFonts w:ascii="Times New Roman" w:hAnsi="Times New Roman" w:eastAsia="宋体" w:cs="Times New Roman"/>
    </w:rPr>
  </w:style>
  <w:style w:type="character" w:customStyle="1" w:styleId="77">
    <w:name w:val="日期 Char"/>
    <w:autoRedefine/>
    <w:qFormat/>
    <w:uiPriority w:val="0"/>
    <w:rPr>
      <w:kern w:val="2"/>
      <w:sz w:val="28"/>
    </w:rPr>
  </w:style>
  <w:style w:type="paragraph" w:customStyle="1" w:styleId="78">
    <w:name w:val="(符号)五标题1.1.1"/>
    <w:basedOn w:val="1"/>
    <w:link w:val="335"/>
    <w:autoRedefine/>
    <w:qFormat/>
    <w:uiPriority w:val="0"/>
    <w:pPr>
      <w:numPr>
        <w:ilvl w:val="2"/>
        <w:numId w:val="3"/>
      </w:numPr>
      <w:tabs>
        <w:tab w:val="left" w:pos="1000"/>
      </w:tabs>
      <w:spacing w:line="500" w:lineRule="exact"/>
    </w:pPr>
    <w:rPr>
      <w:rFonts w:ascii="宋体"/>
      <w:color w:val="000000"/>
      <w:sz w:val="24"/>
    </w:rPr>
  </w:style>
  <w:style w:type="character" w:customStyle="1" w:styleId="79">
    <w:name w:val="标题 3 Char1"/>
    <w:autoRedefine/>
    <w:qFormat/>
    <w:uiPriority w:val="0"/>
    <w:rPr>
      <w:rFonts w:eastAsia="宋体"/>
      <w:b/>
      <w:kern w:val="2"/>
      <w:sz w:val="32"/>
      <w:lang w:val="en-US" w:eastAsia="zh-CN"/>
    </w:rPr>
  </w:style>
  <w:style w:type="character" w:customStyle="1" w:styleId="80">
    <w:name w:val="标题 3 字符1"/>
    <w:autoRedefine/>
    <w:qFormat/>
    <w:uiPriority w:val="0"/>
    <w:rPr>
      <w:rFonts w:eastAsia="宋体"/>
      <w:b/>
      <w:kern w:val="2"/>
      <w:sz w:val="32"/>
      <w:lang w:val="en-US" w:eastAsia="zh-CN"/>
    </w:rPr>
  </w:style>
  <w:style w:type="character" w:customStyle="1" w:styleId="81">
    <w:name w:val="未命名11"/>
    <w:autoRedefine/>
    <w:qFormat/>
    <w:uiPriority w:val="0"/>
    <w:rPr>
      <w:color w:val="77FFFF"/>
      <w:sz w:val="24"/>
    </w:rPr>
  </w:style>
  <w:style w:type="character" w:customStyle="1" w:styleId="82">
    <w:name w:val="小 Char"/>
    <w:autoRedefine/>
    <w:qFormat/>
    <w:uiPriority w:val="0"/>
    <w:rPr>
      <w:rFonts w:ascii="宋体" w:eastAsia="宋体"/>
      <w:kern w:val="2"/>
      <w:sz w:val="21"/>
      <w:lang w:val="en-US" w:eastAsia="zh-CN" w:bidi="ar-SA"/>
    </w:rPr>
  </w:style>
  <w:style w:type="paragraph" w:customStyle="1" w:styleId="83">
    <w:name w:val="Table Text Char Char Char"/>
    <w:link w:val="332"/>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84">
    <w:name w:val="标书正文:  0.74 厘米 Char1"/>
    <w:autoRedefine/>
    <w:qFormat/>
    <w:uiPriority w:val="0"/>
    <w:rPr>
      <w:rFonts w:eastAsia="宋体"/>
      <w:kern w:val="2"/>
      <w:sz w:val="24"/>
      <w:lang w:val="en-US" w:eastAsia="zh-CN"/>
    </w:rPr>
  </w:style>
  <w:style w:type="character" w:customStyle="1" w:styleId="85">
    <w:name w:val="Char Char4"/>
    <w:autoRedefine/>
    <w:qFormat/>
    <w:uiPriority w:val="0"/>
    <w:rPr>
      <w:rFonts w:eastAsia="宋体"/>
      <w:b/>
      <w:kern w:val="2"/>
      <w:sz w:val="21"/>
      <w:lang w:val="en-US" w:eastAsia="zh-CN"/>
    </w:rPr>
  </w:style>
  <w:style w:type="character" w:customStyle="1" w:styleId="86">
    <w:name w:val="title_emph1"/>
    <w:autoRedefine/>
    <w:qFormat/>
    <w:uiPriority w:val="0"/>
    <w:rPr>
      <w:rFonts w:ascii="Arial" w:hAnsi="Arial"/>
      <w:b/>
      <w:sz w:val="20"/>
    </w:rPr>
  </w:style>
  <w:style w:type="character" w:customStyle="1" w:styleId="87">
    <w:name w:val="Table Heading Char Char"/>
    <w:autoRedefine/>
    <w:qFormat/>
    <w:uiPriority w:val="0"/>
    <w:rPr>
      <w:rFonts w:ascii="Arial" w:hAnsi="Arial" w:eastAsia="黑体"/>
      <w:kern w:val="2"/>
      <w:sz w:val="18"/>
      <w:lang w:val="en-US" w:eastAsia="zh-CN"/>
    </w:rPr>
  </w:style>
  <w:style w:type="character" w:customStyle="1" w:styleId="88">
    <w:name w:val="正文文本缩进 字符1"/>
    <w:autoRedefine/>
    <w:qFormat/>
    <w:locked/>
    <w:uiPriority w:val="0"/>
    <w:rPr>
      <w:kern w:val="2"/>
      <w:sz w:val="44"/>
    </w:rPr>
  </w:style>
  <w:style w:type="character" w:customStyle="1" w:styleId="89">
    <w:name w:val="样式 宋体"/>
    <w:autoRedefine/>
    <w:qFormat/>
    <w:uiPriority w:val="0"/>
    <w:rPr>
      <w:rFonts w:ascii="宋体" w:eastAsia="宋体"/>
      <w:sz w:val="28"/>
    </w:rPr>
  </w:style>
  <w:style w:type="character" w:customStyle="1" w:styleId="90">
    <w:name w:val="标题 2 字符1"/>
    <w:autoRedefine/>
    <w:qFormat/>
    <w:uiPriority w:val="0"/>
    <w:rPr>
      <w:rFonts w:ascii="宋体" w:eastAsia="宋体" w:cs="Times New Roman"/>
      <w:kern w:val="2"/>
      <w:sz w:val="28"/>
    </w:rPr>
  </w:style>
  <w:style w:type="character" w:customStyle="1" w:styleId="91">
    <w:name w:val="Char Char5"/>
    <w:autoRedefine/>
    <w:qFormat/>
    <w:uiPriority w:val="0"/>
    <w:rPr>
      <w:rFonts w:ascii="Arial" w:hAnsi="Arial" w:eastAsia="宋体"/>
      <w:b/>
      <w:smallCaps/>
      <w:kern w:val="28"/>
      <w:sz w:val="36"/>
      <w:lang w:val="en-US"/>
    </w:rPr>
  </w:style>
  <w:style w:type="paragraph" w:styleId="92">
    <w:name w:val="List Paragraph"/>
    <w:basedOn w:val="1"/>
    <w:link w:val="331"/>
    <w:autoRedefine/>
    <w:qFormat/>
    <w:uiPriority w:val="0"/>
    <w:pPr>
      <w:ind w:firstLine="200" w:firstLineChars="200"/>
    </w:pPr>
    <w:rPr>
      <w:sz w:val="21"/>
      <w:szCs w:val="22"/>
    </w:rPr>
  </w:style>
  <w:style w:type="character" w:customStyle="1" w:styleId="93">
    <w:name w:val="Char Char2"/>
    <w:autoRedefine/>
    <w:qFormat/>
    <w:uiPriority w:val="0"/>
    <w:rPr>
      <w:rFonts w:eastAsia="宋体"/>
      <w:kern w:val="2"/>
      <w:sz w:val="18"/>
      <w:lang w:val="en-US" w:eastAsia="zh-CN"/>
    </w:rPr>
  </w:style>
  <w:style w:type="character" w:customStyle="1" w:styleId="94">
    <w:name w:val="标题 2 Char"/>
    <w:autoRedefine/>
    <w:qFormat/>
    <w:uiPriority w:val="0"/>
    <w:rPr>
      <w:rFonts w:ascii="Arial" w:hAnsi="Arial" w:eastAsia="黑体"/>
      <w:b/>
      <w:kern w:val="2"/>
      <w:sz w:val="32"/>
    </w:rPr>
  </w:style>
  <w:style w:type="character" w:customStyle="1" w:styleId="95">
    <w:name w:val="Table Text Char1 Char"/>
    <w:autoRedefine/>
    <w:qFormat/>
    <w:uiPriority w:val="0"/>
    <w:rPr>
      <w:rFonts w:ascii="Arial" w:hAnsi="Arial"/>
      <w:kern w:val="2"/>
      <w:sz w:val="18"/>
      <w:lang w:val="en-US" w:eastAsia="zh-CN" w:bidi="ar-SA"/>
    </w:rPr>
  </w:style>
  <w:style w:type="character" w:customStyle="1" w:styleId="96">
    <w:name w:val="Char Char6"/>
    <w:autoRedefine/>
    <w:qFormat/>
    <w:uiPriority w:val="0"/>
    <w:rPr>
      <w:rFonts w:ascii="仿宋_GB2312" w:eastAsia="仿宋_GB2312"/>
      <w:kern w:val="2"/>
      <w:sz w:val="32"/>
    </w:rPr>
  </w:style>
  <w:style w:type="character" w:customStyle="1" w:styleId="97">
    <w:name w:val="content-white1"/>
    <w:autoRedefine/>
    <w:qFormat/>
    <w:uiPriority w:val="0"/>
    <w:rPr>
      <w:rFonts w:ascii="_x000B__x000C_" w:hAnsi="_x000B__x000C_"/>
      <w:color w:val="auto"/>
      <w:sz w:val="18"/>
      <w:u w:val="none"/>
    </w:rPr>
  </w:style>
  <w:style w:type="character" w:customStyle="1" w:styleId="98">
    <w:name w:val="fontstyle01"/>
    <w:autoRedefine/>
    <w:qFormat/>
    <w:uiPriority w:val="0"/>
    <w:rPr>
      <w:rFonts w:ascii="宋体" w:eastAsia="宋体"/>
      <w:color w:val="000000"/>
      <w:sz w:val="24"/>
      <w:szCs w:val="24"/>
    </w:rPr>
  </w:style>
  <w:style w:type="character" w:customStyle="1" w:styleId="99">
    <w:name w:val="Char Char7"/>
    <w:autoRedefine/>
    <w:qFormat/>
    <w:uiPriority w:val="0"/>
    <w:rPr>
      <w:rFonts w:ascii="宋体" w:eastAsia="宋体"/>
      <w:kern w:val="2"/>
      <w:sz w:val="28"/>
    </w:rPr>
  </w:style>
  <w:style w:type="character" w:customStyle="1" w:styleId="100">
    <w:name w:val="标题 3 Char"/>
    <w:autoRedefine/>
    <w:qFormat/>
    <w:uiPriority w:val="0"/>
    <w:rPr>
      <w:rFonts w:eastAsia="宋体"/>
      <w:b/>
      <w:kern w:val="2"/>
      <w:sz w:val="32"/>
      <w:lang w:val="en-US" w:eastAsia="zh-CN"/>
    </w:rPr>
  </w:style>
  <w:style w:type="character" w:customStyle="1" w:styleId="101">
    <w:name w:val="crowed11"/>
    <w:autoRedefine/>
    <w:qFormat/>
    <w:uiPriority w:val="0"/>
    <w:rPr>
      <w:rFonts w:ascii="_x000B__x000C_" w:hAnsi="_x000B__x000C_"/>
      <w:sz w:val="24"/>
    </w:rPr>
  </w:style>
  <w:style w:type="paragraph" w:customStyle="1" w:styleId="102">
    <w:name w:val="文字"/>
    <w:basedOn w:val="1"/>
    <w:link w:val="324"/>
    <w:autoRedefine/>
    <w:qFormat/>
    <w:uiPriority w:val="0"/>
    <w:pPr>
      <w:tabs>
        <w:tab w:val="left" w:pos="8520"/>
      </w:tabs>
      <w:spacing w:line="312" w:lineRule="auto"/>
      <w:ind w:right="-210" w:firstLine="556"/>
    </w:pPr>
    <w:rPr>
      <w:rFonts w:ascii="宋体"/>
    </w:rPr>
  </w:style>
  <w:style w:type="character" w:customStyle="1" w:styleId="103">
    <w:name w:val="Char Char3"/>
    <w:autoRedefine/>
    <w:qFormat/>
    <w:uiPriority w:val="0"/>
    <w:rPr>
      <w:rFonts w:eastAsia="宋体"/>
      <w:kern w:val="2"/>
      <w:sz w:val="18"/>
      <w:lang w:val="en-US" w:eastAsia="zh-CN"/>
    </w:rPr>
  </w:style>
  <w:style w:type="character" w:customStyle="1" w:styleId="104">
    <w:name w:val="font1"/>
    <w:autoRedefine/>
    <w:qFormat/>
    <w:uiPriority w:val="0"/>
    <w:rPr>
      <w:color w:val="000000"/>
      <w:sz w:val="18"/>
    </w:rPr>
  </w:style>
  <w:style w:type="character" w:customStyle="1" w:styleId="105">
    <w:name w:val="v151"/>
    <w:autoRedefine/>
    <w:qFormat/>
    <w:uiPriority w:val="0"/>
    <w:rPr>
      <w:sz w:val="18"/>
    </w:rPr>
  </w:style>
  <w:style w:type="character" w:customStyle="1" w:styleId="106">
    <w:name w:val="Char Char11"/>
    <w:autoRedefine/>
    <w:qFormat/>
    <w:uiPriority w:val="0"/>
    <w:rPr>
      <w:rFonts w:ascii="宋体"/>
      <w:kern w:val="2"/>
      <w:sz w:val="28"/>
    </w:rPr>
  </w:style>
  <w:style w:type="character" w:customStyle="1" w:styleId="107">
    <w:name w:val="Char Char"/>
    <w:autoRedefine/>
    <w:qFormat/>
    <w:uiPriority w:val="0"/>
    <w:rPr>
      <w:rFonts w:ascii="宋体" w:eastAsia="宋体"/>
      <w:kern w:val="2"/>
      <w:sz w:val="24"/>
      <w:lang w:val="en-US" w:eastAsia="zh-CN" w:bidi="ar-SA"/>
    </w:rPr>
  </w:style>
  <w:style w:type="paragraph" w:customStyle="1" w:styleId="108">
    <w:name w:val="样式 文档正文 Char + (西文) 宋体 (中文) 宋体 小四 黑色"/>
    <w:basedOn w:val="1"/>
    <w:link w:val="325"/>
    <w:autoRedefine/>
    <w:qFormat/>
    <w:uiPriority w:val="0"/>
    <w:pPr>
      <w:adjustRightInd w:val="0"/>
      <w:snapToGrid w:val="0"/>
      <w:spacing w:line="360" w:lineRule="auto"/>
      <w:ind w:firstLine="567"/>
      <w:textAlignment w:val="baseline"/>
    </w:pPr>
    <w:rPr>
      <w:rFonts w:ascii="宋体"/>
      <w:color w:val="000000"/>
      <w:sz w:val="24"/>
      <w:szCs w:val="24"/>
    </w:rPr>
  </w:style>
  <w:style w:type="character" w:customStyle="1" w:styleId="109">
    <w:name w:val="_Style 121"/>
    <w:autoRedefine/>
    <w:qFormat/>
    <w:uiPriority w:val="0"/>
    <w:rPr>
      <w:color w:val="605E5C"/>
      <w:shd w:val="clear" w:color="auto" w:fill="E1DFDD"/>
    </w:rPr>
  </w:style>
  <w:style w:type="character" w:customStyle="1" w:styleId="110">
    <w:name w:val="top-det1"/>
    <w:qFormat/>
    <w:uiPriority w:val="0"/>
    <w:rPr>
      <w:b/>
      <w:color w:val="000000"/>
    </w:rPr>
  </w:style>
  <w:style w:type="paragraph" w:customStyle="1" w:styleId="111">
    <w:name w:val="Table Text"/>
    <w:link w:val="327"/>
    <w:qFormat/>
    <w:uiPriority w:val="0"/>
    <w:pPr>
      <w:snapToGrid w:val="0"/>
      <w:spacing w:before="80" w:after="80"/>
    </w:pPr>
    <w:rPr>
      <w:rFonts w:ascii="Arial" w:hAnsi="Arial" w:eastAsia="宋体" w:cs="Times New Roman"/>
      <w:kern w:val="2"/>
      <w:sz w:val="18"/>
      <w:lang w:val="en-US" w:eastAsia="zh-CN" w:bidi="ar-SA"/>
    </w:rPr>
  </w:style>
  <w:style w:type="paragraph" w:customStyle="1" w:styleId="112">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13">
    <w:name w:val="首行缩进 1"/>
    <w:basedOn w:val="1"/>
    <w:qFormat/>
    <w:uiPriority w:val="0"/>
    <w:pPr>
      <w:spacing w:after="120" w:line="360" w:lineRule="auto"/>
      <w:ind w:firstLine="200" w:firstLineChars="200"/>
    </w:pPr>
    <w:rPr>
      <w:sz w:val="24"/>
    </w:rPr>
  </w:style>
  <w:style w:type="paragraph" w:customStyle="1" w:styleId="114">
    <w:name w:val="IN Feature"/>
    <w:next w:val="115"/>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15">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16">
    <w:name w:val="Char Char Char Char"/>
    <w:basedOn w:val="1"/>
    <w:qFormat/>
    <w:uiPriority w:val="0"/>
    <w:pPr>
      <w:pageBreakBefore/>
      <w:widowControl/>
      <w:spacing w:after="160" w:line="240" w:lineRule="exact"/>
      <w:jc w:val="left"/>
    </w:pPr>
    <w:rPr>
      <w:rFonts w:ascii="Verdana" w:hAnsi="Verdana"/>
      <w:kern w:val="0"/>
      <w:sz w:val="20"/>
    </w:rPr>
  </w:style>
  <w:style w:type="paragraph" w:customStyle="1" w:styleId="117">
    <w:name w:val="Table Contents"/>
    <w:basedOn w:val="2"/>
    <w:qFormat/>
    <w:uiPriority w:val="0"/>
    <w:pPr>
      <w:suppressAutoHyphens/>
      <w:jc w:val="left"/>
    </w:pPr>
    <w:rPr>
      <w:rFonts w:ascii="Times New Roman" w:hAnsi="Times New Roman" w:eastAsia="Times New Roman"/>
      <w:kern w:val="0"/>
      <w:sz w:val="24"/>
    </w:rPr>
  </w:style>
  <w:style w:type="paragraph" w:customStyle="1" w:styleId="118">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19">
    <w:name w:val="1.正文"/>
    <w:basedOn w:val="1"/>
    <w:qFormat/>
    <w:uiPriority w:val="0"/>
    <w:pPr>
      <w:spacing w:line="360" w:lineRule="auto"/>
      <w:ind w:left="225" w:leftChars="225" w:firstLine="225" w:firstLineChars="225"/>
    </w:pPr>
    <w:rPr>
      <w:sz w:val="24"/>
    </w:rPr>
  </w:style>
  <w:style w:type="paragraph" w:customStyle="1" w:styleId="120">
    <w:name w:val="样式 标题 6第五层条 + 三号 段前: 0.5 行"/>
    <w:basedOn w:val="9"/>
    <w:qFormat/>
    <w:uiPriority w:val="0"/>
    <w:pPr>
      <w:widowControl/>
      <w:adjustRightInd/>
      <w:snapToGrid/>
      <w:spacing w:beforeLines="50"/>
      <w:jc w:val="left"/>
    </w:pPr>
    <w:rPr>
      <w:snapToGrid w:val="0"/>
      <w:kern w:val="24"/>
      <w:sz w:val="28"/>
    </w:rPr>
  </w:style>
  <w:style w:type="paragraph" w:customStyle="1" w:styleId="121">
    <w:name w:val="正文文本 21"/>
    <w:basedOn w:val="1"/>
    <w:qFormat/>
    <w:uiPriority w:val="0"/>
    <w:pPr>
      <w:adjustRightInd w:val="0"/>
      <w:spacing w:before="120" w:line="360" w:lineRule="auto"/>
      <w:ind w:firstLine="480"/>
      <w:textAlignment w:val="baseline"/>
    </w:pPr>
    <w:rPr>
      <w:sz w:val="24"/>
    </w:rPr>
  </w:style>
  <w:style w:type="paragraph" w:customStyle="1" w:styleId="122">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23">
    <w:name w:val="标准正文"/>
    <w:basedOn w:val="25"/>
    <w:qFormat/>
    <w:uiPriority w:val="0"/>
    <w:pPr>
      <w:spacing w:before="60" w:after="60" w:line="360" w:lineRule="auto"/>
      <w:ind w:left="0" w:firstLine="482"/>
    </w:pPr>
    <w:rPr>
      <w:rFonts w:ascii="Arial" w:hAnsi="Arial"/>
      <w:sz w:val="24"/>
    </w:rPr>
  </w:style>
  <w:style w:type="paragraph" w:customStyle="1" w:styleId="124">
    <w:name w:val="段落正文"/>
    <w:basedOn w:val="1"/>
    <w:qFormat/>
    <w:uiPriority w:val="0"/>
    <w:pPr>
      <w:spacing w:beforeLines="50" w:line="360" w:lineRule="auto"/>
      <w:ind w:firstLine="200" w:firstLineChars="200"/>
    </w:pPr>
    <w:rPr>
      <w:spacing w:val="2"/>
      <w:sz w:val="24"/>
    </w:rPr>
  </w:style>
  <w:style w:type="paragraph" w:customStyle="1" w:styleId="12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26">
    <w:name w:val="二级列表"/>
    <w:basedOn w:val="124"/>
    <w:next w:val="124"/>
    <w:qFormat/>
    <w:uiPriority w:val="0"/>
    <w:pPr>
      <w:tabs>
        <w:tab w:val="left" w:pos="2120"/>
      </w:tabs>
      <w:ind w:firstLine="0" w:firstLineChars="0"/>
    </w:pPr>
    <w:rPr>
      <w:b/>
    </w:rPr>
  </w:style>
  <w:style w:type="paragraph" w:customStyle="1" w:styleId="127">
    <w:name w:val="表文字"/>
    <w:qFormat/>
    <w:uiPriority w:val="0"/>
    <w:rPr>
      <w:rFonts w:ascii="宋体" w:hAnsi="Times New Roman" w:eastAsia="宋体" w:cs="Times New Roman"/>
      <w:kern w:val="2"/>
      <w:lang w:val="en-US" w:eastAsia="zh-CN" w:bidi="ar-SA"/>
    </w:rPr>
  </w:style>
  <w:style w:type="paragraph" w:customStyle="1" w:styleId="128">
    <w:name w:val="Char Char Char1 Char Char Char Char Char Char Char Char Char Char Char Char Char"/>
    <w:basedOn w:val="1"/>
    <w:qFormat/>
    <w:uiPriority w:val="0"/>
    <w:pPr>
      <w:widowControl/>
      <w:spacing w:after="160" w:line="240" w:lineRule="exact"/>
      <w:jc w:val="left"/>
    </w:pPr>
    <w:rPr>
      <w:rFonts w:ascii="Verdana" w:hAnsi="Verdana"/>
      <w:kern w:val="0"/>
      <w:sz w:val="18"/>
    </w:rPr>
  </w:style>
  <w:style w:type="paragraph" w:customStyle="1" w:styleId="129">
    <w:name w:val="摘要"/>
    <w:basedOn w:val="1"/>
    <w:next w:val="5"/>
    <w:qFormat/>
    <w:uiPriority w:val="0"/>
    <w:pPr>
      <w:spacing w:line="360" w:lineRule="auto"/>
    </w:pPr>
    <w:rPr>
      <w:rFonts w:eastAsia="黑体"/>
      <w:sz w:val="20"/>
    </w:rPr>
  </w:style>
  <w:style w:type="paragraph" w:customStyle="1" w:styleId="130">
    <w:name w:val="正文文本缩进 21"/>
    <w:basedOn w:val="1"/>
    <w:qFormat/>
    <w:uiPriority w:val="0"/>
    <w:pPr>
      <w:adjustRightInd w:val="0"/>
      <w:spacing w:before="120"/>
      <w:ind w:firstLine="420"/>
      <w:textAlignment w:val="baseline"/>
    </w:pPr>
    <w:rPr>
      <w:sz w:val="24"/>
    </w:rPr>
  </w:style>
  <w:style w:type="paragraph" w:customStyle="1" w:styleId="131">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32">
    <w:name w:val="正文4"/>
    <w:basedOn w:val="1"/>
    <w:qFormat/>
    <w:uiPriority w:val="0"/>
    <w:pPr>
      <w:tabs>
        <w:tab w:val="left" w:pos="1275"/>
      </w:tabs>
      <w:spacing w:before="60" w:after="60" w:line="360" w:lineRule="auto"/>
      <w:ind w:left="1105" w:leftChars="400" w:hanging="705"/>
    </w:pPr>
    <w:rPr>
      <w:sz w:val="24"/>
    </w:rPr>
  </w:style>
  <w:style w:type="paragraph" w:customStyle="1" w:styleId="13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34">
    <w:name w:val="Style Heading 3h3Heading 3 - oldLevel 3 HeadH3level_3PIM 3se..."/>
    <w:basedOn w:val="6"/>
    <w:qFormat/>
    <w:uiPriority w:val="0"/>
    <w:pPr>
      <w:tabs>
        <w:tab w:val="left" w:pos="0"/>
        <w:tab w:val="left" w:pos="709"/>
      </w:tabs>
      <w:ind w:left="1620" w:hanging="360"/>
    </w:pPr>
  </w:style>
  <w:style w:type="paragraph" w:customStyle="1" w:styleId="135">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rPr>
  </w:style>
  <w:style w:type="paragraph" w:customStyle="1" w:styleId="136">
    <w:name w:val="样式 标题 1 + 居中 段前: 6 磅 段后: 6 磅 行距: 1.5 倍行距"/>
    <w:basedOn w:val="4"/>
    <w:qFormat/>
    <w:uiPriority w:val="0"/>
    <w:pPr>
      <w:keepLines/>
      <w:adjustRightInd w:val="0"/>
      <w:spacing w:before="120" w:after="120" w:line="360" w:lineRule="auto"/>
      <w:jc w:val="center"/>
    </w:pPr>
    <w:rPr>
      <w:rFonts w:ascii="Times New Roman" w:hAnsi="Times New Roman"/>
      <w:b/>
      <w:kern w:val="44"/>
      <w:sz w:val="32"/>
    </w:rPr>
  </w:style>
  <w:style w:type="paragraph" w:customStyle="1" w:styleId="13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8">
    <w:name w:val="列表项目"/>
    <w:basedOn w:val="1"/>
    <w:qFormat/>
    <w:uiPriority w:val="0"/>
    <w:pPr>
      <w:numPr>
        <w:ilvl w:val="0"/>
        <w:numId w:val="5"/>
      </w:numPr>
      <w:tabs>
        <w:tab w:val="left" w:pos="420"/>
      </w:tabs>
      <w:spacing w:line="288" w:lineRule="auto"/>
      <w:ind w:left="400" w:leftChars="200" w:hanging="200" w:hangingChars="200"/>
    </w:pPr>
    <w:rPr>
      <w:sz w:val="21"/>
    </w:rPr>
  </w:style>
  <w:style w:type="paragraph" w:customStyle="1" w:styleId="139">
    <w:name w:val="00"/>
    <w:basedOn w:val="1"/>
    <w:qFormat/>
    <w:uiPriority w:val="0"/>
    <w:pPr>
      <w:autoSpaceDE w:val="0"/>
      <w:autoSpaceDN w:val="0"/>
      <w:adjustRightInd w:val="0"/>
      <w:jc w:val="left"/>
    </w:pPr>
    <w:rPr>
      <w:rFonts w:ascii="黑体" w:eastAsia="黑体"/>
      <w:b/>
      <w:kern w:val="0"/>
      <w:sz w:val="20"/>
    </w:rPr>
  </w:style>
  <w:style w:type="paragraph" w:customStyle="1" w:styleId="140">
    <w:name w:val="正文 + 三号"/>
    <w:basedOn w:val="1"/>
    <w:qFormat/>
    <w:uiPriority w:val="0"/>
    <w:rPr>
      <w:sz w:val="21"/>
    </w:rPr>
  </w:style>
  <w:style w:type="paragraph" w:customStyle="1" w:styleId="141">
    <w:name w:val="章标题"/>
    <w:next w:val="1"/>
    <w:qFormat/>
    <w:uiPriority w:val="0"/>
    <w:pPr>
      <w:numPr>
        <w:ilvl w:val="1"/>
        <w:numId w:val="6"/>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一级条标题"/>
    <w:basedOn w:val="141"/>
    <w:next w:val="125"/>
    <w:qFormat/>
    <w:uiPriority w:val="0"/>
    <w:pPr>
      <w:numPr>
        <w:ilvl w:val="0"/>
        <w:numId w:val="0"/>
      </w:numPr>
      <w:spacing w:beforeLines="0" w:afterLines="0"/>
      <w:ind w:left="525"/>
      <w:outlineLvl w:val="2"/>
    </w:pPr>
    <w:rPr>
      <w:sz w:val="21"/>
    </w:rPr>
  </w:style>
  <w:style w:type="paragraph" w:customStyle="1" w:styleId="143">
    <w:name w:val="二级条标题"/>
    <w:basedOn w:val="142"/>
    <w:next w:val="125"/>
    <w:qFormat/>
    <w:uiPriority w:val="0"/>
    <w:pPr>
      <w:ind w:left="840"/>
      <w:outlineLvl w:val="3"/>
    </w:pPr>
  </w:style>
  <w:style w:type="paragraph" w:customStyle="1" w:styleId="144">
    <w:name w:val="文本框样式1"/>
    <w:basedOn w:val="1"/>
    <w:qFormat/>
    <w:uiPriority w:val="0"/>
    <w:pPr>
      <w:adjustRightInd w:val="0"/>
      <w:snapToGrid w:val="0"/>
      <w:spacing w:before="60" w:line="180" w:lineRule="exact"/>
      <w:jc w:val="center"/>
    </w:pPr>
    <w:rPr>
      <w:sz w:val="21"/>
    </w:rPr>
  </w:style>
  <w:style w:type="paragraph" w:customStyle="1" w:styleId="145">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6">
    <w:name w:val="af"/>
    <w:basedOn w:val="1"/>
    <w:qFormat/>
    <w:uiPriority w:val="0"/>
    <w:pPr>
      <w:widowControl/>
      <w:spacing w:line="300" w:lineRule="atLeast"/>
      <w:jc w:val="left"/>
    </w:pPr>
    <w:rPr>
      <w:rFonts w:ascii="宋体"/>
      <w:kern w:val="0"/>
      <w:sz w:val="18"/>
    </w:rPr>
  </w:style>
  <w:style w:type="paragraph" w:customStyle="1" w:styleId="147">
    <w:name w:val="Char Char1"/>
    <w:basedOn w:val="1"/>
    <w:qFormat/>
    <w:uiPriority w:val="0"/>
    <w:pPr>
      <w:widowControl/>
      <w:spacing w:after="160" w:line="240" w:lineRule="exact"/>
      <w:jc w:val="left"/>
    </w:pPr>
    <w:rPr>
      <w:rFonts w:ascii="Verdana" w:hAnsi="Verdana"/>
      <w:kern w:val="0"/>
      <w:sz w:val="20"/>
    </w:rPr>
  </w:style>
  <w:style w:type="paragraph" w:customStyle="1" w:styleId="148">
    <w:name w:val="没有缩进（为图形使用）"/>
    <w:basedOn w:val="1"/>
    <w:qFormat/>
    <w:uiPriority w:val="0"/>
    <w:pPr>
      <w:spacing w:before="120" w:after="120" w:line="360" w:lineRule="auto"/>
    </w:pPr>
    <w:rPr>
      <w:sz w:val="24"/>
    </w:rPr>
  </w:style>
  <w:style w:type="paragraph" w:customStyle="1" w:styleId="149">
    <w:name w:val="样式1"/>
    <w:basedOn w:val="7"/>
    <w:qFormat/>
    <w:uiPriority w:val="0"/>
    <w:pPr>
      <w:tabs>
        <w:tab w:val="left" w:pos="720"/>
      </w:tabs>
      <w:spacing w:before="500" w:after="260" w:line="560" w:lineRule="atLeast"/>
      <w:ind w:left="420" w:hanging="420"/>
    </w:pPr>
  </w:style>
  <w:style w:type="paragraph" w:customStyle="1" w:styleId="150">
    <w:name w:val="文章正文"/>
    <w:basedOn w:val="1"/>
    <w:qFormat/>
    <w:uiPriority w:val="0"/>
    <w:pPr>
      <w:ind w:firstLine="200" w:firstLineChars="200"/>
    </w:pPr>
    <w:rPr>
      <w:rFonts w:ascii="仿宋_GB2312" w:eastAsia="仿宋_GB2312"/>
      <w:color w:val="000000"/>
    </w:rPr>
  </w:style>
  <w:style w:type="paragraph" w:customStyle="1" w:styleId="15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52">
    <w:name w:val="Char Char Char Char Char"/>
    <w:basedOn w:val="1"/>
    <w:qFormat/>
    <w:uiPriority w:val="0"/>
    <w:pPr>
      <w:tabs>
        <w:tab w:val="left" w:pos="425"/>
      </w:tabs>
      <w:ind w:left="1620" w:hanging="360"/>
    </w:pPr>
    <w:rPr>
      <w:rFonts w:ascii="Tahoma" w:hAnsi="Tahoma"/>
      <w:sz w:val="24"/>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4"/>
    <w:next w:val="4"/>
    <w:qFormat/>
    <w:uiPriority w:val="0"/>
    <w:pPr>
      <w:keepLines/>
      <w:adjustRightInd w:val="0"/>
      <w:spacing w:before="340" w:after="330" w:line="576" w:lineRule="auto"/>
    </w:pPr>
    <w:rPr>
      <w:rFonts w:ascii="Times New Roman" w:hAnsi="Times New Roman" w:eastAsia="黑体"/>
      <w:b/>
      <w:kern w:val="44"/>
      <w:sz w:val="44"/>
    </w:rPr>
  </w:style>
  <w:style w:type="paragraph" w:customStyle="1" w:styleId="155">
    <w:name w:val="默认段落字体 Para Char Char Char Char Char Char Char Char Char1 Char Char Char Char"/>
    <w:basedOn w:val="1"/>
    <w:qFormat/>
    <w:uiPriority w:val="0"/>
    <w:rPr>
      <w:rFonts w:ascii="Tahoma" w:hAnsi="Tahoma"/>
      <w:sz w:val="24"/>
    </w:rPr>
  </w:style>
  <w:style w:type="paragraph" w:customStyle="1" w:styleId="156">
    <w:name w:val="Char"/>
    <w:basedOn w:val="1"/>
    <w:qFormat/>
    <w:uiPriority w:val="0"/>
    <w:pPr>
      <w:spacing w:line="240" w:lineRule="atLeast"/>
      <w:ind w:left="420" w:firstLine="420"/>
    </w:pPr>
    <w:rPr>
      <w:kern w:val="0"/>
      <w:sz w:val="21"/>
    </w:rPr>
  </w:style>
  <w:style w:type="paragraph" w:customStyle="1" w:styleId="157">
    <w:name w:val="图片文字"/>
    <w:basedOn w:val="1"/>
    <w:qFormat/>
    <w:uiPriority w:val="0"/>
    <w:pPr>
      <w:spacing w:line="240" w:lineRule="atLeast"/>
      <w:jc w:val="center"/>
    </w:pPr>
    <w:rPr>
      <w:sz w:val="21"/>
    </w:rPr>
  </w:style>
  <w:style w:type="paragraph" w:customStyle="1" w:styleId="158">
    <w:name w:val="样式 宋体 五号 两端对齐 行距: 单倍行距"/>
    <w:basedOn w:val="1"/>
    <w:qFormat/>
    <w:uiPriority w:val="0"/>
    <w:pPr>
      <w:adjustRightInd w:val="0"/>
      <w:textAlignment w:val="baseline"/>
    </w:pPr>
    <w:rPr>
      <w:rFonts w:ascii="宋体"/>
      <w:kern w:val="0"/>
      <w:sz w:val="21"/>
    </w:rPr>
  </w:style>
  <w:style w:type="paragraph" w:customStyle="1" w:styleId="159">
    <w:name w:val="_Style 173"/>
    <w:qFormat/>
    <w:uiPriority w:val="0"/>
    <w:rPr>
      <w:rFonts w:ascii="Calibri" w:hAnsi="Calibri" w:eastAsia="宋体" w:cs="Times New Roman"/>
      <w:kern w:val="2"/>
      <w:sz w:val="21"/>
      <w:lang w:val="en-US" w:eastAsia="zh-CN" w:bidi="ar-SA"/>
    </w:rPr>
  </w:style>
  <w:style w:type="paragraph" w:customStyle="1" w:styleId="16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61">
    <w:name w:val="Title - Date"/>
    <w:basedOn w:val="56"/>
    <w:next w:val="1"/>
    <w:qFormat/>
    <w:uiPriority w:val="0"/>
    <w:pPr>
      <w:spacing w:before="240" w:after="720"/>
    </w:pPr>
    <w:rPr>
      <w:sz w:val="28"/>
    </w:rPr>
  </w:style>
  <w:style w:type="paragraph" w:customStyle="1" w:styleId="162">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6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Char Char Char Char Char Char1 Char"/>
    <w:basedOn w:val="1"/>
    <w:qFormat/>
    <w:uiPriority w:val="0"/>
    <w:pPr>
      <w:widowControl/>
      <w:spacing w:after="160" w:line="240" w:lineRule="exact"/>
      <w:jc w:val="left"/>
    </w:pPr>
    <w:rPr>
      <w:rFonts w:ascii="Verdana" w:hAnsi="Verdana"/>
      <w:kern w:val="0"/>
      <w:sz w:val="21"/>
    </w:rPr>
  </w:style>
  <w:style w:type="paragraph" w:customStyle="1" w:styleId="165">
    <w:name w:val="Note"/>
    <w:basedOn w:val="1"/>
    <w:qFormat/>
    <w:uiPriority w:val="0"/>
    <w:pPr>
      <w:pBdr>
        <w:top w:val="single" w:color="auto" w:sz="12" w:space="3"/>
        <w:bottom w:val="single" w:color="auto" w:sz="12" w:space="3"/>
      </w:pBdr>
      <w:spacing w:line="360" w:lineRule="auto"/>
    </w:pPr>
    <w:rPr>
      <w:sz w:val="24"/>
    </w:rPr>
  </w:style>
  <w:style w:type="paragraph" w:customStyle="1" w:styleId="166">
    <w:name w:val="Bullets"/>
    <w:basedOn w:val="1"/>
    <w:qFormat/>
    <w:uiPriority w:val="0"/>
    <w:pPr>
      <w:widowControl/>
      <w:adjustRightInd w:val="0"/>
      <w:snapToGrid w:val="0"/>
      <w:spacing w:before="60" w:after="60"/>
    </w:pPr>
    <w:rPr>
      <w:kern w:val="0"/>
      <w:sz w:val="24"/>
      <w:lang w:val="en-GB"/>
    </w:rPr>
  </w:style>
  <w:style w:type="paragraph" w:customStyle="1" w:styleId="167">
    <w:name w:val="正文格式"/>
    <w:basedOn w:val="1"/>
    <w:qFormat/>
    <w:uiPriority w:val="0"/>
    <w:pPr>
      <w:widowControl/>
      <w:adjustRightInd w:val="0"/>
      <w:snapToGrid w:val="0"/>
      <w:spacing w:before="60" w:line="360" w:lineRule="auto"/>
      <w:ind w:firstLine="200" w:firstLineChars="200"/>
      <w:jc w:val="left"/>
      <w:textAlignment w:val="baseline"/>
    </w:pPr>
    <w:rPr>
      <w:rFonts w:ascii="宋体"/>
      <w:color w:val="000000"/>
      <w:kern w:val="0"/>
      <w:sz w:val="24"/>
    </w:rPr>
  </w:style>
  <w:style w:type="paragraph" w:customStyle="1" w:styleId="168">
    <w:name w:val="表格内文字"/>
    <w:basedOn w:val="32"/>
    <w:qFormat/>
    <w:uiPriority w:val="0"/>
    <w:pPr>
      <w:adjustRightInd w:val="0"/>
    </w:pPr>
    <w:rPr>
      <w:color w:val="000000"/>
      <w:lang w:val="en-GB"/>
    </w:rPr>
  </w:style>
  <w:style w:type="paragraph" w:customStyle="1" w:styleId="169">
    <w:name w:val="Char2 Char Char Char Char Char Char"/>
    <w:basedOn w:val="1"/>
    <w:qFormat/>
    <w:uiPriority w:val="0"/>
    <w:rPr>
      <w:rFonts w:ascii="仿宋_GB2312" w:hAnsi="仿宋_GB2312"/>
      <w:b/>
      <w:sz w:val="30"/>
    </w:rPr>
  </w:style>
  <w:style w:type="paragraph" w:customStyle="1" w:styleId="170">
    <w:name w:val="样式 正文缩进正文（首行缩进两字）表正文正文非缩进特点标题4段1 + 首行缩进:  2 字符"/>
    <w:basedOn w:val="17"/>
    <w:qFormat/>
    <w:uiPriority w:val="0"/>
    <w:pPr>
      <w:ind w:firstLine="200" w:firstLineChars="200"/>
    </w:pPr>
  </w:style>
  <w:style w:type="paragraph" w:customStyle="1" w:styleId="171">
    <w:name w:val="Item Step in Table"/>
    <w:qFormat/>
    <w:uiPriority w:val="0"/>
    <w:pPr>
      <w:tabs>
        <w:tab w:val="left" w:pos="397"/>
      </w:tabs>
      <w:spacing w:before="40" w:after="40"/>
      <w:jc w:val="both"/>
    </w:pPr>
    <w:rPr>
      <w:rFonts w:ascii="Arial" w:hAnsi="Arial" w:eastAsia="宋体" w:cs="Times New Roman"/>
      <w:sz w:val="18"/>
      <w:lang w:val="en-US" w:eastAsia="zh-CN" w:bidi="ar-SA"/>
    </w:rPr>
  </w:style>
  <w:style w:type="paragraph" w:customStyle="1" w:styleId="17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3">
    <w:name w:val="Item List"/>
    <w:qFormat/>
    <w:uiPriority w:val="0"/>
    <w:pPr>
      <w:numPr>
        <w:ilvl w:val="0"/>
        <w:numId w:val="7"/>
      </w:numPr>
      <w:spacing w:line="300" w:lineRule="auto"/>
      <w:jc w:val="both"/>
    </w:pPr>
    <w:rPr>
      <w:rFonts w:ascii="Arial" w:hAnsi="Arial" w:eastAsia="宋体" w:cs="Times New Roman"/>
      <w:sz w:val="21"/>
      <w:lang w:val="en-US" w:eastAsia="zh-CN" w:bidi="ar-SA"/>
    </w:rPr>
  </w:style>
  <w:style w:type="paragraph" w:customStyle="1" w:styleId="174">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5">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eastAsia="黑体"/>
      <w:b/>
      <w:kern w:val="44"/>
      <w:sz w:val="36"/>
    </w:rPr>
  </w:style>
  <w:style w:type="paragraph" w:customStyle="1" w:styleId="176">
    <w:name w:val="操作步骤"/>
    <w:basedOn w:val="1"/>
    <w:qFormat/>
    <w:uiPriority w:val="0"/>
    <w:pPr>
      <w:numPr>
        <w:ilvl w:val="0"/>
        <w:numId w:val="8"/>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177">
    <w:name w:val="Char Char1 Char"/>
    <w:basedOn w:val="1"/>
    <w:qFormat/>
    <w:uiPriority w:val="0"/>
    <w:rPr>
      <w:rFonts w:ascii="Tahoma" w:hAnsi="Tahoma"/>
      <w:sz w:val="24"/>
      <w:szCs w:val="24"/>
    </w:rPr>
  </w:style>
  <w:style w:type="paragraph" w:customStyle="1" w:styleId="178">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79">
    <w:name w:val="附录1"/>
    <w:basedOn w:val="1"/>
    <w:next w:val="1"/>
    <w:qFormat/>
    <w:uiPriority w:val="0"/>
    <w:pPr>
      <w:tabs>
        <w:tab w:val="left" w:pos="1304"/>
      </w:tabs>
      <w:ind w:left="425" w:hanging="425"/>
      <w:outlineLvl w:val="0"/>
    </w:pPr>
    <w:rPr>
      <w:rFonts w:ascii="黑体" w:eastAsia="黑体"/>
      <w:b/>
      <w:sz w:val="44"/>
    </w:rPr>
  </w:style>
  <w:style w:type="paragraph" w:customStyle="1" w:styleId="180">
    <w:name w:val="样式2"/>
    <w:basedOn w:val="7"/>
    <w:qFormat/>
    <w:uiPriority w:val="0"/>
    <w:pPr>
      <w:numPr>
        <w:ilvl w:val="0"/>
        <w:numId w:val="9"/>
      </w:numPr>
      <w:spacing w:before="560" w:line="400" w:lineRule="exact"/>
      <w:jc w:val="center"/>
      <w:outlineLvl w:val="0"/>
    </w:pPr>
    <w:rPr>
      <w:b w:val="0"/>
      <w:sz w:val="44"/>
    </w:rPr>
  </w:style>
  <w:style w:type="paragraph" w:customStyle="1" w:styleId="181">
    <w:name w:val="样式 首行缩进:  0.74 厘米"/>
    <w:basedOn w:val="1"/>
    <w:qFormat/>
    <w:uiPriority w:val="0"/>
    <w:pPr>
      <w:spacing w:line="360" w:lineRule="auto"/>
      <w:ind w:firstLine="420"/>
    </w:pPr>
    <w:rPr>
      <w:sz w:val="24"/>
    </w:rPr>
  </w:style>
  <w:style w:type="paragraph" w:customStyle="1" w:styleId="182">
    <w:name w:val="简单回函地址"/>
    <w:basedOn w:val="1"/>
    <w:qFormat/>
    <w:uiPriority w:val="0"/>
    <w:pPr>
      <w:adjustRightInd w:val="0"/>
      <w:snapToGrid w:val="0"/>
      <w:spacing w:line="360" w:lineRule="auto"/>
    </w:pPr>
    <w:rPr>
      <w:sz w:val="24"/>
    </w:rPr>
  </w:style>
  <w:style w:type="paragraph" w:customStyle="1" w:styleId="183">
    <w:name w:val="内容标题"/>
    <w:basedOn w:val="19"/>
    <w:qFormat/>
    <w:uiPriority w:val="0"/>
    <w:rPr>
      <w:rFonts w:ascii="Tahoma" w:hAnsi="Tahoma"/>
      <w:sz w:val="24"/>
    </w:rPr>
  </w:style>
  <w:style w:type="paragraph" w:customStyle="1" w:styleId="184">
    <w:name w:val="1"/>
    <w:basedOn w:val="1"/>
    <w:next w:val="32"/>
    <w:qFormat/>
    <w:uiPriority w:val="0"/>
    <w:rPr>
      <w:rFonts w:ascii="宋体"/>
      <w:sz w:val="21"/>
    </w:rPr>
  </w:style>
  <w:style w:type="paragraph" w:customStyle="1" w:styleId="185">
    <w:name w:val="_Style 3"/>
    <w:basedOn w:val="1"/>
    <w:qFormat/>
    <w:uiPriority w:val="99"/>
    <w:pPr>
      <w:ind w:firstLine="200" w:firstLineChars="200"/>
    </w:pPr>
    <w:rPr>
      <w:sz w:val="21"/>
      <w:szCs w:val="24"/>
    </w:rPr>
  </w:style>
  <w:style w:type="paragraph" w:customStyle="1" w:styleId="186">
    <w:name w:val="关键词"/>
    <w:basedOn w:val="1"/>
    <w:next w:val="1"/>
    <w:qFormat/>
    <w:uiPriority w:val="0"/>
    <w:pPr>
      <w:spacing w:line="360" w:lineRule="auto"/>
    </w:pPr>
    <w:rPr>
      <w:rFonts w:eastAsia="黑体"/>
      <w:sz w:val="20"/>
    </w:rPr>
  </w:style>
  <w:style w:type="paragraph" w:customStyle="1" w:styleId="187">
    <w:name w:val="style1"/>
    <w:basedOn w:val="1"/>
    <w:qFormat/>
    <w:uiPriority w:val="0"/>
    <w:pPr>
      <w:widowControl/>
      <w:spacing w:before="100" w:beforeAutospacing="1" w:after="100" w:afterAutospacing="1"/>
      <w:jc w:val="left"/>
    </w:pPr>
    <w:rPr>
      <w:rFonts w:ascii="宋体"/>
      <w:kern w:val="0"/>
      <w:sz w:val="21"/>
    </w:rPr>
  </w:style>
  <w:style w:type="paragraph" w:customStyle="1" w:styleId="188">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89">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90">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91">
    <w:name w:val="Title - Revision"/>
    <w:basedOn w:val="56"/>
    <w:qFormat/>
    <w:uiPriority w:val="0"/>
    <w:pPr>
      <w:spacing w:before="720"/>
    </w:pPr>
  </w:style>
  <w:style w:type="paragraph" w:customStyle="1" w:styleId="192">
    <w:name w:val="标题3——2"/>
    <w:basedOn w:val="6"/>
    <w:next w:val="58"/>
    <w:qFormat/>
    <w:uiPriority w:val="0"/>
    <w:pPr>
      <w:tabs>
        <w:tab w:val="left" w:pos="1280"/>
        <w:tab w:val="right" w:leader="dot" w:pos="8777"/>
      </w:tabs>
      <w:spacing w:beforeLines="100" w:after="0" w:line="240" w:lineRule="auto"/>
      <w:ind w:left="851" w:hanging="851"/>
      <w:outlineLvl w:val="9"/>
    </w:pPr>
    <w:rPr>
      <w:rFonts w:ascii="黑体" w:eastAsia="黑体"/>
      <w:sz w:val="30"/>
    </w:rPr>
  </w:style>
  <w:style w:type="paragraph" w:customStyle="1" w:styleId="193">
    <w:name w:val="列出段落1"/>
    <w:basedOn w:val="1"/>
    <w:qFormat/>
    <w:uiPriority w:val="0"/>
    <w:pPr>
      <w:ind w:firstLine="200" w:firstLineChars="200"/>
    </w:pPr>
    <w:rPr>
      <w:sz w:val="21"/>
      <w:szCs w:val="24"/>
    </w:rPr>
  </w:style>
  <w:style w:type="paragraph" w:customStyle="1" w:styleId="194">
    <w:name w:val="Char1 Char Char Char"/>
    <w:basedOn w:val="1"/>
    <w:qFormat/>
    <w:uiPriority w:val="0"/>
    <w:rPr>
      <w:rFonts w:ascii="Tahoma" w:hAnsi="Tahoma"/>
      <w:sz w:val="30"/>
    </w:rPr>
  </w:style>
  <w:style w:type="paragraph" w:customStyle="1" w:styleId="195">
    <w:name w:val="移动五期"/>
    <w:basedOn w:val="1"/>
    <w:qFormat/>
    <w:uiPriority w:val="0"/>
    <w:pPr>
      <w:spacing w:line="360" w:lineRule="auto"/>
      <w:ind w:firstLine="454"/>
    </w:pPr>
    <w:rPr>
      <w:rFonts w:ascii="宋体"/>
      <w:sz w:val="24"/>
    </w:rPr>
  </w:style>
  <w:style w:type="paragraph" w:customStyle="1" w:styleId="196">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97">
    <w:name w:val="Char Char Char Char Char Char Char"/>
    <w:basedOn w:val="19"/>
    <w:qFormat/>
    <w:uiPriority w:val="0"/>
    <w:rPr>
      <w:rFonts w:ascii="宋体"/>
    </w:rPr>
  </w:style>
  <w:style w:type="paragraph" w:customStyle="1" w:styleId="198">
    <w:name w:val="样式 样式 首行缩进:  2 字符 + 首行缩进:  2 字符"/>
    <w:basedOn w:val="1"/>
    <w:qFormat/>
    <w:uiPriority w:val="0"/>
    <w:pPr>
      <w:numPr>
        <w:ilvl w:val="0"/>
        <w:numId w:val="10"/>
      </w:numPr>
      <w:spacing w:line="360" w:lineRule="auto"/>
      <w:ind w:firstLine="200" w:firstLineChars="200"/>
    </w:pPr>
    <w:rPr>
      <w:sz w:val="24"/>
    </w:rPr>
  </w:style>
  <w:style w:type="paragraph" w:customStyle="1" w:styleId="199">
    <w:name w:val="Char Char Char Char Char Char Char Char Char Char Char Char Char Char Char Char"/>
    <w:basedOn w:val="1"/>
    <w:qFormat/>
    <w:uiPriority w:val="0"/>
    <w:pPr>
      <w:tabs>
        <w:tab w:val="left" w:pos="360"/>
      </w:tabs>
    </w:pPr>
    <w:rPr>
      <w:sz w:val="24"/>
    </w:rPr>
  </w:style>
  <w:style w:type="paragraph" w:customStyle="1" w:styleId="200">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20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2">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03">
    <w:name w:val="标题2"/>
    <w:basedOn w:val="5"/>
    <w:autoRedefine/>
    <w:qFormat/>
    <w:uiPriority w:val="0"/>
    <w:pPr>
      <w:keepNext w:val="0"/>
      <w:keepLines w:val="0"/>
      <w:adjustRightInd w:val="0"/>
      <w:snapToGrid w:val="0"/>
      <w:spacing w:before="0" w:after="0" w:line="360" w:lineRule="auto"/>
      <w:ind w:firstLine="196" w:firstLineChars="196"/>
      <w:outlineLvl w:val="9"/>
    </w:pPr>
    <w:rPr>
      <w:rFonts w:ascii="宋体" w:eastAsia="宋体"/>
      <w:spacing w:val="6"/>
      <w:sz w:val="28"/>
      <w:u w:val="single"/>
    </w:rPr>
  </w:style>
  <w:style w:type="paragraph" w:customStyle="1" w:styleId="204">
    <w:name w:val="正文1"/>
    <w:basedOn w:val="1"/>
    <w:autoRedefine/>
    <w:qFormat/>
    <w:uiPriority w:val="0"/>
    <w:pPr>
      <w:spacing w:line="300" w:lineRule="auto"/>
      <w:ind w:firstLine="200" w:firstLineChars="200"/>
    </w:pPr>
    <w:rPr>
      <w:sz w:val="24"/>
    </w:rPr>
  </w:style>
  <w:style w:type="paragraph" w:customStyle="1" w:styleId="205">
    <w:name w:val="tabletext"/>
    <w:basedOn w:val="1"/>
    <w:qFormat/>
    <w:uiPriority w:val="0"/>
    <w:pPr>
      <w:widowControl/>
      <w:spacing w:before="100" w:beforeAutospacing="1" w:after="100" w:afterAutospacing="1"/>
      <w:jc w:val="left"/>
    </w:pPr>
    <w:rPr>
      <w:rFonts w:ascii="宋体" w:cs="宋体"/>
      <w:kern w:val="0"/>
      <w:sz w:val="24"/>
      <w:szCs w:val="24"/>
    </w:rPr>
  </w:style>
  <w:style w:type="paragraph" w:customStyle="1" w:styleId="206">
    <w:name w:val="标书正文:  0.74 厘米"/>
    <w:basedOn w:val="1"/>
    <w:qFormat/>
    <w:uiPriority w:val="0"/>
    <w:pPr>
      <w:snapToGrid w:val="0"/>
      <w:spacing w:line="360" w:lineRule="auto"/>
      <w:ind w:firstLine="420"/>
    </w:pPr>
    <w:rPr>
      <w:sz w:val="24"/>
    </w:rPr>
  </w:style>
  <w:style w:type="paragraph" w:customStyle="1" w:styleId="207">
    <w:name w:val="Char1"/>
    <w:basedOn w:val="1"/>
    <w:qFormat/>
    <w:uiPriority w:val="0"/>
    <w:rPr>
      <w:sz w:val="21"/>
    </w:rPr>
  </w:style>
  <w:style w:type="paragraph" w:customStyle="1" w:styleId="208">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20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10">
    <w:name w:val="标题无"/>
    <w:basedOn w:val="1"/>
    <w:qFormat/>
    <w:uiPriority w:val="0"/>
    <w:pPr>
      <w:spacing w:line="360" w:lineRule="auto"/>
    </w:pPr>
    <w:rPr>
      <w:sz w:val="24"/>
    </w:rPr>
  </w:style>
  <w:style w:type="paragraph" w:customStyle="1" w:styleId="211">
    <w:name w:val="首行缩进"/>
    <w:basedOn w:val="1"/>
    <w:qFormat/>
    <w:uiPriority w:val="0"/>
    <w:pPr>
      <w:numPr>
        <w:ilvl w:val="0"/>
        <w:numId w:val="12"/>
      </w:numPr>
      <w:spacing w:line="360" w:lineRule="auto"/>
    </w:pPr>
    <w:rPr>
      <w:rFonts w:eastAsia="仿宋_GB2312"/>
    </w:rPr>
  </w:style>
  <w:style w:type="paragraph" w:customStyle="1" w:styleId="212">
    <w:name w:val="附录3"/>
    <w:basedOn w:val="1"/>
    <w:next w:val="1"/>
    <w:autoRedefine/>
    <w:qFormat/>
    <w:uiPriority w:val="0"/>
    <w:pPr>
      <w:tabs>
        <w:tab w:val="left" w:pos="851"/>
      </w:tabs>
      <w:ind w:left="425" w:hanging="425"/>
      <w:outlineLvl w:val="2"/>
    </w:pPr>
    <w:rPr>
      <w:rFonts w:eastAsia="黑体"/>
      <w:b/>
      <w:sz w:val="32"/>
    </w:rPr>
  </w:style>
  <w:style w:type="paragraph" w:customStyle="1" w:styleId="213">
    <w:name w:val="Char Char14 Char Char"/>
    <w:basedOn w:val="1"/>
    <w:qFormat/>
    <w:uiPriority w:val="0"/>
    <w:rPr>
      <w:sz w:val="21"/>
      <w:szCs w:val="24"/>
    </w:rPr>
  </w:style>
  <w:style w:type="paragraph" w:customStyle="1" w:styleId="214">
    <w:name w:val="样式1xz"/>
    <w:basedOn w:val="1"/>
    <w:qFormat/>
    <w:uiPriority w:val="0"/>
    <w:pPr>
      <w:tabs>
        <w:tab w:val="left" w:pos="1050"/>
        <w:tab w:val="right" w:leader="dot" w:pos="8296"/>
      </w:tabs>
    </w:pPr>
    <w:rPr>
      <w:caps/>
      <w:spacing w:val="20"/>
      <w:sz w:val="24"/>
    </w:rPr>
  </w:style>
  <w:style w:type="paragraph" w:customStyle="1" w:styleId="215">
    <w:name w:val="表头文本"/>
    <w:qFormat/>
    <w:uiPriority w:val="0"/>
    <w:pPr>
      <w:jc w:val="center"/>
    </w:pPr>
    <w:rPr>
      <w:rFonts w:ascii="Arial" w:hAnsi="Arial" w:eastAsia="宋体" w:cs="Times New Roman"/>
      <w:b/>
      <w:sz w:val="21"/>
      <w:lang w:val="en-US" w:eastAsia="zh-CN" w:bidi="ar-SA"/>
    </w:rPr>
  </w:style>
  <w:style w:type="paragraph" w:customStyle="1" w:styleId="216">
    <w:name w:val="Char Char Char"/>
    <w:basedOn w:val="1"/>
    <w:qFormat/>
    <w:uiPriority w:val="0"/>
    <w:rPr>
      <w:rFonts w:ascii="Tahoma" w:hAnsi="Tahoma"/>
      <w:sz w:val="24"/>
    </w:rPr>
  </w:style>
  <w:style w:type="paragraph" w:customStyle="1" w:styleId="217">
    <w:name w:val="Char Char 字元 字元 字元 Char Char Char Char"/>
    <w:basedOn w:val="1"/>
    <w:qFormat/>
    <w:uiPriority w:val="0"/>
    <w:pPr>
      <w:adjustRightInd w:val="0"/>
      <w:spacing w:line="360" w:lineRule="auto"/>
    </w:pPr>
    <w:rPr>
      <w:kern w:val="0"/>
      <w:sz w:val="24"/>
    </w:rPr>
  </w:style>
  <w:style w:type="paragraph" w:customStyle="1" w:styleId="218">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21">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22">
    <w:name w:val="表号"/>
    <w:basedOn w:val="1"/>
    <w:qFormat/>
    <w:uiPriority w:val="0"/>
    <w:pPr>
      <w:numPr>
        <w:ilvl w:val="0"/>
        <w:numId w:val="13"/>
      </w:numPr>
      <w:tabs>
        <w:tab w:val="left" w:pos="648"/>
      </w:tabs>
      <w:autoSpaceDE w:val="0"/>
      <w:autoSpaceDN w:val="0"/>
      <w:adjustRightInd w:val="0"/>
      <w:spacing w:before="210" w:after="210"/>
      <w:ind w:left="425" w:hanging="137"/>
      <w:jc w:val="center"/>
    </w:pPr>
    <w:rPr>
      <w:kern w:val="0"/>
      <w:sz w:val="21"/>
    </w:rPr>
  </w:style>
  <w:style w:type="paragraph" w:customStyle="1" w:styleId="22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24">
    <w:name w:val="Char Char Char Char Char Char Char1"/>
    <w:basedOn w:val="1"/>
    <w:qFormat/>
    <w:uiPriority w:val="0"/>
    <w:rPr>
      <w:rFonts w:ascii="Tahoma" w:hAnsi="Tahoma"/>
      <w:sz w:val="24"/>
    </w:rPr>
  </w:style>
  <w:style w:type="paragraph" w:customStyle="1" w:styleId="225">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26">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27">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28">
    <w:name w:val="表头样式"/>
    <w:basedOn w:val="1"/>
    <w:qFormat/>
    <w:uiPriority w:val="0"/>
    <w:pPr>
      <w:autoSpaceDE w:val="0"/>
      <w:autoSpaceDN w:val="0"/>
      <w:adjustRightInd w:val="0"/>
      <w:spacing w:line="360" w:lineRule="auto"/>
      <w:jc w:val="left"/>
    </w:pPr>
    <w:rPr>
      <w:b/>
      <w:kern w:val="0"/>
      <w:sz w:val="21"/>
    </w:rPr>
  </w:style>
  <w:style w:type="paragraph" w:customStyle="1" w:styleId="229">
    <w:name w:val="_"/>
    <w:basedOn w:val="1"/>
    <w:qFormat/>
    <w:uiPriority w:val="0"/>
    <w:pPr>
      <w:adjustRightInd w:val="0"/>
      <w:spacing w:line="360" w:lineRule="auto"/>
      <w:ind w:left="480" w:firstLine="200" w:firstLineChars="200"/>
      <w:textAlignment w:val="baseline"/>
    </w:pPr>
    <w:rPr>
      <w:kern w:val="0"/>
      <w:sz w:val="24"/>
    </w:rPr>
  </w:style>
  <w:style w:type="paragraph" w:customStyle="1" w:styleId="230">
    <w:name w:val="CSS1级正文 Char"/>
    <w:basedOn w:val="2"/>
    <w:qFormat/>
    <w:uiPriority w:val="0"/>
    <w:pPr>
      <w:adjustRightInd w:val="0"/>
      <w:snapToGrid w:val="0"/>
      <w:spacing w:line="360" w:lineRule="auto"/>
      <w:ind w:firstLine="480"/>
    </w:pPr>
    <w:rPr>
      <w:rFonts w:ascii="Times New Roman" w:hAnsi="Times New Roman" w:eastAsia="宋体"/>
      <w:sz w:val="24"/>
    </w:rPr>
  </w:style>
  <w:style w:type="paragraph" w:customStyle="1" w:styleId="231">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232">
    <w:name w:val="样式 样式 正文首行缩进 2 + 左  0 字符 + 首行缩进:  2.57 字符"/>
    <w:basedOn w:val="1"/>
    <w:next w:val="1"/>
    <w:autoRedefine/>
    <w:qFormat/>
    <w:uiPriority w:val="0"/>
    <w:pPr>
      <w:adjustRightInd w:val="0"/>
      <w:snapToGrid w:val="0"/>
      <w:spacing w:after="120"/>
      <w:ind w:firstLine="257" w:firstLineChars="257"/>
    </w:pPr>
    <w:rPr>
      <w:sz w:val="21"/>
    </w:rPr>
  </w:style>
  <w:style w:type="paragraph" w:customStyle="1" w:styleId="233">
    <w:name w:val="文本1"/>
    <w:basedOn w:val="1"/>
    <w:autoRedefine/>
    <w:qFormat/>
    <w:uiPriority w:val="0"/>
    <w:pPr>
      <w:adjustRightInd w:val="0"/>
      <w:spacing w:line="312" w:lineRule="atLeast"/>
      <w:jc w:val="center"/>
      <w:textAlignment w:val="baseline"/>
    </w:pPr>
    <w:rPr>
      <w:kern w:val="0"/>
      <w:sz w:val="18"/>
    </w:rPr>
  </w:style>
  <w:style w:type="paragraph" w:customStyle="1" w:styleId="234">
    <w:name w:val="图例"/>
    <w:basedOn w:val="1"/>
    <w:autoRedefine/>
    <w:qFormat/>
    <w:uiPriority w:val="0"/>
    <w:pPr>
      <w:spacing w:before="120" w:after="120" w:line="360" w:lineRule="auto"/>
      <w:jc w:val="center"/>
    </w:pPr>
    <w:rPr>
      <w:rFonts w:eastAsia="仿宋_GB2312"/>
      <w:b/>
      <w:sz w:val="24"/>
    </w:rPr>
  </w:style>
  <w:style w:type="paragraph" w:customStyle="1" w:styleId="235">
    <w:name w:val="Char2"/>
    <w:basedOn w:val="1"/>
    <w:autoRedefine/>
    <w:qFormat/>
    <w:uiPriority w:val="0"/>
    <w:pPr>
      <w:spacing w:line="240" w:lineRule="atLeast"/>
      <w:ind w:left="420" w:firstLine="420"/>
    </w:pPr>
    <w:rPr>
      <w:kern w:val="0"/>
      <w:sz w:val="21"/>
    </w:rPr>
  </w:style>
  <w:style w:type="paragraph" w:customStyle="1" w:styleId="236">
    <w:name w:val="可研正文"/>
    <w:basedOn w:val="2"/>
    <w:autoRedefine/>
    <w:qFormat/>
    <w:uiPriority w:val="0"/>
    <w:pPr>
      <w:adjustRightInd w:val="0"/>
      <w:snapToGrid w:val="0"/>
      <w:spacing w:line="440" w:lineRule="exact"/>
      <w:ind w:firstLine="567"/>
    </w:pPr>
    <w:rPr>
      <w:sz w:val="28"/>
    </w:rPr>
  </w:style>
  <w:style w:type="paragraph" w:customStyle="1" w:styleId="237">
    <w:name w:val="编号正文"/>
    <w:basedOn w:val="201"/>
    <w:autoRedefine/>
    <w:qFormat/>
    <w:uiPriority w:val="0"/>
    <w:pPr>
      <w:snapToGrid/>
      <w:spacing w:line="360" w:lineRule="auto"/>
      <w:ind w:left="1407" w:hanging="1047"/>
      <w:jc w:val="left"/>
    </w:pPr>
    <w:rPr>
      <w:rFonts w:eastAsia="仿宋_GB2312"/>
    </w:rPr>
  </w:style>
  <w:style w:type="paragraph" w:customStyle="1" w:styleId="238">
    <w:name w:val="正文表格"/>
    <w:basedOn w:val="1"/>
    <w:autoRedefine/>
    <w:qFormat/>
    <w:uiPriority w:val="0"/>
    <w:pPr>
      <w:adjustRightInd w:val="0"/>
      <w:spacing w:before="40" w:after="40"/>
    </w:pPr>
    <w:rPr>
      <w:sz w:val="24"/>
    </w:rPr>
  </w:style>
  <w:style w:type="paragraph" w:customStyle="1" w:styleId="239">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40">
    <w:name w:val="正文字缩2字"/>
    <w:basedOn w:val="1"/>
    <w:autoRedefine/>
    <w:qFormat/>
    <w:uiPriority w:val="0"/>
    <w:pPr>
      <w:spacing w:before="60" w:after="60" w:line="360" w:lineRule="auto"/>
      <w:ind w:left="200" w:leftChars="200" w:firstLine="200" w:firstLineChars="200"/>
    </w:pPr>
    <w:rPr>
      <w:sz w:val="24"/>
    </w:rPr>
  </w:style>
  <w:style w:type="paragraph" w:customStyle="1" w:styleId="241">
    <w:name w:val="样式4"/>
    <w:basedOn w:val="7"/>
    <w:autoRedefine/>
    <w:qFormat/>
    <w:uiPriority w:val="0"/>
    <w:pPr>
      <w:adjustRightInd w:val="0"/>
      <w:snapToGrid w:val="0"/>
    </w:pPr>
  </w:style>
  <w:style w:type="paragraph" w:customStyle="1" w:styleId="242">
    <w:name w:val="正文 A"/>
    <w:autoRedefine/>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43">
    <w:name w:val="Char Char1 Char Char Char Char Char Char Char Char Char Char Char Char Char Char"/>
    <w:basedOn w:val="1"/>
    <w:autoRedefine/>
    <w:qFormat/>
    <w:uiPriority w:val="0"/>
    <w:pPr>
      <w:widowControl/>
      <w:spacing w:after="160" w:line="240" w:lineRule="exact"/>
      <w:jc w:val="left"/>
    </w:pPr>
    <w:rPr>
      <w:rFonts w:ascii="Verdana" w:hAnsi="Verdana"/>
      <w:kern w:val="0"/>
      <w:sz w:val="20"/>
    </w:rPr>
  </w:style>
  <w:style w:type="paragraph" w:customStyle="1" w:styleId="244">
    <w:name w:val="样式 宋体 五号 行距: 单倍行距"/>
    <w:basedOn w:val="1"/>
    <w:autoRedefine/>
    <w:qFormat/>
    <w:uiPriority w:val="0"/>
    <w:pPr>
      <w:adjustRightInd w:val="0"/>
      <w:jc w:val="left"/>
    </w:pPr>
    <w:rPr>
      <w:rFonts w:ascii="宋体"/>
      <w:kern w:val="0"/>
      <w:sz w:val="21"/>
    </w:rPr>
  </w:style>
  <w:style w:type="paragraph" w:customStyle="1" w:styleId="24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46">
    <w:name w:val="Char1 Char Char Char1"/>
    <w:basedOn w:val="1"/>
    <w:autoRedefine/>
    <w:qFormat/>
    <w:uiPriority w:val="0"/>
    <w:rPr>
      <w:rFonts w:ascii="Tahoma" w:hAnsi="Tahoma"/>
      <w:sz w:val="24"/>
    </w:rPr>
  </w:style>
  <w:style w:type="paragraph" w:customStyle="1" w:styleId="247">
    <w:name w:val="样式 仿宋_GB2312 首行缩进:  2 字符"/>
    <w:basedOn w:val="1"/>
    <w:autoRedefine/>
    <w:qFormat/>
    <w:uiPriority w:val="0"/>
    <w:pPr>
      <w:spacing w:line="600" w:lineRule="exact"/>
      <w:ind w:firstLine="150" w:firstLineChars="150"/>
      <w:jc w:val="left"/>
    </w:pPr>
    <w:rPr>
      <w:rFonts w:ascii="仿宋_GB2312" w:eastAsia="仿宋_GB2312"/>
      <w:color w:val="000000"/>
      <w:kern w:val="0"/>
      <w:lang w:val="zh-CN"/>
    </w:rPr>
  </w:style>
  <w:style w:type="paragraph" w:customStyle="1" w:styleId="248">
    <w:name w:val="样式 行距: 1.5 倍行距1"/>
    <w:basedOn w:val="1"/>
    <w:autoRedefine/>
    <w:qFormat/>
    <w:uiPriority w:val="0"/>
    <w:pPr>
      <w:snapToGrid w:val="0"/>
    </w:pPr>
    <w:rPr>
      <w:sz w:val="21"/>
    </w:rPr>
  </w:style>
  <w:style w:type="paragraph" w:customStyle="1" w:styleId="249">
    <w:name w:val="正文缩进_0"/>
    <w:basedOn w:val="1"/>
    <w:autoRedefine/>
    <w:qFormat/>
    <w:uiPriority w:val="0"/>
    <w:pPr>
      <w:ind w:firstLine="420"/>
    </w:pPr>
    <w:rPr>
      <w:rFonts w:ascii="Times New Roman" w:hAnsi="Times New Roman" w:eastAsia="Times New Roman"/>
      <w:kern w:val="0"/>
      <w:sz w:val="24"/>
      <w:szCs w:val="24"/>
    </w:rPr>
  </w:style>
  <w:style w:type="character" w:customStyle="1" w:styleId="250">
    <w:name w:val="正文缩进 字符"/>
    <w:autoRedefine/>
    <w:qFormat/>
    <w:uiPriority w:val="0"/>
    <w:rPr>
      <w:kern w:val="2"/>
      <w:sz w:val="24"/>
    </w:rPr>
  </w:style>
  <w:style w:type="character" w:customStyle="1" w:styleId="251">
    <w:name w:val="批注文字 字符"/>
    <w:autoRedefine/>
    <w:qFormat/>
    <w:uiPriority w:val="0"/>
    <w:rPr>
      <w:sz w:val="24"/>
    </w:rPr>
  </w:style>
  <w:style w:type="character" w:customStyle="1" w:styleId="252">
    <w:name w:val="正文文本缩进 字符"/>
    <w:autoRedefine/>
    <w:qFormat/>
    <w:uiPriority w:val="0"/>
    <w:rPr>
      <w:kern w:val="2"/>
      <w:sz w:val="44"/>
    </w:rPr>
  </w:style>
  <w:style w:type="character" w:customStyle="1" w:styleId="253">
    <w:name w:val="正文文本缩进 2 字符"/>
    <w:autoRedefine/>
    <w:qFormat/>
    <w:uiPriority w:val="0"/>
    <w:rPr>
      <w:kern w:val="2"/>
      <w:sz w:val="28"/>
    </w:rPr>
  </w:style>
  <w:style w:type="character" w:customStyle="1" w:styleId="254">
    <w:name w:val="脚注文本 字符"/>
    <w:autoRedefine/>
    <w:qFormat/>
    <w:uiPriority w:val="0"/>
    <w:rPr>
      <w:kern w:val="2"/>
      <w:sz w:val="18"/>
    </w:rPr>
  </w:style>
  <w:style w:type="character" w:customStyle="1" w:styleId="255">
    <w:name w:val="批注主题 字符"/>
    <w:autoRedefine/>
    <w:qFormat/>
    <w:uiPriority w:val="0"/>
  </w:style>
  <w:style w:type="character" w:customStyle="1" w:styleId="256">
    <w:name w:val="正文文本首行缩进 2 字符"/>
    <w:autoRedefine/>
    <w:qFormat/>
    <w:uiPriority w:val="0"/>
  </w:style>
  <w:style w:type="character" w:customStyle="1" w:styleId="257">
    <w:name w:val="批注文字 字符1"/>
    <w:autoRedefine/>
    <w:qFormat/>
    <w:uiPriority w:val="99"/>
    <w:rPr>
      <w:rFonts w:ascii="Times New Roman" w:hAnsi="Times New Roman" w:eastAsia="宋体" w:cs="Times New Roman"/>
      <w:sz w:val="28"/>
      <w:szCs w:val="20"/>
    </w:rPr>
  </w:style>
  <w:style w:type="character" w:customStyle="1" w:styleId="258">
    <w:name w:val="NormalCharacter"/>
    <w:autoRedefine/>
    <w:qFormat/>
    <w:uiPriority w:val="0"/>
  </w:style>
  <w:style w:type="character" w:customStyle="1" w:styleId="259">
    <w:name w:val="日期 字符"/>
    <w:autoRedefine/>
    <w:qFormat/>
    <w:uiPriority w:val="0"/>
    <w:rPr>
      <w:kern w:val="2"/>
      <w:sz w:val="28"/>
    </w:rPr>
  </w:style>
  <w:style w:type="character" w:customStyle="1" w:styleId="260">
    <w:name w:val="标题 2 字符"/>
    <w:autoRedefine/>
    <w:qFormat/>
    <w:uiPriority w:val="0"/>
    <w:rPr>
      <w:rFonts w:ascii="Arial" w:hAnsi="Arial" w:eastAsia="黑体"/>
      <w:b/>
      <w:kern w:val="2"/>
      <w:sz w:val="32"/>
    </w:rPr>
  </w:style>
  <w:style w:type="character" w:customStyle="1" w:styleId="261">
    <w:name w:val="列表段落 字符"/>
    <w:autoRedefine/>
    <w:qFormat/>
    <w:uiPriority w:val="0"/>
    <w:rPr>
      <w:rFonts w:ascii="Calibri" w:hAnsi="Calibri"/>
      <w:kern w:val="2"/>
      <w:sz w:val="21"/>
      <w:szCs w:val="22"/>
    </w:rPr>
  </w:style>
  <w:style w:type="character" w:customStyle="1" w:styleId="262">
    <w:name w:val="标题 3 字符"/>
    <w:autoRedefine/>
    <w:qFormat/>
    <w:uiPriority w:val="0"/>
    <w:rPr>
      <w:b/>
      <w:kern w:val="2"/>
      <w:sz w:val="32"/>
    </w:rPr>
  </w:style>
  <w:style w:type="paragraph" w:customStyle="1" w:styleId="263">
    <w:name w:val="TOC 标题1"/>
    <w:basedOn w:val="4"/>
    <w:next w:val="1"/>
    <w:autoRedefine/>
    <w:qFormat/>
    <w:uiPriority w:val="0"/>
    <w:pPr>
      <w:keepNext w:val="0"/>
      <w:widowControl/>
      <w:snapToGrid/>
      <w:spacing w:before="100" w:beforeAutospacing="1" w:after="100" w:afterAutospacing="1" w:line="276" w:lineRule="auto"/>
      <w:jc w:val="left"/>
      <w:outlineLvl w:val="9"/>
    </w:pPr>
    <w:rPr>
      <w:rFonts w:ascii="仿宋" w:hAnsi="仿宋" w:cs="宋体"/>
      <w:b/>
      <w:bCs/>
      <w:color w:val="000000"/>
      <w:kern w:val="0"/>
      <w:sz w:val="48"/>
      <w:szCs w:val="32"/>
    </w:rPr>
  </w:style>
  <w:style w:type="character" w:customStyle="1" w:styleId="264">
    <w:name w:val="正文文本 字符"/>
    <w:autoRedefine/>
    <w:qFormat/>
    <w:uiPriority w:val="0"/>
    <w:rPr>
      <w:rFonts w:ascii="仿宋_GB2312" w:eastAsia="仿宋_GB2312"/>
      <w:kern w:val="2"/>
      <w:sz w:val="32"/>
    </w:rPr>
  </w:style>
  <w:style w:type="character" w:customStyle="1" w:styleId="265">
    <w:name w:val="font01"/>
    <w:autoRedefine/>
    <w:qFormat/>
    <w:uiPriority w:val="0"/>
    <w:rPr>
      <w:rFonts w:ascii="Times New Roman" w:hAnsi="Times New Roman" w:cs="Times New Roman"/>
      <w:color w:val="000000"/>
      <w:sz w:val="18"/>
      <w:szCs w:val="18"/>
      <w:u w:val="none"/>
    </w:rPr>
  </w:style>
  <w:style w:type="character" w:customStyle="1" w:styleId="266">
    <w:name w:val="font11"/>
    <w:autoRedefine/>
    <w:qFormat/>
    <w:uiPriority w:val="0"/>
    <w:rPr>
      <w:rFonts w:ascii="宋体" w:eastAsia="宋体" w:cs="宋体"/>
      <w:b/>
      <w:color w:val="000000"/>
      <w:sz w:val="18"/>
      <w:szCs w:val="18"/>
      <w:u w:val="none"/>
    </w:rPr>
  </w:style>
  <w:style w:type="character" w:customStyle="1" w:styleId="267">
    <w:name w:val="font61"/>
    <w:autoRedefine/>
    <w:qFormat/>
    <w:uiPriority w:val="0"/>
    <w:rPr>
      <w:rFonts w:ascii="宋体" w:eastAsia="宋体" w:cs="宋体"/>
      <w:color w:val="000000"/>
      <w:sz w:val="20"/>
      <w:szCs w:val="20"/>
      <w:u w:val="none"/>
    </w:rPr>
  </w:style>
  <w:style w:type="character" w:customStyle="1" w:styleId="268">
    <w:name w:val="文字 Char Char"/>
    <w:autoRedefine/>
    <w:qFormat/>
    <w:locked/>
    <w:uiPriority w:val="0"/>
    <w:rPr>
      <w:rFonts w:ascii="宋体" w:eastAsia="宋体"/>
      <w:sz w:val="28"/>
    </w:rPr>
  </w:style>
  <w:style w:type="character" w:customStyle="1" w:styleId="269">
    <w:name w:val="font81"/>
    <w:autoRedefine/>
    <w:qFormat/>
    <w:uiPriority w:val="0"/>
    <w:rPr>
      <w:rFonts w:ascii="宋体" w:eastAsia="宋体" w:cs="宋体"/>
      <w:color w:val="000000"/>
      <w:sz w:val="18"/>
      <w:szCs w:val="18"/>
      <w:u w:val="none"/>
    </w:rPr>
  </w:style>
  <w:style w:type="character" w:customStyle="1" w:styleId="270">
    <w:name w:val="Char Char Char Char Char Char Char Char Char"/>
    <w:autoRedefine/>
    <w:qFormat/>
    <w:uiPriority w:val="0"/>
    <w:rPr>
      <w:rFonts w:ascii="宋体" w:eastAsia="宋体"/>
      <w:kern w:val="2"/>
      <w:sz w:val="24"/>
      <w:lang w:val="en-US" w:eastAsia="zh-CN" w:bidi="ar-SA"/>
    </w:rPr>
  </w:style>
  <w:style w:type="character" w:customStyle="1" w:styleId="271">
    <w:name w:val="fontstyle11"/>
    <w:autoRedefine/>
    <w:qFormat/>
    <w:uiPriority w:val="0"/>
    <w:rPr>
      <w:rFonts w:ascii="FrutigerNextLT-Light" w:hAnsi="FrutigerNextLT-Light"/>
      <w:color w:val="000000"/>
      <w:sz w:val="18"/>
      <w:szCs w:val="18"/>
    </w:rPr>
  </w:style>
  <w:style w:type="character" w:customStyle="1" w:styleId="272">
    <w:name w:val="font31"/>
    <w:autoRedefine/>
    <w:qFormat/>
    <w:uiPriority w:val="0"/>
    <w:rPr>
      <w:rFonts w:ascii="宋体" w:eastAsia="宋体" w:cs="宋体"/>
      <w:color w:val="000000"/>
      <w:sz w:val="18"/>
      <w:szCs w:val="18"/>
      <w:u w:val="none"/>
    </w:rPr>
  </w:style>
  <w:style w:type="character" w:customStyle="1" w:styleId="273">
    <w:name w:val="font21"/>
    <w:autoRedefine/>
    <w:qFormat/>
    <w:uiPriority w:val="0"/>
    <w:rPr>
      <w:rFonts w:ascii="宋体" w:eastAsia="宋体" w:cs="宋体"/>
      <w:color w:val="000000"/>
      <w:sz w:val="18"/>
      <w:szCs w:val="18"/>
      <w:u w:val="none"/>
    </w:rPr>
  </w:style>
  <w:style w:type="character" w:customStyle="1" w:styleId="274">
    <w:name w:val="副标题 Char"/>
    <w:autoRedefine/>
    <w:qFormat/>
    <w:uiPriority w:val="0"/>
    <w:rPr>
      <w:rFonts w:ascii="Cambria" w:hAnsi="Cambria" w:eastAsia="宋体" w:cs="Times New Roman"/>
      <w:b/>
      <w:bCs/>
      <w:kern w:val="28"/>
      <w:sz w:val="32"/>
      <w:szCs w:val="32"/>
    </w:rPr>
  </w:style>
  <w:style w:type="paragraph" w:customStyle="1" w:styleId="275">
    <w:name w:val="标题1级"/>
    <w:basedOn w:val="4"/>
    <w:autoRedefine/>
    <w:qFormat/>
    <w:uiPriority w:val="0"/>
    <w:pPr>
      <w:keepLines/>
      <w:numPr>
        <w:ilvl w:val="0"/>
        <w:numId w:val="6"/>
      </w:numPr>
      <w:snapToGrid/>
      <w:spacing w:line="360" w:lineRule="auto"/>
      <w:ind w:left="835" w:hanging="835"/>
      <w:jc w:val="center"/>
    </w:pPr>
    <w:rPr>
      <w:rFonts w:cs="黑体"/>
      <w:b/>
      <w:bCs/>
      <w:kern w:val="44"/>
      <w:sz w:val="44"/>
      <w:szCs w:val="48"/>
    </w:rPr>
  </w:style>
  <w:style w:type="paragraph" w:customStyle="1" w:styleId="276">
    <w:name w:val="样式6"/>
    <w:basedOn w:val="275"/>
    <w:autoRedefine/>
    <w:qFormat/>
    <w:uiPriority w:val="0"/>
    <w:pPr>
      <w:ind w:left="2524" w:hanging="397"/>
    </w:pPr>
    <w:rPr>
      <w:sz w:val="36"/>
      <w:szCs w:val="36"/>
    </w:rPr>
  </w:style>
  <w:style w:type="paragraph" w:customStyle="1" w:styleId="277">
    <w:name w:val="样式5"/>
    <w:basedOn w:val="1"/>
    <w:autoRedefine/>
    <w:qFormat/>
    <w:uiPriority w:val="99"/>
    <w:pPr>
      <w:widowControl/>
      <w:spacing w:line="360" w:lineRule="auto"/>
      <w:ind w:firstLine="311" w:firstLineChars="311"/>
      <w:jc w:val="left"/>
    </w:pPr>
    <w:rPr>
      <w:rFonts w:ascii="宋体" w:cs="宋体"/>
      <w:color w:val="000000"/>
      <w:kern w:val="0"/>
      <w:sz w:val="24"/>
      <w:szCs w:val="22"/>
    </w:rPr>
  </w:style>
  <w:style w:type="paragraph" w:customStyle="1" w:styleId="278">
    <w:name w:val="正文缩进(ALT+Z)"/>
    <w:basedOn w:val="1"/>
    <w:autoRedefine/>
    <w:qFormat/>
    <w:uiPriority w:val="0"/>
    <w:pPr>
      <w:spacing w:line="360" w:lineRule="auto"/>
      <w:ind w:firstLine="200" w:firstLineChars="200"/>
    </w:pPr>
    <w:rPr>
      <w:rFonts w:ascii="Times New Roman" w:hAnsi="Times New Roman"/>
      <w:sz w:val="24"/>
      <w:szCs w:val="24"/>
    </w:rPr>
  </w:style>
  <w:style w:type="paragraph" w:customStyle="1" w:styleId="279">
    <w:name w:val="三级标题"/>
    <w:basedOn w:val="1"/>
    <w:autoRedefine/>
    <w:qFormat/>
    <w:uiPriority w:val="0"/>
    <w:pPr>
      <w:keepNext/>
      <w:widowControl/>
      <w:spacing w:line="300" w:lineRule="auto"/>
      <w:ind w:firstLine="196" w:firstLineChars="196"/>
      <w:jc w:val="left"/>
      <w:outlineLvl w:val="2"/>
    </w:pPr>
    <w:rPr>
      <w:rFonts w:eastAsia="楷体_GB2312" w:cs="黑体"/>
      <w:b/>
      <w:bCs/>
      <w:kern w:val="24"/>
      <w:szCs w:val="24"/>
    </w:rPr>
  </w:style>
  <w:style w:type="paragraph" w:customStyle="1" w:styleId="280">
    <w:name w:val="纯文本1"/>
    <w:basedOn w:val="1"/>
    <w:autoRedefine/>
    <w:qFormat/>
    <w:uiPriority w:val="0"/>
    <w:pPr>
      <w:spacing w:beforeLines="50" w:afterLines="50" w:line="400" w:lineRule="atLeast"/>
    </w:pPr>
    <w:rPr>
      <w:rFonts w:ascii="宋体"/>
      <w:sz w:val="24"/>
    </w:rPr>
  </w:style>
  <w:style w:type="paragraph" w:customStyle="1" w:styleId="28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282">
    <w:name w:val="标题2级"/>
    <w:basedOn w:val="5"/>
    <w:autoRedefine/>
    <w:qFormat/>
    <w:uiPriority w:val="0"/>
    <w:pPr>
      <w:keepNext w:val="0"/>
      <w:keepLines w:val="0"/>
      <w:widowControl/>
      <w:pBdr>
        <w:bottom w:val="single" w:color="4F81BD" w:sz="8" w:space="1"/>
      </w:pBdr>
      <w:tabs>
        <w:tab w:val="left" w:pos="567"/>
      </w:tabs>
      <w:spacing w:before="200" w:after="80" w:line="240" w:lineRule="auto"/>
      <w:ind w:left="397" w:hanging="397"/>
      <w:jc w:val="left"/>
    </w:pPr>
    <w:rPr>
      <w:rFonts w:ascii="宋体" w:eastAsia="宋体"/>
      <w:b w:val="0"/>
      <w:color w:val="365F91"/>
      <w:kern w:val="0"/>
      <w:sz w:val="30"/>
      <w:szCs w:val="30"/>
    </w:rPr>
  </w:style>
  <w:style w:type="paragraph" w:customStyle="1" w:styleId="283">
    <w:name w:val="_Style 16"/>
    <w:basedOn w:val="1"/>
    <w:autoRedefine/>
    <w:qFormat/>
    <w:uiPriority w:val="0"/>
    <w:rPr>
      <w:rFonts w:ascii="Times New Roman" w:hAnsi="Times New Roman"/>
    </w:rPr>
  </w:style>
  <w:style w:type="paragraph" w:customStyle="1" w:styleId="284">
    <w:name w:val="List Paragraph1"/>
    <w:basedOn w:val="1"/>
    <w:autoRedefine/>
    <w:qFormat/>
    <w:uiPriority w:val="99"/>
    <w:pPr>
      <w:ind w:firstLine="200" w:firstLineChars="200"/>
    </w:pPr>
    <w:rPr>
      <w:sz w:val="21"/>
      <w:szCs w:val="22"/>
    </w:rPr>
  </w:style>
  <w:style w:type="paragraph" w:customStyle="1" w:styleId="285">
    <w:name w:val="标题4级"/>
    <w:basedOn w:val="7"/>
    <w:autoRedefine/>
    <w:qFormat/>
    <w:uiPriority w:val="0"/>
    <w:pPr>
      <w:keepNext w:val="0"/>
      <w:keepLines w:val="0"/>
      <w:widowControl/>
      <w:pBdr>
        <w:bottom w:val="single" w:color="B8CCE4" w:sz="4" w:space="2"/>
      </w:pBdr>
      <w:tabs>
        <w:tab w:val="left" w:pos="720"/>
        <w:tab w:val="left" w:pos="851"/>
        <w:tab w:val="left" w:pos="993"/>
      </w:tabs>
      <w:spacing w:before="0" w:after="0" w:line="360" w:lineRule="auto"/>
      <w:ind w:left="397" w:hanging="397"/>
      <w:jc w:val="left"/>
    </w:pPr>
    <w:rPr>
      <w:rFonts w:ascii="宋体" w:eastAsia="宋体"/>
      <w:iCs/>
      <w:color w:val="4F81BD"/>
      <w:kern w:val="0"/>
      <w:szCs w:val="28"/>
    </w:rPr>
  </w:style>
  <w:style w:type="paragraph" w:customStyle="1" w:styleId="286">
    <w:name w:val="正文new"/>
    <w:basedOn w:val="1"/>
    <w:autoRedefine/>
    <w:qFormat/>
    <w:uiPriority w:val="0"/>
    <w:pPr>
      <w:widowControl/>
      <w:spacing w:line="300" w:lineRule="auto"/>
      <w:ind w:firstLine="202" w:firstLineChars="202"/>
      <w:jc w:val="left"/>
    </w:pPr>
    <w:rPr>
      <w:rFonts w:ascii="宋体" w:cs="宋体"/>
      <w:kern w:val="24"/>
      <w:szCs w:val="28"/>
    </w:rPr>
  </w:style>
  <w:style w:type="paragraph" w:customStyle="1" w:styleId="287">
    <w:name w:val="正文newnewnew"/>
    <w:basedOn w:val="286"/>
    <w:autoRedefine/>
    <w:qFormat/>
    <w:uiPriority w:val="0"/>
    <w:rPr>
      <w:rFonts w:ascii="Times New Roman" w:hAnsi="Times New Roman" w:cs="Times New Roman"/>
      <w:sz w:val="24"/>
      <w:szCs w:val="24"/>
    </w:rPr>
  </w:style>
  <w:style w:type="paragraph" w:customStyle="1" w:styleId="288">
    <w:name w:val="列出段落2"/>
    <w:basedOn w:val="1"/>
    <w:autoRedefine/>
    <w:qFormat/>
    <w:uiPriority w:val="0"/>
    <w:pPr>
      <w:ind w:firstLine="200" w:firstLineChars="200"/>
    </w:pPr>
    <w:rPr>
      <w:sz w:val="21"/>
      <w:szCs w:val="22"/>
    </w:rPr>
  </w:style>
  <w:style w:type="paragraph" w:styleId="28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290">
    <w:name w:val="WPSOffice手动目录 1"/>
    <w:autoRedefine/>
    <w:qFormat/>
    <w:uiPriority w:val="0"/>
    <w:rPr>
      <w:rFonts w:ascii="Times New Roman" w:hAnsi="Times New Roman" w:eastAsia="宋体" w:cs="Times New Roman"/>
      <w:lang w:val="en-US" w:eastAsia="zh-CN" w:bidi="ar-SA"/>
    </w:rPr>
  </w:style>
  <w:style w:type="paragraph" w:customStyle="1" w:styleId="291">
    <w:name w:val="二级标题"/>
    <w:basedOn w:val="5"/>
    <w:autoRedefine/>
    <w:qFormat/>
    <w:uiPriority w:val="0"/>
    <w:pPr>
      <w:keepNext w:val="0"/>
      <w:keepLines w:val="0"/>
      <w:widowControl/>
      <w:pBdr>
        <w:bottom w:val="single" w:color="4F81BD" w:sz="8" w:space="1"/>
      </w:pBdr>
      <w:spacing w:before="240" w:after="80" w:line="300" w:lineRule="auto"/>
    </w:pPr>
    <w:rPr>
      <w:rFonts w:ascii="楷体_GB2312" w:eastAsia="楷体_GB2312" w:cs="黑体"/>
      <w:bCs/>
      <w:color w:val="365F91"/>
      <w:kern w:val="28"/>
      <w:sz w:val="24"/>
      <w:szCs w:val="24"/>
    </w:rPr>
  </w:style>
  <w:style w:type="paragraph" w:customStyle="1" w:styleId="292">
    <w:name w:val="Char Char Char Char Char1"/>
    <w:basedOn w:val="1"/>
    <w:autoRedefine/>
    <w:qFormat/>
    <w:uiPriority w:val="0"/>
    <w:pPr>
      <w:tabs>
        <w:tab w:val="left" w:pos="425"/>
      </w:tabs>
      <w:ind w:left="425" w:hanging="425"/>
    </w:pPr>
    <w:rPr>
      <w:rFonts w:ascii="Tahoma" w:hAnsi="Tahoma"/>
      <w:sz w:val="24"/>
    </w:rPr>
  </w:style>
  <w:style w:type="paragraph" w:customStyle="1" w:styleId="293">
    <w:name w:val="Char Char1 Char Char Char Char Char Char Char Char"/>
    <w:basedOn w:val="1"/>
    <w:autoRedefine/>
    <w:qFormat/>
    <w:uiPriority w:val="0"/>
    <w:pPr>
      <w:widowControl/>
      <w:spacing w:after="160" w:line="240" w:lineRule="exact"/>
      <w:jc w:val="left"/>
    </w:pPr>
    <w:rPr>
      <w:rFonts w:ascii="Verdana" w:hAnsi="Verdana"/>
      <w:kern w:val="0"/>
      <w:sz w:val="20"/>
    </w:rPr>
  </w:style>
  <w:style w:type="character" w:customStyle="1" w:styleId="294">
    <w:name w:val="页眉 Char"/>
    <w:autoRedefine/>
    <w:qFormat/>
    <w:locked/>
    <w:uiPriority w:val="99"/>
    <w:rPr>
      <w:rFonts w:eastAsia="宋体"/>
      <w:kern w:val="2"/>
      <w:sz w:val="18"/>
      <w:lang w:val="en-US" w:eastAsia="zh-CN" w:bidi="ar-SA"/>
    </w:rPr>
  </w:style>
  <w:style w:type="paragraph" w:customStyle="1" w:styleId="295">
    <w:name w:val="修订1"/>
    <w:qFormat/>
    <w:uiPriority w:val="0"/>
    <w:rPr>
      <w:rFonts w:ascii="Calibri" w:hAnsi="Calibri" w:eastAsia="宋体" w:cs="Times New Roman"/>
      <w:kern w:val="2"/>
      <w:sz w:val="28"/>
      <w:lang w:val="en-US" w:eastAsia="zh-CN" w:bidi="ar-SA"/>
    </w:rPr>
  </w:style>
  <w:style w:type="character" w:customStyle="1" w:styleId="296">
    <w:name w:val="正文文本 Char"/>
    <w:link w:val="2"/>
    <w:qFormat/>
    <w:uiPriority w:val="0"/>
    <w:rPr>
      <w:rFonts w:ascii="仿宋_GB2312" w:hAnsi="Calibri" w:eastAsia="仿宋_GB2312"/>
      <w:kern w:val="2"/>
      <w:sz w:val="32"/>
    </w:rPr>
  </w:style>
  <w:style w:type="character" w:customStyle="1" w:styleId="297">
    <w:name w:val="标题 1 Char"/>
    <w:link w:val="4"/>
    <w:qFormat/>
    <w:uiPriority w:val="0"/>
    <w:rPr>
      <w:rFonts w:ascii="宋体" w:hAnsi="Calibri"/>
      <w:kern w:val="2"/>
      <w:sz w:val="28"/>
    </w:rPr>
  </w:style>
  <w:style w:type="character" w:customStyle="1" w:styleId="298">
    <w:name w:val="标题 2 Char1"/>
    <w:link w:val="5"/>
    <w:qFormat/>
    <w:uiPriority w:val="0"/>
    <w:rPr>
      <w:rFonts w:ascii="Arial" w:hAnsi="Arial" w:eastAsia="黑体"/>
      <w:b/>
      <w:kern w:val="2"/>
      <w:sz w:val="32"/>
    </w:rPr>
  </w:style>
  <w:style w:type="character" w:customStyle="1" w:styleId="299">
    <w:name w:val="标题 3 Char2"/>
    <w:link w:val="6"/>
    <w:qFormat/>
    <w:uiPriority w:val="0"/>
    <w:rPr>
      <w:rFonts w:ascii="Calibri" w:hAnsi="Calibri"/>
      <w:b/>
      <w:kern w:val="2"/>
      <w:sz w:val="32"/>
    </w:rPr>
  </w:style>
  <w:style w:type="character" w:customStyle="1" w:styleId="300">
    <w:name w:val="标题 4 Char"/>
    <w:link w:val="7"/>
    <w:qFormat/>
    <w:uiPriority w:val="0"/>
    <w:rPr>
      <w:rFonts w:ascii="Arial" w:hAnsi="Arial" w:eastAsia="黑体"/>
      <w:b/>
      <w:kern w:val="2"/>
      <w:sz w:val="28"/>
    </w:rPr>
  </w:style>
  <w:style w:type="character" w:customStyle="1" w:styleId="301">
    <w:name w:val="标题 5 Char"/>
    <w:link w:val="8"/>
    <w:qFormat/>
    <w:uiPriority w:val="0"/>
    <w:rPr>
      <w:rFonts w:ascii="Calibri" w:hAnsi="Calibri"/>
      <w:b/>
      <w:kern w:val="2"/>
      <w:sz w:val="28"/>
    </w:rPr>
  </w:style>
  <w:style w:type="character" w:customStyle="1" w:styleId="302">
    <w:name w:val="标题 6 Char"/>
    <w:link w:val="9"/>
    <w:qFormat/>
    <w:uiPriority w:val="0"/>
    <w:rPr>
      <w:rFonts w:ascii="Arial" w:hAnsi="Arial" w:eastAsia="黑体"/>
      <w:b/>
      <w:kern w:val="2"/>
      <w:sz w:val="24"/>
    </w:rPr>
  </w:style>
  <w:style w:type="character" w:customStyle="1" w:styleId="303">
    <w:name w:val="标题 7 Char"/>
    <w:link w:val="10"/>
    <w:qFormat/>
    <w:uiPriority w:val="0"/>
    <w:rPr>
      <w:rFonts w:ascii="Arial" w:hAnsi="Arial" w:eastAsia="黑体"/>
      <w:b/>
      <w:kern w:val="2"/>
      <w:sz w:val="24"/>
    </w:rPr>
  </w:style>
  <w:style w:type="character" w:customStyle="1" w:styleId="304">
    <w:name w:val="标题 8 Char"/>
    <w:link w:val="11"/>
    <w:qFormat/>
    <w:uiPriority w:val="0"/>
    <w:rPr>
      <w:rFonts w:ascii="Arial" w:hAnsi="Arial" w:eastAsia="黑体"/>
      <w:b/>
      <w:kern w:val="2"/>
      <w:sz w:val="24"/>
    </w:rPr>
  </w:style>
  <w:style w:type="character" w:customStyle="1" w:styleId="305">
    <w:name w:val="标题 9 Char"/>
    <w:link w:val="12"/>
    <w:qFormat/>
    <w:uiPriority w:val="0"/>
    <w:rPr>
      <w:rFonts w:ascii="Arial" w:hAnsi="Arial" w:eastAsia="黑体"/>
      <w:b/>
      <w:kern w:val="2"/>
      <w:sz w:val="24"/>
    </w:rPr>
  </w:style>
  <w:style w:type="character" w:customStyle="1" w:styleId="306">
    <w:name w:val="正文缩进 Char"/>
    <w:link w:val="17"/>
    <w:qFormat/>
    <w:uiPriority w:val="0"/>
    <w:rPr>
      <w:rFonts w:ascii="Calibri" w:hAnsi="Calibri"/>
      <w:kern w:val="2"/>
      <w:sz w:val="24"/>
    </w:rPr>
  </w:style>
  <w:style w:type="character" w:customStyle="1" w:styleId="307">
    <w:name w:val="批注文字 Char"/>
    <w:link w:val="21"/>
    <w:qFormat/>
    <w:uiPriority w:val="0"/>
    <w:rPr>
      <w:rFonts w:ascii="Calibri" w:hAnsi="Calibri"/>
      <w:sz w:val="24"/>
    </w:rPr>
  </w:style>
  <w:style w:type="character" w:customStyle="1" w:styleId="308">
    <w:name w:val="称呼 Char"/>
    <w:link w:val="22"/>
    <w:qFormat/>
    <w:uiPriority w:val="0"/>
    <w:rPr>
      <w:rFonts w:ascii="Calibri" w:hAnsi="Calibri"/>
      <w:sz w:val="18"/>
    </w:rPr>
  </w:style>
  <w:style w:type="character" w:customStyle="1" w:styleId="309">
    <w:name w:val="正文文本缩进 Char1"/>
    <w:link w:val="25"/>
    <w:qFormat/>
    <w:uiPriority w:val="0"/>
    <w:rPr>
      <w:rFonts w:ascii="Calibri" w:hAnsi="Calibri"/>
      <w:kern w:val="2"/>
      <w:sz w:val="44"/>
    </w:rPr>
  </w:style>
  <w:style w:type="character" w:customStyle="1" w:styleId="310">
    <w:name w:val="纯文本 Char"/>
    <w:link w:val="32"/>
    <w:qFormat/>
    <w:uiPriority w:val="0"/>
    <w:rPr>
      <w:rFonts w:ascii="宋体" w:hAnsi="Calibri"/>
      <w:kern w:val="2"/>
      <w:sz w:val="21"/>
    </w:rPr>
  </w:style>
  <w:style w:type="character" w:customStyle="1" w:styleId="311">
    <w:name w:val="日期 Char1"/>
    <w:link w:val="34"/>
    <w:qFormat/>
    <w:uiPriority w:val="0"/>
    <w:rPr>
      <w:rFonts w:ascii="Calibri" w:hAnsi="Calibri"/>
      <w:kern w:val="2"/>
      <w:sz w:val="28"/>
    </w:rPr>
  </w:style>
  <w:style w:type="character" w:customStyle="1" w:styleId="312">
    <w:name w:val="正文文本缩进 2 Char"/>
    <w:link w:val="35"/>
    <w:qFormat/>
    <w:uiPriority w:val="0"/>
    <w:rPr>
      <w:rFonts w:ascii="Calibri" w:hAnsi="Calibri"/>
      <w:kern w:val="2"/>
      <w:sz w:val="28"/>
    </w:rPr>
  </w:style>
  <w:style w:type="character" w:customStyle="1" w:styleId="313">
    <w:name w:val="批注框文本 Char"/>
    <w:link w:val="36"/>
    <w:qFormat/>
    <w:uiPriority w:val="0"/>
    <w:rPr>
      <w:rFonts w:ascii="Calibri" w:hAnsi="Calibri"/>
      <w:kern w:val="2"/>
      <w:sz w:val="18"/>
    </w:rPr>
  </w:style>
  <w:style w:type="character" w:customStyle="1" w:styleId="314">
    <w:name w:val="页脚 Char"/>
    <w:link w:val="37"/>
    <w:qFormat/>
    <w:locked/>
    <w:uiPriority w:val="99"/>
    <w:rPr>
      <w:rFonts w:ascii="Calibri" w:hAnsi="Calibri"/>
      <w:kern w:val="2"/>
      <w:sz w:val="18"/>
    </w:rPr>
  </w:style>
  <w:style w:type="character" w:customStyle="1" w:styleId="315">
    <w:name w:val="页眉 Char1"/>
    <w:link w:val="38"/>
    <w:qFormat/>
    <w:locked/>
    <w:uiPriority w:val="99"/>
    <w:rPr>
      <w:rFonts w:ascii="Calibri" w:hAnsi="Calibri"/>
      <w:kern w:val="2"/>
      <w:sz w:val="18"/>
    </w:rPr>
  </w:style>
  <w:style w:type="character" w:customStyle="1" w:styleId="316">
    <w:name w:val="副标题 Char1"/>
    <w:link w:val="42"/>
    <w:qFormat/>
    <w:uiPriority w:val="0"/>
    <w:rPr>
      <w:rFonts w:ascii="Cambria" w:hAnsi="Cambria"/>
      <w:b/>
      <w:bCs/>
      <w:kern w:val="28"/>
      <w:sz w:val="32"/>
      <w:szCs w:val="32"/>
    </w:rPr>
  </w:style>
  <w:style w:type="character" w:customStyle="1" w:styleId="317">
    <w:name w:val="脚注文本 Char"/>
    <w:link w:val="43"/>
    <w:qFormat/>
    <w:uiPriority w:val="0"/>
    <w:rPr>
      <w:rFonts w:ascii="Calibri" w:hAnsi="Calibri"/>
      <w:kern w:val="2"/>
      <w:sz w:val="18"/>
    </w:rPr>
  </w:style>
  <w:style w:type="character" w:customStyle="1" w:styleId="318">
    <w:name w:val="标题 Char"/>
    <w:link w:val="56"/>
    <w:qFormat/>
    <w:uiPriority w:val="0"/>
    <w:rPr>
      <w:rFonts w:ascii="Arial" w:hAnsi="Arial"/>
      <w:b/>
      <w:smallCaps/>
      <w:kern w:val="28"/>
      <w:sz w:val="36"/>
    </w:rPr>
  </w:style>
  <w:style w:type="character" w:customStyle="1" w:styleId="319">
    <w:name w:val="批注主题 Char"/>
    <w:basedOn w:val="307"/>
    <w:link w:val="57"/>
    <w:qFormat/>
    <w:uiPriority w:val="0"/>
    <w:rPr>
      <w:rFonts w:ascii="Calibri" w:hAnsi="Calibri"/>
      <w:sz w:val="24"/>
    </w:rPr>
  </w:style>
  <w:style w:type="character" w:customStyle="1" w:styleId="320">
    <w:name w:val="正文首行缩进 2 Char"/>
    <w:basedOn w:val="309"/>
    <w:link w:val="59"/>
    <w:qFormat/>
    <w:uiPriority w:val="0"/>
    <w:rPr>
      <w:rFonts w:ascii="Calibri" w:hAnsi="Calibri"/>
      <w:kern w:val="2"/>
      <w:sz w:val="44"/>
    </w:rPr>
  </w:style>
  <w:style w:type="character" w:customStyle="1" w:styleId="321">
    <w:name w:val="Char Char31"/>
    <w:qFormat/>
    <w:uiPriority w:val="0"/>
    <w:rPr>
      <w:rFonts w:eastAsia="宋体"/>
      <w:kern w:val="2"/>
      <w:sz w:val="18"/>
      <w:lang w:val="en-US" w:eastAsia="zh-CN"/>
    </w:rPr>
  </w:style>
  <w:style w:type="character" w:customStyle="1" w:styleId="322">
    <w:name w:val="Char Char51"/>
    <w:qFormat/>
    <w:uiPriority w:val="0"/>
    <w:rPr>
      <w:rFonts w:ascii="Arial" w:hAnsi="Arial" w:eastAsia="宋体"/>
      <w:b/>
      <w:smallCaps/>
      <w:kern w:val="28"/>
      <w:sz w:val="36"/>
      <w:lang w:val="en-US" w:eastAsia="en-US"/>
    </w:rPr>
  </w:style>
  <w:style w:type="character" w:customStyle="1" w:styleId="323">
    <w:name w:val="Char Char111"/>
    <w:qFormat/>
    <w:uiPriority w:val="0"/>
    <w:rPr>
      <w:rFonts w:ascii="宋体"/>
      <w:kern w:val="2"/>
      <w:sz w:val="28"/>
    </w:rPr>
  </w:style>
  <w:style w:type="character" w:customStyle="1" w:styleId="324">
    <w:name w:val="文字 Char"/>
    <w:link w:val="102"/>
    <w:qFormat/>
    <w:uiPriority w:val="0"/>
    <w:rPr>
      <w:rFonts w:ascii="宋体" w:hAnsi="Calibri"/>
      <w:kern w:val="2"/>
      <w:sz w:val="28"/>
    </w:rPr>
  </w:style>
  <w:style w:type="character" w:customStyle="1" w:styleId="325">
    <w:name w:val="样式 文档正文 Char + (西文) 宋体 (中文) 宋体 小四 黑色 Char"/>
    <w:link w:val="108"/>
    <w:qFormat/>
    <w:uiPriority w:val="0"/>
    <w:rPr>
      <w:rFonts w:ascii="宋体" w:hAnsi="Calibri"/>
      <w:color w:val="000000"/>
      <w:kern w:val="2"/>
      <w:sz w:val="24"/>
      <w:szCs w:val="24"/>
    </w:rPr>
  </w:style>
  <w:style w:type="character" w:customStyle="1" w:styleId="326">
    <w:name w:val="Char Char21"/>
    <w:qFormat/>
    <w:uiPriority w:val="0"/>
    <w:rPr>
      <w:rFonts w:eastAsia="宋体"/>
      <w:kern w:val="2"/>
      <w:sz w:val="18"/>
      <w:lang w:val="en-US" w:eastAsia="zh-CN"/>
    </w:rPr>
  </w:style>
  <w:style w:type="character" w:customStyle="1" w:styleId="327">
    <w:name w:val="Table Text Char"/>
    <w:link w:val="111"/>
    <w:qFormat/>
    <w:uiPriority w:val="0"/>
    <w:rPr>
      <w:rFonts w:ascii="Arial" w:hAnsi="Arial"/>
      <w:kern w:val="2"/>
      <w:sz w:val="18"/>
    </w:rPr>
  </w:style>
  <w:style w:type="character" w:customStyle="1" w:styleId="328">
    <w:name w:val="Char Char61"/>
    <w:qFormat/>
    <w:uiPriority w:val="0"/>
    <w:rPr>
      <w:rFonts w:ascii="仿宋_GB2312" w:eastAsia="仿宋_GB2312"/>
      <w:kern w:val="2"/>
      <w:sz w:val="32"/>
    </w:rPr>
  </w:style>
  <w:style w:type="character" w:customStyle="1" w:styleId="329">
    <w:name w:val="Char Char41"/>
    <w:qFormat/>
    <w:uiPriority w:val="0"/>
    <w:rPr>
      <w:rFonts w:eastAsia="宋体"/>
      <w:b/>
      <w:kern w:val="2"/>
      <w:sz w:val="21"/>
      <w:lang w:val="en-US" w:eastAsia="zh-CN"/>
    </w:rPr>
  </w:style>
  <w:style w:type="character" w:customStyle="1" w:styleId="330">
    <w:name w:val="Char Char71"/>
    <w:qFormat/>
    <w:uiPriority w:val="0"/>
    <w:rPr>
      <w:rFonts w:ascii="宋体" w:hAnsi="宋体" w:eastAsia="宋体"/>
      <w:kern w:val="2"/>
      <w:sz w:val="28"/>
    </w:rPr>
  </w:style>
  <w:style w:type="character" w:customStyle="1" w:styleId="331">
    <w:name w:val="列出段落 Char"/>
    <w:link w:val="92"/>
    <w:qFormat/>
    <w:uiPriority w:val="0"/>
    <w:rPr>
      <w:rFonts w:ascii="Calibri" w:hAnsi="Calibri"/>
      <w:kern w:val="2"/>
      <w:sz w:val="21"/>
      <w:szCs w:val="22"/>
    </w:rPr>
  </w:style>
  <w:style w:type="character" w:customStyle="1" w:styleId="332">
    <w:name w:val="Table Text Char Char Char Char"/>
    <w:link w:val="83"/>
    <w:qFormat/>
    <w:uiPriority w:val="0"/>
    <w:rPr>
      <w:rFonts w:ascii="Arial" w:hAnsi="Arial"/>
      <w:kern w:val="2"/>
      <w:sz w:val="18"/>
    </w:rPr>
  </w:style>
  <w:style w:type="character" w:customStyle="1" w:styleId="333">
    <w:name w:val="未处理的提及1"/>
    <w:unhideWhenUsed/>
    <w:qFormat/>
    <w:uiPriority w:val="99"/>
    <w:rPr>
      <w:color w:val="605E5C"/>
      <w:shd w:val="clear" w:color="auto" w:fill="E1DFDD"/>
    </w:rPr>
  </w:style>
  <w:style w:type="character" w:customStyle="1" w:styleId="334">
    <w:name w:val="Char Char8"/>
    <w:qFormat/>
    <w:uiPriority w:val="0"/>
    <w:rPr>
      <w:rFonts w:ascii="宋体" w:hAnsi="宋体" w:eastAsia="宋体"/>
      <w:kern w:val="2"/>
      <w:sz w:val="24"/>
      <w:lang w:val="en-US" w:eastAsia="zh-CN" w:bidi="ar-SA"/>
    </w:rPr>
  </w:style>
  <w:style w:type="character" w:customStyle="1" w:styleId="335">
    <w:name w:val="(符号)五标题1.1.1 Char"/>
    <w:link w:val="78"/>
    <w:qFormat/>
    <w:uiPriority w:val="0"/>
    <w:rPr>
      <w:rFonts w:ascii="宋体" w:hAnsi="Calibri"/>
      <w:color w:val="000000"/>
      <w:kern w:val="2"/>
      <w:sz w:val="24"/>
    </w:rPr>
  </w:style>
  <w:style w:type="paragraph" w:customStyle="1" w:styleId="336">
    <w:name w:val="Char Char12"/>
    <w:basedOn w:val="1"/>
    <w:qFormat/>
    <w:uiPriority w:val="0"/>
    <w:pPr>
      <w:widowControl/>
      <w:spacing w:after="160" w:line="240" w:lineRule="exact"/>
      <w:jc w:val="left"/>
    </w:pPr>
    <w:rPr>
      <w:rFonts w:ascii="Verdana" w:hAnsi="Verdana"/>
      <w:kern w:val="0"/>
      <w:sz w:val="20"/>
      <w:lang w:eastAsia="en-US"/>
    </w:rPr>
  </w:style>
  <w:style w:type="paragraph" w:customStyle="1" w:styleId="33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338">
    <w:name w:val="Char Char1 Char1"/>
    <w:basedOn w:val="1"/>
    <w:qFormat/>
    <w:uiPriority w:val="0"/>
    <w:rPr>
      <w:rFonts w:ascii="Tahoma" w:hAnsi="Tahoma"/>
      <w:sz w:val="24"/>
      <w:szCs w:val="24"/>
    </w:rPr>
  </w:style>
  <w:style w:type="paragraph" w:customStyle="1" w:styleId="339">
    <w:name w:val="Char Char Char Char Char Char Char Char Char Char Char Char Char Char Char Char1"/>
    <w:basedOn w:val="1"/>
    <w:qFormat/>
    <w:uiPriority w:val="0"/>
    <w:pPr>
      <w:tabs>
        <w:tab w:val="left" w:pos="360"/>
      </w:tabs>
    </w:pPr>
    <w:rPr>
      <w:rFonts w:ascii="Times New Roman" w:hAnsi="Times New Roman"/>
      <w:sz w:val="24"/>
    </w:rPr>
  </w:style>
  <w:style w:type="paragraph" w:customStyle="1" w:styleId="340">
    <w:name w:val="Char Char1 Char Char Char Char Char Char Char Char Char Char Char Char Char Char1"/>
    <w:basedOn w:val="1"/>
    <w:qFormat/>
    <w:uiPriority w:val="0"/>
    <w:pPr>
      <w:widowControl/>
      <w:spacing w:after="160" w:line="240" w:lineRule="exact"/>
      <w:jc w:val="left"/>
    </w:pPr>
    <w:rPr>
      <w:rFonts w:ascii="Verdana" w:hAnsi="Verdana"/>
      <w:kern w:val="0"/>
      <w:sz w:val="20"/>
      <w:lang w:eastAsia="en-US"/>
    </w:rPr>
  </w:style>
  <w:style w:type="paragraph" w:customStyle="1" w:styleId="341">
    <w:name w:val="Char3"/>
    <w:basedOn w:val="1"/>
    <w:qFormat/>
    <w:uiPriority w:val="0"/>
    <w:pPr>
      <w:spacing w:line="240" w:lineRule="atLeast"/>
      <w:ind w:left="420" w:firstLine="420"/>
    </w:pPr>
    <w:rPr>
      <w:rFonts w:ascii="Times New Roman" w:hAnsi="Times New Roman"/>
      <w:kern w:val="0"/>
      <w:sz w:val="21"/>
    </w:rPr>
  </w:style>
  <w:style w:type="paragraph" w:customStyle="1" w:styleId="342">
    <w:name w:val="Char Char 字元 字元 字元 Char Char Char Char1"/>
    <w:basedOn w:val="1"/>
    <w:qFormat/>
    <w:uiPriority w:val="0"/>
    <w:pPr>
      <w:adjustRightInd w:val="0"/>
      <w:spacing w:line="360" w:lineRule="auto"/>
    </w:pPr>
    <w:rPr>
      <w:rFonts w:ascii="Times New Roman" w:hAnsi="Times New Roman"/>
      <w:kern w:val="0"/>
      <w:sz w:val="24"/>
    </w:rPr>
  </w:style>
  <w:style w:type="paragraph" w:customStyle="1" w:styleId="343">
    <w:name w:val="修订2"/>
    <w:qFormat/>
    <w:uiPriority w:val="0"/>
    <w:rPr>
      <w:rFonts w:ascii="Times New Roman" w:hAnsi="Times New Roman" w:eastAsia="宋体" w:cs="Times New Roman"/>
      <w:kern w:val="2"/>
      <w:sz w:val="21"/>
      <w:lang w:val="en-US" w:eastAsia="zh-CN" w:bidi="ar-SA"/>
    </w:rPr>
  </w:style>
  <w:style w:type="paragraph" w:customStyle="1" w:styleId="344">
    <w:name w:val="Char Char Char Char Char Char Char2"/>
    <w:basedOn w:val="1"/>
    <w:qFormat/>
    <w:uiPriority w:val="0"/>
    <w:rPr>
      <w:rFonts w:ascii="Tahoma" w:hAnsi="Tahoma"/>
      <w:sz w:val="24"/>
    </w:rPr>
  </w:style>
  <w:style w:type="paragraph" w:customStyle="1" w:styleId="345">
    <w:name w:val="Char11"/>
    <w:basedOn w:val="1"/>
    <w:qFormat/>
    <w:uiPriority w:val="0"/>
    <w:rPr>
      <w:rFonts w:ascii="Times New Roman" w:hAnsi="Times New Roman"/>
      <w:sz w:val="21"/>
    </w:rPr>
  </w:style>
  <w:style w:type="paragraph" w:customStyle="1" w:styleId="346">
    <w:name w:val="正文文本缩进 22"/>
    <w:basedOn w:val="1"/>
    <w:qFormat/>
    <w:uiPriority w:val="0"/>
    <w:pPr>
      <w:adjustRightInd w:val="0"/>
      <w:spacing w:before="120"/>
      <w:ind w:firstLine="420"/>
      <w:textAlignment w:val="baseline"/>
    </w:pPr>
    <w:rPr>
      <w:rFonts w:ascii="Times New Roman" w:hAnsi="Times New Roman"/>
      <w:sz w:val="24"/>
    </w:rPr>
  </w:style>
  <w:style w:type="paragraph" w:customStyle="1" w:styleId="347">
    <w:name w:val="Char2 Char Char Char Char Char Char1"/>
    <w:basedOn w:val="1"/>
    <w:qFormat/>
    <w:uiPriority w:val="0"/>
    <w:rPr>
      <w:rFonts w:ascii="仿宋_GB2312" w:hAnsi="Times New Roman"/>
      <w:b/>
      <w:sz w:val="30"/>
    </w:rPr>
  </w:style>
  <w:style w:type="paragraph" w:customStyle="1" w:styleId="348">
    <w:name w:val="Char Char14 Char Char1"/>
    <w:basedOn w:val="1"/>
    <w:qFormat/>
    <w:uiPriority w:val="0"/>
    <w:rPr>
      <w:rFonts w:ascii="Times New Roman" w:hAnsi="Times New Roman"/>
      <w:sz w:val="21"/>
      <w:szCs w:val="24"/>
    </w:rPr>
  </w:style>
  <w:style w:type="paragraph" w:customStyle="1" w:styleId="349">
    <w:name w:val="正文文本 22"/>
    <w:basedOn w:val="1"/>
    <w:qFormat/>
    <w:uiPriority w:val="0"/>
    <w:pPr>
      <w:adjustRightInd w:val="0"/>
      <w:spacing w:before="120" w:line="360" w:lineRule="auto"/>
      <w:ind w:firstLine="480"/>
      <w:textAlignment w:val="baseline"/>
    </w:pPr>
    <w:rPr>
      <w:rFonts w:ascii="Times New Roman" w:hAnsi="Times New Roman"/>
      <w:sz w:val="24"/>
    </w:rPr>
  </w:style>
  <w:style w:type="paragraph" w:customStyle="1" w:styleId="350">
    <w:name w:val="Char Char Char Char Char Char1 Char1"/>
    <w:basedOn w:val="1"/>
    <w:qFormat/>
    <w:uiPriority w:val="0"/>
    <w:pPr>
      <w:widowControl/>
      <w:spacing w:after="160" w:line="240" w:lineRule="exact"/>
      <w:jc w:val="left"/>
    </w:pPr>
    <w:rPr>
      <w:rFonts w:ascii="Verdana" w:hAnsi="Verdana"/>
      <w:kern w:val="0"/>
      <w:sz w:val="21"/>
      <w:lang w:eastAsia="en-US"/>
    </w:rPr>
  </w:style>
  <w:style w:type="paragraph" w:customStyle="1" w:styleId="351">
    <w:name w:val="Char Char Char Char Char2"/>
    <w:basedOn w:val="1"/>
    <w:qFormat/>
    <w:uiPriority w:val="0"/>
    <w:pPr>
      <w:tabs>
        <w:tab w:val="left" w:pos="425"/>
      </w:tabs>
      <w:ind w:left="1620" w:hanging="360"/>
    </w:pPr>
    <w:rPr>
      <w:rFonts w:ascii="Tahoma" w:hAnsi="Tahoma"/>
      <w:sz w:val="24"/>
    </w:rPr>
  </w:style>
  <w:style w:type="paragraph" w:customStyle="1" w:styleId="352">
    <w:name w:val="Char Char Char1 Char Char Char Char Char Char Char Char Char Char Char Char Char1"/>
    <w:basedOn w:val="1"/>
    <w:qFormat/>
    <w:uiPriority w:val="0"/>
    <w:pPr>
      <w:widowControl/>
      <w:spacing w:after="160" w:line="240" w:lineRule="exact"/>
      <w:jc w:val="left"/>
    </w:pPr>
    <w:rPr>
      <w:rFonts w:ascii="Verdana" w:hAnsi="Verdana"/>
      <w:kern w:val="0"/>
      <w:sz w:val="18"/>
      <w:lang w:eastAsia="en-US"/>
    </w:rPr>
  </w:style>
  <w:style w:type="paragraph" w:customStyle="1" w:styleId="353">
    <w:name w:val="Char Char Char1"/>
    <w:basedOn w:val="1"/>
    <w:qFormat/>
    <w:uiPriority w:val="0"/>
    <w:rPr>
      <w:rFonts w:ascii="Tahoma" w:hAnsi="Tahoma"/>
      <w:sz w:val="24"/>
    </w:rPr>
  </w:style>
  <w:style w:type="paragraph" w:customStyle="1" w:styleId="354">
    <w:name w:val="Char1 Char Char Char2"/>
    <w:basedOn w:val="1"/>
    <w:qFormat/>
    <w:uiPriority w:val="0"/>
    <w:rPr>
      <w:rFonts w:ascii="Tahoma" w:hAnsi="Tahoma"/>
      <w:sz w:val="24"/>
    </w:rPr>
  </w:style>
  <w:style w:type="paragraph" w:customStyle="1" w:styleId="355">
    <w:name w:val="无间隔2"/>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35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19020</Words>
  <Characters>20036</Characters>
  <Lines>220</Lines>
  <Paragraphs>61</Paragraphs>
  <TotalTime>27</TotalTime>
  <ScaleCrop>false</ScaleCrop>
  <LinksUpToDate>false</LinksUpToDate>
  <CharactersWithSpaces>21396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2023-06-09T13:20:00Z</dcterms:created>
  <dc:creator>罗成</dc:creator>
  <cp:lastModifiedBy>T</cp:lastModifiedBy>
  <cp:lastPrinted>2020-09-18T07:14:00Z</cp:lastPrinted>
  <dcterms:modified xsi:type="dcterms:W3CDTF">2024-11-14T07:44:01Z</dcterms:modified>
  <dc:title>竞争性谈判文件</dc:title>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B52DEC6C4CA74F3FBE1682B1BA5CA2AD_13</vt:lpwstr>
  </property>
</Properties>
</file>