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pPr>
    </w:p>
    <w:p>
      <w:pPr>
        <w:jc w:val="both"/>
        <w:outlineLvl w:val="0"/>
        <w:rPr>
          <w:sz w:val="44"/>
          <w:szCs w:val="44"/>
        </w:rPr>
      </w:pPr>
    </w:p>
    <w:p>
      <w:pPr>
        <w:jc w:val="center"/>
        <w:outlineLvl w:val="0"/>
        <w:rPr>
          <w:rFonts w:hint="eastAsia" w:ascii="宋体" w:hAnsi="宋体" w:eastAsia="宋体"/>
          <w:b/>
          <w:sz w:val="52"/>
          <w:szCs w:val="52"/>
          <w:lang w:eastAsia="zh-CN"/>
        </w:rPr>
      </w:pPr>
      <w:r>
        <w:rPr>
          <w:rFonts w:hint="eastAsia" w:ascii="宋体" w:hAnsi="宋体"/>
          <w:b/>
          <w:sz w:val="52"/>
          <w:szCs w:val="52"/>
          <w:lang w:eastAsia="zh-CN"/>
        </w:rPr>
        <w:t>“经济·瓶装燃气智慧管理”应用开发方案编制服务</w:t>
      </w:r>
    </w:p>
    <w:p>
      <w:pPr>
        <w:jc w:val="center"/>
        <w:outlineLvl w:val="0"/>
        <w:rPr>
          <w:rFonts w:ascii="宋体" w:hAnsi="宋体"/>
          <w:spacing w:val="80"/>
          <w:sz w:val="52"/>
          <w:szCs w:val="52"/>
        </w:rPr>
      </w:pPr>
    </w:p>
    <w:p>
      <w:pPr>
        <w:jc w:val="center"/>
        <w:outlineLvl w:val="0"/>
        <w:rPr>
          <w:rFonts w:ascii="宋体" w:hAnsi="宋体"/>
          <w:spacing w:val="80"/>
          <w:sz w:val="72"/>
          <w:szCs w:val="72"/>
        </w:rPr>
      </w:pPr>
    </w:p>
    <w:p>
      <w:pPr>
        <w:jc w:val="center"/>
        <w:outlineLvl w:val="0"/>
        <w:rPr>
          <w:rFonts w:ascii="宋体" w:hAnsi="宋体"/>
          <w:spacing w:val="80"/>
          <w:sz w:val="72"/>
          <w:szCs w:val="72"/>
        </w:rPr>
      </w:pPr>
    </w:p>
    <w:p>
      <w:pPr>
        <w:pStyle w:val="5"/>
      </w:pPr>
    </w:p>
    <w:p>
      <w:pPr>
        <w:jc w:val="center"/>
        <w:outlineLvl w:val="0"/>
        <w:rPr>
          <w:rFonts w:ascii="Calibri" w:hAnsi="Calibri"/>
          <w:b/>
          <w:spacing w:val="80"/>
          <w:sz w:val="72"/>
          <w:szCs w:val="72"/>
        </w:rPr>
      </w:pPr>
      <w:r>
        <w:rPr>
          <w:rFonts w:ascii="Calibri" w:hAnsi="Calibri"/>
          <w:b/>
          <w:spacing w:val="80"/>
          <w:sz w:val="72"/>
          <w:szCs w:val="72"/>
        </w:rPr>
        <w:t>竞争性磋商文件</w:t>
      </w:r>
    </w:p>
    <w:p>
      <w:pPr>
        <w:spacing w:line="700" w:lineRule="exact"/>
        <w:jc w:val="center"/>
        <w:rPr>
          <w:rFonts w:ascii="Calibri" w:hAnsi="Calibri"/>
          <w:sz w:val="36"/>
          <w:szCs w:val="30"/>
        </w:rPr>
      </w:pPr>
    </w:p>
    <w:p>
      <w:pPr>
        <w:spacing w:line="700" w:lineRule="exact"/>
        <w:jc w:val="center"/>
        <w:rPr>
          <w:rFonts w:hint="eastAsia" w:ascii="Calibri" w:hAnsi="Calibri" w:eastAsia="宋体"/>
          <w:sz w:val="36"/>
          <w:szCs w:val="30"/>
          <w:lang w:eastAsia="zh-CN"/>
        </w:rPr>
      </w:pPr>
      <w:r>
        <w:rPr>
          <w:rFonts w:ascii="Calibri" w:hAnsi="Calibri"/>
          <w:sz w:val="36"/>
          <w:szCs w:val="30"/>
        </w:rPr>
        <w:t>项</w:t>
      </w:r>
      <w:r>
        <w:rPr>
          <w:rFonts w:ascii="宋体" w:hAnsi="宋体"/>
          <w:sz w:val="36"/>
          <w:szCs w:val="30"/>
        </w:rPr>
        <w:t>目号：CQCBJQ</w:t>
      </w:r>
      <w:r>
        <w:rPr>
          <w:rFonts w:hint="eastAsia" w:ascii="宋体" w:hAnsi="宋体"/>
          <w:sz w:val="36"/>
          <w:szCs w:val="30"/>
          <w:lang w:eastAsia="zh-CN"/>
        </w:rPr>
        <w:t>2409-316</w:t>
      </w: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firstLine="849" w:firstLineChars="236"/>
        <w:jc w:val="left"/>
        <w:rPr>
          <w:rFonts w:ascii="Calibri" w:hAnsi="Calibri"/>
          <w:sz w:val="36"/>
          <w:szCs w:val="30"/>
        </w:rPr>
      </w:pPr>
      <w:r>
        <w:rPr>
          <w:rFonts w:ascii="Calibri" w:hAnsi="Calibri"/>
          <w:sz w:val="36"/>
          <w:szCs w:val="30"/>
        </w:rPr>
        <w:t>采</w:t>
      </w:r>
      <w:r>
        <w:rPr>
          <w:rFonts w:hint="eastAsia" w:ascii="Calibri" w:hAnsi="Calibri"/>
          <w:sz w:val="36"/>
          <w:szCs w:val="30"/>
        </w:rPr>
        <w:t xml:space="preserve">   </w:t>
      </w:r>
      <w:r>
        <w:rPr>
          <w:rFonts w:ascii="Calibri" w:hAnsi="Calibri"/>
          <w:sz w:val="36"/>
          <w:szCs w:val="30"/>
        </w:rPr>
        <w:t>购</w:t>
      </w:r>
      <w:r>
        <w:rPr>
          <w:rFonts w:hint="eastAsia" w:ascii="Calibri" w:hAnsi="Calibri"/>
          <w:sz w:val="36"/>
          <w:szCs w:val="30"/>
        </w:rPr>
        <w:t xml:space="preserve">   </w:t>
      </w:r>
      <w:r>
        <w:rPr>
          <w:rFonts w:ascii="Calibri" w:hAnsi="Calibri"/>
          <w:sz w:val="36"/>
          <w:szCs w:val="30"/>
        </w:rPr>
        <w:t>人：</w:t>
      </w:r>
      <w:r>
        <w:rPr>
          <w:rFonts w:hint="eastAsia" w:ascii="Calibri" w:hAnsi="Calibri"/>
          <w:sz w:val="36"/>
          <w:szCs w:val="30"/>
        </w:rPr>
        <w:t>重庆市经济和信息化委员会</w:t>
      </w:r>
    </w:p>
    <w:p>
      <w:pPr>
        <w:spacing w:line="700" w:lineRule="exact"/>
        <w:jc w:val="center"/>
        <w:rPr>
          <w:rFonts w:ascii="Calibri" w:hAnsi="Calibri"/>
          <w:sz w:val="36"/>
          <w:szCs w:val="30"/>
        </w:rPr>
      </w:pPr>
      <w:r>
        <w:rPr>
          <w:rFonts w:ascii="Calibri" w:hAnsi="Calibri"/>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rFonts w:ascii="Calibri" w:hAnsi="Calibri"/>
          <w:sz w:val="36"/>
          <w:szCs w:val="30"/>
        </w:rPr>
        <w:t>二</w:t>
      </w:r>
      <w:r>
        <w:rPr>
          <w:rFonts w:hint="eastAsia" w:ascii="Calibri" w:hAnsi="Calibri"/>
          <w:sz w:val="36"/>
          <w:szCs w:val="30"/>
        </w:rPr>
        <w:t>〇</w:t>
      </w:r>
      <w:r>
        <w:rPr>
          <w:rFonts w:ascii="Calibri" w:hAnsi="Calibri"/>
          <w:sz w:val="36"/>
          <w:szCs w:val="30"/>
        </w:rPr>
        <w:t>二</w:t>
      </w:r>
      <w:r>
        <w:rPr>
          <w:rFonts w:hint="eastAsia" w:ascii="Calibri" w:hAnsi="Calibri"/>
          <w:sz w:val="36"/>
          <w:szCs w:val="30"/>
          <w:lang w:val="en-US" w:eastAsia="zh-CN"/>
        </w:rPr>
        <w:t>四</w:t>
      </w:r>
      <w:r>
        <w:rPr>
          <w:rFonts w:ascii="Calibri" w:hAnsi="Calibri"/>
          <w:sz w:val="36"/>
          <w:szCs w:val="30"/>
        </w:rPr>
        <w:t>年</w:t>
      </w:r>
      <w:r>
        <w:rPr>
          <w:rFonts w:hint="eastAsia" w:ascii="Calibri" w:hAnsi="Calibri"/>
          <w:sz w:val="36"/>
          <w:szCs w:val="30"/>
          <w:lang w:val="en-US" w:eastAsia="zh-CN"/>
        </w:rPr>
        <w:t>九</w:t>
      </w:r>
      <w:r>
        <w:rPr>
          <w:rFonts w:ascii="Calibri" w:hAnsi="Calibri"/>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9"/>
        <w:tabs>
          <w:tab w:val="right" w:leader="dot" w:pos="9525"/>
        </w:tabs>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_Toc19079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_Toc19079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_Toc21540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_Toc21540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_Toc5693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_Toc5693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_Toc8725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_Toc8725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_Toc31573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_Toc31573 \h </w:instrText>
      </w:r>
      <w:r>
        <w:fldChar w:fldCharType="separate"/>
      </w:r>
      <w:r>
        <w:t>- 1 -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_Toc24495 </w:instrText>
      </w:r>
      <w:r>
        <w:rPr>
          <w:rFonts w:hint="eastAsia" w:ascii="宋体" w:hAnsi="宋体"/>
          <w:szCs w:val="24"/>
        </w:rPr>
        <w:fldChar w:fldCharType="separate"/>
      </w:r>
      <w:r>
        <w:rPr>
          <w:rFonts w:hint="eastAsia" w:ascii="宋体" w:hAnsi="宋体"/>
          <w:szCs w:val="24"/>
        </w:rPr>
        <w:t>五、采购项目需落实的政府采购政策</w:t>
      </w:r>
      <w:r>
        <w:tab/>
      </w:r>
      <w:r>
        <w:fldChar w:fldCharType="begin"/>
      </w:r>
      <w:r>
        <w:instrText xml:space="preserve"> PAGEREF _Toc24495 \h </w:instrText>
      </w:r>
      <w:r>
        <w:fldChar w:fldCharType="separate"/>
      </w:r>
      <w:r>
        <w:t>- 2 -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_Toc28416 </w:instrText>
      </w:r>
      <w:r>
        <w:rPr>
          <w:rFonts w:hint="eastAsia" w:ascii="宋体" w:hAnsi="宋体"/>
          <w:szCs w:val="24"/>
        </w:rPr>
        <w:fldChar w:fldCharType="separate"/>
      </w:r>
      <w:r>
        <w:rPr>
          <w:rFonts w:hint="eastAsia" w:ascii="宋体" w:hAnsi="宋体"/>
          <w:szCs w:val="24"/>
        </w:rPr>
        <w:t>六、其它有关规定</w:t>
      </w:r>
      <w:r>
        <w:tab/>
      </w:r>
      <w:r>
        <w:fldChar w:fldCharType="begin"/>
      </w:r>
      <w:r>
        <w:instrText xml:space="preserve"> PAGEREF _Toc28416 \h </w:instrText>
      </w:r>
      <w:r>
        <w:fldChar w:fldCharType="separate"/>
      </w:r>
      <w:r>
        <w:t>- 2 -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_Toc9700 </w:instrText>
      </w:r>
      <w:r>
        <w:rPr>
          <w:rFonts w:hint="eastAsia" w:ascii="宋体" w:hAnsi="宋体"/>
          <w:szCs w:val="24"/>
        </w:rPr>
        <w:fldChar w:fldCharType="separate"/>
      </w:r>
      <w:r>
        <w:rPr>
          <w:rFonts w:hint="eastAsia" w:ascii="宋体" w:hAnsi="宋体"/>
          <w:szCs w:val="24"/>
        </w:rPr>
        <w:t>七、联系方式</w:t>
      </w:r>
      <w:r>
        <w:tab/>
      </w:r>
      <w:r>
        <w:fldChar w:fldCharType="begin"/>
      </w:r>
      <w:r>
        <w:instrText xml:space="preserve"> PAGEREF _Toc9700 \h </w:instrText>
      </w:r>
      <w:r>
        <w:fldChar w:fldCharType="separate"/>
      </w:r>
      <w:r>
        <w:t>- 3 -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_Toc17635 </w:instrText>
      </w:r>
      <w:r>
        <w:rPr>
          <w:rFonts w:hint="eastAsia" w:ascii="宋体" w:hAnsi="宋体"/>
          <w:szCs w:val="24"/>
        </w:rPr>
        <w:fldChar w:fldCharType="separate"/>
      </w:r>
      <w:r>
        <w:rPr>
          <w:rFonts w:hint="eastAsia" w:ascii="宋体" w:hAnsi="宋体" w:eastAsia="宋体"/>
          <w:szCs w:val="30"/>
        </w:rPr>
        <w:t>第二篇  项目服务需求</w:t>
      </w:r>
      <w:r>
        <w:tab/>
      </w:r>
      <w:r>
        <w:fldChar w:fldCharType="begin"/>
      </w:r>
      <w:r>
        <w:instrText xml:space="preserve"> PAGEREF _Toc17635 \h </w:instrText>
      </w:r>
      <w:r>
        <w:fldChar w:fldCharType="separate"/>
      </w:r>
      <w:r>
        <w:t>- 4 -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_Toc1620 </w:instrText>
      </w:r>
      <w:r>
        <w:rPr>
          <w:rFonts w:hint="eastAsia" w:ascii="宋体" w:hAnsi="宋体"/>
          <w:szCs w:val="24"/>
        </w:rPr>
        <w:fldChar w:fldCharType="separate"/>
      </w:r>
      <w:r>
        <w:rPr>
          <w:rFonts w:hint="eastAsia" w:ascii="宋体" w:hAnsi="宋体"/>
          <w:szCs w:val="24"/>
        </w:rPr>
        <w:t>一、项目</w:t>
      </w:r>
      <w:r>
        <w:rPr>
          <w:rFonts w:hint="eastAsia" w:ascii="宋体" w:hAnsi="宋体"/>
          <w:szCs w:val="24"/>
          <w:lang w:val="en-US" w:eastAsia="zh-CN"/>
        </w:rPr>
        <w:t>背景</w:t>
      </w:r>
      <w:r>
        <w:tab/>
      </w:r>
      <w:r>
        <w:fldChar w:fldCharType="begin"/>
      </w:r>
      <w:r>
        <w:instrText xml:space="preserve"> PAGEREF _Toc1620 \h </w:instrText>
      </w:r>
      <w:r>
        <w:fldChar w:fldCharType="separate"/>
      </w:r>
      <w:r>
        <w:t>- 4 -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_Toc27240 </w:instrText>
      </w:r>
      <w:r>
        <w:rPr>
          <w:rFonts w:hint="eastAsia" w:ascii="宋体" w:hAnsi="宋体"/>
          <w:szCs w:val="24"/>
        </w:rPr>
        <w:fldChar w:fldCharType="separate"/>
      </w:r>
      <w:r>
        <w:rPr>
          <w:rFonts w:hint="eastAsia" w:ascii="宋体" w:hAnsi="宋体"/>
          <w:szCs w:val="24"/>
        </w:rPr>
        <w:t>※二、</w:t>
      </w:r>
      <w:r>
        <w:rPr>
          <w:rFonts w:hint="eastAsia" w:ascii="宋体" w:hAnsi="宋体"/>
          <w:szCs w:val="24"/>
          <w:lang w:val="en-US" w:eastAsia="zh-CN"/>
        </w:rPr>
        <w:t>服务内容及要求</w:t>
      </w:r>
      <w:r>
        <w:tab/>
      </w:r>
      <w:r>
        <w:fldChar w:fldCharType="begin"/>
      </w:r>
      <w:r>
        <w:instrText xml:space="preserve"> PAGEREF _Toc27240 \h </w:instrText>
      </w:r>
      <w:r>
        <w:fldChar w:fldCharType="separate"/>
      </w:r>
      <w:r>
        <w:t>- 4 -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_Toc31204 </w:instrText>
      </w:r>
      <w:r>
        <w:rPr>
          <w:rFonts w:hint="eastAsia" w:ascii="宋体" w:hAnsi="宋体"/>
          <w:szCs w:val="24"/>
        </w:rPr>
        <w:fldChar w:fldCharType="separate"/>
      </w:r>
      <w:r>
        <w:rPr>
          <w:rFonts w:hint="eastAsia" w:ascii="宋体" w:hAnsi="宋体"/>
          <w:szCs w:val="24"/>
        </w:rPr>
        <w:t>※三、项目成果</w:t>
      </w:r>
      <w:r>
        <w:rPr>
          <w:rFonts w:hint="eastAsia" w:ascii="宋体" w:hAnsi="宋体"/>
          <w:szCs w:val="24"/>
          <w:lang w:val="en-US" w:eastAsia="zh-CN"/>
        </w:rPr>
        <w:t>及要求</w:t>
      </w:r>
      <w:r>
        <w:tab/>
      </w:r>
      <w:r>
        <w:fldChar w:fldCharType="begin"/>
      </w:r>
      <w:r>
        <w:instrText xml:space="preserve"> PAGEREF _Toc31204 \h </w:instrText>
      </w:r>
      <w:r>
        <w:fldChar w:fldCharType="separate"/>
      </w:r>
      <w:r>
        <w:t>- 5 -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_Toc14716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_Toc14716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_Toc3326 </w:instrText>
      </w:r>
      <w:r>
        <w:rPr>
          <w:rFonts w:hint="eastAsia" w:ascii="宋体" w:hAnsi="宋体"/>
          <w:szCs w:val="24"/>
        </w:rPr>
        <w:fldChar w:fldCharType="separate"/>
      </w:r>
      <w:r>
        <w:rPr>
          <w:rFonts w:hint="eastAsia" w:ascii="宋体" w:hAnsi="宋体"/>
          <w:szCs w:val="24"/>
        </w:rPr>
        <w:t>※一、服务时间、服务地点及验收方式</w:t>
      </w:r>
      <w:r>
        <w:tab/>
      </w:r>
      <w:r>
        <w:fldChar w:fldCharType="begin"/>
      </w:r>
      <w:r>
        <w:instrText xml:space="preserve"> PAGEREF _Toc3326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_Toc1608 </w:instrText>
      </w:r>
      <w:r>
        <w:rPr>
          <w:rFonts w:hint="eastAsia" w:ascii="宋体" w:hAnsi="宋体"/>
          <w:szCs w:val="24"/>
        </w:rPr>
        <w:fldChar w:fldCharType="separate"/>
      </w:r>
      <w:r>
        <w:rPr>
          <w:rFonts w:hint="eastAsia" w:ascii="宋体" w:hAnsi="宋体"/>
          <w:szCs w:val="24"/>
        </w:rPr>
        <w:t>※二、报价要求</w:t>
      </w:r>
      <w:r>
        <w:tab/>
      </w:r>
      <w:r>
        <w:fldChar w:fldCharType="begin"/>
      </w:r>
      <w:r>
        <w:instrText xml:space="preserve"> PAGEREF _Toc1608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_Toc32493 </w:instrText>
      </w:r>
      <w:r>
        <w:rPr>
          <w:rFonts w:hint="eastAsia" w:ascii="宋体" w:hAnsi="宋体"/>
          <w:szCs w:val="24"/>
        </w:rPr>
        <w:fldChar w:fldCharType="separate"/>
      </w:r>
      <w:r>
        <w:rPr>
          <w:rFonts w:hint="eastAsia" w:ascii="宋体" w:hAnsi="宋体"/>
          <w:szCs w:val="24"/>
        </w:rPr>
        <w:t>※三、付款方式</w:t>
      </w:r>
      <w:r>
        <w:tab/>
      </w:r>
      <w:r>
        <w:fldChar w:fldCharType="begin"/>
      </w:r>
      <w:r>
        <w:instrText xml:space="preserve"> PAGEREF _Toc32493 \h </w:instrText>
      </w:r>
      <w:r>
        <w:fldChar w:fldCharType="separate"/>
      </w:r>
      <w:r>
        <w:t>- 6 -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_Toc26535 </w:instrText>
      </w:r>
      <w:r>
        <w:rPr>
          <w:rFonts w:hint="eastAsia" w:ascii="宋体" w:hAnsi="宋体"/>
          <w:szCs w:val="24"/>
        </w:rPr>
        <w:fldChar w:fldCharType="separate"/>
      </w:r>
      <w:r>
        <w:rPr>
          <w:rFonts w:hint="eastAsia" w:ascii="宋体" w:hAnsi="宋体"/>
          <w:szCs w:val="24"/>
        </w:rPr>
        <w:t>※四、履约保证金</w:t>
      </w:r>
      <w:r>
        <w:tab/>
      </w:r>
      <w:r>
        <w:fldChar w:fldCharType="begin"/>
      </w:r>
      <w:r>
        <w:instrText xml:space="preserve"> PAGEREF _Toc26535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_Toc29933 </w:instrText>
      </w:r>
      <w:r>
        <w:rPr>
          <w:rFonts w:hint="eastAsia" w:ascii="宋体" w:hAnsi="宋体"/>
          <w:szCs w:val="24"/>
        </w:rPr>
        <w:fldChar w:fldCharType="separate"/>
      </w:r>
      <w:r>
        <w:rPr>
          <w:rFonts w:hint="eastAsia" w:ascii="宋体" w:hAnsi="宋体"/>
          <w:szCs w:val="24"/>
        </w:rPr>
        <w:t>※五、违约条款</w:t>
      </w:r>
      <w:r>
        <w:tab/>
      </w:r>
      <w:r>
        <w:fldChar w:fldCharType="begin"/>
      </w:r>
      <w:r>
        <w:instrText xml:space="preserve"> PAGEREF _Toc29933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_Toc30828 </w:instrText>
      </w:r>
      <w:r>
        <w:rPr>
          <w:rFonts w:hint="eastAsia" w:ascii="宋体" w:hAnsi="宋体"/>
          <w:szCs w:val="24"/>
        </w:rPr>
        <w:fldChar w:fldCharType="separate"/>
      </w:r>
      <w:r>
        <w:rPr>
          <w:rFonts w:hint="eastAsia" w:ascii="宋体" w:hAnsi="宋体"/>
          <w:szCs w:val="24"/>
        </w:rPr>
        <w:t>※六、保密要求</w:t>
      </w:r>
      <w:r>
        <w:tab/>
      </w:r>
      <w:r>
        <w:fldChar w:fldCharType="begin"/>
      </w:r>
      <w:r>
        <w:instrText xml:space="preserve"> PAGEREF _Toc30828 \h </w:instrText>
      </w:r>
      <w:r>
        <w:fldChar w:fldCharType="separate"/>
      </w:r>
      <w:r>
        <w:t>- 7 -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_Toc9961 </w:instrText>
      </w:r>
      <w:r>
        <w:rPr>
          <w:rFonts w:hint="eastAsia" w:ascii="宋体" w:hAnsi="宋体"/>
          <w:szCs w:val="24"/>
        </w:rPr>
        <w:fldChar w:fldCharType="separate"/>
      </w:r>
      <w:r>
        <w:rPr>
          <w:rFonts w:ascii="宋体" w:hAnsi="宋体"/>
          <w:szCs w:val="24"/>
        </w:rPr>
        <w:t>※</w:t>
      </w:r>
      <w:r>
        <w:rPr>
          <w:rFonts w:hint="eastAsia" w:ascii="宋体" w:hAnsi="宋体"/>
          <w:szCs w:val="24"/>
        </w:rPr>
        <w:t>七、知识产权</w:t>
      </w:r>
      <w:r>
        <w:tab/>
      </w:r>
      <w:r>
        <w:fldChar w:fldCharType="begin"/>
      </w:r>
      <w:r>
        <w:instrText xml:space="preserve"> PAGEREF _Toc9961 \h </w:instrText>
      </w:r>
      <w:r>
        <w:fldChar w:fldCharType="separate"/>
      </w:r>
      <w:r>
        <w:t>- 8 -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_Toc32692 </w:instrText>
      </w:r>
      <w:r>
        <w:rPr>
          <w:rFonts w:hint="eastAsia" w:ascii="宋体" w:hAnsi="宋体"/>
          <w:szCs w:val="24"/>
        </w:rPr>
        <w:fldChar w:fldCharType="separate"/>
      </w:r>
      <w:r>
        <w:rPr>
          <w:rFonts w:hint="eastAsia" w:ascii="宋体" w:hAnsi="宋体"/>
          <w:szCs w:val="24"/>
        </w:rPr>
        <w:t>※八、不可抗力</w:t>
      </w:r>
      <w:r>
        <w:tab/>
      </w:r>
      <w:r>
        <w:fldChar w:fldCharType="begin"/>
      </w:r>
      <w:r>
        <w:instrText xml:space="preserve"> PAGEREF _Toc32692 \h </w:instrText>
      </w:r>
      <w:r>
        <w:fldChar w:fldCharType="separate"/>
      </w:r>
      <w:r>
        <w:t>- 8 -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_Toc23294 </w:instrText>
      </w:r>
      <w:r>
        <w:rPr>
          <w:rFonts w:hint="eastAsia" w:ascii="宋体" w:hAnsi="宋体"/>
          <w:szCs w:val="24"/>
        </w:rPr>
        <w:fldChar w:fldCharType="separate"/>
      </w:r>
      <w:r>
        <w:rPr>
          <w:rFonts w:hint="eastAsia" w:ascii="宋体" w:hAnsi="宋体"/>
          <w:szCs w:val="24"/>
        </w:rPr>
        <w:t>九、其他</w:t>
      </w:r>
      <w:r>
        <w:tab/>
      </w:r>
      <w:r>
        <w:fldChar w:fldCharType="begin"/>
      </w:r>
      <w:r>
        <w:instrText xml:space="preserve"> PAGEREF _Toc23294 \h </w:instrText>
      </w:r>
      <w:r>
        <w:fldChar w:fldCharType="separate"/>
      </w:r>
      <w:r>
        <w:t>- 8 -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_Toc8400 </w:instrText>
      </w:r>
      <w:r>
        <w:rPr>
          <w:rFonts w:hint="eastAsia" w:ascii="宋体" w:hAnsi="宋体"/>
          <w:szCs w:val="24"/>
        </w:rPr>
        <w:fldChar w:fldCharType="separate"/>
      </w:r>
      <w:r>
        <w:rPr>
          <w:rFonts w:hint="eastAsia" w:ascii="宋体" w:hAnsi="宋体" w:eastAsia="宋体"/>
          <w:szCs w:val="30"/>
        </w:rPr>
        <w:t>第四篇  磋商程序及方法、评审标准、无效响应和采购终止</w:t>
      </w:r>
      <w:r>
        <w:tab/>
      </w:r>
      <w:r>
        <w:fldChar w:fldCharType="begin"/>
      </w:r>
      <w:r>
        <w:instrText xml:space="preserve"> PAGEREF _Toc8400 \h </w:instrText>
      </w:r>
      <w:r>
        <w:fldChar w:fldCharType="separate"/>
      </w:r>
      <w:r>
        <w:t>- 9 -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_Toc28217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_Toc28217 \h </w:instrText>
      </w:r>
      <w:r>
        <w:fldChar w:fldCharType="separate"/>
      </w:r>
      <w:r>
        <w:t>- 9 -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_Toc30613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_Toc30613 \h </w:instrText>
      </w:r>
      <w:r>
        <w:fldChar w:fldCharType="separate"/>
      </w:r>
      <w:r>
        <w:t>- 11 -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_Toc23597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_Toc23597 \h </w:instrText>
      </w:r>
      <w:r>
        <w:fldChar w:fldCharType="separate"/>
      </w:r>
      <w:r>
        <w:t>- 12 -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_Toc27664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_Toc27664 \h </w:instrText>
      </w:r>
      <w:r>
        <w:fldChar w:fldCharType="separate"/>
      </w:r>
      <w:r>
        <w:t>- 13 -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_Toc1108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_Toc1108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_Toc8431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_Toc8431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_Toc9048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_Toc9048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_Toc14880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_Toc14880 \h </w:instrText>
      </w:r>
      <w:r>
        <w:fldChar w:fldCharType="separate"/>
      </w:r>
      <w:r>
        <w:t>- 14 -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_Toc26545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_Toc26545 \h </w:instrText>
      </w:r>
      <w:r>
        <w:fldChar w:fldCharType="separate"/>
      </w:r>
      <w:r>
        <w:t>- 15 -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_Toc25969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_Toc25969 \h </w:instrText>
      </w:r>
      <w:r>
        <w:fldChar w:fldCharType="separate"/>
      </w:r>
      <w:r>
        <w:t>- 16 -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_Toc1094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_Toc1094 \h </w:instrText>
      </w:r>
      <w:r>
        <w:fldChar w:fldCharType="separate"/>
      </w:r>
      <w:r>
        <w:t>- 16 -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_Toc7485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_Toc7485 \h </w:instrText>
      </w:r>
      <w:r>
        <w:fldChar w:fldCharType="separate"/>
      </w:r>
      <w:r>
        <w:t>- 17 -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_Toc30952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_Toc30952 \h </w:instrText>
      </w:r>
      <w:r>
        <w:fldChar w:fldCharType="separate"/>
      </w:r>
      <w:r>
        <w:t>- 18 -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_Toc7525 </w:instrText>
      </w:r>
      <w:r>
        <w:rPr>
          <w:rFonts w:hint="eastAsia" w:ascii="宋体" w:hAnsi="宋体"/>
          <w:szCs w:val="24"/>
        </w:rPr>
        <w:fldChar w:fldCharType="separate"/>
      </w:r>
      <w:r>
        <w:rPr>
          <w:rFonts w:hint="eastAsia" w:ascii="宋体" w:hAnsi="宋体" w:eastAsia="宋体"/>
          <w:szCs w:val="30"/>
        </w:rPr>
        <w:t>第六篇  政府采购合同</w:t>
      </w:r>
      <w:r>
        <w:tab/>
      </w:r>
      <w:r>
        <w:fldChar w:fldCharType="begin"/>
      </w:r>
      <w:r>
        <w:instrText xml:space="preserve"> PAGEREF _Toc7525 \h </w:instrText>
      </w:r>
      <w:r>
        <w:fldChar w:fldCharType="separate"/>
      </w:r>
      <w:r>
        <w:t>- 19 -</w:t>
      </w:r>
      <w:r>
        <w:fldChar w:fldCharType="end"/>
      </w:r>
      <w:r>
        <w:rPr>
          <w:rFonts w:hint="eastAsia" w:ascii="宋体" w:hAnsi="宋体"/>
          <w:szCs w:val="24"/>
        </w:rPr>
        <w:fldChar w:fldCharType="end"/>
      </w:r>
    </w:p>
    <w:p>
      <w:pPr>
        <w:pStyle w:val="49"/>
        <w:tabs>
          <w:tab w:val="right" w:leader="dot" w:pos="9525"/>
        </w:tabs>
      </w:pPr>
      <w:r>
        <w:rPr>
          <w:rFonts w:hint="eastAsia" w:ascii="宋体" w:hAnsi="宋体"/>
          <w:szCs w:val="24"/>
        </w:rPr>
        <w:fldChar w:fldCharType="begin"/>
      </w:r>
      <w:r>
        <w:rPr>
          <w:rFonts w:hint="eastAsia" w:ascii="宋体" w:hAnsi="宋体"/>
          <w:szCs w:val="24"/>
        </w:rPr>
        <w:instrText xml:space="preserve"> HYPERLINK \l _Toc18407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_Toc18407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_Toc1315 </w:instrText>
      </w:r>
      <w:r>
        <w:rPr>
          <w:rFonts w:hint="eastAsia" w:ascii="宋体" w:hAnsi="宋体"/>
          <w:szCs w:val="24"/>
        </w:rP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_Toc1315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_Toc18708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_Toc18708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_Toc13444 </w:instrText>
      </w:r>
      <w:r>
        <w:rPr>
          <w:rFonts w:hint="eastAsia" w:ascii="宋体" w:hAnsi="宋体"/>
          <w:szCs w:val="24"/>
        </w:rP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_Toc13444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_Toc3549 </w:instrText>
      </w:r>
      <w:r>
        <w:rPr>
          <w:rFonts w:hint="eastAsia" w:ascii="宋体" w:hAnsi="宋体"/>
          <w:szCs w:val="24"/>
        </w:rP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_Toc3549 \h </w:instrText>
      </w:r>
      <w:r>
        <w:fldChar w:fldCharType="separate"/>
      </w:r>
      <w:r>
        <w:t>- 24 -</w:t>
      </w:r>
      <w:r>
        <w:fldChar w:fldCharType="end"/>
      </w:r>
      <w:r>
        <w:rPr>
          <w:rFonts w:hint="eastAsia" w:ascii="宋体" w:hAnsi="宋体"/>
          <w:szCs w:val="24"/>
        </w:rPr>
        <w:fldChar w:fldCharType="end"/>
      </w:r>
    </w:p>
    <w:p>
      <w:pPr>
        <w:pStyle w:val="32"/>
        <w:tabs>
          <w:tab w:val="right" w:leader="dot" w:pos="9525"/>
        </w:tabs>
      </w:pPr>
      <w:r>
        <w:rPr>
          <w:rFonts w:hint="eastAsia" w:ascii="宋体" w:hAnsi="宋体"/>
          <w:szCs w:val="24"/>
        </w:rPr>
        <w:fldChar w:fldCharType="begin"/>
      </w:r>
      <w:r>
        <w:rPr>
          <w:rFonts w:hint="eastAsia" w:ascii="宋体" w:hAnsi="宋体"/>
          <w:szCs w:val="24"/>
        </w:rPr>
        <w:instrText xml:space="preserve"> HYPERLINK \l _Toc10881 </w:instrText>
      </w:r>
      <w:r>
        <w:rPr>
          <w:rFonts w:hint="eastAsia" w:ascii="宋体" w:hAnsi="宋体"/>
          <w:szCs w:val="24"/>
        </w:rP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_Toc10881 \h </w:instrText>
      </w:r>
      <w:r>
        <w:fldChar w:fldCharType="separate"/>
      </w:r>
      <w:r>
        <w:t>- 24 -</w:t>
      </w:r>
      <w:r>
        <w:fldChar w:fldCharType="end"/>
      </w:r>
      <w:r>
        <w:rPr>
          <w:rFonts w:hint="eastAsia" w:ascii="宋体" w:hAnsi="宋体"/>
          <w:szCs w:val="24"/>
        </w:rPr>
        <w:fldChar w:fldCharType="end"/>
      </w:r>
    </w:p>
    <w:p>
      <w:pPr>
        <w:pStyle w:val="49"/>
        <w:tabs>
          <w:tab w:val="right" w:leader="dot" w:pos="9402"/>
        </w:tabs>
        <w:spacing w:line="480" w:lineRule="exact"/>
        <w:ind w:left="560"/>
        <w:jc w:val="center"/>
        <w:rPr>
          <w:rFonts w:ascii="宋体" w:hAnsi="宋体"/>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pPr>
        <w:pStyle w:val="3"/>
        <w:pageBreakBefore/>
        <w:spacing w:line="360" w:lineRule="auto"/>
        <w:jc w:val="center"/>
        <w:rPr>
          <w:rFonts w:ascii="宋体" w:hAnsi="宋体" w:eastAsia="宋体"/>
          <w:sz w:val="36"/>
          <w:szCs w:val="30"/>
        </w:rPr>
      </w:pPr>
      <w:bookmarkStart w:id="0" w:name="_Toc11641050"/>
      <w:bookmarkStart w:id="1" w:name="_Toc12789052"/>
      <w:bookmarkStart w:id="2" w:name="_Toc19079"/>
      <w:r>
        <w:rPr>
          <w:rFonts w:hint="eastAsia" w:ascii="宋体" w:hAnsi="宋体" w:eastAsia="宋体"/>
          <w:sz w:val="36"/>
          <w:szCs w:val="30"/>
        </w:rPr>
        <w:t>第一篇  采购邀请书</w:t>
      </w:r>
      <w:bookmarkEnd w:id="0"/>
      <w:bookmarkEnd w:id="1"/>
      <w:bookmarkEnd w:id="2"/>
    </w:p>
    <w:p>
      <w:pPr>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w:t>
      </w:r>
      <w:r>
        <w:rPr>
          <w:rFonts w:hint="eastAsia" w:ascii="宋体" w:hAnsi="宋体"/>
          <w:sz w:val="24"/>
          <w:szCs w:val="24"/>
          <w:lang w:eastAsia="zh-CN"/>
        </w:rPr>
        <w:t>“经济·瓶装燃气智慧管理”应用开发方案编制服务</w:t>
      </w:r>
      <w:r>
        <w:rPr>
          <w:rFonts w:hint="eastAsia" w:ascii="宋体" w:hAnsi="宋体"/>
          <w:sz w:val="24"/>
          <w:szCs w:val="24"/>
        </w:rPr>
        <w:t>（项目号：CQCBJQ</w:t>
      </w:r>
      <w:r>
        <w:rPr>
          <w:rFonts w:hint="eastAsia" w:ascii="宋体" w:hAnsi="宋体"/>
          <w:sz w:val="24"/>
          <w:szCs w:val="24"/>
          <w:lang w:eastAsia="zh-CN"/>
        </w:rPr>
        <w:t>2409-316</w:t>
      </w:r>
      <w:r>
        <w:rPr>
          <w:rFonts w:hint="eastAsia" w:ascii="宋体" w:hAnsi="宋体"/>
          <w:sz w:val="24"/>
          <w:szCs w:val="24"/>
        </w:rPr>
        <w:t>）进行竞争性磋商采购。欢迎有资格的供应商前来参与磋商。</w:t>
      </w:r>
    </w:p>
    <w:p>
      <w:pPr>
        <w:pStyle w:val="4"/>
        <w:spacing w:before="0" w:after="0" w:line="360" w:lineRule="auto"/>
        <w:ind w:firstLine="482" w:firstLineChars="200"/>
        <w:rPr>
          <w:rFonts w:ascii="宋体" w:hAnsi="宋体"/>
          <w:sz w:val="24"/>
          <w:szCs w:val="24"/>
        </w:rPr>
      </w:pPr>
      <w:bookmarkStart w:id="3" w:name="_Toc317775175"/>
      <w:bookmarkStart w:id="4" w:name="_Toc313893526"/>
      <w:bookmarkStart w:id="5" w:name="_Toc21540"/>
      <w:r>
        <w:rPr>
          <w:rFonts w:hint="eastAsia" w:ascii="宋体" w:hAnsi="宋体"/>
          <w:sz w:val="24"/>
          <w:szCs w:val="24"/>
        </w:rPr>
        <w:t>一、竞争性磋商内容</w:t>
      </w:r>
      <w:bookmarkEnd w:id="3"/>
      <w:bookmarkEnd w:id="4"/>
      <w:bookmarkEnd w:id="5"/>
    </w:p>
    <w:tbl>
      <w:tblPr>
        <w:tblStyle w:val="6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1842"/>
        <w:gridCol w:w="184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3261"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bookmarkStart w:id="6" w:name="_Toc317775178"/>
            <w:bookmarkStart w:id="7" w:name="_Toc373860293"/>
            <w:r>
              <w:rPr>
                <w:rFonts w:hint="eastAsia" w:ascii="宋体" w:hAnsi="宋体" w:cs="宋体"/>
                <w:b/>
                <w:bCs/>
                <w:kern w:val="0"/>
                <w:sz w:val="21"/>
                <w:szCs w:val="24"/>
              </w:rPr>
              <w:t>项目内容</w:t>
            </w:r>
          </w:p>
        </w:tc>
        <w:tc>
          <w:tcPr>
            <w:tcW w:w="1842"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w:t>
            </w:r>
          </w:p>
          <w:p>
            <w:pPr>
              <w:widowControl/>
              <w:jc w:val="center"/>
              <w:rPr>
                <w:rFonts w:ascii="宋体" w:hAnsi="宋体" w:cs="宋体"/>
                <w:b/>
                <w:bCs/>
                <w:kern w:val="0"/>
                <w:sz w:val="21"/>
                <w:szCs w:val="24"/>
              </w:rPr>
            </w:pPr>
            <w:r>
              <w:rPr>
                <w:rFonts w:hint="eastAsia" w:ascii="宋体" w:hAnsi="宋体" w:cs="宋体"/>
                <w:b/>
                <w:bCs/>
                <w:kern w:val="0"/>
                <w:sz w:val="21"/>
                <w:szCs w:val="24"/>
              </w:rPr>
              <w:t>（万元）</w:t>
            </w:r>
          </w:p>
        </w:tc>
        <w:tc>
          <w:tcPr>
            <w:tcW w:w="1843"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成交供应商数量（名）</w:t>
            </w:r>
          </w:p>
        </w:tc>
        <w:tc>
          <w:tcPr>
            <w:tcW w:w="2693"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261"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eastAsia" w:ascii="宋体" w:hAnsi="宋体"/>
                <w:sz w:val="21"/>
                <w:szCs w:val="21"/>
              </w:rPr>
            </w:pPr>
            <w:bookmarkStart w:id="8" w:name="_Hlk344477914"/>
            <w:r>
              <w:rPr>
                <w:rFonts w:hint="eastAsia" w:ascii="宋体" w:hAnsi="宋体"/>
                <w:sz w:val="21"/>
                <w:szCs w:val="21"/>
                <w:lang w:eastAsia="zh-CN"/>
              </w:rPr>
              <w:t>“</w:t>
            </w:r>
            <w:r>
              <w:rPr>
                <w:rFonts w:hint="eastAsia" w:ascii="宋体" w:hAnsi="宋体"/>
                <w:sz w:val="21"/>
                <w:szCs w:val="21"/>
                <w:lang w:val="en-US" w:eastAsia="zh-CN"/>
              </w:rPr>
              <w:t>经济·</w:t>
            </w:r>
            <w:r>
              <w:rPr>
                <w:rFonts w:hint="eastAsia" w:ascii="宋体" w:hAnsi="宋体"/>
                <w:sz w:val="21"/>
                <w:szCs w:val="21"/>
                <w:lang w:eastAsia="zh-CN"/>
              </w:rPr>
              <w:t>瓶装燃气智慧管理”</w:t>
            </w:r>
            <w:r>
              <w:rPr>
                <w:rFonts w:hint="eastAsia" w:ascii="宋体" w:hAnsi="宋体"/>
                <w:sz w:val="21"/>
                <w:szCs w:val="21"/>
              </w:rPr>
              <w:t>应用开发方案编制服务</w:t>
            </w:r>
          </w:p>
        </w:tc>
        <w:tc>
          <w:tcPr>
            <w:tcW w:w="1842"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default" w:ascii="宋体" w:hAnsi="宋体" w:eastAsia="宋体"/>
                <w:sz w:val="21"/>
                <w:szCs w:val="21"/>
                <w:lang w:val="en-US" w:eastAsia="zh-CN"/>
              </w:rPr>
            </w:pPr>
            <w:r>
              <w:rPr>
                <w:rFonts w:hint="eastAsia" w:ascii="宋体" w:hAnsi="宋体"/>
                <w:sz w:val="21"/>
                <w:szCs w:val="21"/>
                <w:lang w:val="en-US" w:eastAsia="zh-CN"/>
              </w:rPr>
              <w:t>30</w:t>
            </w:r>
          </w:p>
        </w:tc>
        <w:tc>
          <w:tcPr>
            <w:tcW w:w="1843"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eastAsia" w:ascii="宋体" w:hAnsi="宋体"/>
                <w:sz w:val="21"/>
                <w:szCs w:val="21"/>
              </w:rPr>
            </w:pPr>
            <w:r>
              <w:rPr>
                <w:rFonts w:hint="eastAsia" w:ascii="宋体" w:hAnsi="宋体"/>
                <w:sz w:val="21"/>
                <w:szCs w:val="21"/>
              </w:rPr>
              <w:t>1</w:t>
            </w:r>
          </w:p>
        </w:tc>
        <w:tc>
          <w:tcPr>
            <w:tcW w:w="2693" w:type="dxa"/>
            <w:tcBorders>
              <w:top w:val="single" w:color="auto" w:sz="4" w:space="0"/>
              <w:left w:val="single" w:color="auto" w:sz="4" w:space="0"/>
              <w:right w:val="single" w:color="auto" w:sz="4" w:space="0"/>
            </w:tcBorders>
            <w:vAlign w:val="center"/>
          </w:tcPr>
          <w:p>
            <w:pPr>
              <w:pStyle w:val="26"/>
              <w:spacing w:line="240" w:lineRule="atLeast"/>
              <w:ind w:left="0"/>
              <w:jc w:val="center"/>
              <w:outlineLvl w:val="0"/>
              <w:rPr>
                <w:rFonts w:hint="eastAsia" w:ascii="宋体" w:hAnsi="宋体"/>
                <w:sz w:val="21"/>
                <w:szCs w:val="21"/>
              </w:rPr>
            </w:pPr>
            <w:r>
              <w:rPr>
                <w:rFonts w:hint="eastAsia" w:ascii="宋体" w:hAnsi="宋体"/>
                <w:sz w:val="21"/>
                <w:szCs w:val="21"/>
              </w:rPr>
              <w:t>其他未列明行业</w:t>
            </w:r>
          </w:p>
        </w:tc>
      </w:tr>
      <w:bookmarkEnd w:id="8"/>
    </w:tbl>
    <w:p>
      <w:pPr>
        <w:pStyle w:val="4"/>
        <w:snapToGrid w:val="0"/>
        <w:spacing w:before="0" w:after="0" w:line="360" w:lineRule="auto"/>
        <w:ind w:firstLine="482" w:firstLineChars="200"/>
        <w:rPr>
          <w:rFonts w:ascii="宋体" w:hAnsi="宋体"/>
          <w:sz w:val="24"/>
          <w:szCs w:val="24"/>
        </w:rPr>
      </w:pPr>
      <w:bookmarkStart w:id="9" w:name="_Toc5693"/>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财政资金,预算金额为：</w:t>
      </w:r>
      <w:r>
        <w:rPr>
          <w:rFonts w:hint="eastAsia" w:ascii="宋体" w:hAnsi="宋体"/>
          <w:sz w:val="24"/>
          <w:szCs w:val="24"/>
          <w:u w:val="single"/>
        </w:rPr>
        <w:t xml:space="preserve"> </w:t>
      </w:r>
      <w:r>
        <w:rPr>
          <w:rFonts w:hint="eastAsia" w:ascii="宋体" w:hAnsi="宋体"/>
          <w:sz w:val="24"/>
          <w:szCs w:val="24"/>
          <w:u w:val="single"/>
          <w:lang w:val="en-US" w:eastAsia="zh-CN"/>
        </w:rPr>
        <w:t>30</w:t>
      </w:r>
      <w:r>
        <w:rPr>
          <w:rFonts w:hint="eastAsia" w:ascii="宋体" w:hAnsi="宋体"/>
          <w:sz w:val="24"/>
          <w:szCs w:val="24"/>
          <w:u w:val="single"/>
        </w:rPr>
        <w:t xml:space="preserve"> </w:t>
      </w:r>
      <w:r>
        <w:rPr>
          <w:rFonts w:hint="eastAsia" w:ascii="宋体" w:hAnsi="宋体"/>
          <w:sz w:val="24"/>
          <w:szCs w:val="24"/>
        </w:rPr>
        <w:t>万元（含税金额）。</w:t>
      </w:r>
    </w:p>
    <w:bookmarkEnd w:id="6"/>
    <w:bookmarkEnd w:id="7"/>
    <w:p>
      <w:pPr>
        <w:pStyle w:val="4"/>
        <w:snapToGrid w:val="0"/>
        <w:spacing w:before="0" w:after="0" w:line="360" w:lineRule="auto"/>
        <w:ind w:firstLine="482" w:firstLineChars="200"/>
        <w:rPr>
          <w:rFonts w:ascii="宋体" w:hAnsi="宋体"/>
          <w:sz w:val="24"/>
          <w:szCs w:val="24"/>
        </w:rPr>
      </w:pPr>
      <w:bookmarkStart w:id="10" w:name="_Toc8725"/>
      <w:bookmarkStart w:id="11" w:name="_Toc75258773"/>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4"/>
        <w:snapToGrid w:val="0"/>
        <w:spacing w:before="0" w:after="0" w:line="360" w:lineRule="auto"/>
        <w:ind w:firstLine="482" w:firstLineChars="200"/>
        <w:rPr>
          <w:rFonts w:ascii="宋体" w:hAnsi="宋体"/>
          <w:sz w:val="24"/>
          <w:szCs w:val="24"/>
        </w:rPr>
      </w:pPr>
      <w:bookmarkStart w:id="13" w:name="_Toc31573"/>
      <w:r>
        <w:rPr>
          <w:rFonts w:hint="eastAsia" w:ascii="宋体" w:hAnsi="宋体"/>
          <w:sz w:val="24"/>
          <w:szCs w:val="24"/>
        </w:rPr>
        <w:t>四、磋商有关说明</w:t>
      </w:r>
      <w:bookmarkEnd w:id="12"/>
      <w:bookmarkEnd w:id="13"/>
    </w:p>
    <w:p>
      <w:pPr>
        <w:snapToGrid w:val="0"/>
        <w:spacing w:line="360" w:lineRule="auto"/>
        <w:ind w:firstLine="480" w:firstLineChars="200"/>
        <w:rPr>
          <w:rFonts w:ascii="宋体" w:hAnsi="宋体"/>
          <w:sz w:val="24"/>
          <w:szCs w:val="24"/>
        </w:rPr>
      </w:pPr>
      <w:r>
        <w:rPr>
          <w:rFonts w:hint="eastAsia" w:ascii="宋体" w:hAnsi="宋体"/>
          <w:sz w:val="24"/>
          <w:szCs w:val="24"/>
        </w:rPr>
        <w:t>（一）凡有意参加磋商的供应商，请</w:t>
      </w:r>
      <w:r>
        <w:rPr>
          <w:rFonts w:hint="eastAsia" w:ascii="宋体" w:hAnsi="宋体" w:cs="宋体"/>
          <w:sz w:val="24"/>
          <w:szCs w:val="24"/>
        </w:rPr>
        <w:t>在重庆市经济和信息化委员会网上（http://jjxxw.cq.gov.cn/）下载本项目磋商文件以及图纸、澄清等开标前公布的所有项目资料，无论供应商下载与否，均视为已知晓所有采购内容。</w:t>
      </w:r>
    </w:p>
    <w:p>
      <w:pPr>
        <w:snapToGrid w:val="0"/>
        <w:spacing w:line="360" w:lineRule="auto"/>
        <w:ind w:firstLine="480" w:firstLineChars="200"/>
        <w:rPr>
          <w:rFonts w:ascii="宋体" w:hAnsi="宋体"/>
          <w:sz w:val="24"/>
          <w:szCs w:val="24"/>
        </w:rPr>
      </w:pPr>
      <w:r>
        <w:rPr>
          <w:rFonts w:hint="eastAsia" w:ascii="宋体" w:hAnsi="宋体"/>
          <w:sz w:val="24"/>
          <w:szCs w:val="24"/>
        </w:rPr>
        <w:t>（二）竞争性磋商公告期限：自采购公告发布之日起三个工作日。</w:t>
      </w:r>
    </w:p>
    <w:p>
      <w:pPr>
        <w:snapToGrid w:val="0"/>
        <w:spacing w:line="360" w:lineRule="auto"/>
        <w:ind w:firstLine="480" w:firstLineChars="200"/>
        <w:rPr>
          <w:rFonts w:ascii="宋体" w:hAnsi="宋体"/>
          <w:sz w:val="24"/>
          <w:szCs w:val="24"/>
        </w:rPr>
      </w:pPr>
      <w:r>
        <w:rPr>
          <w:rFonts w:hint="eastAsia" w:ascii="宋体" w:hAnsi="宋体"/>
          <w:sz w:val="24"/>
          <w:szCs w:val="24"/>
        </w:rPr>
        <w:t>（三）竞争性磋商文件提供期限</w:t>
      </w:r>
    </w:p>
    <w:p>
      <w:pPr>
        <w:snapToGrid w:val="0"/>
        <w:spacing w:line="360" w:lineRule="auto"/>
        <w:ind w:firstLine="480" w:firstLineChars="200"/>
        <w:rPr>
          <w:rFonts w:ascii="宋体" w:hAnsi="宋体"/>
          <w:sz w:val="24"/>
          <w:szCs w:val="24"/>
        </w:rPr>
      </w:pPr>
      <w:r>
        <w:rPr>
          <w:rFonts w:hint="eastAsia" w:ascii="宋体" w:hAnsi="宋体"/>
          <w:sz w:val="24"/>
          <w:szCs w:val="24"/>
        </w:rPr>
        <w:t>1.竞争性磋商文件提供期限：202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日（9:00-17:00）。</w:t>
      </w:r>
    </w:p>
    <w:p>
      <w:pPr>
        <w:snapToGrid w:val="0"/>
        <w:spacing w:line="360" w:lineRule="auto"/>
        <w:ind w:firstLine="480" w:firstLineChars="200"/>
        <w:rPr>
          <w:rFonts w:ascii="宋体" w:hAnsi="宋体"/>
          <w:sz w:val="24"/>
          <w:szCs w:val="24"/>
        </w:rPr>
      </w:pPr>
      <w:r>
        <w:rPr>
          <w:rFonts w:hint="eastAsia" w:ascii="宋体" w:hAnsi="宋体"/>
          <w:sz w:val="24"/>
          <w:szCs w:val="24"/>
        </w:rPr>
        <w:t>2.竞争性磋商文件提供期限内，供应商</w:t>
      </w:r>
      <w:r>
        <w:rPr>
          <w:rFonts w:hint="eastAsia" w:ascii="宋体" w:hAnsi="宋体" w:cs="宋体"/>
          <w:sz w:val="24"/>
          <w:szCs w:val="24"/>
        </w:rPr>
        <w:t>将标书费转账凭证扫描后发送至hulin@cqchinabase.com。</w:t>
      </w:r>
    </w:p>
    <w:p>
      <w:pPr>
        <w:snapToGrid w:val="0"/>
        <w:spacing w:line="360" w:lineRule="auto"/>
        <w:ind w:firstLine="480" w:firstLineChars="200"/>
        <w:rPr>
          <w:rFonts w:ascii="宋体" w:hAnsi="宋体"/>
          <w:sz w:val="24"/>
          <w:szCs w:val="24"/>
        </w:rPr>
      </w:pPr>
      <w:r>
        <w:rPr>
          <w:rFonts w:hint="eastAsia" w:ascii="宋体" w:hAnsi="宋体"/>
          <w:sz w:val="24"/>
          <w:szCs w:val="24"/>
        </w:rPr>
        <w:t>3.竞争性磋商文件售价：人民币300元/包，</w:t>
      </w:r>
      <w:r>
        <w:rPr>
          <w:rFonts w:hint="eastAsia" w:ascii="宋体" w:hAnsi="宋体"/>
          <w:b/>
          <w:bCs/>
          <w:sz w:val="24"/>
          <w:szCs w:val="24"/>
        </w:rPr>
        <w:t>缴纳标书费时请务必备注项目号（售后不退）。</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pacing w:line="360" w:lineRule="auto"/>
        <w:ind w:firstLine="480" w:firstLineChars="200"/>
        <w:rPr>
          <w:rFonts w:ascii="宋体" w:hAnsi="宋体"/>
          <w:sz w:val="24"/>
          <w:szCs w:val="24"/>
        </w:rPr>
      </w:pPr>
      <w:r>
        <w:rPr>
          <w:rFonts w:hint="eastAsia" w:ascii="宋体" w:hAnsi="宋体"/>
          <w:sz w:val="24"/>
          <w:szCs w:val="24"/>
        </w:rPr>
        <w:t>（四）递交响应文件地点：重庆市经济和信息化委员会</w:t>
      </w:r>
      <w:r>
        <w:rPr>
          <w:rFonts w:hint="eastAsia" w:ascii="宋体" w:hAnsi="宋体"/>
          <w:sz w:val="24"/>
          <w:szCs w:val="24"/>
          <w:lang w:val="en-US" w:eastAsia="zh-CN"/>
        </w:rPr>
        <w:t>8006</w:t>
      </w:r>
      <w:r>
        <w:rPr>
          <w:rFonts w:hint="eastAsia" w:ascii="宋体" w:hAnsi="宋体"/>
          <w:sz w:val="24"/>
          <w:szCs w:val="24"/>
        </w:rPr>
        <w:t>会议室</w:t>
      </w:r>
    </w:p>
    <w:p>
      <w:pPr>
        <w:spacing w:line="360" w:lineRule="auto"/>
        <w:ind w:firstLine="480" w:firstLineChars="200"/>
        <w:rPr>
          <w:rFonts w:ascii="宋体" w:hAnsi="宋体"/>
          <w:sz w:val="24"/>
          <w:szCs w:val="24"/>
        </w:rPr>
      </w:pPr>
      <w:r>
        <w:rPr>
          <w:rFonts w:hint="eastAsia" w:ascii="宋体" w:hAnsi="宋体"/>
          <w:sz w:val="24"/>
          <w:szCs w:val="24"/>
        </w:rPr>
        <w:t>（五）响应文件递交开始和截止时间：</w:t>
      </w:r>
      <w:r>
        <w:rPr>
          <w:rFonts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日北京时间9:</w:t>
      </w:r>
      <w:r>
        <w:rPr>
          <w:rFonts w:ascii="宋体" w:hAnsi="宋体"/>
          <w:sz w:val="24"/>
          <w:szCs w:val="24"/>
        </w:rPr>
        <w:t>0</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（六）响应文件开启时间：</w:t>
      </w:r>
      <w:r>
        <w:rPr>
          <w:rFonts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15</w:t>
      </w:r>
      <w:r>
        <w:rPr>
          <w:rFonts w:hint="eastAsia" w:ascii="宋体" w:hAnsi="宋体"/>
          <w:sz w:val="24"/>
          <w:szCs w:val="24"/>
        </w:rPr>
        <w:t>日北京时间</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0</w:t>
      </w:r>
    </w:p>
    <w:p>
      <w:pPr>
        <w:pStyle w:val="4"/>
        <w:spacing w:before="0" w:after="0" w:line="360" w:lineRule="auto"/>
        <w:ind w:firstLine="482" w:firstLineChars="200"/>
        <w:rPr>
          <w:rFonts w:ascii="宋体" w:hAnsi="宋体"/>
          <w:sz w:val="24"/>
          <w:szCs w:val="24"/>
        </w:rPr>
      </w:pPr>
      <w:bookmarkStart w:id="14" w:name="_Toc530038692"/>
      <w:bookmarkStart w:id="15" w:name="_Toc75258776"/>
      <w:bookmarkStart w:id="16" w:name="_Toc24495"/>
      <w:r>
        <w:rPr>
          <w:rFonts w:hint="eastAsia" w:ascii="宋体" w:hAnsi="宋体"/>
          <w:sz w:val="24"/>
          <w:szCs w:val="24"/>
        </w:rPr>
        <w:t>五、采购项目需落实的政府采购政策</w:t>
      </w:r>
      <w:bookmarkEnd w:id="14"/>
      <w:bookmarkEnd w:id="15"/>
      <w:bookmarkEnd w:id="16"/>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4"/>
        <w:spacing w:before="0" w:after="0" w:line="360" w:lineRule="auto"/>
        <w:ind w:firstLine="482" w:firstLineChars="200"/>
        <w:rPr>
          <w:rFonts w:ascii="宋体" w:hAnsi="宋体"/>
          <w:sz w:val="24"/>
          <w:szCs w:val="24"/>
        </w:rPr>
      </w:pPr>
      <w:bookmarkStart w:id="17" w:name="_Toc28416"/>
      <w:bookmarkStart w:id="18" w:name="_Toc75258777"/>
      <w:r>
        <w:rPr>
          <w:rFonts w:hint="eastAsia" w:ascii="宋体" w:hAnsi="宋体"/>
          <w:sz w:val="24"/>
          <w:szCs w:val="24"/>
        </w:rPr>
        <w:t>六、其它有关规定</w:t>
      </w:r>
      <w:bookmarkEnd w:id="17"/>
      <w:bookmarkEnd w:id="18"/>
    </w:p>
    <w:p>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pPr>
        <w:snapToGrid w:val="0"/>
        <w:spacing w:line="360" w:lineRule="auto"/>
        <w:ind w:firstLine="482" w:firstLineChars="200"/>
        <w:rPr>
          <w:rFonts w:ascii="宋体" w:hAnsi="宋体"/>
          <w:b/>
          <w:sz w:val="24"/>
          <w:szCs w:val="24"/>
        </w:rPr>
      </w:pPr>
      <w:r>
        <w:rPr>
          <w:rFonts w:hint="eastAsia" w:ascii="宋体" w:hAnsi="宋体"/>
          <w:b/>
          <w:sz w:val="24"/>
          <w:szCs w:val="24"/>
        </w:rPr>
        <w:t>（六）本项目不接受联合体磋商，否则按无效处理。</w:t>
      </w:r>
    </w:p>
    <w:p>
      <w:pPr>
        <w:snapToGrid w:val="0"/>
        <w:spacing w:line="360" w:lineRule="auto"/>
        <w:ind w:firstLine="482" w:firstLineChars="200"/>
        <w:rPr>
          <w:rFonts w:ascii="宋体" w:hAnsi="宋体"/>
          <w:b/>
          <w:sz w:val="24"/>
          <w:szCs w:val="24"/>
        </w:rPr>
      </w:pPr>
      <w:r>
        <w:rPr>
          <w:rFonts w:hint="eastAsia" w:ascii="宋体" w:hAnsi="宋体"/>
          <w:b/>
          <w:sz w:val="24"/>
          <w:szCs w:val="24"/>
        </w:rPr>
        <w:t>（七）本项目不接受合同分包，否则按无效处理。</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60" w:lineRule="auto"/>
        <w:ind w:firstLine="482" w:firstLineChars="200"/>
        <w:rPr>
          <w:rFonts w:ascii="宋体" w:hAnsi="宋体"/>
          <w:sz w:val="24"/>
          <w:szCs w:val="24"/>
        </w:rPr>
      </w:pPr>
      <w:bookmarkStart w:id="19" w:name="_Toc9700"/>
      <w:r>
        <w:rPr>
          <w:rFonts w:hint="eastAsia" w:ascii="宋体" w:hAnsi="宋体"/>
          <w:sz w:val="24"/>
          <w:szCs w:val="24"/>
        </w:rPr>
        <w:t>七、联系方式</w:t>
      </w:r>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pPr>
        <w:snapToGrid w:val="0"/>
        <w:spacing w:line="360" w:lineRule="auto"/>
        <w:ind w:firstLine="480" w:firstLineChars="200"/>
        <w:rPr>
          <w:rFonts w:ascii="宋体" w:hAnsi="宋体"/>
          <w:sz w:val="24"/>
          <w:szCs w:val="24"/>
        </w:rPr>
      </w:pPr>
      <w:r>
        <w:rPr>
          <w:rFonts w:hint="eastAsia" w:ascii="宋体" w:hAnsi="宋体"/>
          <w:sz w:val="24"/>
          <w:szCs w:val="24"/>
        </w:rPr>
        <w:t>联系人：</w:t>
      </w:r>
      <w:bookmarkStart w:id="20" w:name="_Hlk517516737"/>
      <w:r>
        <w:rPr>
          <w:rFonts w:hint="eastAsia" w:ascii="宋体" w:hAnsi="宋体"/>
          <w:sz w:val="24"/>
          <w:szCs w:val="24"/>
          <w:lang w:val="en-US" w:eastAsia="zh-CN"/>
        </w:rPr>
        <w:t>高</w:t>
      </w:r>
      <w:r>
        <w:rPr>
          <w:rFonts w:hint="eastAsia" w:ascii="宋体" w:hAnsi="宋体"/>
          <w:sz w:val="24"/>
          <w:szCs w:val="24"/>
        </w:rPr>
        <w:t>老师</w:t>
      </w:r>
    </w:p>
    <w:p>
      <w:pPr>
        <w:snapToGrid w:val="0"/>
        <w:spacing w:line="360" w:lineRule="auto"/>
        <w:ind w:firstLine="480" w:firstLineChars="200"/>
        <w:rPr>
          <w:rFonts w:hint="default" w:ascii="宋体" w:hAnsi="宋体" w:eastAsia="宋体"/>
          <w:sz w:val="24"/>
          <w:szCs w:val="24"/>
          <w:lang w:val="en-US" w:eastAsia="zh-CN"/>
        </w:rPr>
      </w:pPr>
      <w:r>
        <w:rPr>
          <w:rFonts w:ascii="宋体" w:hAnsi="宋体"/>
          <w:sz w:val="24"/>
          <w:szCs w:val="24"/>
        </w:rPr>
        <w:t xml:space="preserve">电  </w:t>
      </w:r>
      <w:r>
        <w:rPr>
          <w:rFonts w:hint="eastAsia" w:ascii="宋体" w:hAnsi="宋体"/>
          <w:sz w:val="24"/>
          <w:szCs w:val="24"/>
        </w:rPr>
        <w:t>话：（023）</w:t>
      </w:r>
      <w:bookmarkEnd w:id="20"/>
      <w:r>
        <w:rPr>
          <w:rFonts w:hint="eastAsia" w:ascii="宋体" w:hAnsi="宋体"/>
          <w:sz w:val="24"/>
          <w:szCs w:val="24"/>
          <w:lang w:val="en-US" w:eastAsia="zh-CN"/>
        </w:rPr>
        <w:t>63896401</w:t>
      </w:r>
    </w:p>
    <w:p>
      <w:pPr>
        <w:snapToGrid w:val="0"/>
        <w:spacing w:line="360" w:lineRule="auto"/>
        <w:ind w:firstLine="480" w:firstLineChars="200"/>
        <w:rPr>
          <w:rFonts w:ascii="宋体" w:hAnsi="宋体"/>
          <w:sz w:val="24"/>
          <w:szCs w:val="24"/>
        </w:rPr>
      </w:pPr>
      <w:r>
        <w:rPr>
          <w:rFonts w:ascii="宋体" w:hAnsi="宋体"/>
          <w:sz w:val="24"/>
          <w:szCs w:val="24"/>
        </w:rPr>
        <w:t>地  址：</w:t>
      </w:r>
      <w:r>
        <w:rPr>
          <w:rFonts w:hint="eastAsia" w:ascii="宋体" w:hAnsi="宋体"/>
          <w:sz w:val="24"/>
          <w:szCs w:val="24"/>
        </w:rPr>
        <w:t>重庆市渝北区云杉南路12号</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联系人：周老师、胡老师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话：（023）88505900、88758852</w:t>
      </w:r>
    </w:p>
    <w:p>
      <w:pPr>
        <w:snapToGrid w:val="0"/>
        <w:spacing w:line="360" w:lineRule="auto"/>
        <w:ind w:firstLine="480" w:firstLineChars="200"/>
        <w:rPr>
          <w:rFonts w:ascii="宋体" w:hAnsi="宋体"/>
          <w:sz w:val="24"/>
          <w:szCs w:val="24"/>
        </w:rPr>
      </w:pPr>
      <w:r>
        <w:rPr>
          <w:rFonts w:hint="eastAsia" w:ascii="宋体" w:hAnsi="宋体"/>
          <w:sz w:val="24"/>
          <w:szCs w:val="24"/>
        </w:rPr>
        <w:t>传  真：（023）88505947</w:t>
      </w:r>
    </w:p>
    <w:p>
      <w:pPr>
        <w:snapToGrid w:val="0"/>
        <w:spacing w:line="360" w:lineRule="auto"/>
        <w:ind w:firstLine="480" w:firstLineChars="200"/>
        <w:rPr>
          <w:rFonts w:ascii="宋体" w:hAnsi="宋体"/>
          <w:sz w:val="24"/>
          <w:szCs w:val="24"/>
        </w:rPr>
      </w:pPr>
      <w:bookmarkStart w:id="21" w:name="_Toc216163282"/>
      <w:bookmarkStart w:id="22" w:name="_Toc178828108"/>
      <w:bookmarkStart w:id="23" w:name="_Toc180051219"/>
      <w:r>
        <w:rPr>
          <w:rFonts w:hint="eastAsia" w:ascii="宋体" w:hAnsi="宋体"/>
          <w:sz w:val="24"/>
          <w:szCs w:val="24"/>
        </w:rPr>
        <w:t>地  址：重庆市渝北区财富大道2号财富大厦A座九楼</w:t>
      </w:r>
    </w:p>
    <w:bookmarkEnd w:id="21"/>
    <w:bookmarkEnd w:id="22"/>
    <w:bookmarkEnd w:id="23"/>
    <w:p>
      <w:pPr>
        <w:pStyle w:val="3"/>
        <w:pageBreakBefore/>
        <w:spacing w:line="360" w:lineRule="auto"/>
        <w:jc w:val="center"/>
        <w:rPr>
          <w:rFonts w:ascii="宋体" w:hAnsi="宋体" w:eastAsia="宋体"/>
          <w:sz w:val="36"/>
          <w:szCs w:val="30"/>
        </w:rPr>
      </w:pPr>
      <w:bookmarkStart w:id="24" w:name="_Toc17635"/>
      <w:r>
        <w:rPr>
          <w:rFonts w:hint="eastAsia" w:ascii="宋体" w:hAnsi="宋体" w:eastAsia="宋体"/>
          <w:sz w:val="36"/>
          <w:szCs w:val="30"/>
        </w:rPr>
        <w:t>第二篇  项目服务需求</w:t>
      </w:r>
      <w:bookmarkEnd w:id="24"/>
    </w:p>
    <w:p>
      <w:pPr>
        <w:snapToGrid w:val="0"/>
        <w:spacing w:line="360" w:lineRule="auto"/>
        <w:ind w:firstLine="422" w:firstLineChars="200"/>
        <w:rPr>
          <w:rFonts w:ascii="宋体" w:hAnsi="宋体"/>
          <w:b/>
          <w:sz w:val="21"/>
          <w:szCs w:val="21"/>
        </w:rPr>
      </w:pPr>
      <w:bookmarkStart w:id="25" w:name="_Toc5006885"/>
      <w:bookmarkStart w:id="26" w:name="_Toc6232092"/>
      <w:bookmarkStart w:id="27" w:name="_Toc12789058"/>
      <w:r>
        <w:rPr>
          <w:rFonts w:hint="eastAsia" w:ascii="宋体" w:hAnsi="宋体"/>
          <w:b/>
          <w:sz w:val="21"/>
          <w:szCs w:val="21"/>
        </w:rPr>
        <w:t>“※”标注部分为符合性审查中的实质性要求，响应文件若不满足按无效响应处理。</w:t>
      </w:r>
      <w:bookmarkStart w:id="28" w:name="_Toc18057005"/>
      <w:bookmarkStart w:id="29" w:name="_Toc30016"/>
      <w:bookmarkStart w:id="30" w:name="_Toc78194435"/>
    </w:p>
    <w:p>
      <w:pPr>
        <w:pStyle w:val="4"/>
        <w:spacing w:before="0" w:after="0" w:line="360" w:lineRule="auto"/>
        <w:ind w:firstLine="482" w:firstLineChars="200"/>
        <w:rPr>
          <w:rFonts w:hint="eastAsia" w:ascii="宋体" w:hAnsi="宋体" w:eastAsia="宋体"/>
          <w:sz w:val="24"/>
          <w:szCs w:val="24"/>
          <w:lang w:val="en-US" w:eastAsia="zh-CN"/>
        </w:rPr>
      </w:pPr>
      <w:bookmarkStart w:id="31" w:name="_Toc1620"/>
      <w:r>
        <w:rPr>
          <w:rFonts w:hint="eastAsia" w:ascii="宋体" w:hAnsi="宋体"/>
          <w:sz w:val="24"/>
          <w:szCs w:val="24"/>
        </w:rPr>
        <w:t>一、项目</w:t>
      </w:r>
      <w:r>
        <w:rPr>
          <w:rFonts w:hint="eastAsia" w:ascii="宋体" w:hAnsi="宋体"/>
          <w:sz w:val="24"/>
          <w:szCs w:val="24"/>
          <w:lang w:val="en-US" w:eastAsia="zh-CN"/>
        </w:rPr>
        <w:t>背景</w:t>
      </w:r>
      <w:bookmarkEnd w:id="31"/>
    </w:p>
    <w:bookmarkEnd w:id="28"/>
    <w:bookmarkEnd w:id="29"/>
    <w:bookmarkEnd w:id="30"/>
    <w:p>
      <w:pPr>
        <w:snapToGrid w:val="0"/>
        <w:spacing w:line="360" w:lineRule="auto"/>
        <w:ind w:firstLine="480" w:firstLineChars="200"/>
        <w:rPr>
          <w:rFonts w:ascii="宋体" w:hAnsi="宋体"/>
          <w:sz w:val="24"/>
          <w:szCs w:val="24"/>
        </w:rPr>
      </w:pPr>
      <w:bookmarkStart w:id="32" w:name="_Toc68879882"/>
      <w:r>
        <w:rPr>
          <w:rFonts w:hint="eastAsia" w:ascii="宋体" w:hAnsi="宋体"/>
          <w:sz w:val="24"/>
          <w:szCs w:val="24"/>
        </w:rPr>
        <w:t>经过市场调研和走访，</w:t>
      </w:r>
      <w:r>
        <w:rPr>
          <w:rFonts w:hint="eastAsia" w:ascii="宋体" w:hAnsi="宋体"/>
          <w:sz w:val="24"/>
          <w:szCs w:val="24"/>
          <w:lang w:eastAsia="zh-CN"/>
        </w:rPr>
        <w:t>我市瓶装燃气行业呈现</w:t>
      </w:r>
      <w:r>
        <w:rPr>
          <w:rFonts w:hint="eastAsia" w:ascii="宋体" w:hAnsi="宋体"/>
          <w:sz w:val="24"/>
          <w:szCs w:val="24"/>
        </w:rPr>
        <w:t>“小、散、多、乱”</w:t>
      </w:r>
      <w:r>
        <w:rPr>
          <w:rFonts w:hint="eastAsia" w:ascii="宋体" w:hAnsi="宋体"/>
          <w:sz w:val="24"/>
          <w:szCs w:val="24"/>
          <w:lang w:eastAsia="zh-CN"/>
        </w:rPr>
        <w:t>现象</w:t>
      </w:r>
      <w:r>
        <w:rPr>
          <w:rFonts w:hint="eastAsia" w:ascii="宋体" w:hAnsi="宋体"/>
          <w:sz w:val="24"/>
          <w:szCs w:val="24"/>
        </w:rPr>
        <w:t>。2021年，国家</w:t>
      </w:r>
      <w:r>
        <w:rPr>
          <w:rFonts w:hint="eastAsia" w:ascii="宋体" w:hAnsi="宋体"/>
          <w:sz w:val="24"/>
          <w:szCs w:val="24"/>
          <w:lang w:eastAsia="zh-CN"/>
        </w:rPr>
        <w:t>住房和城乡建设部</w:t>
      </w:r>
      <w:r>
        <w:rPr>
          <w:rFonts w:hint="eastAsia" w:ascii="宋体" w:hAnsi="宋体"/>
          <w:sz w:val="24"/>
          <w:szCs w:val="24"/>
        </w:rPr>
        <w:t>等部门提出推广使用先进技术，提高行业监管信息化水平</w:t>
      </w:r>
      <w:r>
        <w:rPr>
          <w:rFonts w:hint="eastAsia" w:ascii="宋体" w:hAnsi="宋体"/>
          <w:sz w:val="24"/>
          <w:szCs w:val="24"/>
          <w:lang w:eastAsia="zh-CN"/>
        </w:rPr>
        <w:t>。</w:t>
      </w:r>
      <w:r>
        <w:rPr>
          <w:rFonts w:hint="eastAsia" w:ascii="宋体" w:hAnsi="宋体"/>
          <w:sz w:val="24"/>
          <w:szCs w:val="24"/>
        </w:rPr>
        <w:t>2023年3月，家军书记在《关于液化石油气掺混二甲醚专项整治行动工作进展情况的报告》上指出，“要从对生产企业和液化气储配销售企业监管方面查找监管漏洞，并采取有效措施”。为提升瓶装燃气行业监管能力，强化数字赋能，按照数字重庆建设要求，我们针对瓶装燃气行业监管中长期存在的堵点、痛点和难点问题，</w:t>
      </w:r>
      <w:r>
        <w:rPr>
          <w:rFonts w:hint="eastAsia" w:ascii="宋体" w:hAnsi="宋体"/>
          <w:sz w:val="24"/>
          <w:szCs w:val="24"/>
          <w:lang w:eastAsia="zh-CN"/>
        </w:rPr>
        <w:t>拟谋划</w:t>
      </w:r>
      <w:r>
        <w:rPr>
          <w:rFonts w:hint="eastAsia" w:ascii="宋体" w:hAnsi="宋体"/>
          <w:sz w:val="24"/>
          <w:szCs w:val="24"/>
        </w:rPr>
        <w:t>建设“瓶装燃气智慧管理”</w:t>
      </w:r>
      <w:r>
        <w:rPr>
          <w:rFonts w:hint="eastAsia" w:ascii="宋体" w:hAnsi="宋体"/>
          <w:sz w:val="24"/>
          <w:szCs w:val="24"/>
          <w:lang w:eastAsia="zh-CN"/>
        </w:rPr>
        <w:t>应用</w:t>
      </w:r>
      <w:r>
        <w:rPr>
          <w:rFonts w:hint="eastAsia" w:ascii="宋体" w:hAnsi="宋体"/>
          <w:sz w:val="24"/>
          <w:szCs w:val="24"/>
        </w:rPr>
        <w:t>。本应用将通过信息技术针对性解决全市瓶装燃气点多面广监管难、流动性强轨迹难寻、违法违规经营突出、部门监管执法未形成合力等现实问题。前期，“经济·瓶装燃气智慧管理”应用“三张清单”已按程序通过数字经济专题组、市大数据发展局、市委改革办审核，并纳入数字重庆建设“一本账”。</w:t>
      </w:r>
      <w:r>
        <w:rPr>
          <w:rFonts w:hint="eastAsia" w:ascii="宋体" w:hAnsi="宋体"/>
          <w:sz w:val="24"/>
          <w:szCs w:val="24"/>
          <w:lang w:eastAsia="zh-CN"/>
        </w:rPr>
        <w:t>根据</w:t>
      </w:r>
      <w:r>
        <w:rPr>
          <w:rFonts w:hint="eastAsia" w:ascii="宋体" w:hAnsi="宋体"/>
          <w:sz w:val="24"/>
          <w:szCs w:val="24"/>
        </w:rPr>
        <w:t>《重庆市政务数字化应用开发操作指南》（2024年版）要求，需</w:t>
      </w:r>
      <w:r>
        <w:rPr>
          <w:rFonts w:hint="eastAsia" w:ascii="宋体" w:hAnsi="宋体"/>
          <w:sz w:val="24"/>
          <w:szCs w:val="24"/>
          <w:lang w:eastAsia="zh-CN"/>
        </w:rPr>
        <w:t>及时</w:t>
      </w:r>
      <w:r>
        <w:rPr>
          <w:rFonts w:hint="eastAsia" w:ascii="宋体" w:hAnsi="宋体"/>
          <w:sz w:val="24"/>
          <w:szCs w:val="24"/>
        </w:rPr>
        <w:t>编制应用开发方案（资金计划报告和应用开发方案合并），并按程序提交市大数据发展局等部门审核批复，</w:t>
      </w:r>
      <w:r>
        <w:rPr>
          <w:rFonts w:hint="eastAsia" w:ascii="宋体" w:hAnsi="宋体"/>
          <w:sz w:val="24"/>
          <w:szCs w:val="24"/>
          <w:lang w:eastAsia="zh-CN"/>
        </w:rPr>
        <w:t>加快</w:t>
      </w:r>
      <w:r>
        <w:rPr>
          <w:rFonts w:hint="eastAsia" w:ascii="宋体" w:hAnsi="宋体"/>
          <w:sz w:val="24"/>
          <w:szCs w:val="24"/>
        </w:rPr>
        <w:t>项目招标建设工作。</w:t>
      </w:r>
    </w:p>
    <w:p>
      <w:pPr>
        <w:pStyle w:val="4"/>
        <w:spacing w:before="0" w:after="0" w:line="360" w:lineRule="auto"/>
        <w:ind w:firstLine="482" w:firstLineChars="200"/>
        <w:rPr>
          <w:rFonts w:hint="default" w:ascii="宋体" w:hAnsi="宋体" w:eastAsia="宋体"/>
          <w:sz w:val="24"/>
          <w:szCs w:val="24"/>
          <w:lang w:val="en-US" w:eastAsia="zh-CN"/>
        </w:rPr>
      </w:pPr>
      <w:bookmarkStart w:id="33" w:name="_Toc27240"/>
      <w:r>
        <w:rPr>
          <w:rFonts w:hint="eastAsia" w:ascii="宋体" w:hAnsi="宋体"/>
          <w:sz w:val="24"/>
          <w:szCs w:val="24"/>
        </w:rPr>
        <w:t>※二、</w:t>
      </w:r>
      <w:bookmarkEnd w:id="32"/>
      <w:r>
        <w:rPr>
          <w:rFonts w:hint="eastAsia" w:ascii="宋体" w:hAnsi="宋体"/>
          <w:sz w:val="24"/>
          <w:szCs w:val="24"/>
          <w:lang w:val="en-US" w:eastAsia="zh-CN"/>
        </w:rPr>
        <w:t>服务内容及要求</w:t>
      </w:r>
      <w:bookmarkEnd w:id="33"/>
    </w:p>
    <w:p>
      <w:pPr>
        <w:snapToGrid w:val="0"/>
        <w:spacing w:line="360" w:lineRule="auto"/>
        <w:ind w:firstLine="480" w:firstLineChars="200"/>
        <w:rPr>
          <w:rFonts w:hint="eastAsia" w:ascii="宋体" w:hAnsi="宋体"/>
          <w:sz w:val="24"/>
          <w:szCs w:val="24"/>
        </w:rPr>
      </w:pPr>
      <w:r>
        <w:rPr>
          <w:rFonts w:hint="eastAsia" w:ascii="宋体" w:hAnsi="宋体"/>
          <w:sz w:val="24"/>
          <w:szCs w:val="24"/>
        </w:rPr>
        <w:t>应用开发方案编制主要内容及要求：</w:t>
      </w:r>
    </w:p>
    <w:p>
      <w:pPr>
        <w:snapToGrid w:val="0"/>
        <w:spacing w:line="360" w:lineRule="auto"/>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rPr>
        <w:t>包括应用开发目标、规模、内容、开发周期等。该应用</w:t>
      </w:r>
      <w:r>
        <w:rPr>
          <w:rFonts w:hint="eastAsia" w:ascii="宋体" w:hAnsi="宋体"/>
          <w:sz w:val="24"/>
          <w:szCs w:val="24"/>
          <w:lang w:val="en-US" w:eastAsia="zh-CN"/>
        </w:rPr>
        <w:t>开发方案</w:t>
      </w:r>
      <w:r>
        <w:rPr>
          <w:rFonts w:hint="eastAsia" w:ascii="宋体" w:hAnsi="宋体"/>
          <w:sz w:val="24"/>
          <w:szCs w:val="24"/>
        </w:rPr>
        <w:t>以瓶装燃气“全链条、全环节、全要素”智治为核心，设计多跨场景</w:t>
      </w:r>
      <w:r>
        <w:rPr>
          <w:rFonts w:hint="eastAsia" w:ascii="宋体" w:hAnsi="宋体"/>
          <w:sz w:val="24"/>
          <w:szCs w:val="24"/>
          <w:lang w:val="en-US" w:eastAsia="zh-CN"/>
        </w:rPr>
        <w:t>和</w:t>
      </w:r>
      <w:r>
        <w:rPr>
          <w:rFonts w:hint="eastAsia" w:ascii="宋体" w:hAnsi="宋体"/>
          <w:sz w:val="24"/>
          <w:szCs w:val="24"/>
        </w:rPr>
        <w:t>应用事项，实现瓶装燃气产、运、储、销、用、管环节全覆盖</w:t>
      </w:r>
      <w:r>
        <w:rPr>
          <w:rFonts w:hint="eastAsia" w:ascii="宋体" w:hAnsi="宋体"/>
          <w:sz w:val="24"/>
          <w:szCs w:val="24"/>
          <w:lang w:eastAsia="zh-CN"/>
        </w:rPr>
        <w:t>，并符合“三张清单”内容要求</w:t>
      </w:r>
      <w:r>
        <w:rPr>
          <w:rFonts w:hint="eastAsia" w:ascii="宋体" w:hAnsi="宋体"/>
          <w:sz w:val="24"/>
          <w:szCs w:val="24"/>
        </w:rPr>
        <w:t>。其中，针对瓶装燃气经营企业主体责任不落实、违法违规经营两个突出问题，</w:t>
      </w:r>
      <w:r>
        <w:rPr>
          <w:rFonts w:hint="eastAsia" w:ascii="宋体" w:hAnsi="宋体"/>
          <w:sz w:val="24"/>
          <w:szCs w:val="24"/>
          <w:lang w:val="en-US" w:eastAsia="zh-CN"/>
        </w:rPr>
        <w:t>需</w:t>
      </w:r>
      <w:r>
        <w:rPr>
          <w:rFonts w:hint="eastAsia" w:ascii="宋体" w:hAnsi="宋体"/>
          <w:sz w:val="24"/>
          <w:szCs w:val="24"/>
        </w:rPr>
        <w:t>开发气瓶管控、充装管控、运输管控、销售管控、用户管控等多跨场景应用；针对行业安全风险高、部门监管合力差、教育培训手段不完善等问题，</w:t>
      </w:r>
      <w:r>
        <w:rPr>
          <w:rFonts w:hint="eastAsia" w:ascii="宋体" w:hAnsi="宋体"/>
          <w:sz w:val="24"/>
          <w:szCs w:val="24"/>
          <w:lang w:val="en-US" w:eastAsia="zh-CN"/>
        </w:rPr>
        <w:t>需</w:t>
      </w:r>
      <w:r>
        <w:rPr>
          <w:rFonts w:hint="eastAsia" w:ascii="宋体" w:hAnsi="宋体"/>
          <w:sz w:val="24"/>
          <w:szCs w:val="24"/>
        </w:rPr>
        <w:t>开发风险管控和行业管控多跨场景应用。</w:t>
      </w:r>
    </w:p>
    <w:p>
      <w:pPr>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二</w:t>
      </w:r>
      <w:r>
        <w:rPr>
          <w:rFonts w:hint="eastAsia" w:ascii="宋体" w:hAnsi="宋体"/>
          <w:sz w:val="24"/>
          <w:szCs w:val="24"/>
          <w:lang w:eastAsia="zh-CN"/>
        </w:rPr>
        <w:t>）该应用</w:t>
      </w:r>
      <w:r>
        <w:rPr>
          <w:rFonts w:hint="eastAsia" w:ascii="宋体" w:hAnsi="宋体"/>
          <w:sz w:val="24"/>
          <w:szCs w:val="24"/>
          <w:lang w:val="en-US" w:eastAsia="zh-CN"/>
        </w:rPr>
        <w:t>需实现以下目标</w:t>
      </w:r>
      <w:r>
        <w:rPr>
          <w:rFonts w:hint="eastAsia" w:ascii="宋体" w:hAnsi="宋体"/>
          <w:sz w:val="24"/>
          <w:szCs w:val="24"/>
          <w:lang w:eastAsia="zh-CN"/>
        </w:rPr>
        <w:t>：</w:t>
      </w:r>
    </w:p>
    <w:p>
      <w:pPr>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val="en-US" w:eastAsia="zh-CN"/>
        </w:rPr>
        <w:t>1.</w:t>
      </w:r>
      <w:r>
        <w:rPr>
          <w:rFonts w:hint="eastAsia" w:ascii="宋体" w:hAnsi="宋体"/>
          <w:sz w:val="24"/>
          <w:szCs w:val="24"/>
          <w:lang w:eastAsia="zh-CN"/>
        </w:rPr>
        <w:t>实现瓶装燃气安全管理各部门共治共享，通过跨部门跨层级信息交流共享、相互协调配合、联合行动处置等方式，打通部门管理隔离带，形成瓶装燃气行业管理共治共享格局。</w:t>
      </w:r>
    </w:p>
    <w:p>
      <w:pPr>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sz w:val="24"/>
          <w:szCs w:val="24"/>
          <w:lang w:eastAsia="zh-CN"/>
        </w:rPr>
        <w:t>实现气瓶质量全生命周期监管，通过建立气瓶电子标签“一瓶一码一档”身份认证机制，实现气瓶全生命周期溯源管理，从根本上确保在用气瓶安全可控。</w:t>
      </w:r>
    </w:p>
    <w:p>
      <w:pPr>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val="en-US" w:eastAsia="zh-CN"/>
        </w:rPr>
        <w:t>3.</w:t>
      </w:r>
      <w:r>
        <w:rPr>
          <w:rFonts w:hint="eastAsia" w:ascii="宋体" w:hAnsi="宋体"/>
          <w:sz w:val="24"/>
          <w:szCs w:val="24"/>
          <w:lang w:eastAsia="zh-CN"/>
        </w:rPr>
        <w:t>重塑事故预防与处置新机制，通过对气瓶进行安全期、临期、超期三色电子标识，及时提醒企业和用户气瓶安全使用时间；通过对配送人员分发随瓶安检电子清单，及时发现用户瓶阀管灶问题并整改；通过对用户燃气泄</w:t>
      </w:r>
      <w:r>
        <w:rPr>
          <w:rFonts w:hint="eastAsia" w:ascii="宋体" w:hAnsi="宋体"/>
          <w:sz w:val="24"/>
          <w:szCs w:val="24"/>
          <w:lang w:val="en-US" w:eastAsia="zh-CN"/>
        </w:rPr>
        <w:t>漏</w:t>
      </w:r>
      <w:bookmarkStart w:id="137" w:name="_GoBack"/>
      <w:bookmarkEnd w:id="137"/>
      <w:r>
        <w:rPr>
          <w:rFonts w:hint="eastAsia" w:ascii="宋体" w:hAnsi="宋体"/>
          <w:sz w:val="24"/>
          <w:szCs w:val="24"/>
          <w:lang w:eastAsia="zh-CN"/>
        </w:rPr>
        <w:t>报警装置实时监测，及时发现事故隐患并科学合理处置，实现事故由事中、事后处置向事前预防转型，构建事故预防与处置新机制。</w:t>
      </w:r>
    </w:p>
    <w:p>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lang w:eastAsia="zh-CN"/>
        </w:rPr>
        <w:t>创建安全管理综合评价新机制，建立政企安全管理工作双向联动综合评价体系。通过对部门和区县管理工作完成情况实施在线统计，对企业主体责任落实情况形成统计数据和报告。运用数据和报告及时督促行业管理人员履职尽责，督促企业落实主体责任</w:t>
      </w:r>
      <w:r>
        <w:rPr>
          <w:rFonts w:hint="eastAsia" w:ascii="宋体" w:hAnsi="宋体"/>
          <w:sz w:val="24"/>
          <w:szCs w:val="24"/>
        </w:rPr>
        <w:t>。</w:t>
      </w:r>
    </w:p>
    <w:p>
      <w:pPr>
        <w:pStyle w:val="4"/>
        <w:snapToGrid/>
        <w:spacing w:before="0" w:after="0" w:line="360" w:lineRule="auto"/>
        <w:ind w:firstLine="482"/>
        <w:rPr>
          <w:rFonts w:hint="default" w:ascii="宋体" w:hAnsi="宋体" w:eastAsia="宋体"/>
          <w:sz w:val="24"/>
          <w:szCs w:val="24"/>
          <w:lang w:val="en-US" w:eastAsia="zh-CN"/>
        </w:rPr>
      </w:pPr>
      <w:bookmarkStart w:id="34" w:name="_Toc89245513"/>
      <w:bookmarkStart w:id="35" w:name="_Toc31204"/>
      <w:r>
        <w:rPr>
          <w:rFonts w:hint="eastAsia" w:ascii="宋体" w:hAnsi="宋体"/>
          <w:sz w:val="24"/>
          <w:szCs w:val="24"/>
        </w:rPr>
        <w:t>※三、</w:t>
      </w:r>
      <w:bookmarkEnd w:id="34"/>
      <w:r>
        <w:rPr>
          <w:rFonts w:hint="eastAsia" w:ascii="宋体" w:hAnsi="宋体"/>
          <w:sz w:val="24"/>
          <w:szCs w:val="24"/>
        </w:rPr>
        <w:t>项目成果</w:t>
      </w:r>
      <w:r>
        <w:rPr>
          <w:rFonts w:hint="eastAsia" w:ascii="宋体" w:hAnsi="宋体"/>
          <w:sz w:val="24"/>
          <w:szCs w:val="24"/>
          <w:lang w:val="en-US" w:eastAsia="zh-CN"/>
        </w:rPr>
        <w:t>及要求</w:t>
      </w:r>
      <w:bookmarkEnd w:id="35"/>
    </w:p>
    <w:p>
      <w:pPr>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按照《重庆市政务数字化应用开发操作指南（2024年版）》要求，编制完成“经济·瓶装燃气智慧管理”应用开发方案，并需通过市大数据发展局、市委网信办、市委机要局、市财政局联合评审</w:t>
      </w:r>
      <w:r>
        <w:rPr>
          <w:rFonts w:hint="eastAsia" w:ascii="宋体" w:hAnsi="宋体"/>
          <w:sz w:val="24"/>
          <w:szCs w:val="24"/>
          <w:lang w:eastAsia="zh-CN"/>
        </w:rPr>
        <w:t>。</w:t>
      </w:r>
    </w:p>
    <w:p>
      <w:pPr>
        <w:snapToGrid w:val="0"/>
        <w:spacing w:line="360" w:lineRule="auto"/>
        <w:ind w:firstLine="480" w:firstLineChars="200"/>
        <w:rPr>
          <w:rFonts w:ascii="宋体" w:hAnsi="宋体"/>
          <w:sz w:val="24"/>
          <w:szCs w:val="24"/>
        </w:rPr>
      </w:pPr>
    </w:p>
    <w:bookmarkEnd w:id="25"/>
    <w:bookmarkEnd w:id="26"/>
    <w:p>
      <w:pPr>
        <w:pStyle w:val="3"/>
        <w:pageBreakBefore/>
        <w:spacing w:line="360" w:lineRule="auto"/>
        <w:jc w:val="center"/>
        <w:rPr>
          <w:rFonts w:ascii="宋体" w:hAnsi="宋体" w:eastAsia="宋体"/>
          <w:sz w:val="36"/>
          <w:szCs w:val="30"/>
        </w:rPr>
      </w:pPr>
      <w:bookmarkStart w:id="36" w:name="_Toc14716"/>
      <w:r>
        <w:rPr>
          <w:rFonts w:hint="eastAsia" w:ascii="宋体" w:hAnsi="宋体" w:eastAsia="宋体"/>
          <w:sz w:val="36"/>
          <w:szCs w:val="30"/>
        </w:rPr>
        <w:t>第三篇  项目商务需求</w:t>
      </w:r>
      <w:bookmarkEnd w:id="27"/>
      <w:bookmarkEnd w:id="36"/>
    </w:p>
    <w:p>
      <w:pPr>
        <w:snapToGrid w:val="0"/>
        <w:spacing w:line="360" w:lineRule="auto"/>
        <w:ind w:firstLine="422" w:firstLineChars="200"/>
        <w:rPr>
          <w:rFonts w:ascii="宋体" w:hAnsi="宋体"/>
          <w:b/>
          <w:sz w:val="24"/>
          <w:szCs w:val="24"/>
        </w:rPr>
      </w:pPr>
      <w:bookmarkStart w:id="37" w:name="_Toc267320049"/>
      <w:r>
        <w:rPr>
          <w:rFonts w:hint="eastAsia" w:ascii="宋体" w:hAnsi="宋体"/>
          <w:b/>
          <w:sz w:val="21"/>
          <w:szCs w:val="21"/>
        </w:rPr>
        <w:t>“※”标注部分为符合性审查中的实质性要求，响应文件若不满足按无效响应处理。</w:t>
      </w:r>
    </w:p>
    <w:bookmarkEnd w:id="37"/>
    <w:p>
      <w:pPr>
        <w:pStyle w:val="4"/>
        <w:spacing w:before="0" w:after="0" w:line="360" w:lineRule="auto"/>
        <w:ind w:firstLine="482" w:firstLineChars="200"/>
        <w:rPr>
          <w:rFonts w:ascii="宋体" w:hAnsi="宋体"/>
          <w:sz w:val="24"/>
          <w:szCs w:val="24"/>
        </w:rPr>
      </w:pPr>
      <w:bookmarkStart w:id="38" w:name="_Toc5135"/>
      <w:bookmarkStart w:id="39" w:name="_Toc3326"/>
      <w:bookmarkStart w:id="40" w:name="_Toc78194439"/>
      <w:r>
        <w:rPr>
          <w:rFonts w:hint="eastAsia" w:ascii="宋体" w:hAnsi="宋体"/>
          <w:sz w:val="24"/>
          <w:szCs w:val="24"/>
        </w:rPr>
        <w:t>※一、服务时间、服务地点及验收方式</w:t>
      </w:r>
      <w:bookmarkEnd w:id="38"/>
      <w:bookmarkEnd w:id="39"/>
      <w:bookmarkEnd w:id="40"/>
    </w:p>
    <w:p>
      <w:pPr>
        <w:snapToGrid w:val="0"/>
        <w:spacing w:line="360" w:lineRule="auto"/>
        <w:ind w:firstLine="480" w:firstLineChars="200"/>
        <w:rPr>
          <w:rFonts w:ascii="宋体" w:hAnsi="宋体"/>
          <w:sz w:val="24"/>
          <w:szCs w:val="24"/>
        </w:rPr>
      </w:pPr>
      <w:r>
        <w:rPr>
          <w:rFonts w:hint="eastAsia" w:ascii="宋体" w:hAnsi="宋体"/>
          <w:sz w:val="24"/>
          <w:szCs w:val="24"/>
        </w:rPr>
        <w:t>（一）服务时间</w:t>
      </w:r>
    </w:p>
    <w:p>
      <w:pPr>
        <w:snapToGrid w:val="0"/>
        <w:spacing w:line="360" w:lineRule="auto"/>
        <w:ind w:firstLine="480" w:firstLineChars="200"/>
      </w:pPr>
      <w:r>
        <w:rPr>
          <w:rFonts w:hint="eastAsia" w:ascii="宋体" w:hAnsi="宋体"/>
          <w:sz w:val="24"/>
          <w:szCs w:val="24"/>
        </w:rPr>
        <w:t>合同签订之日起</w:t>
      </w:r>
      <w:r>
        <w:rPr>
          <w:rFonts w:hint="eastAsia" w:ascii="宋体" w:hAnsi="宋体"/>
          <w:sz w:val="24"/>
          <w:szCs w:val="24"/>
          <w:lang w:val="en-US" w:eastAsia="zh-CN"/>
        </w:rPr>
        <w:t>20日内</w:t>
      </w:r>
      <w:r>
        <w:rPr>
          <w:rFonts w:hint="eastAsia" w:ascii="宋体" w:hAnsi="宋体"/>
          <w:sz w:val="24"/>
          <w:szCs w:val="24"/>
        </w:rPr>
        <w:t>完成本项目的所有工作。</w:t>
      </w:r>
    </w:p>
    <w:p>
      <w:pPr>
        <w:snapToGrid w:val="0"/>
        <w:spacing w:line="360" w:lineRule="auto"/>
        <w:ind w:firstLine="480" w:firstLineChars="200"/>
        <w:rPr>
          <w:rFonts w:ascii="宋体" w:hAnsi="宋体"/>
          <w:sz w:val="24"/>
          <w:szCs w:val="24"/>
        </w:rPr>
      </w:pPr>
      <w:r>
        <w:rPr>
          <w:rFonts w:hint="eastAsia" w:ascii="宋体" w:hAnsi="宋体"/>
          <w:sz w:val="24"/>
          <w:szCs w:val="24"/>
        </w:rPr>
        <w:t>（二）服务地点</w:t>
      </w:r>
    </w:p>
    <w:p>
      <w:pPr>
        <w:snapToGrid w:val="0"/>
        <w:spacing w:line="360" w:lineRule="auto"/>
        <w:ind w:firstLine="480" w:firstLineChars="200"/>
        <w:rPr>
          <w:rFonts w:ascii="宋体" w:hAnsi="宋体"/>
          <w:sz w:val="24"/>
          <w:szCs w:val="24"/>
        </w:rPr>
      </w:pPr>
      <w:r>
        <w:rPr>
          <w:rFonts w:hint="eastAsia" w:ascii="宋体" w:hAnsi="宋体"/>
          <w:sz w:val="24"/>
          <w:szCs w:val="24"/>
        </w:rPr>
        <w:t>采购人指定或同意地点</w:t>
      </w:r>
      <w:r>
        <w:rPr>
          <w:rFonts w:hint="eastAsia" w:ascii="宋体" w:hAnsi="宋体"/>
          <w:sz w:val="24"/>
          <w:szCs w:val="24"/>
          <w:lang w:eastAsia="zh-CN"/>
        </w:rPr>
        <w:t>（</w:t>
      </w:r>
      <w:r>
        <w:rPr>
          <w:rFonts w:hint="eastAsia" w:ascii="宋体" w:hAnsi="宋体"/>
          <w:sz w:val="24"/>
          <w:szCs w:val="24"/>
          <w:lang w:val="en-US" w:eastAsia="zh-CN"/>
        </w:rPr>
        <w:t>重庆市内</w:t>
      </w:r>
      <w:r>
        <w:rPr>
          <w:rFonts w:hint="eastAsia" w:ascii="宋体" w:hAnsi="宋体"/>
          <w:sz w:val="24"/>
          <w:szCs w:val="24"/>
          <w:lang w:eastAsia="zh-CN"/>
        </w:rPr>
        <w:t>）</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（三）验收方式</w:t>
      </w:r>
    </w:p>
    <w:p>
      <w:pPr>
        <w:snapToGrid w:val="0"/>
        <w:spacing w:line="360" w:lineRule="auto"/>
        <w:ind w:firstLine="480" w:firstLineChars="200"/>
        <w:rPr>
          <w:rFonts w:ascii="宋体" w:hAnsi="宋体"/>
          <w:sz w:val="24"/>
          <w:szCs w:val="24"/>
        </w:rPr>
      </w:pPr>
      <w:r>
        <w:rPr>
          <w:rFonts w:hint="eastAsia" w:ascii="宋体" w:hAnsi="宋体"/>
          <w:sz w:val="24"/>
          <w:szCs w:val="24"/>
        </w:rPr>
        <w:t>1.验收组织单位：重庆市经济和信息化委员会。</w:t>
      </w:r>
    </w:p>
    <w:p>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2.验收标准：合同执行完毕后，采购人在7个工作日内对成交供应商的完成情况按照以经确认的合同、国家及行业相关标准、采购文件规定，由重庆市经济和信息化委员会</w:t>
      </w:r>
      <w:r>
        <w:rPr>
          <w:rFonts w:hint="eastAsia" w:ascii="宋体" w:hAnsi="宋体"/>
          <w:sz w:val="24"/>
          <w:szCs w:val="24"/>
          <w:highlight w:val="none"/>
        </w:rPr>
        <w:t>进行初审，并提交“经济·瓶装燃气智慧管理”应用开发</w:t>
      </w:r>
      <w:r>
        <w:rPr>
          <w:rFonts w:hint="eastAsia" w:ascii="宋体" w:hAnsi="宋体"/>
          <w:sz w:val="24"/>
          <w:szCs w:val="24"/>
          <w:highlight w:val="none"/>
          <w:lang w:val="en-US" w:eastAsia="zh-CN"/>
        </w:rPr>
        <w:t>方</w:t>
      </w:r>
      <w:r>
        <w:rPr>
          <w:rFonts w:hint="eastAsia" w:ascii="宋体" w:hAnsi="宋体"/>
          <w:sz w:val="24"/>
          <w:szCs w:val="24"/>
          <w:highlight w:val="none"/>
        </w:rPr>
        <w:t>案至市级</w:t>
      </w:r>
      <w:r>
        <w:rPr>
          <w:rFonts w:hint="eastAsia" w:ascii="宋体" w:hAnsi="宋体"/>
          <w:sz w:val="24"/>
          <w:szCs w:val="24"/>
          <w:highlight w:val="none"/>
          <w:lang w:val="en-US" w:eastAsia="zh-CN"/>
        </w:rPr>
        <w:t>相关</w:t>
      </w:r>
      <w:r>
        <w:rPr>
          <w:rFonts w:hint="eastAsia" w:ascii="宋体" w:hAnsi="宋体"/>
          <w:sz w:val="24"/>
          <w:szCs w:val="24"/>
          <w:highlight w:val="none"/>
        </w:rPr>
        <w:t>部门审核</w:t>
      </w:r>
      <w:r>
        <w:rPr>
          <w:rFonts w:hint="eastAsia" w:ascii="宋体" w:hAnsi="宋体"/>
          <w:sz w:val="24"/>
          <w:szCs w:val="24"/>
        </w:rPr>
        <w:t>，并获得批复。如验收达不到相关规定要求的，成交供应商不仅无权要求支付后续款项，而且成交供应商应立即进行整改，整改后仍不合格的，则视为验收不合格，采购人有权立即终止合同，并追究其相关法律责任。以上对采购人造成的所有损失，由成交供应商赔偿。</w:t>
      </w:r>
    </w:p>
    <w:p>
      <w:pPr>
        <w:snapToGrid w:val="0"/>
        <w:spacing w:line="360" w:lineRule="auto"/>
        <w:ind w:firstLine="480" w:firstLineChars="200"/>
        <w:rPr>
          <w:rFonts w:ascii="宋体" w:hAnsi="宋体"/>
          <w:sz w:val="24"/>
          <w:szCs w:val="24"/>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p>
    <w:p>
      <w:pPr>
        <w:snapToGrid w:val="0"/>
        <w:spacing w:line="360" w:lineRule="auto"/>
        <w:ind w:firstLine="480" w:firstLineChars="200"/>
        <w:rPr>
          <w:rFonts w:ascii="宋体" w:hAnsi="宋体"/>
          <w:sz w:val="24"/>
          <w:szCs w:val="24"/>
        </w:rPr>
      </w:pPr>
      <w:r>
        <w:rPr>
          <w:rFonts w:hint="eastAsia" w:ascii="宋体" w:hAnsi="宋体"/>
          <w:sz w:val="24"/>
          <w:szCs w:val="24"/>
        </w:rPr>
        <w:t>3.若有需要，成交供应商应配合采购人完成项目审计。</w:t>
      </w:r>
    </w:p>
    <w:p>
      <w:pPr>
        <w:pStyle w:val="4"/>
        <w:spacing w:before="0" w:after="0" w:line="360" w:lineRule="auto"/>
        <w:ind w:firstLine="482" w:firstLineChars="200"/>
        <w:rPr>
          <w:rFonts w:ascii="宋体" w:hAnsi="宋体"/>
          <w:sz w:val="24"/>
          <w:szCs w:val="24"/>
        </w:rPr>
      </w:pPr>
      <w:bookmarkStart w:id="41" w:name="_Toc1608"/>
      <w:bookmarkStart w:id="42" w:name="_Toc30891"/>
      <w:bookmarkStart w:id="43" w:name="_Toc78194440"/>
      <w:r>
        <w:rPr>
          <w:rFonts w:hint="eastAsia" w:ascii="宋体" w:hAnsi="宋体"/>
          <w:sz w:val="24"/>
          <w:szCs w:val="24"/>
        </w:rPr>
        <w:t>※二、报价要求</w:t>
      </w:r>
      <w:bookmarkEnd w:id="41"/>
      <w:bookmarkEnd w:id="42"/>
      <w:bookmarkEnd w:id="43"/>
    </w:p>
    <w:p>
      <w:pPr>
        <w:snapToGrid w:val="0"/>
        <w:spacing w:line="360" w:lineRule="auto"/>
        <w:ind w:firstLine="480" w:firstLineChars="200"/>
        <w:rPr>
          <w:rFonts w:ascii="宋体" w:hAnsi="宋体"/>
          <w:sz w:val="24"/>
          <w:szCs w:val="24"/>
        </w:rPr>
      </w:pPr>
      <w:r>
        <w:rPr>
          <w:rFonts w:hint="eastAsia" w:ascii="宋体" w:hAnsi="宋体"/>
          <w:sz w:val="24"/>
          <w:szCs w:val="24"/>
        </w:rPr>
        <w:t>（一）供应商的报价应包括完成项目的全部费用，包括但不限于数据收集费、报告编制费、交通费、通讯费、人工费、税费及其它与本项目相关的一切费用。采购人除此以外不支付其它费用。因供应商自身原因造成漏报、少报皆由其自行承担责任，采购人不再补偿。</w:t>
      </w:r>
    </w:p>
    <w:p>
      <w:pPr>
        <w:snapToGrid w:val="0"/>
        <w:spacing w:line="360" w:lineRule="auto"/>
        <w:ind w:firstLine="480" w:firstLineChars="200"/>
        <w:rPr>
          <w:rFonts w:ascii="宋体" w:hAnsi="宋体"/>
          <w:sz w:val="24"/>
          <w:szCs w:val="24"/>
        </w:rPr>
      </w:pPr>
      <w:r>
        <w:rPr>
          <w:rFonts w:hint="eastAsia" w:ascii="宋体" w:hAnsi="宋体"/>
          <w:sz w:val="24"/>
          <w:szCs w:val="24"/>
        </w:rPr>
        <w:t>（二）供应商的分项报价为含税价（</w:t>
      </w:r>
      <w:r>
        <w:rPr>
          <w:rFonts w:hint="eastAsia" w:ascii="宋体" w:hAnsi="宋体"/>
          <w:b/>
          <w:sz w:val="24"/>
          <w:szCs w:val="24"/>
        </w:rPr>
        <w:t>即税费不单列</w:t>
      </w:r>
      <w:r>
        <w:rPr>
          <w:rFonts w:hint="eastAsia" w:ascii="宋体" w:hAnsi="宋体"/>
          <w:sz w:val="24"/>
          <w:szCs w:val="24"/>
        </w:rPr>
        <w:t>），应包含本篇“</w:t>
      </w:r>
      <w:r>
        <w:rPr>
          <w:rFonts w:hint="eastAsia" w:ascii="宋体" w:hAnsi="宋体"/>
          <w:b/>
          <w:sz w:val="24"/>
          <w:szCs w:val="24"/>
        </w:rPr>
        <w:t>二、报价要求（一）</w:t>
      </w:r>
      <w:r>
        <w:rPr>
          <w:rFonts w:hint="eastAsia" w:ascii="宋体" w:hAnsi="宋体"/>
          <w:sz w:val="24"/>
          <w:szCs w:val="24"/>
        </w:rPr>
        <w:t>”所列的所有费用。</w:t>
      </w:r>
    </w:p>
    <w:p>
      <w:pPr>
        <w:snapToGrid w:val="0"/>
        <w:spacing w:line="360" w:lineRule="auto"/>
        <w:ind w:firstLine="480" w:firstLineChars="200"/>
        <w:rPr>
          <w:rFonts w:ascii="宋体" w:hAnsi="宋体"/>
          <w:sz w:val="24"/>
          <w:szCs w:val="24"/>
        </w:rPr>
      </w:pPr>
      <w:r>
        <w:rPr>
          <w:rFonts w:hint="eastAsia" w:ascii="宋体" w:hAnsi="宋体"/>
          <w:bCs/>
          <w:sz w:val="24"/>
          <w:szCs w:val="24"/>
        </w:rPr>
        <w:t>（三）供应商须在响应文件“分项报价明细表”的“相关信息”一栏中详细列出明细报价组成情况。若明细内容较多的，供应商可自行增加列表。</w:t>
      </w:r>
    </w:p>
    <w:p>
      <w:pPr>
        <w:pStyle w:val="4"/>
        <w:spacing w:before="0" w:after="0" w:line="360" w:lineRule="auto"/>
        <w:ind w:firstLine="482" w:firstLineChars="200"/>
        <w:rPr>
          <w:rFonts w:ascii="宋体" w:hAnsi="宋体"/>
          <w:sz w:val="24"/>
          <w:szCs w:val="24"/>
        </w:rPr>
      </w:pPr>
      <w:bookmarkStart w:id="44" w:name="_Toc78194441"/>
      <w:bookmarkStart w:id="45" w:name="_Toc15896"/>
      <w:bookmarkStart w:id="46" w:name="_Toc32493"/>
      <w:r>
        <w:rPr>
          <w:rFonts w:hint="eastAsia" w:ascii="宋体" w:hAnsi="宋体"/>
          <w:sz w:val="24"/>
          <w:szCs w:val="24"/>
        </w:rPr>
        <w:t>※三、付款方式</w:t>
      </w:r>
      <w:bookmarkEnd w:id="44"/>
      <w:bookmarkEnd w:id="45"/>
      <w:bookmarkEnd w:id="46"/>
    </w:p>
    <w:p>
      <w:pPr>
        <w:snapToGrid w:val="0"/>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一</w:t>
      </w:r>
      <w:r>
        <w:rPr>
          <w:rFonts w:hint="eastAsia" w:ascii="宋体" w:hAnsi="宋体"/>
          <w:sz w:val="24"/>
          <w:szCs w:val="24"/>
        </w:rPr>
        <w:t>）合同签订后成交供应商向采购人提供暂定合同总额50%的增值税发票及与预付款同等额度的担保函，采购人原则上在收到发票及担保函后5个工作日内按程序办理支付手续，</w:t>
      </w:r>
      <w:r>
        <w:rPr>
          <w:rFonts w:hint="eastAsia" w:ascii="宋体" w:hAnsi="宋体"/>
          <w:sz w:val="24"/>
          <w:szCs w:val="24"/>
          <w:lang w:val="en-US" w:eastAsia="zh-CN"/>
        </w:rPr>
        <w:t>10个工作日</w:t>
      </w:r>
      <w:r>
        <w:rPr>
          <w:rFonts w:hint="eastAsia" w:ascii="宋体" w:hAnsi="宋体"/>
          <w:sz w:val="24"/>
          <w:szCs w:val="24"/>
        </w:rPr>
        <w:t>支付合同金额的50%作为预付款。</w:t>
      </w:r>
    </w:p>
    <w:p>
      <w:pPr>
        <w:snapToGrid w:val="0"/>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二</w:t>
      </w:r>
      <w:r>
        <w:rPr>
          <w:rFonts w:hint="eastAsia" w:ascii="宋体" w:hAnsi="宋体"/>
          <w:sz w:val="24"/>
          <w:szCs w:val="24"/>
        </w:rPr>
        <w:t>）成交供应商按要求完成项目成果编制并报送，通过市大数据发展局等市级有关部门审查、评审，</w:t>
      </w:r>
      <w:r>
        <w:rPr>
          <w:rFonts w:hint="eastAsia" w:ascii="宋体" w:hAnsi="宋体"/>
          <w:sz w:val="24"/>
          <w:szCs w:val="24"/>
          <w:lang w:val="en-US" w:eastAsia="zh-CN"/>
        </w:rPr>
        <w:t>并</w:t>
      </w:r>
      <w:r>
        <w:rPr>
          <w:rFonts w:hint="eastAsia" w:ascii="宋体" w:hAnsi="宋体"/>
          <w:sz w:val="24"/>
          <w:szCs w:val="24"/>
        </w:rPr>
        <w:t>取得批复文件。成交供应商提交项目成果资料（包括但不限于文字资料、图片资料、影像资料和产权移交清单等）且项目验收完成，成交供应商提供剩余合同金额足额增值税发票，采购人原则上在收到发票后5个工作日内按程序办理支付手续，</w:t>
      </w:r>
      <w:r>
        <w:rPr>
          <w:rFonts w:hint="eastAsia" w:ascii="宋体" w:hAnsi="宋体"/>
          <w:sz w:val="24"/>
          <w:szCs w:val="24"/>
          <w:lang w:val="en-US" w:eastAsia="zh-CN"/>
        </w:rPr>
        <w:t>10个工作日内</w:t>
      </w:r>
      <w:r>
        <w:rPr>
          <w:rFonts w:hint="eastAsia" w:ascii="宋体" w:hAnsi="宋体"/>
          <w:sz w:val="24"/>
          <w:szCs w:val="24"/>
        </w:rPr>
        <w:t>支付剩余款项。</w:t>
      </w:r>
    </w:p>
    <w:p>
      <w:pPr>
        <w:snapToGrid w:val="0"/>
        <w:spacing w:line="360" w:lineRule="auto"/>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）如成交供应商收到预付款后不履行相关义务，采购人可通过担保函收回已支付的预付款。</w:t>
      </w:r>
    </w:p>
    <w:p>
      <w:pPr>
        <w:snapToGrid w:val="0"/>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四</w:t>
      </w:r>
      <w:r>
        <w:rPr>
          <w:rFonts w:hint="eastAsia" w:ascii="宋体" w:hAnsi="宋体"/>
          <w:sz w:val="24"/>
          <w:szCs w:val="24"/>
        </w:rPr>
        <w:t>）在签订合同时，成交供应商主动提出不支付预付款的，则无需提交预付款保函；成交供应商主动提出降低预付款比例的，支付比例按约定比例执行。</w:t>
      </w:r>
    </w:p>
    <w:p>
      <w:pPr>
        <w:pStyle w:val="4"/>
        <w:spacing w:before="0" w:after="0" w:line="360" w:lineRule="auto"/>
        <w:ind w:firstLine="482" w:firstLineChars="200"/>
        <w:rPr>
          <w:rFonts w:ascii="宋体" w:hAnsi="宋体"/>
          <w:sz w:val="24"/>
          <w:szCs w:val="24"/>
        </w:rPr>
      </w:pPr>
      <w:bookmarkStart w:id="47" w:name="_Toc26535"/>
      <w:r>
        <w:rPr>
          <w:rFonts w:hint="eastAsia" w:ascii="宋体" w:hAnsi="宋体"/>
          <w:sz w:val="24"/>
          <w:szCs w:val="24"/>
        </w:rPr>
        <w:t>※四、履约保证金</w:t>
      </w:r>
      <w:bookmarkEnd w:id="47"/>
    </w:p>
    <w:p>
      <w:pPr>
        <w:snapToGrid w:val="0"/>
        <w:spacing w:line="360" w:lineRule="auto"/>
        <w:ind w:firstLine="482" w:firstLineChars="200"/>
        <w:rPr>
          <w:rFonts w:ascii="宋体" w:hAnsi="宋体"/>
          <w:b/>
          <w:sz w:val="24"/>
          <w:szCs w:val="24"/>
        </w:rPr>
      </w:pPr>
      <w:r>
        <w:rPr>
          <w:rFonts w:hint="eastAsia" w:ascii="宋体" w:hAnsi="宋体"/>
          <w:b/>
          <w:sz w:val="24"/>
          <w:szCs w:val="24"/>
        </w:rPr>
        <w:t>若本项目无需支付预付款，则供应商需按以下要求提交履约保证金。</w:t>
      </w:r>
    </w:p>
    <w:p>
      <w:pPr>
        <w:snapToGrid w:val="0"/>
        <w:spacing w:line="360" w:lineRule="auto"/>
        <w:ind w:firstLine="480" w:firstLineChars="200"/>
        <w:rPr>
          <w:rFonts w:ascii="宋体" w:hAnsi="宋体"/>
          <w:sz w:val="24"/>
          <w:szCs w:val="24"/>
        </w:rPr>
      </w:pPr>
      <w:r>
        <w:rPr>
          <w:rFonts w:hint="eastAsia" w:ascii="宋体" w:hAnsi="宋体"/>
          <w:sz w:val="24"/>
          <w:szCs w:val="24"/>
        </w:rPr>
        <w:t>金额：成交金额的5%；</w:t>
      </w:r>
    </w:p>
    <w:p>
      <w:pPr>
        <w:snapToGrid w:val="0"/>
        <w:spacing w:line="360" w:lineRule="auto"/>
        <w:ind w:firstLine="480" w:firstLineChars="200"/>
        <w:rPr>
          <w:rFonts w:ascii="宋体" w:hAnsi="宋体"/>
          <w:sz w:val="24"/>
          <w:szCs w:val="24"/>
        </w:rPr>
      </w:pPr>
      <w:r>
        <w:rPr>
          <w:rFonts w:hint="eastAsia" w:ascii="宋体" w:hAnsi="宋体"/>
          <w:sz w:val="24"/>
          <w:szCs w:val="24"/>
        </w:rPr>
        <w:t>缴纳时间：采购合同签订前；</w:t>
      </w:r>
    </w:p>
    <w:p>
      <w:pPr>
        <w:snapToGrid w:val="0"/>
        <w:spacing w:line="360" w:lineRule="auto"/>
        <w:ind w:firstLine="480" w:firstLineChars="200"/>
        <w:rPr>
          <w:rFonts w:ascii="宋体" w:hAnsi="宋体"/>
          <w:sz w:val="24"/>
          <w:szCs w:val="24"/>
        </w:rPr>
      </w:pPr>
      <w:r>
        <w:rPr>
          <w:rFonts w:hint="eastAsia" w:ascii="宋体" w:hAnsi="宋体"/>
          <w:sz w:val="24"/>
          <w:szCs w:val="24"/>
        </w:rPr>
        <w:t>缴纳方式：支票、汇票、本票或保函等非现金形式；</w:t>
      </w:r>
    </w:p>
    <w:p>
      <w:pPr>
        <w:snapToGrid w:val="0"/>
        <w:spacing w:line="360" w:lineRule="auto"/>
        <w:ind w:firstLine="480" w:firstLineChars="200"/>
        <w:rPr>
          <w:rFonts w:ascii="宋体" w:hAnsi="宋体"/>
          <w:sz w:val="24"/>
          <w:szCs w:val="24"/>
        </w:rPr>
      </w:pPr>
      <w:r>
        <w:rPr>
          <w:rFonts w:hint="eastAsia" w:ascii="宋体" w:hAnsi="宋体"/>
          <w:sz w:val="24"/>
          <w:szCs w:val="24"/>
        </w:rPr>
        <w:t>退还时间：项目验收合格后3个工作日内按程序办理退还手续，一次性无息退还；</w:t>
      </w:r>
    </w:p>
    <w:p>
      <w:pPr>
        <w:snapToGrid w:val="0"/>
        <w:spacing w:line="360" w:lineRule="auto"/>
        <w:ind w:firstLine="480" w:firstLineChars="200"/>
        <w:rPr>
          <w:rFonts w:ascii="宋体" w:hAnsi="宋体"/>
          <w:sz w:val="24"/>
          <w:szCs w:val="24"/>
        </w:rPr>
      </w:pPr>
      <w:r>
        <w:rPr>
          <w:rFonts w:hint="eastAsia" w:ascii="宋体" w:hAnsi="宋体"/>
          <w:sz w:val="24"/>
          <w:szCs w:val="24"/>
        </w:rPr>
        <w:t>不予退还情形：成交供应商出现四次及以上服务质量审核不达标的。</w:t>
      </w:r>
    </w:p>
    <w:p>
      <w:pPr>
        <w:snapToGrid w:val="0"/>
        <w:spacing w:line="360" w:lineRule="auto"/>
        <w:ind w:firstLine="480" w:firstLineChars="200"/>
        <w:rPr>
          <w:rFonts w:ascii="宋体" w:hAnsi="宋体"/>
          <w:sz w:val="24"/>
          <w:szCs w:val="24"/>
        </w:rPr>
      </w:pPr>
      <w:r>
        <w:rPr>
          <w:rFonts w:hint="eastAsia" w:ascii="宋体" w:hAnsi="宋体"/>
          <w:sz w:val="24"/>
          <w:szCs w:val="24"/>
        </w:rPr>
        <w:t>若成交供应商未按要求递交履约保证金的，视为成交供应商成交后无正当理由拒不与采购人签订政府采购合同，采购人可依照《中华人民共和国政府采购法》第七十七条第一款的规定追究其法律责任。</w:t>
      </w:r>
    </w:p>
    <w:p>
      <w:pPr>
        <w:pStyle w:val="4"/>
        <w:spacing w:before="0" w:after="0" w:line="360" w:lineRule="auto"/>
        <w:ind w:firstLine="482" w:firstLineChars="200"/>
        <w:rPr>
          <w:rFonts w:ascii="宋体" w:hAnsi="宋体"/>
          <w:sz w:val="24"/>
          <w:szCs w:val="24"/>
        </w:rPr>
      </w:pPr>
      <w:bookmarkStart w:id="48" w:name="_Toc78194443"/>
      <w:bookmarkStart w:id="49" w:name="_Toc29933"/>
      <w:bookmarkStart w:id="50" w:name="_Toc28867"/>
      <w:r>
        <w:rPr>
          <w:rFonts w:hint="eastAsia" w:ascii="宋体" w:hAnsi="宋体"/>
          <w:sz w:val="24"/>
          <w:szCs w:val="24"/>
        </w:rPr>
        <w:t>※五、违约条款</w:t>
      </w:r>
      <w:bookmarkEnd w:id="48"/>
      <w:bookmarkEnd w:id="49"/>
      <w:bookmarkEnd w:id="50"/>
    </w:p>
    <w:p>
      <w:pPr>
        <w:snapToGrid w:val="0"/>
        <w:spacing w:line="360" w:lineRule="auto"/>
        <w:ind w:firstLine="480" w:firstLineChars="200"/>
        <w:rPr>
          <w:rFonts w:ascii="宋体" w:hAnsi="宋体"/>
          <w:sz w:val="24"/>
          <w:szCs w:val="24"/>
        </w:rPr>
      </w:pPr>
      <w:r>
        <w:rPr>
          <w:rFonts w:hint="eastAsia" w:ascii="宋体" w:hAnsi="宋体"/>
          <w:sz w:val="24"/>
          <w:szCs w:val="24"/>
        </w:rPr>
        <w:t>采购人将不定期对成交供应商的工作内容进行审核，出现一次审核不达标的，采购人予以口头警告；出现两次不达标的，成交供应商应向采购人支付合同金额5%的违约金；出现三次不达标的，成交供应商应向采购人支付至合同金额10%的违约金；出现四次不达标的，采购人有权终止合同，并追究相关法律责任。</w:t>
      </w:r>
    </w:p>
    <w:p>
      <w:pPr>
        <w:pStyle w:val="4"/>
        <w:spacing w:before="0" w:after="0" w:line="360" w:lineRule="auto"/>
        <w:ind w:firstLine="482" w:firstLineChars="200"/>
        <w:rPr>
          <w:rFonts w:ascii="宋体" w:hAnsi="宋体"/>
          <w:sz w:val="24"/>
          <w:szCs w:val="24"/>
        </w:rPr>
      </w:pPr>
      <w:bookmarkStart w:id="51" w:name="_Toc73626116"/>
      <w:bookmarkStart w:id="52" w:name="_Toc69287475"/>
      <w:bookmarkStart w:id="53" w:name="_Toc74638456"/>
      <w:bookmarkStart w:id="54" w:name="_Toc30828"/>
      <w:bookmarkStart w:id="55" w:name="_Toc12980464"/>
      <w:bookmarkStart w:id="56" w:name="_Toc78194444"/>
      <w:r>
        <w:rPr>
          <w:rFonts w:hint="eastAsia" w:ascii="宋体" w:hAnsi="宋体"/>
          <w:sz w:val="24"/>
          <w:szCs w:val="24"/>
        </w:rPr>
        <w:t>※六、保密要求</w:t>
      </w:r>
      <w:bookmarkEnd w:id="51"/>
      <w:bookmarkEnd w:id="52"/>
      <w:bookmarkEnd w:id="53"/>
      <w:bookmarkEnd w:id="54"/>
      <w:bookmarkEnd w:id="55"/>
      <w:bookmarkEnd w:id="56"/>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有项目内容进行保密，未经采购人允许不得随意公布、不得转交给第三方。成交供应商在签订合同时与采购人签订保密协议，若有违反按保密协议规定进行处理，情节严重的，采购人将有权追究其相关法律责任。（保密协议详见第六篇附件3）</w:t>
      </w:r>
    </w:p>
    <w:p>
      <w:pPr>
        <w:pStyle w:val="4"/>
        <w:spacing w:before="0" w:after="0" w:line="360" w:lineRule="auto"/>
        <w:ind w:firstLine="482" w:firstLineChars="200"/>
        <w:rPr>
          <w:rFonts w:ascii="宋体" w:hAnsi="宋体"/>
          <w:sz w:val="24"/>
          <w:szCs w:val="24"/>
        </w:rPr>
      </w:pPr>
      <w:bookmarkStart w:id="57" w:name="_Toc26845"/>
      <w:bookmarkStart w:id="58" w:name="_Toc9961"/>
      <w:bookmarkStart w:id="59" w:name="_Toc78194445"/>
      <w:r>
        <w:rPr>
          <w:rFonts w:ascii="宋体" w:hAnsi="宋体"/>
          <w:sz w:val="24"/>
          <w:szCs w:val="24"/>
        </w:rPr>
        <w:t>※</w:t>
      </w:r>
      <w:r>
        <w:rPr>
          <w:rFonts w:hint="eastAsia" w:ascii="宋体" w:hAnsi="宋体"/>
          <w:sz w:val="24"/>
          <w:szCs w:val="24"/>
        </w:rPr>
        <w:t>七、知识产权</w:t>
      </w:r>
      <w:bookmarkEnd w:id="57"/>
      <w:bookmarkEnd w:id="58"/>
      <w:bookmarkEnd w:id="59"/>
    </w:p>
    <w:p>
      <w:pPr>
        <w:snapToGrid w:val="0"/>
        <w:spacing w:line="360" w:lineRule="auto"/>
        <w:ind w:firstLine="480" w:firstLineChars="200"/>
        <w:rPr>
          <w:rFonts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w:t>
      </w:r>
      <w:r>
        <w:rPr>
          <w:rFonts w:hint="eastAsia" w:ascii="宋体" w:hAnsi="宋体"/>
          <w:sz w:val="24"/>
          <w:szCs w:val="24"/>
          <w:lang w:val="en-US" w:eastAsia="zh-CN"/>
        </w:rPr>
        <w:t>或索赔</w:t>
      </w:r>
      <w:r>
        <w:rPr>
          <w:rFonts w:hint="eastAsia" w:ascii="宋体" w:hAnsi="宋体"/>
          <w:sz w:val="24"/>
          <w:szCs w:val="24"/>
        </w:rPr>
        <w:t>。如果第三方提出侵权指控，成交供应商应承担由此而引起的一切法律责任和费用。</w:t>
      </w:r>
    </w:p>
    <w:p>
      <w:pPr>
        <w:snapToGrid w:val="0"/>
        <w:spacing w:line="360" w:lineRule="auto"/>
        <w:ind w:firstLine="480" w:firstLineChars="200"/>
        <w:rPr>
          <w:rFonts w:ascii="宋体" w:hAnsi="宋体"/>
          <w:sz w:val="24"/>
          <w:szCs w:val="24"/>
        </w:rPr>
      </w:pPr>
      <w:r>
        <w:rPr>
          <w:rFonts w:hint="eastAsia" w:ascii="宋体" w:hAnsi="宋体"/>
          <w:sz w:val="24"/>
          <w:szCs w:val="24"/>
        </w:rPr>
        <w:t>本项目知识产权归采购人所有，成交供应商需配合采购人对本项目知识产权进行保护。</w:t>
      </w:r>
    </w:p>
    <w:p>
      <w:pPr>
        <w:pStyle w:val="4"/>
        <w:spacing w:before="0" w:after="0" w:line="360" w:lineRule="auto"/>
        <w:ind w:firstLine="482" w:firstLineChars="200"/>
        <w:rPr>
          <w:rFonts w:ascii="宋体" w:hAnsi="宋体"/>
          <w:sz w:val="24"/>
          <w:szCs w:val="24"/>
        </w:rPr>
      </w:pPr>
      <w:bookmarkStart w:id="60" w:name="_Toc32692"/>
      <w:r>
        <w:rPr>
          <w:rFonts w:hint="eastAsia" w:ascii="宋体" w:hAnsi="宋体"/>
          <w:sz w:val="24"/>
          <w:szCs w:val="24"/>
        </w:rPr>
        <w:t>※八、不可抗力</w:t>
      </w:r>
      <w:bookmarkEnd w:id="60"/>
    </w:p>
    <w:p>
      <w:pPr>
        <w:snapToGrid w:val="0"/>
        <w:spacing w:line="360" w:lineRule="auto"/>
        <w:ind w:firstLine="480" w:firstLineChars="200"/>
        <w:rPr>
          <w:rFonts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b/>
          <w:sz w:val="24"/>
          <w:szCs w:val="24"/>
        </w:rPr>
        <w:t>供应商提供承诺函原件</w:t>
      </w:r>
      <w:r>
        <w:rPr>
          <w:rFonts w:hint="eastAsia" w:ascii="宋体" w:hAnsi="宋体"/>
          <w:sz w:val="24"/>
          <w:szCs w:val="24"/>
        </w:rPr>
        <w:t>）。</w:t>
      </w:r>
    </w:p>
    <w:p>
      <w:pPr>
        <w:pStyle w:val="4"/>
        <w:spacing w:before="0" w:after="0" w:line="360" w:lineRule="auto"/>
        <w:ind w:firstLine="482" w:firstLineChars="200"/>
        <w:rPr>
          <w:rFonts w:ascii="宋体" w:hAnsi="宋体"/>
          <w:sz w:val="24"/>
          <w:szCs w:val="24"/>
        </w:rPr>
      </w:pPr>
      <w:bookmarkStart w:id="61" w:name="_Toc23294"/>
      <w:bookmarkStart w:id="62" w:name="_Toc17774"/>
      <w:bookmarkStart w:id="63" w:name="_Toc78194446"/>
      <w:r>
        <w:rPr>
          <w:rFonts w:hint="eastAsia" w:ascii="宋体" w:hAnsi="宋体"/>
          <w:sz w:val="24"/>
          <w:szCs w:val="24"/>
        </w:rPr>
        <w:t>九、其他</w:t>
      </w:r>
      <w:bookmarkEnd w:id="61"/>
      <w:bookmarkEnd w:id="62"/>
      <w:bookmarkEnd w:id="63"/>
    </w:p>
    <w:p>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pPr>
        <w:pStyle w:val="3"/>
        <w:pageBreakBefore/>
        <w:spacing w:line="360" w:lineRule="auto"/>
        <w:jc w:val="center"/>
        <w:rPr>
          <w:rFonts w:ascii="宋体" w:hAnsi="宋体" w:eastAsia="宋体"/>
          <w:sz w:val="36"/>
          <w:szCs w:val="30"/>
        </w:rPr>
      </w:pPr>
      <w:bookmarkStart w:id="64" w:name="_Toc8400"/>
      <w:r>
        <w:rPr>
          <w:rFonts w:hint="eastAsia" w:ascii="宋体" w:hAnsi="宋体" w:eastAsia="宋体"/>
          <w:sz w:val="36"/>
          <w:szCs w:val="30"/>
        </w:rPr>
        <w:t>第四篇  磋商程序及方法、评审标准、无效响应和采购终止</w:t>
      </w:r>
      <w:bookmarkEnd w:id="64"/>
    </w:p>
    <w:p>
      <w:pPr>
        <w:pStyle w:val="4"/>
        <w:snapToGrid w:val="0"/>
        <w:spacing w:before="0" w:after="0" w:line="360" w:lineRule="auto"/>
        <w:ind w:firstLine="482" w:firstLineChars="200"/>
        <w:rPr>
          <w:rFonts w:ascii="宋体" w:hAnsi="宋体"/>
          <w:sz w:val="24"/>
          <w:szCs w:val="24"/>
        </w:rPr>
      </w:pPr>
      <w:bookmarkStart w:id="65" w:name="_Toc28217"/>
      <w:r>
        <w:rPr>
          <w:rFonts w:hint="eastAsia" w:ascii="宋体" w:hAnsi="宋体"/>
          <w:sz w:val="24"/>
          <w:szCs w:val="24"/>
        </w:rPr>
        <w:t>一、磋商程序及方法</w:t>
      </w:r>
      <w:bookmarkEnd w:id="65"/>
    </w:p>
    <w:p>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6"/>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17"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5276" w:type="dxa"/>
            <w:gridSpan w:val="2"/>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trPr>
        <w:tc>
          <w:tcPr>
            <w:tcW w:w="817" w:type="dxa"/>
            <w:vMerge w:val="restart"/>
            <w:vAlign w:val="center"/>
          </w:tcPr>
          <w:p>
            <w:pPr>
              <w:snapToGrid w:val="0"/>
              <w:jc w:val="center"/>
              <w:rPr>
                <w:rFonts w:ascii="宋体" w:hAnsi="宋体"/>
                <w:sz w:val="21"/>
                <w:szCs w:val="21"/>
              </w:rPr>
            </w:pPr>
            <w:r>
              <w:rPr>
                <w:rFonts w:hint="eastAsia" w:ascii="宋体" w:hAnsi="宋体"/>
                <w:sz w:val="21"/>
                <w:szCs w:val="21"/>
              </w:rPr>
              <w:t>（一）</w:t>
            </w:r>
          </w:p>
        </w:tc>
        <w:tc>
          <w:tcPr>
            <w:tcW w:w="855" w:type="dxa"/>
            <w:vMerge w:val="restart"/>
            <w:vAlign w:val="center"/>
          </w:tcPr>
          <w:p>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pPr>
              <w:snapToGrid w:val="0"/>
              <w:rPr>
                <w:rFonts w:ascii="宋体" w:hAnsi="宋体"/>
                <w:sz w:val="21"/>
                <w:szCs w:val="21"/>
              </w:rPr>
            </w:pPr>
            <w:r>
              <w:rPr>
                <w:rFonts w:hint="eastAsia" w:ascii="宋体" w:hAnsi="宋体"/>
                <w:sz w:val="21"/>
                <w:szCs w:val="21"/>
              </w:rPr>
              <w:t>1.具有独立承担民事责任的能力</w:t>
            </w:r>
          </w:p>
        </w:tc>
        <w:tc>
          <w:tcPr>
            <w:tcW w:w="3579" w:type="dxa"/>
            <w:vAlign w:val="center"/>
          </w:tcPr>
          <w:p>
            <w:pPr>
              <w:snapToGrid w:val="0"/>
              <w:rPr>
                <w:rFonts w:ascii="宋体" w:hAnsi="宋体"/>
                <w:sz w:val="21"/>
                <w:szCs w:val="21"/>
              </w:rPr>
            </w:pPr>
            <w:r>
              <w:rPr>
                <w:rFonts w:hint="eastAsia" w:ascii="宋体" w:hAnsi="宋体"/>
                <w:sz w:val="21"/>
                <w:szCs w:val="21"/>
              </w:rPr>
              <w:t>1.供应商法人营业执照（副本）或事业单位法人证书（副本）或个体工商户营业执照或有效的自然人身份证明或社会团体法人登记证书（提供复印件）；</w:t>
            </w:r>
          </w:p>
          <w:p>
            <w:pPr>
              <w:snapToGrid w:val="0"/>
              <w:rPr>
                <w:rFonts w:ascii="宋体" w:hAnsi="宋体"/>
                <w:sz w:val="21"/>
                <w:szCs w:val="21"/>
              </w:rPr>
            </w:pPr>
            <w:r>
              <w:rPr>
                <w:rFonts w:hint="eastAsia" w:ascii="宋体" w:hAnsi="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trPr>
        <w:tc>
          <w:tcPr>
            <w:tcW w:w="817" w:type="dxa"/>
            <w:vMerge w:val="continue"/>
            <w:vAlign w:val="center"/>
          </w:tcPr>
          <w:p>
            <w:pPr>
              <w:snapToGrid w:val="0"/>
              <w:jc w:val="center"/>
              <w:rPr>
                <w:rFonts w:ascii="宋体" w:hAnsi="宋体"/>
                <w:sz w:val="21"/>
                <w:szCs w:val="21"/>
              </w:rPr>
            </w:pPr>
          </w:p>
        </w:tc>
        <w:tc>
          <w:tcPr>
            <w:tcW w:w="855" w:type="dxa"/>
            <w:vMerge w:val="continue"/>
            <w:vAlign w:val="center"/>
          </w:tcPr>
          <w:p>
            <w:pPr>
              <w:snapToGrid w:val="0"/>
              <w:rPr>
                <w:rFonts w:ascii="宋体" w:hAnsi="宋体" w:cs="仿宋_GB2312"/>
                <w:sz w:val="21"/>
                <w:szCs w:val="21"/>
                <w:lang w:val="zh-CN"/>
              </w:rPr>
            </w:pPr>
          </w:p>
        </w:tc>
        <w:tc>
          <w:tcPr>
            <w:tcW w:w="4421" w:type="dxa"/>
            <w:vAlign w:val="center"/>
          </w:tcPr>
          <w:p>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pPr>
              <w:snapToGrid w:val="0"/>
              <w:rPr>
                <w:rFonts w:ascii="宋体" w:hAnsi="宋体"/>
                <w:sz w:val="21"/>
                <w:szCs w:val="21"/>
              </w:rPr>
            </w:pPr>
            <w:r>
              <w:rPr>
                <w:rFonts w:hint="eastAsia" w:ascii="宋体" w:hAnsi="宋体"/>
                <w:sz w:val="21"/>
                <w:szCs w:val="21"/>
              </w:rPr>
              <w:t>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trPr>
        <w:tc>
          <w:tcPr>
            <w:tcW w:w="817" w:type="dxa"/>
            <w:vMerge w:val="continue"/>
            <w:vAlign w:val="center"/>
          </w:tcPr>
          <w:p>
            <w:pPr>
              <w:snapToGrid w:val="0"/>
              <w:jc w:val="center"/>
              <w:rPr>
                <w:rFonts w:ascii="宋体" w:hAnsi="宋体"/>
                <w:sz w:val="21"/>
                <w:szCs w:val="21"/>
              </w:rPr>
            </w:pPr>
          </w:p>
        </w:tc>
        <w:tc>
          <w:tcPr>
            <w:tcW w:w="855" w:type="dxa"/>
            <w:vMerge w:val="continue"/>
            <w:vAlign w:val="center"/>
          </w:tcPr>
          <w:p>
            <w:pPr>
              <w:snapToGrid w:val="0"/>
              <w:rPr>
                <w:rFonts w:ascii="宋体" w:hAnsi="宋体" w:cs="仿宋_GB2312"/>
                <w:sz w:val="21"/>
                <w:szCs w:val="21"/>
                <w:lang w:val="zh-CN"/>
              </w:rPr>
            </w:pPr>
          </w:p>
        </w:tc>
        <w:tc>
          <w:tcPr>
            <w:tcW w:w="4421"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sz w:val="21"/>
                <w:szCs w:val="21"/>
              </w:rPr>
            </w:pPr>
          </w:p>
        </w:tc>
        <w:tc>
          <w:tcPr>
            <w:tcW w:w="855" w:type="dxa"/>
            <w:vMerge w:val="continue"/>
            <w:vAlign w:val="center"/>
          </w:tcPr>
          <w:p>
            <w:pPr>
              <w:snapToGrid w:val="0"/>
              <w:rPr>
                <w:rFonts w:ascii="宋体" w:hAnsi="宋体" w:cs="仿宋_GB2312"/>
                <w:sz w:val="21"/>
                <w:szCs w:val="21"/>
                <w:lang w:val="zh-CN"/>
              </w:rPr>
            </w:pPr>
          </w:p>
        </w:tc>
        <w:tc>
          <w:tcPr>
            <w:tcW w:w="4421" w:type="dxa"/>
            <w:vAlign w:val="center"/>
          </w:tcPr>
          <w:p>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trPr>
        <w:tc>
          <w:tcPr>
            <w:tcW w:w="817" w:type="dxa"/>
            <w:vMerge w:val="continue"/>
            <w:vAlign w:val="center"/>
          </w:tcPr>
          <w:p>
            <w:pPr>
              <w:snapToGrid w:val="0"/>
              <w:jc w:val="center"/>
              <w:rPr>
                <w:rFonts w:ascii="宋体" w:hAnsi="宋体"/>
                <w:sz w:val="21"/>
                <w:szCs w:val="21"/>
              </w:rPr>
            </w:pPr>
          </w:p>
        </w:tc>
        <w:tc>
          <w:tcPr>
            <w:tcW w:w="855" w:type="dxa"/>
            <w:vMerge w:val="continue"/>
            <w:vAlign w:val="center"/>
          </w:tcPr>
          <w:p>
            <w:pPr>
              <w:snapToGrid w:val="0"/>
              <w:rPr>
                <w:rFonts w:ascii="宋体" w:hAnsi="宋体" w:cs="仿宋_GB2312"/>
                <w:sz w:val="21"/>
                <w:szCs w:val="21"/>
                <w:lang w:val="zh-CN"/>
              </w:rPr>
            </w:pPr>
          </w:p>
        </w:tc>
        <w:tc>
          <w:tcPr>
            <w:tcW w:w="4421" w:type="dxa"/>
            <w:vAlign w:val="center"/>
          </w:tcPr>
          <w:p>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5.参加政府采购活动前三年内，在经营活动中没有重大违法记录（注①）</w:t>
            </w:r>
          </w:p>
        </w:tc>
        <w:tc>
          <w:tcPr>
            <w:tcW w:w="3579" w:type="dxa"/>
            <w:vMerge w:val="continue"/>
            <w:vAlign w:val="center"/>
          </w:tcPr>
          <w:p>
            <w:pPr>
              <w:snapToGrid w:val="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Merge w:val="continue"/>
            <w:vAlign w:val="center"/>
          </w:tcPr>
          <w:p>
            <w:pPr>
              <w:snapToGrid w:val="0"/>
              <w:jc w:val="center"/>
              <w:rPr>
                <w:rFonts w:ascii="宋体" w:hAnsi="宋体"/>
                <w:sz w:val="21"/>
                <w:szCs w:val="21"/>
              </w:rPr>
            </w:pPr>
          </w:p>
        </w:tc>
        <w:tc>
          <w:tcPr>
            <w:tcW w:w="855" w:type="dxa"/>
            <w:vMerge w:val="continue"/>
            <w:vAlign w:val="center"/>
          </w:tcPr>
          <w:p>
            <w:pPr>
              <w:snapToGrid w:val="0"/>
              <w:rPr>
                <w:rFonts w:ascii="宋体" w:hAnsi="宋体" w:cs="仿宋_GB2312"/>
                <w:sz w:val="21"/>
                <w:szCs w:val="21"/>
                <w:lang w:val="zh-CN"/>
              </w:rPr>
            </w:pPr>
          </w:p>
        </w:tc>
        <w:tc>
          <w:tcPr>
            <w:tcW w:w="4421" w:type="dxa"/>
            <w:vAlign w:val="center"/>
          </w:tcPr>
          <w:p>
            <w:pPr>
              <w:snapToGrid w:val="0"/>
              <w:rPr>
                <w:rFonts w:ascii="宋体" w:hAnsi="宋体"/>
                <w:sz w:val="21"/>
                <w:szCs w:val="21"/>
              </w:rPr>
            </w:pPr>
            <w:r>
              <w:rPr>
                <w:rFonts w:hint="eastAsia" w:ascii="宋体" w:hAnsi="宋体"/>
                <w:sz w:val="21"/>
                <w:szCs w:val="21"/>
              </w:rPr>
              <w:t>6.法律、行政法规规定的其他条件</w:t>
            </w:r>
          </w:p>
        </w:tc>
        <w:tc>
          <w:tcPr>
            <w:tcW w:w="3579" w:type="dxa"/>
            <w:vAlign w:val="center"/>
          </w:tcPr>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sz w:val="21"/>
                <w:szCs w:val="21"/>
              </w:rPr>
            </w:pPr>
            <w:r>
              <w:rPr>
                <w:rFonts w:hint="eastAsia" w:ascii="宋体" w:hAnsi="宋体"/>
                <w:sz w:val="21"/>
                <w:szCs w:val="21"/>
              </w:rPr>
              <w:t>（二）</w:t>
            </w:r>
          </w:p>
        </w:tc>
        <w:tc>
          <w:tcPr>
            <w:tcW w:w="5276" w:type="dxa"/>
            <w:gridSpan w:val="2"/>
            <w:vAlign w:val="center"/>
          </w:tcPr>
          <w:p>
            <w:pPr>
              <w:snapToGrid w:val="0"/>
              <w:rPr>
                <w:rFonts w:ascii="宋体" w:hAnsi="宋体"/>
                <w:sz w:val="21"/>
                <w:szCs w:val="21"/>
              </w:rPr>
            </w:pPr>
            <w:r>
              <w:rPr>
                <w:rFonts w:hint="eastAsia" w:ascii="宋体" w:hAnsi="宋体"/>
                <w:sz w:val="21"/>
                <w:szCs w:val="21"/>
              </w:rPr>
              <w:t>本项目的特定资格条件</w:t>
            </w:r>
          </w:p>
        </w:tc>
        <w:tc>
          <w:tcPr>
            <w:tcW w:w="3579" w:type="dxa"/>
            <w:vAlign w:val="center"/>
          </w:tcPr>
          <w:p>
            <w:pPr>
              <w:adjustRightInd w:val="0"/>
              <w:snapToGrid w:val="0"/>
            </w:pPr>
            <w:r>
              <w:rPr>
                <w:rFonts w:hint="eastAsia" w:ascii="宋体" w:hAnsi="宋体" w:cs="宋体"/>
                <w:sz w:val="21"/>
                <w:szCs w:val="21"/>
              </w:rPr>
              <w:t>按第一篇“三、供应商资格条件（二）本项目的特定资格条件”的要求提交（如果有）。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17" w:type="dxa"/>
            <w:vAlign w:val="center"/>
          </w:tcPr>
          <w:p>
            <w:pPr>
              <w:snapToGrid w:val="0"/>
              <w:jc w:val="center"/>
              <w:rPr>
                <w:rFonts w:ascii="宋体" w:hAnsi="宋体"/>
                <w:sz w:val="21"/>
                <w:szCs w:val="21"/>
              </w:rPr>
            </w:pPr>
            <w:r>
              <w:rPr>
                <w:rFonts w:hint="eastAsia" w:ascii="宋体" w:hAnsi="宋体"/>
                <w:sz w:val="21"/>
                <w:szCs w:val="21"/>
              </w:rPr>
              <w:t>（三）</w:t>
            </w:r>
          </w:p>
        </w:tc>
        <w:tc>
          <w:tcPr>
            <w:tcW w:w="5276" w:type="dxa"/>
            <w:gridSpan w:val="2"/>
            <w:vAlign w:val="center"/>
          </w:tcPr>
          <w:p>
            <w:pPr>
              <w:snapToGrid w:val="0"/>
              <w:rPr>
                <w:rFonts w:ascii="宋体" w:hAnsi="宋体"/>
                <w:sz w:val="21"/>
                <w:szCs w:val="21"/>
              </w:rPr>
            </w:pPr>
            <w:r>
              <w:rPr>
                <w:rFonts w:hint="eastAsia" w:ascii="宋体" w:hAnsi="宋体"/>
                <w:sz w:val="21"/>
                <w:szCs w:val="21"/>
              </w:rPr>
              <w:t>落实政府采购政策需满足的资格要求</w:t>
            </w:r>
          </w:p>
        </w:tc>
        <w:tc>
          <w:tcPr>
            <w:tcW w:w="3579" w:type="dxa"/>
            <w:vAlign w:val="center"/>
          </w:tcPr>
          <w:p>
            <w:pPr>
              <w:adjustRightInd w:val="0"/>
              <w:snapToGrid w:val="0"/>
            </w:pPr>
            <w:r>
              <w:rPr>
                <w:rFonts w:hint="eastAsia" w:ascii="宋体" w:hAnsi="宋体" w:cs="宋体"/>
                <w:sz w:val="21"/>
                <w:szCs w:val="21"/>
              </w:rPr>
              <w:t>按第一篇“三、供应商资格条件（三）落实政府采购政策需满足的资格要求”的要求提交（如果有）。</w:t>
            </w:r>
          </w:p>
        </w:tc>
      </w:tr>
    </w:tbl>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686" w:type="dxa"/>
            <w:gridSpan w:val="2"/>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103" w:type="dxa"/>
            <w:vAlign w:val="center"/>
          </w:tcPr>
          <w:p>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2113" w:type="dxa"/>
            <w:vAlign w:val="center"/>
          </w:tcPr>
          <w:p>
            <w:pPr>
              <w:spacing w:line="240" w:lineRule="exact"/>
              <w:rPr>
                <w:rFonts w:ascii="宋体" w:hAnsi="宋体" w:cs="宋体"/>
                <w:kern w:val="0"/>
                <w:sz w:val="21"/>
                <w:szCs w:val="21"/>
              </w:rPr>
            </w:pPr>
            <w:r>
              <w:rPr>
                <w:rFonts w:hint="eastAsia" w:ascii="宋体" w:hAnsi="宋体"/>
                <w:sz w:val="21"/>
                <w:szCs w:val="21"/>
              </w:rPr>
              <w:t>响应文件签字和盖章</w:t>
            </w:r>
          </w:p>
        </w:tc>
        <w:tc>
          <w:tcPr>
            <w:tcW w:w="5103" w:type="dxa"/>
            <w:vAlign w:val="center"/>
          </w:tcPr>
          <w:p>
            <w:pPr>
              <w:spacing w:line="240" w:lineRule="exact"/>
              <w:rPr>
                <w:rFonts w:ascii="宋体" w:hAnsi="宋体" w:cs="宋体"/>
                <w:kern w:val="0"/>
                <w:sz w:val="21"/>
                <w:szCs w:val="21"/>
              </w:rPr>
            </w:pPr>
            <w:r>
              <w:rPr>
                <w:rFonts w:hint="eastAsia" w:ascii="宋体" w:hAnsi="宋体"/>
                <w:sz w:val="21"/>
                <w:szCs w:val="21"/>
              </w:rPr>
              <w:t>响应文件上的签字和盖章满足竞争性磋商文件要求。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2113" w:type="dxa"/>
            <w:vAlign w:val="center"/>
          </w:tcPr>
          <w:p>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103"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宋体"/>
                <w:kern w:val="0"/>
                <w:sz w:val="21"/>
                <w:szCs w:val="21"/>
              </w:rPr>
            </w:pPr>
          </w:p>
        </w:tc>
        <w:tc>
          <w:tcPr>
            <w:tcW w:w="2113" w:type="dxa"/>
            <w:vAlign w:val="center"/>
          </w:tcPr>
          <w:p>
            <w:pPr>
              <w:spacing w:line="240" w:lineRule="exact"/>
              <w:rPr>
                <w:rFonts w:ascii="宋体" w:hAnsi="宋体" w:cs="仿宋_GB2312"/>
                <w:sz w:val="21"/>
                <w:szCs w:val="21"/>
                <w:lang w:val="zh-CN"/>
              </w:rPr>
            </w:pPr>
            <w:r>
              <w:rPr>
                <w:rFonts w:hint="eastAsia" w:ascii="宋体" w:hAnsi="宋体"/>
                <w:sz w:val="21"/>
                <w:szCs w:val="21"/>
              </w:rPr>
              <w:t>报价唯一</w:t>
            </w:r>
          </w:p>
        </w:tc>
        <w:tc>
          <w:tcPr>
            <w:tcW w:w="5103"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2113"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103" w:type="dxa"/>
            <w:vAlign w:val="center"/>
          </w:tcPr>
          <w:p>
            <w:pPr>
              <w:spacing w:line="240" w:lineRule="exact"/>
              <w:rPr>
                <w:rFonts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103" w:type="dxa"/>
            <w:vAlign w:val="center"/>
          </w:tcPr>
          <w:p>
            <w:pPr>
              <w:pStyle w:val="35"/>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满足本竞争性磋商文件第二篇、第三篇中（※）号标注部分的要求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kern w:val="0"/>
                <w:sz w:val="21"/>
                <w:szCs w:val="21"/>
              </w:rPr>
            </w:pPr>
          </w:p>
        </w:tc>
        <w:tc>
          <w:tcPr>
            <w:tcW w:w="1573" w:type="dxa"/>
            <w:vMerge w:val="continue"/>
            <w:vAlign w:val="center"/>
          </w:tcPr>
          <w:p>
            <w:pPr>
              <w:spacing w:line="240" w:lineRule="exact"/>
              <w:rPr>
                <w:rFonts w:ascii="宋体" w:hAnsi="宋体" w:cs="仿宋_GB2312"/>
                <w:sz w:val="21"/>
                <w:szCs w:val="21"/>
                <w:lang w:val="zh-CN"/>
              </w:rPr>
            </w:pPr>
          </w:p>
        </w:tc>
        <w:tc>
          <w:tcPr>
            <w:tcW w:w="211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103" w:type="dxa"/>
            <w:vAlign w:val="center"/>
          </w:tcPr>
          <w:p>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pPr>
        <w:snapToGrid w:val="0"/>
        <w:spacing w:line="360" w:lineRule="auto"/>
        <w:ind w:firstLine="480" w:firstLineChars="200"/>
        <w:rPr>
          <w:rFonts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napToGrid w:val="0"/>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napToGrid w:val="0"/>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pPr>
        <w:pStyle w:val="4"/>
        <w:snapToGrid w:val="0"/>
        <w:spacing w:before="0" w:after="0" w:line="360" w:lineRule="auto"/>
        <w:ind w:firstLine="482" w:firstLineChars="200"/>
        <w:rPr>
          <w:rFonts w:ascii="宋体" w:hAnsi="宋体"/>
          <w:sz w:val="24"/>
          <w:szCs w:val="24"/>
        </w:rPr>
      </w:pPr>
      <w:bookmarkStart w:id="66" w:name="_Toc30613"/>
      <w:r>
        <w:rPr>
          <w:rFonts w:hint="eastAsia" w:ascii="宋体" w:hAnsi="宋体"/>
          <w:sz w:val="24"/>
          <w:szCs w:val="24"/>
        </w:rPr>
        <w:t>二、</w:t>
      </w:r>
      <w:bookmarkStart w:id="67" w:name="_Toc342913394"/>
      <w:bookmarkStart w:id="68" w:name="_Toc102227320"/>
      <w:r>
        <w:rPr>
          <w:rFonts w:hint="eastAsia" w:ascii="宋体" w:hAnsi="宋体"/>
          <w:sz w:val="24"/>
          <w:szCs w:val="24"/>
        </w:rPr>
        <w:t>评审标准</w:t>
      </w:r>
      <w:bookmarkEnd w:id="66"/>
    </w:p>
    <w:tbl>
      <w:tblPr>
        <w:tblStyle w:val="6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992"/>
        <w:gridCol w:w="524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序号</w:t>
            </w:r>
          </w:p>
        </w:tc>
        <w:tc>
          <w:tcPr>
            <w:tcW w:w="1134" w:type="dxa"/>
            <w:vAlign w:val="center"/>
          </w:tcPr>
          <w:p>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评分因素</w:t>
            </w:r>
          </w:p>
          <w:p>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及权重</w:t>
            </w:r>
          </w:p>
        </w:tc>
        <w:tc>
          <w:tcPr>
            <w:tcW w:w="992" w:type="dxa"/>
            <w:vAlign w:val="center"/>
          </w:tcPr>
          <w:p>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分值</w:t>
            </w:r>
          </w:p>
        </w:tc>
        <w:tc>
          <w:tcPr>
            <w:tcW w:w="5245" w:type="dxa"/>
            <w:vAlign w:val="center"/>
          </w:tcPr>
          <w:p>
            <w:pPr>
              <w:spacing w:line="240" w:lineRule="atLeast"/>
              <w:ind w:firstLine="28"/>
              <w:jc w:val="center"/>
              <w:rPr>
                <w:rFonts w:ascii="宋体" w:hAnsi="宋体"/>
                <w:b/>
                <w:sz w:val="21"/>
                <w:szCs w:val="21"/>
                <w:highlight w:val="none"/>
              </w:rPr>
            </w:pPr>
            <w:r>
              <w:rPr>
                <w:rFonts w:hint="eastAsia" w:ascii="宋体" w:hAnsi="宋体"/>
                <w:b/>
                <w:sz w:val="21"/>
                <w:szCs w:val="21"/>
                <w:highlight w:val="none"/>
              </w:rPr>
              <w:t>评分标准</w:t>
            </w:r>
          </w:p>
        </w:tc>
        <w:tc>
          <w:tcPr>
            <w:tcW w:w="1723" w:type="dxa"/>
            <w:vAlign w:val="center"/>
          </w:tcPr>
          <w:p>
            <w:pPr>
              <w:pStyle w:val="216"/>
              <w:spacing w:before="0" w:after="0" w:line="240" w:lineRule="atLeast"/>
              <w:rPr>
                <w:rFonts w:ascii="宋体" w:hAnsi="宋体" w:eastAsia="宋体"/>
                <w:sz w:val="21"/>
                <w:szCs w:val="21"/>
                <w:highlight w:val="none"/>
              </w:rPr>
            </w:pPr>
            <w:r>
              <w:rPr>
                <w:rFonts w:hint="eastAsia" w:ascii="宋体" w:hAnsi="宋体" w:eastAsia="宋体"/>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534" w:type="dxa"/>
            <w:vAlign w:val="center"/>
          </w:tcPr>
          <w:p>
            <w:pPr>
              <w:spacing w:line="240" w:lineRule="atLeast"/>
              <w:ind w:firstLine="28"/>
              <w:jc w:val="center"/>
              <w:rPr>
                <w:rFonts w:ascii="宋体" w:hAnsi="宋体"/>
                <w:sz w:val="21"/>
                <w:szCs w:val="21"/>
                <w:highlight w:val="none"/>
              </w:rPr>
            </w:pPr>
            <w:r>
              <w:rPr>
                <w:rFonts w:hint="eastAsia" w:ascii="宋体" w:hAnsi="宋体"/>
                <w:sz w:val="21"/>
                <w:szCs w:val="21"/>
                <w:highlight w:val="none"/>
              </w:rPr>
              <w:t>1</w:t>
            </w:r>
          </w:p>
        </w:tc>
        <w:tc>
          <w:tcPr>
            <w:tcW w:w="1134" w:type="dxa"/>
            <w:vAlign w:val="center"/>
          </w:tcPr>
          <w:p>
            <w:pPr>
              <w:spacing w:line="240" w:lineRule="atLeast"/>
              <w:jc w:val="center"/>
              <w:rPr>
                <w:rFonts w:ascii="宋体" w:hAnsi="宋体" w:cs="宋体;SimSun"/>
                <w:sz w:val="21"/>
                <w:szCs w:val="21"/>
                <w:highlight w:val="none"/>
              </w:rPr>
            </w:pPr>
            <w:r>
              <w:rPr>
                <w:rFonts w:ascii="宋体" w:hAnsi="宋体" w:cs="宋体;SimSun"/>
                <w:sz w:val="21"/>
                <w:szCs w:val="21"/>
                <w:highlight w:val="none"/>
              </w:rPr>
              <w:t>磋商报价</w:t>
            </w:r>
          </w:p>
          <w:p>
            <w:pPr>
              <w:spacing w:line="240" w:lineRule="atLeast"/>
              <w:jc w:val="center"/>
              <w:rPr>
                <w:rFonts w:ascii="宋体" w:hAnsi="宋体" w:cs="宋体;SimSun"/>
                <w:sz w:val="21"/>
                <w:szCs w:val="21"/>
                <w:highlight w:val="none"/>
              </w:rPr>
            </w:pPr>
            <w:r>
              <w:rPr>
                <w:rFonts w:ascii="宋体" w:hAnsi="宋体" w:cs="宋体;SimSun"/>
                <w:sz w:val="21"/>
                <w:szCs w:val="21"/>
                <w:highlight w:val="none"/>
              </w:rPr>
              <w:t>（</w:t>
            </w:r>
            <w:r>
              <w:rPr>
                <w:rFonts w:hint="eastAsia" w:ascii="宋体" w:hAnsi="宋体" w:cs="宋体;SimSun"/>
                <w:sz w:val="21"/>
                <w:szCs w:val="21"/>
                <w:highlight w:val="none"/>
                <w:lang w:val="en-US" w:eastAsia="zh-CN"/>
              </w:rPr>
              <w:t>3</w:t>
            </w:r>
            <w:r>
              <w:rPr>
                <w:rFonts w:hint="eastAsia" w:ascii="宋体" w:hAnsi="宋体" w:cs="宋体;SimSun"/>
                <w:sz w:val="21"/>
                <w:szCs w:val="21"/>
                <w:highlight w:val="none"/>
              </w:rPr>
              <w:t>0</w:t>
            </w:r>
            <w:r>
              <w:rPr>
                <w:rFonts w:ascii="宋体" w:hAnsi="宋体" w:cs="宋体;SimSun"/>
                <w:sz w:val="21"/>
                <w:szCs w:val="21"/>
                <w:highlight w:val="none"/>
              </w:rPr>
              <w:t>%）</w:t>
            </w:r>
          </w:p>
        </w:tc>
        <w:tc>
          <w:tcPr>
            <w:tcW w:w="992" w:type="dxa"/>
            <w:vAlign w:val="center"/>
          </w:tcPr>
          <w:p>
            <w:pPr>
              <w:spacing w:line="240" w:lineRule="atLeast"/>
              <w:jc w:val="center"/>
              <w:rPr>
                <w:rFonts w:ascii="宋体" w:hAnsi="宋体" w:cs="宋体;SimSun"/>
                <w:sz w:val="21"/>
                <w:szCs w:val="21"/>
                <w:highlight w:val="none"/>
              </w:rPr>
            </w:pPr>
            <w:r>
              <w:rPr>
                <w:rFonts w:hint="eastAsia" w:ascii="宋体" w:hAnsi="宋体" w:cs="宋体;SimSun"/>
                <w:sz w:val="21"/>
                <w:szCs w:val="21"/>
                <w:highlight w:val="none"/>
                <w:lang w:val="en-US" w:eastAsia="zh-CN"/>
              </w:rPr>
              <w:t>3</w:t>
            </w:r>
            <w:r>
              <w:rPr>
                <w:rFonts w:hint="eastAsia" w:ascii="宋体" w:hAnsi="宋体" w:cs="宋体;SimSun"/>
                <w:sz w:val="21"/>
                <w:szCs w:val="21"/>
                <w:highlight w:val="none"/>
              </w:rPr>
              <w:t>0</w:t>
            </w:r>
            <w:r>
              <w:rPr>
                <w:rFonts w:ascii="宋体" w:hAnsi="宋体" w:cs="宋体;SimSun"/>
                <w:sz w:val="21"/>
                <w:szCs w:val="21"/>
                <w:highlight w:val="none"/>
              </w:rPr>
              <w:t>分</w:t>
            </w:r>
          </w:p>
        </w:tc>
        <w:tc>
          <w:tcPr>
            <w:tcW w:w="5245" w:type="dxa"/>
            <w:vAlign w:val="center"/>
          </w:tcPr>
          <w:p>
            <w:pPr>
              <w:spacing w:line="240" w:lineRule="atLeast"/>
              <w:rPr>
                <w:rFonts w:ascii="宋体" w:hAnsi="宋体" w:cs="宋体;SimSun"/>
                <w:sz w:val="21"/>
                <w:szCs w:val="21"/>
                <w:highlight w:val="none"/>
              </w:rPr>
            </w:pPr>
            <w:r>
              <w:rPr>
                <w:rFonts w:ascii="宋体" w:hAnsi="宋体" w:cs="宋体;SimSun"/>
                <w:sz w:val="21"/>
                <w:szCs w:val="21"/>
                <w:highlight w:val="none"/>
              </w:rPr>
              <w:t>满足磋商文件资格要求且最后报价最低的供应商的价格为磋商基准价，按照下列公式计算每个供应商的磋商报价得分。</w:t>
            </w:r>
          </w:p>
          <w:p>
            <w:pPr>
              <w:spacing w:line="240" w:lineRule="atLeast"/>
              <w:rPr>
                <w:rFonts w:ascii="宋体" w:hAnsi="宋体" w:cs="宋体;SimSun"/>
                <w:sz w:val="21"/>
                <w:szCs w:val="21"/>
                <w:highlight w:val="none"/>
              </w:rPr>
            </w:pPr>
            <w:r>
              <w:rPr>
                <w:rFonts w:ascii="宋体" w:hAnsi="宋体" w:cs="宋体;SimSun"/>
                <w:sz w:val="21"/>
                <w:szCs w:val="21"/>
                <w:highlight w:val="none"/>
              </w:rPr>
              <w:t>磋商报价得分=（磋商基准价/最后磋商报价）×价格权值×100</w:t>
            </w:r>
          </w:p>
        </w:tc>
        <w:tc>
          <w:tcPr>
            <w:tcW w:w="1723" w:type="dxa"/>
            <w:vAlign w:val="center"/>
          </w:tcPr>
          <w:p>
            <w:pPr>
              <w:spacing w:line="240" w:lineRule="atLeast"/>
              <w:ind w:left="-38"/>
              <w:rPr>
                <w:rFonts w:ascii="宋体" w:hAnsi="宋体"/>
                <w:sz w:val="21"/>
                <w:szCs w:val="21"/>
                <w:highlight w:val="none"/>
              </w:rPr>
            </w:pPr>
            <w:r>
              <w:rPr>
                <w:rFonts w:hint="eastAsia" w:ascii="宋体" w:hAnsi="宋体"/>
                <w:sz w:val="21"/>
                <w:szCs w:val="21"/>
                <w:highlight w:val="none"/>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restart"/>
            <w:vAlign w:val="center"/>
          </w:tcPr>
          <w:p>
            <w:pPr>
              <w:spacing w:line="240" w:lineRule="atLeast"/>
              <w:ind w:firstLine="28"/>
              <w:jc w:val="center"/>
              <w:rPr>
                <w:rFonts w:hint="eastAsia" w:ascii="宋体" w:hAnsi="宋体"/>
                <w:sz w:val="21"/>
                <w:szCs w:val="21"/>
                <w:highlight w:val="none"/>
              </w:rPr>
            </w:pPr>
            <w:r>
              <w:rPr>
                <w:rFonts w:hint="eastAsia" w:ascii="宋体" w:hAnsi="宋体"/>
                <w:sz w:val="21"/>
                <w:szCs w:val="21"/>
                <w:highlight w:val="none"/>
              </w:rPr>
              <w:t>2</w:t>
            </w:r>
          </w:p>
        </w:tc>
        <w:tc>
          <w:tcPr>
            <w:tcW w:w="1134" w:type="dxa"/>
            <w:vMerge w:val="restart"/>
            <w:vAlign w:val="center"/>
          </w:tcPr>
          <w:p>
            <w:pPr>
              <w:spacing w:line="240" w:lineRule="atLeast"/>
              <w:jc w:val="center"/>
              <w:rPr>
                <w:rFonts w:ascii="宋体" w:hAnsi="宋体"/>
                <w:sz w:val="21"/>
                <w:szCs w:val="21"/>
                <w:highlight w:val="none"/>
              </w:rPr>
            </w:pPr>
            <w:r>
              <w:rPr>
                <w:rFonts w:hint="eastAsia" w:ascii="宋体" w:hAnsi="宋体"/>
                <w:sz w:val="21"/>
                <w:szCs w:val="21"/>
                <w:highlight w:val="none"/>
              </w:rPr>
              <w:t>技术部分</w:t>
            </w:r>
          </w:p>
          <w:p>
            <w:pPr>
              <w:spacing w:line="240" w:lineRule="atLeast"/>
              <w:jc w:val="center"/>
              <w:rPr>
                <w:rFonts w:hint="eastAsia" w:ascii="宋体" w:hAnsi="宋体"/>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45</w:t>
            </w:r>
            <w:r>
              <w:rPr>
                <w:rFonts w:hint="eastAsia" w:ascii="宋体" w:hAnsi="宋体"/>
                <w:sz w:val="21"/>
                <w:szCs w:val="21"/>
                <w:highlight w:val="none"/>
              </w:rPr>
              <w:t>%）</w:t>
            </w:r>
          </w:p>
        </w:tc>
        <w:tc>
          <w:tcPr>
            <w:tcW w:w="992" w:type="dxa"/>
            <w:vMerge w:val="restart"/>
            <w:vAlign w:val="center"/>
          </w:tcPr>
          <w:p>
            <w:pPr>
              <w:pStyle w:val="16"/>
              <w:jc w:val="center"/>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45分</w:t>
            </w:r>
          </w:p>
        </w:tc>
        <w:tc>
          <w:tcPr>
            <w:tcW w:w="5245" w:type="dxa"/>
            <w:vAlign w:val="center"/>
          </w:tcPr>
          <w:p>
            <w:pPr>
              <w:pStyle w:val="16"/>
              <w:widowControl/>
              <w:rPr>
                <w:rFonts w:hint="eastAsia" w:ascii="宋体" w:hAnsi="宋体" w:eastAsia="宋体" w:cs="宋体;SimSun"/>
                <w:sz w:val="21"/>
                <w:szCs w:val="21"/>
                <w:highlight w:val="none"/>
                <w:lang w:val="en-US" w:eastAsia="zh-CN"/>
              </w:rPr>
            </w:pPr>
            <w:r>
              <w:rPr>
                <w:rFonts w:hint="eastAsia" w:ascii="宋体" w:hAnsi="宋体" w:eastAsia="宋体" w:cs="宋体;SimSun"/>
                <w:sz w:val="21"/>
                <w:szCs w:val="21"/>
                <w:highlight w:val="none"/>
                <w:lang w:val="en-US" w:eastAsia="zh-CN"/>
              </w:rPr>
              <w:t>1.总体理解和分析（10分）</w:t>
            </w:r>
          </w:p>
          <w:p>
            <w:pPr>
              <w:pStyle w:val="16"/>
              <w:widowControl/>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供应商结合本项目“第二篇”的需求内容，提出对本项目的理解和分析。内容至少包括项目背景、对“</w:t>
            </w:r>
            <w:r>
              <w:rPr>
                <w:rFonts w:hint="default" w:ascii="宋体" w:hAnsi="宋体" w:eastAsia="宋体" w:cs="Times New Roman"/>
                <w:sz w:val="21"/>
                <w:szCs w:val="21"/>
                <w:highlight w:val="none"/>
                <w:lang w:val="en-US" w:eastAsia="zh-CN"/>
              </w:rPr>
              <w:t>经济</w:t>
            </w:r>
            <w:r>
              <w:rPr>
                <w:rFonts w:hint="eastAsia" w:ascii="宋体" w:hAnsi="宋体" w:eastAsia="宋体" w:cs="Times New Roman"/>
                <w:sz w:val="21"/>
                <w:szCs w:val="21"/>
                <w:highlight w:val="none"/>
                <w:lang w:val="en-US" w:eastAsia="zh-CN"/>
              </w:rPr>
              <w:t>·瓶装燃气智慧管理”</w:t>
            </w:r>
            <w:r>
              <w:rPr>
                <w:rFonts w:hint="default" w:ascii="宋体" w:hAnsi="宋体" w:eastAsia="宋体" w:cs="Times New Roman"/>
                <w:sz w:val="21"/>
                <w:szCs w:val="21"/>
                <w:highlight w:val="none"/>
                <w:lang w:val="en-US" w:eastAsia="zh-CN"/>
              </w:rPr>
              <w:t>应用</w:t>
            </w:r>
            <w:r>
              <w:rPr>
                <w:rFonts w:hint="eastAsia" w:ascii="宋体" w:hAnsi="宋体" w:eastAsia="宋体" w:cs="Times New Roman"/>
                <w:sz w:val="21"/>
                <w:szCs w:val="21"/>
                <w:highlight w:val="none"/>
                <w:lang w:val="en-US" w:eastAsia="zh-CN"/>
              </w:rPr>
              <w:t>需求的理解与认识、目标等。</w:t>
            </w:r>
          </w:p>
          <w:p>
            <w:pPr>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内容不存在瑕疵得10分；</w:t>
            </w:r>
          </w:p>
          <w:p>
            <w:pPr>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内容存在1处瑕疵得7分；</w:t>
            </w:r>
          </w:p>
          <w:p>
            <w:pPr>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内容存在2处瑕疵的4分；</w:t>
            </w:r>
          </w:p>
          <w:p>
            <w:pPr>
              <w:pStyle w:val="16"/>
              <w:widowControl/>
              <w:rPr>
                <w:rFonts w:hint="eastAsia" w:ascii="宋体" w:hAnsi="宋体" w:cs="宋体"/>
                <w:sz w:val="21"/>
                <w:szCs w:val="21"/>
                <w:highlight w:val="none"/>
                <w:lang w:val="en-US" w:eastAsia="zh-CN"/>
              </w:rPr>
            </w:pPr>
            <w:r>
              <w:rPr>
                <w:rFonts w:hint="eastAsia" w:ascii="宋体" w:hAnsi="宋体" w:eastAsia="宋体" w:cs="宋体"/>
                <w:kern w:val="2"/>
                <w:sz w:val="21"/>
                <w:szCs w:val="21"/>
                <w:lang w:val="en-US" w:eastAsia="zh-CN" w:bidi="ar-SA"/>
              </w:rPr>
              <w:t>内容存在3处及以上瑕疵的或未提供得0分</w:t>
            </w:r>
            <w:r>
              <w:rPr>
                <w:rFonts w:hint="eastAsia" w:ascii="宋体" w:hAnsi="宋体" w:eastAsia="宋体"/>
                <w:sz w:val="21"/>
                <w:szCs w:val="21"/>
                <w:highlight w:val="none"/>
              </w:rPr>
              <w:t>。</w:t>
            </w:r>
          </w:p>
        </w:tc>
        <w:tc>
          <w:tcPr>
            <w:tcW w:w="1723" w:type="dxa"/>
            <w:vMerge w:val="restart"/>
            <w:vAlign w:val="center"/>
          </w:tcPr>
          <w:p>
            <w:pPr>
              <w:rPr>
                <w:rFonts w:ascii="宋体" w:hAnsi="宋体"/>
                <w:sz w:val="21"/>
                <w:szCs w:val="21"/>
              </w:rPr>
            </w:pPr>
            <w:r>
              <w:rPr>
                <w:rFonts w:hint="eastAsia" w:ascii="宋体" w:hAnsi="宋体"/>
                <w:sz w:val="21"/>
                <w:szCs w:val="21"/>
              </w:rPr>
              <w:t>1.提供方案（格式自定）</w:t>
            </w:r>
          </w:p>
          <w:p>
            <w:pPr>
              <w:widowControl/>
              <w:rPr>
                <w:rFonts w:hint="eastAsia" w:ascii="宋体" w:hAnsi="宋体" w:cs="宋体"/>
                <w:sz w:val="21"/>
                <w:szCs w:val="21"/>
                <w:highlight w:val="none"/>
              </w:rPr>
            </w:pPr>
            <w:r>
              <w:rPr>
                <w:rFonts w:hint="eastAsia" w:ascii="宋体" w:hAnsi="宋体"/>
                <w:sz w:val="21"/>
                <w:szCs w:val="21"/>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trPr>
        <w:tc>
          <w:tcPr>
            <w:tcW w:w="534" w:type="dxa"/>
            <w:vMerge w:val="continue"/>
            <w:vAlign w:val="center"/>
          </w:tcPr>
          <w:p>
            <w:pPr>
              <w:spacing w:line="240" w:lineRule="atLeast"/>
              <w:ind w:firstLine="28"/>
              <w:jc w:val="center"/>
              <w:rPr>
                <w:rFonts w:ascii="宋体" w:hAnsi="宋体"/>
                <w:sz w:val="21"/>
                <w:szCs w:val="21"/>
                <w:highlight w:val="none"/>
              </w:rPr>
            </w:pPr>
          </w:p>
        </w:tc>
        <w:tc>
          <w:tcPr>
            <w:tcW w:w="1134" w:type="dxa"/>
            <w:vMerge w:val="continue"/>
            <w:vAlign w:val="center"/>
          </w:tcPr>
          <w:p>
            <w:pPr>
              <w:spacing w:line="240" w:lineRule="atLeast"/>
              <w:jc w:val="center"/>
              <w:rPr>
                <w:rFonts w:ascii="宋体" w:hAnsi="宋体"/>
                <w:sz w:val="21"/>
                <w:szCs w:val="21"/>
                <w:highlight w:val="none"/>
              </w:rPr>
            </w:pPr>
          </w:p>
        </w:tc>
        <w:tc>
          <w:tcPr>
            <w:tcW w:w="992" w:type="dxa"/>
            <w:vMerge w:val="continue"/>
            <w:vAlign w:val="center"/>
          </w:tcPr>
          <w:p>
            <w:pPr>
              <w:pStyle w:val="16"/>
              <w:jc w:val="center"/>
              <w:rPr>
                <w:rFonts w:ascii="宋体" w:hAnsi="宋体" w:eastAsia="宋体"/>
                <w:sz w:val="21"/>
                <w:szCs w:val="21"/>
                <w:highlight w:val="none"/>
                <w:lang w:val="en-US" w:eastAsia="zh-CN"/>
              </w:rPr>
            </w:pPr>
          </w:p>
        </w:tc>
        <w:tc>
          <w:tcPr>
            <w:tcW w:w="5245" w:type="dxa"/>
            <w:vAlign w:val="center"/>
          </w:tcPr>
          <w:p>
            <w:pPr>
              <w:pStyle w:val="16"/>
              <w:widowControl/>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2.应用开发设计思路（20分）</w:t>
            </w:r>
          </w:p>
          <w:p>
            <w:pPr>
              <w:rPr>
                <w:rFonts w:hint="eastAsia" w:ascii="宋体" w:hAnsi="宋体" w:cs="宋体"/>
                <w:sz w:val="22"/>
                <w:szCs w:val="22"/>
                <w:highlight w:val="none"/>
                <w:lang w:val="en-US" w:eastAsia="zh-CN"/>
              </w:rPr>
            </w:pPr>
            <w:r>
              <w:rPr>
                <w:rFonts w:hint="eastAsia" w:ascii="宋体" w:hAnsi="宋体" w:eastAsia="宋体" w:cs="Times New Roman"/>
                <w:sz w:val="21"/>
                <w:szCs w:val="21"/>
                <w:highlight w:val="none"/>
                <w:lang w:val="en-US" w:eastAsia="zh-CN"/>
              </w:rPr>
              <w:t>供应商结合本项目“第二篇”的需求内容，</w:t>
            </w:r>
            <w:r>
              <w:rPr>
                <w:rFonts w:hint="eastAsia" w:ascii="宋体" w:hAnsi="宋体" w:eastAsia="宋体" w:cs="Times New Roman"/>
                <w:kern w:val="2"/>
                <w:sz w:val="21"/>
                <w:szCs w:val="21"/>
                <w:highlight w:val="none"/>
                <w:lang w:val="en-US" w:eastAsia="zh-CN" w:bidi="ar-SA"/>
              </w:rPr>
              <w:t>提出对本项目的应用开发设计思路。</w:t>
            </w:r>
            <w:r>
              <w:rPr>
                <w:rFonts w:hint="eastAsia" w:ascii="宋体" w:hAnsi="宋体"/>
                <w:sz w:val="21"/>
                <w:szCs w:val="21"/>
                <w:highlight w:val="none"/>
              </w:rPr>
              <w:t>内容</w:t>
            </w:r>
            <w:r>
              <w:rPr>
                <w:rFonts w:hint="eastAsia" w:ascii="宋体" w:hAnsi="宋体"/>
                <w:sz w:val="21"/>
                <w:szCs w:val="21"/>
                <w:highlight w:val="none"/>
                <w:lang w:val="en-US" w:eastAsia="zh-CN"/>
              </w:rPr>
              <w:t>至少</w:t>
            </w:r>
            <w:r>
              <w:rPr>
                <w:rFonts w:hint="eastAsia" w:ascii="宋体" w:hAnsi="宋体"/>
                <w:sz w:val="21"/>
                <w:szCs w:val="21"/>
                <w:highlight w:val="none"/>
              </w:rPr>
              <w:t>包括</w:t>
            </w:r>
            <w:r>
              <w:rPr>
                <w:rFonts w:hint="eastAsia" w:ascii="宋体" w:hAnsi="宋体"/>
                <w:sz w:val="21"/>
                <w:szCs w:val="21"/>
                <w:highlight w:val="none"/>
                <w:lang w:val="en-US" w:eastAsia="zh-CN"/>
              </w:rPr>
              <w:t>设计思路、问题解决思路、</w:t>
            </w:r>
            <w:r>
              <w:rPr>
                <w:rFonts w:hint="eastAsia" w:ascii="宋体" w:hAnsi="宋体" w:eastAsia="宋体" w:cs="宋体"/>
                <w:sz w:val="22"/>
                <w:szCs w:val="22"/>
                <w:highlight w:val="none"/>
                <w:lang w:val="en-US" w:eastAsia="zh-CN"/>
              </w:rPr>
              <w:t>多跨协同场景</w:t>
            </w:r>
            <w:r>
              <w:rPr>
                <w:rFonts w:hint="eastAsia" w:ascii="宋体" w:hAnsi="宋体" w:cs="宋体"/>
                <w:sz w:val="22"/>
                <w:szCs w:val="22"/>
                <w:highlight w:val="none"/>
                <w:lang w:val="en-US" w:eastAsia="zh-CN"/>
              </w:rPr>
              <w:t>设计思路等。</w:t>
            </w:r>
          </w:p>
          <w:p>
            <w:pPr>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内容不存在瑕疵得20分；</w:t>
            </w:r>
          </w:p>
          <w:p>
            <w:pPr>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内容存在1处瑕疵得10分；</w:t>
            </w:r>
          </w:p>
          <w:p>
            <w:pPr>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内容存在2处瑕疵的5分；</w:t>
            </w:r>
          </w:p>
          <w:p>
            <w:pPr>
              <w:rPr>
                <w:rFonts w:hint="eastAsia" w:ascii="宋体" w:hAnsi="宋体" w:cs="宋体"/>
                <w:sz w:val="21"/>
                <w:szCs w:val="21"/>
                <w:highlight w:val="none"/>
              </w:rPr>
            </w:pPr>
            <w:r>
              <w:rPr>
                <w:rFonts w:hint="eastAsia" w:ascii="宋体" w:hAnsi="宋体" w:eastAsia="宋体" w:cs="宋体"/>
                <w:kern w:val="2"/>
                <w:sz w:val="21"/>
                <w:szCs w:val="21"/>
                <w:lang w:val="en-US" w:eastAsia="zh-CN" w:bidi="ar-SA"/>
              </w:rPr>
              <w:t>内容存在3处及以上瑕疵的或未提供得0分</w:t>
            </w:r>
            <w:r>
              <w:rPr>
                <w:rFonts w:hint="eastAsia" w:ascii="宋体" w:hAnsi="宋体" w:eastAsia="宋体"/>
                <w:sz w:val="21"/>
                <w:szCs w:val="21"/>
                <w:highlight w:val="none"/>
              </w:rPr>
              <w:t>。</w:t>
            </w:r>
          </w:p>
        </w:tc>
        <w:tc>
          <w:tcPr>
            <w:tcW w:w="1723" w:type="dxa"/>
            <w:vMerge w:val="continue"/>
            <w:vAlign w:val="center"/>
          </w:tcPr>
          <w:p>
            <w:pPr>
              <w:spacing w:line="24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34" w:type="dxa"/>
            <w:vMerge w:val="continue"/>
            <w:vAlign w:val="center"/>
          </w:tcPr>
          <w:p>
            <w:pPr>
              <w:spacing w:line="240" w:lineRule="atLeast"/>
              <w:ind w:firstLine="28"/>
              <w:jc w:val="center"/>
              <w:rPr>
                <w:rFonts w:ascii="宋体" w:hAnsi="宋体"/>
                <w:sz w:val="21"/>
                <w:szCs w:val="21"/>
                <w:highlight w:val="none"/>
              </w:rPr>
            </w:pPr>
          </w:p>
        </w:tc>
        <w:tc>
          <w:tcPr>
            <w:tcW w:w="1134" w:type="dxa"/>
            <w:vMerge w:val="continue"/>
            <w:vAlign w:val="center"/>
          </w:tcPr>
          <w:p>
            <w:pPr>
              <w:spacing w:line="240" w:lineRule="atLeast"/>
              <w:jc w:val="center"/>
              <w:rPr>
                <w:rFonts w:ascii="宋体" w:hAnsi="宋体"/>
                <w:sz w:val="21"/>
                <w:szCs w:val="21"/>
                <w:highlight w:val="none"/>
              </w:rPr>
            </w:pPr>
          </w:p>
        </w:tc>
        <w:tc>
          <w:tcPr>
            <w:tcW w:w="992" w:type="dxa"/>
            <w:vMerge w:val="continue"/>
            <w:vAlign w:val="center"/>
          </w:tcPr>
          <w:p>
            <w:pPr>
              <w:pStyle w:val="16"/>
              <w:jc w:val="center"/>
              <w:rPr>
                <w:rFonts w:ascii="宋体" w:hAnsi="宋体" w:eastAsia="宋体"/>
                <w:sz w:val="21"/>
                <w:szCs w:val="21"/>
                <w:highlight w:val="none"/>
                <w:lang w:val="en-US" w:eastAsia="zh-CN"/>
              </w:rPr>
            </w:pPr>
          </w:p>
        </w:tc>
        <w:tc>
          <w:tcPr>
            <w:tcW w:w="5245" w:type="dxa"/>
            <w:vAlign w:val="center"/>
          </w:tcPr>
          <w:p>
            <w:pPr>
              <w:pStyle w:val="16"/>
              <w:widowControl/>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3.总体服务实施方案（15分）</w:t>
            </w:r>
          </w:p>
          <w:p>
            <w:pPr>
              <w:pStyle w:val="16"/>
              <w:widowControl/>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供应商结合本项目“第二篇”的需求内容，提出对本项目的总体服务实施方案。内容至少包括组织保障、质量保障体系及措施、工作进度安排及进度保障措施等。</w:t>
            </w:r>
          </w:p>
          <w:p>
            <w:pPr>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内容不存在瑕疵得15分；</w:t>
            </w:r>
          </w:p>
          <w:p>
            <w:pPr>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内容存在1处瑕疵得10分；</w:t>
            </w:r>
          </w:p>
          <w:p>
            <w:pPr>
              <w:snapToGrid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内容存在2处瑕疵的5分；</w:t>
            </w:r>
          </w:p>
          <w:p>
            <w:pPr>
              <w:pStyle w:val="16"/>
              <w:widowControl/>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内容存在3处及以上瑕疵的或未提供得0分</w:t>
            </w:r>
            <w:r>
              <w:rPr>
                <w:rFonts w:hint="eastAsia" w:ascii="宋体" w:hAnsi="宋体" w:eastAsia="宋体"/>
                <w:sz w:val="21"/>
                <w:szCs w:val="21"/>
                <w:highlight w:val="none"/>
              </w:rPr>
              <w:t>。</w:t>
            </w:r>
          </w:p>
        </w:tc>
        <w:tc>
          <w:tcPr>
            <w:tcW w:w="1723" w:type="dxa"/>
            <w:vMerge w:val="continue"/>
            <w:vAlign w:val="center"/>
          </w:tcPr>
          <w:p>
            <w:pPr>
              <w:spacing w:line="240" w:lineRule="atLeas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restart"/>
            <w:vAlign w:val="center"/>
          </w:tcPr>
          <w:p>
            <w:pPr>
              <w:spacing w:line="240" w:lineRule="atLeast"/>
              <w:ind w:firstLine="28"/>
              <w:jc w:val="center"/>
              <w:rPr>
                <w:rFonts w:ascii="宋体" w:hAnsi="宋体"/>
                <w:sz w:val="21"/>
                <w:szCs w:val="21"/>
                <w:highlight w:val="none"/>
              </w:rPr>
            </w:pPr>
            <w:r>
              <w:rPr>
                <w:rFonts w:hint="eastAsia" w:ascii="宋体" w:hAnsi="宋体"/>
                <w:sz w:val="21"/>
                <w:szCs w:val="21"/>
                <w:highlight w:val="none"/>
              </w:rPr>
              <w:t>3</w:t>
            </w:r>
          </w:p>
        </w:tc>
        <w:tc>
          <w:tcPr>
            <w:tcW w:w="1134" w:type="dxa"/>
            <w:vMerge w:val="restart"/>
            <w:vAlign w:val="center"/>
          </w:tcPr>
          <w:p>
            <w:pPr>
              <w:spacing w:line="240" w:lineRule="atLeast"/>
              <w:ind w:firstLine="28"/>
              <w:jc w:val="center"/>
              <w:rPr>
                <w:rFonts w:ascii="宋体" w:hAnsi="宋体"/>
                <w:sz w:val="21"/>
                <w:szCs w:val="21"/>
                <w:highlight w:val="none"/>
              </w:rPr>
            </w:pPr>
            <w:r>
              <w:rPr>
                <w:rFonts w:hint="eastAsia" w:ascii="宋体" w:hAnsi="宋体"/>
                <w:sz w:val="21"/>
                <w:szCs w:val="21"/>
                <w:highlight w:val="none"/>
              </w:rPr>
              <w:t>商务部分（</w:t>
            </w:r>
            <w:r>
              <w:rPr>
                <w:rFonts w:hint="eastAsia" w:ascii="宋体" w:hAnsi="宋体"/>
                <w:sz w:val="21"/>
                <w:szCs w:val="21"/>
                <w:highlight w:val="none"/>
                <w:lang w:val="en-US" w:eastAsia="zh-CN"/>
              </w:rPr>
              <w:t>25</w:t>
            </w:r>
            <w:r>
              <w:rPr>
                <w:rFonts w:hint="eastAsia" w:ascii="宋体" w:hAnsi="宋体"/>
                <w:sz w:val="21"/>
                <w:szCs w:val="21"/>
                <w:highlight w:val="none"/>
              </w:rPr>
              <w:t>%）</w:t>
            </w:r>
          </w:p>
        </w:tc>
        <w:tc>
          <w:tcPr>
            <w:tcW w:w="992" w:type="dxa"/>
            <w:vAlign w:val="center"/>
          </w:tcPr>
          <w:p>
            <w:pPr>
              <w:spacing w:line="240" w:lineRule="atLeast"/>
              <w:jc w:val="center"/>
              <w:rPr>
                <w:rFonts w:hint="eastAsia" w:ascii="宋体" w:hAnsi="宋体"/>
                <w:sz w:val="21"/>
                <w:szCs w:val="21"/>
                <w:highlight w:val="none"/>
              </w:rPr>
            </w:pPr>
            <w:r>
              <w:rPr>
                <w:rFonts w:hint="eastAsia" w:ascii="宋体" w:hAnsi="宋体"/>
                <w:sz w:val="21"/>
                <w:szCs w:val="21"/>
                <w:highlight w:val="none"/>
              </w:rPr>
              <w:t>业绩</w:t>
            </w:r>
          </w:p>
          <w:p>
            <w:pPr>
              <w:spacing w:line="240" w:lineRule="atLeast"/>
              <w:jc w:val="center"/>
              <w:rPr>
                <w:rFonts w:hint="eastAsia" w:eastAsia="宋体"/>
                <w:highlight w:val="none"/>
                <w:lang w:val="en-US" w:eastAsia="zh-CN"/>
              </w:rPr>
            </w:pPr>
            <w:r>
              <w:rPr>
                <w:rFonts w:hint="eastAsia" w:ascii="宋体" w:hAnsi="宋体"/>
                <w:sz w:val="21"/>
                <w:szCs w:val="21"/>
                <w:highlight w:val="none"/>
              </w:rPr>
              <w:t>（</w:t>
            </w:r>
            <w:r>
              <w:rPr>
                <w:rFonts w:hint="eastAsia" w:ascii="宋体" w:hAnsi="宋体"/>
                <w:sz w:val="21"/>
                <w:szCs w:val="21"/>
                <w:highlight w:val="none"/>
                <w:lang w:val="en-US" w:eastAsia="zh-CN"/>
              </w:rPr>
              <w:t>14</w:t>
            </w:r>
            <w:r>
              <w:rPr>
                <w:rFonts w:hint="eastAsia" w:ascii="宋体" w:hAnsi="宋体"/>
                <w:sz w:val="21"/>
                <w:szCs w:val="21"/>
                <w:highlight w:val="none"/>
              </w:rPr>
              <w:t>分）</w:t>
            </w:r>
          </w:p>
        </w:tc>
        <w:tc>
          <w:tcPr>
            <w:tcW w:w="5245" w:type="dxa"/>
            <w:vAlign w:val="center"/>
          </w:tcPr>
          <w:p>
            <w:pPr>
              <w:spacing w:line="240" w:lineRule="atLeast"/>
              <w:jc w:val="both"/>
              <w:rPr>
                <w:rFonts w:hint="eastAsia" w:ascii="宋体" w:hAnsi="宋体" w:cs="Times New Roman"/>
                <w:sz w:val="21"/>
                <w:szCs w:val="21"/>
                <w:highlight w:val="none"/>
              </w:rPr>
            </w:pPr>
            <w:r>
              <w:rPr>
                <w:rFonts w:hint="eastAsia" w:ascii="宋体" w:hAnsi="宋体" w:cs="Times New Roman"/>
                <w:sz w:val="21"/>
                <w:szCs w:val="21"/>
                <w:highlight w:val="none"/>
                <w:lang w:val="en-US" w:eastAsia="zh-CN"/>
              </w:rPr>
              <w:t>2020</w:t>
            </w:r>
            <w:r>
              <w:rPr>
                <w:rFonts w:hint="eastAsia" w:ascii="宋体" w:hAnsi="宋体" w:cs="Times New Roman"/>
                <w:sz w:val="21"/>
                <w:szCs w:val="21"/>
                <w:highlight w:val="none"/>
              </w:rPr>
              <w:t>年1月1日</w:t>
            </w:r>
            <w:r>
              <w:rPr>
                <w:rFonts w:hint="eastAsia" w:ascii="宋体" w:hAnsi="宋体" w:cs="Times New Roman"/>
                <w:sz w:val="21"/>
                <w:szCs w:val="21"/>
                <w:highlight w:val="none"/>
                <w:lang w:val="en-US" w:eastAsia="zh-CN"/>
              </w:rPr>
              <w:t>至响应文件递交截止时间</w:t>
            </w:r>
            <w:r>
              <w:rPr>
                <w:rFonts w:hint="eastAsia" w:ascii="宋体" w:hAnsi="宋体" w:cs="Times New Roman"/>
                <w:sz w:val="21"/>
                <w:szCs w:val="21"/>
                <w:highlight w:val="none"/>
              </w:rPr>
              <w:t>（以</w:t>
            </w:r>
            <w:r>
              <w:rPr>
                <w:rFonts w:hint="eastAsia" w:ascii="宋体" w:hAnsi="宋体" w:cs="Times New Roman"/>
                <w:sz w:val="21"/>
                <w:szCs w:val="21"/>
                <w:highlight w:val="none"/>
                <w:lang w:val="en-US" w:eastAsia="zh-CN"/>
              </w:rPr>
              <w:t>合同签订</w:t>
            </w:r>
            <w:r>
              <w:rPr>
                <w:rFonts w:hint="eastAsia" w:ascii="宋体" w:hAnsi="宋体" w:cs="Times New Roman"/>
                <w:sz w:val="21"/>
                <w:szCs w:val="21"/>
                <w:highlight w:val="none"/>
              </w:rPr>
              <w:t>时间为准），</w:t>
            </w:r>
            <w:r>
              <w:rPr>
                <w:rFonts w:hint="eastAsia" w:ascii="宋体" w:hAnsi="宋体" w:cs="Times New Roman"/>
                <w:sz w:val="21"/>
                <w:szCs w:val="21"/>
                <w:highlight w:val="none"/>
                <w:lang w:val="en-US" w:eastAsia="zh-CN"/>
              </w:rPr>
              <w:t>供应商承接过数字经济领域</w:t>
            </w:r>
            <w:r>
              <w:rPr>
                <w:rFonts w:hint="eastAsia" w:ascii="宋体" w:hAnsi="宋体" w:cs="Times New Roman"/>
                <w:sz w:val="21"/>
                <w:szCs w:val="21"/>
                <w:highlight w:val="none"/>
              </w:rPr>
              <w:t>相关</w:t>
            </w:r>
            <w:r>
              <w:rPr>
                <w:rFonts w:hint="eastAsia" w:ascii="宋体" w:hAnsi="宋体" w:cs="Times New Roman"/>
                <w:sz w:val="21"/>
                <w:szCs w:val="21"/>
                <w:highlight w:val="none"/>
                <w:lang w:val="en-US" w:eastAsia="zh-CN"/>
              </w:rPr>
              <w:t>规划或行动计划</w:t>
            </w:r>
            <w:r>
              <w:rPr>
                <w:rFonts w:hint="eastAsia" w:ascii="宋体" w:hAnsi="宋体" w:cs="Times New Roman"/>
                <w:sz w:val="21"/>
                <w:szCs w:val="21"/>
                <w:highlight w:val="none"/>
              </w:rPr>
              <w:t>编制工作的，每提供1个得</w:t>
            </w:r>
            <w:r>
              <w:rPr>
                <w:rFonts w:hint="eastAsia" w:ascii="宋体" w:hAnsi="宋体" w:cs="Times New Roman"/>
                <w:sz w:val="21"/>
                <w:szCs w:val="21"/>
                <w:highlight w:val="none"/>
                <w:lang w:val="en-US" w:eastAsia="zh-CN"/>
              </w:rPr>
              <w:t>2</w:t>
            </w:r>
            <w:r>
              <w:rPr>
                <w:rFonts w:hint="eastAsia" w:ascii="宋体" w:hAnsi="宋体" w:cs="Times New Roman"/>
                <w:sz w:val="21"/>
                <w:szCs w:val="21"/>
                <w:highlight w:val="none"/>
              </w:rPr>
              <w:t>分，最多</w:t>
            </w:r>
            <w:r>
              <w:rPr>
                <w:rFonts w:hint="eastAsia" w:ascii="宋体" w:hAnsi="宋体" w:cs="Times New Roman"/>
                <w:sz w:val="21"/>
                <w:szCs w:val="21"/>
                <w:highlight w:val="none"/>
                <w:lang w:val="en-US" w:eastAsia="zh-CN"/>
              </w:rPr>
              <w:t>14</w:t>
            </w:r>
            <w:r>
              <w:rPr>
                <w:rFonts w:hint="eastAsia" w:ascii="宋体" w:hAnsi="宋体" w:cs="Times New Roman"/>
                <w:sz w:val="21"/>
                <w:szCs w:val="21"/>
                <w:highlight w:val="none"/>
              </w:rPr>
              <w:t>分。</w:t>
            </w:r>
          </w:p>
        </w:tc>
        <w:tc>
          <w:tcPr>
            <w:tcW w:w="1723" w:type="dxa"/>
            <w:vAlign w:val="center"/>
          </w:tcPr>
          <w:p>
            <w:pPr>
              <w:snapToGrid w:val="0"/>
              <w:rPr>
                <w:rFonts w:hint="eastAsia" w:ascii="宋体" w:hAnsi="宋体" w:cs="宋体"/>
                <w:sz w:val="21"/>
                <w:szCs w:val="21"/>
                <w:highlight w:val="none"/>
              </w:rPr>
            </w:pPr>
            <w:r>
              <w:rPr>
                <w:rFonts w:hint="eastAsia" w:ascii="宋体" w:hAnsi="宋体" w:eastAsia="宋体" w:cs="宋体"/>
                <w:sz w:val="22"/>
                <w:szCs w:val="22"/>
                <w:highlight w:val="none"/>
              </w:rPr>
              <w:t>提供合同</w:t>
            </w:r>
            <w:r>
              <w:rPr>
                <w:rFonts w:hint="eastAsia" w:ascii="宋体" w:hAnsi="宋体" w:cs="宋体"/>
                <w:sz w:val="22"/>
                <w:szCs w:val="22"/>
                <w:highlight w:val="none"/>
                <w:lang w:val="en-US" w:eastAsia="zh-CN"/>
              </w:rPr>
              <w:t>及验收报告</w:t>
            </w:r>
            <w:r>
              <w:rPr>
                <w:rFonts w:hint="eastAsia" w:ascii="宋体" w:hAnsi="宋体" w:eastAsia="宋体" w:cs="宋体"/>
                <w:sz w:val="22"/>
                <w:szCs w:val="22"/>
                <w:highlight w:val="none"/>
              </w:rPr>
              <w:t>复印件并加盖公章</w:t>
            </w:r>
            <w:r>
              <w:rPr>
                <w:rFonts w:hint="eastAsia" w:ascii="宋体" w:hAnsi="宋体" w:eastAsia="宋体" w:cs="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534" w:type="dxa"/>
            <w:vMerge w:val="continue"/>
            <w:vAlign w:val="center"/>
          </w:tcPr>
          <w:p>
            <w:pPr>
              <w:spacing w:line="240" w:lineRule="atLeast"/>
              <w:ind w:firstLine="28"/>
              <w:jc w:val="center"/>
              <w:rPr>
                <w:rFonts w:hint="eastAsia" w:ascii="宋体" w:hAnsi="宋体"/>
                <w:sz w:val="21"/>
                <w:szCs w:val="21"/>
                <w:highlight w:val="none"/>
              </w:rPr>
            </w:pPr>
          </w:p>
        </w:tc>
        <w:tc>
          <w:tcPr>
            <w:tcW w:w="1134" w:type="dxa"/>
            <w:vMerge w:val="continue"/>
            <w:vAlign w:val="center"/>
          </w:tcPr>
          <w:p>
            <w:pPr>
              <w:spacing w:line="240" w:lineRule="atLeast"/>
              <w:ind w:firstLine="28"/>
              <w:jc w:val="center"/>
              <w:rPr>
                <w:rFonts w:hint="eastAsia" w:ascii="宋体" w:hAnsi="宋体"/>
                <w:sz w:val="21"/>
                <w:szCs w:val="21"/>
                <w:highlight w:val="none"/>
              </w:rPr>
            </w:pPr>
          </w:p>
        </w:tc>
        <w:tc>
          <w:tcPr>
            <w:tcW w:w="992" w:type="dxa"/>
            <w:vMerge w:val="restart"/>
            <w:vAlign w:val="center"/>
          </w:tcPr>
          <w:p>
            <w:pPr>
              <w:spacing w:line="240" w:lineRule="atLeast"/>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团队配置</w:t>
            </w:r>
          </w:p>
          <w:p>
            <w:pPr>
              <w:spacing w:line="240" w:lineRule="atLeast"/>
              <w:jc w:val="both"/>
              <w:rPr>
                <w:rFonts w:hint="default" w:ascii="宋体" w:hAnsi="宋体" w:eastAsia="宋体" w:cs="宋体"/>
                <w:sz w:val="22"/>
                <w:szCs w:val="22"/>
                <w:highlight w:val="none"/>
                <w:lang w:val="en-US" w:eastAsia="zh-CN"/>
              </w:rPr>
            </w:pPr>
            <w:r>
              <w:rPr>
                <w:rFonts w:hint="eastAsia" w:ascii="宋体" w:hAnsi="宋体"/>
                <w:sz w:val="21"/>
                <w:szCs w:val="21"/>
                <w:highlight w:val="none"/>
                <w:lang w:val="en-US" w:eastAsia="zh-CN"/>
              </w:rPr>
              <w:t>（9分）</w:t>
            </w:r>
          </w:p>
        </w:tc>
        <w:tc>
          <w:tcPr>
            <w:tcW w:w="5245" w:type="dxa"/>
            <w:vAlign w:val="center"/>
          </w:tcPr>
          <w:p>
            <w:pPr>
              <w:spacing w:line="240" w:lineRule="atLeast"/>
              <w:jc w:val="both"/>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项目负责人具有电子信息或通信工程类正高级工程师职称</w:t>
            </w:r>
            <w:r>
              <w:rPr>
                <w:rFonts w:hint="eastAsia" w:ascii="宋体" w:hAnsi="宋体" w:cs="宋体"/>
                <w:sz w:val="22"/>
                <w:szCs w:val="22"/>
                <w:highlight w:val="none"/>
                <w:lang w:val="en-US" w:eastAsia="zh-CN"/>
              </w:rPr>
              <w:t>的</w:t>
            </w:r>
            <w:r>
              <w:rPr>
                <w:rFonts w:hint="eastAsia" w:ascii="宋体" w:hAnsi="宋体" w:eastAsia="宋体" w:cs="宋体"/>
                <w:sz w:val="22"/>
                <w:szCs w:val="22"/>
                <w:highlight w:val="none"/>
                <w:lang w:val="en-US" w:eastAsia="zh-CN"/>
              </w:rPr>
              <w:t>，得</w:t>
            </w:r>
            <w:r>
              <w:rPr>
                <w:rFonts w:hint="eastAsia" w:ascii="宋体" w:hAnsi="宋体" w:cs="宋体"/>
                <w:sz w:val="22"/>
                <w:szCs w:val="22"/>
                <w:highlight w:val="none"/>
                <w:lang w:val="en-US" w:eastAsia="zh-CN"/>
              </w:rPr>
              <w:t>3</w:t>
            </w:r>
            <w:r>
              <w:rPr>
                <w:rFonts w:hint="eastAsia" w:ascii="宋体" w:hAnsi="宋体" w:eastAsia="宋体" w:cs="宋体"/>
                <w:sz w:val="22"/>
                <w:szCs w:val="22"/>
                <w:highlight w:val="none"/>
                <w:lang w:val="en-US" w:eastAsia="zh-CN"/>
              </w:rPr>
              <w:t>分。</w:t>
            </w:r>
          </w:p>
        </w:tc>
        <w:tc>
          <w:tcPr>
            <w:tcW w:w="1723" w:type="dxa"/>
            <w:vMerge w:val="restart"/>
            <w:vAlign w:val="center"/>
          </w:tcPr>
          <w:p>
            <w:pPr>
              <w:snapToGrid w:val="0"/>
              <w:rPr>
                <w:rFonts w:hint="default" w:ascii="宋体" w:hAnsi="宋体" w:eastAsia="宋体" w:cs="宋体"/>
                <w:sz w:val="21"/>
                <w:szCs w:val="21"/>
                <w:highlight w:val="none"/>
                <w:lang w:val="en-US" w:eastAsia="zh-CN"/>
              </w:rPr>
            </w:pPr>
            <w:r>
              <w:rPr>
                <w:rFonts w:hint="eastAsia" w:ascii="宋体" w:hAnsi="宋体" w:eastAsia="宋体" w:cs="宋体"/>
                <w:sz w:val="22"/>
                <w:szCs w:val="22"/>
                <w:highlight w:val="none"/>
              </w:rPr>
              <w:t>提供职称证书复印件、</w:t>
            </w:r>
            <w:r>
              <w:rPr>
                <w:rFonts w:hint="eastAsia" w:ascii="宋体" w:hAnsi="宋体" w:cs="宋体"/>
                <w:sz w:val="22"/>
                <w:szCs w:val="22"/>
                <w:highlight w:val="none"/>
                <w:lang w:val="en-US" w:eastAsia="zh-CN"/>
              </w:rPr>
              <w:t>供应商为其缴纳</w:t>
            </w:r>
            <w:r>
              <w:rPr>
                <w:rFonts w:hint="eastAsia" w:ascii="宋体" w:hAnsi="宋体" w:eastAsia="宋体" w:cs="宋体"/>
                <w:sz w:val="22"/>
                <w:szCs w:val="22"/>
                <w:highlight w:val="none"/>
              </w:rPr>
              <w:t>社保</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lang w:val="en-US" w:eastAsia="zh-CN"/>
              </w:rPr>
              <w:t>或签订的劳动合同</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证明</w:t>
            </w:r>
            <w:r>
              <w:rPr>
                <w:rFonts w:hint="eastAsia" w:ascii="宋体" w:hAnsi="宋体" w:cs="宋体"/>
                <w:sz w:val="22"/>
                <w:szCs w:val="22"/>
                <w:highlight w:val="none"/>
                <w:lang w:val="en-US" w:eastAsia="zh-CN"/>
              </w:rPr>
              <w:t>材料复印件，</w:t>
            </w:r>
            <w:r>
              <w:rPr>
                <w:rFonts w:hint="eastAsia" w:ascii="宋体" w:hAnsi="宋体" w:eastAsia="宋体" w:cs="宋体"/>
                <w:sz w:val="22"/>
                <w:szCs w:val="22"/>
                <w:highlight w:val="none"/>
              </w:rPr>
              <w:t>并加盖公章</w:t>
            </w:r>
            <w:r>
              <w:rPr>
                <w:rFonts w:hint="eastAsia" w:ascii="宋体" w:hAnsi="宋体" w:eastAsia="宋体" w:cs="宋体"/>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534" w:type="dxa"/>
            <w:vMerge w:val="continue"/>
            <w:vAlign w:val="center"/>
          </w:tcPr>
          <w:p>
            <w:pPr>
              <w:spacing w:line="240" w:lineRule="atLeast"/>
              <w:ind w:firstLine="28"/>
              <w:jc w:val="center"/>
              <w:rPr>
                <w:rFonts w:hint="eastAsia" w:ascii="宋体" w:hAnsi="宋体"/>
                <w:sz w:val="21"/>
                <w:szCs w:val="21"/>
                <w:highlight w:val="none"/>
              </w:rPr>
            </w:pPr>
          </w:p>
        </w:tc>
        <w:tc>
          <w:tcPr>
            <w:tcW w:w="1134" w:type="dxa"/>
            <w:vMerge w:val="continue"/>
            <w:vAlign w:val="center"/>
          </w:tcPr>
          <w:p>
            <w:pPr>
              <w:spacing w:line="240" w:lineRule="atLeast"/>
              <w:ind w:firstLine="28"/>
              <w:jc w:val="center"/>
              <w:rPr>
                <w:rFonts w:hint="eastAsia" w:ascii="宋体" w:hAnsi="宋体"/>
                <w:sz w:val="21"/>
                <w:szCs w:val="21"/>
                <w:highlight w:val="none"/>
              </w:rPr>
            </w:pPr>
          </w:p>
        </w:tc>
        <w:tc>
          <w:tcPr>
            <w:tcW w:w="992" w:type="dxa"/>
            <w:vMerge w:val="continue"/>
            <w:vAlign w:val="center"/>
          </w:tcPr>
          <w:p>
            <w:pPr>
              <w:spacing w:line="240" w:lineRule="atLeast"/>
              <w:jc w:val="center"/>
              <w:rPr>
                <w:rFonts w:hint="eastAsia" w:ascii="宋体" w:hAnsi="宋体"/>
                <w:sz w:val="21"/>
                <w:szCs w:val="21"/>
                <w:highlight w:val="none"/>
                <w:lang w:val="en-US" w:eastAsia="zh-CN"/>
              </w:rPr>
            </w:pPr>
          </w:p>
        </w:tc>
        <w:tc>
          <w:tcPr>
            <w:tcW w:w="5245" w:type="dxa"/>
            <w:vAlign w:val="center"/>
          </w:tcPr>
          <w:p>
            <w:pPr>
              <w:spacing w:line="240" w:lineRule="atLeast"/>
              <w:jc w:val="both"/>
              <w:rPr>
                <w:rFonts w:hint="eastAsia" w:ascii="宋体" w:hAnsi="宋体" w:cs="宋体"/>
                <w:sz w:val="21"/>
                <w:szCs w:val="21"/>
                <w:highlight w:val="none"/>
              </w:rPr>
            </w:pPr>
            <w:r>
              <w:rPr>
                <w:rFonts w:hint="eastAsia" w:ascii="宋体" w:hAnsi="宋体" w:eastAsia="宋体" w:cs="宋体"/>
                <w:sz w:val="22"/>
                <w:szCs w:val="22"/>
                <w:highlight w:val="none"/>
              </w:rPr>
              <w:t>项目团队成员</w:t>
            </w: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除项目负责人外</w:t>
            </w:r>
            <w:r>
              <w:rPr>
                <w:rFonts w:hint="eastAsia" w:ascii="宋体" w:hAnsi="宋体" w:cs="宋体"/>
                <w:sz w:val="22"/>
                <w:szCs w:val="22"/>
                <w:highlight w:val="none"/>
                <w:lang w:eastAsia="zh-CN"/>
              </w:rPr>
              <w:t>）</w:t>
            </w:r>
            <w:r>
              <w:rPr>
                <w:rFonts w:hint="eastAsia" w:ascii="宋体" w:hAnsi="宋体" w:eastAsia="宋体" w:cs="宋体"/>
                <w:sz w:val="22"/>
                <w:szCs w:val="22"/>
                <w:highlight w:val="none"/>
              </w:rPr>
              <w:t>具有电子信息或通信工程类高级工程师</w:t>
            </w:r>
            <w:r>
              <w:rPr>
                <w:rFonts w:hint="eastAsia" w:ascii="宋体" w:hAnsi="宋体" w:cs="宋体"/>
                <w:sz w:val="22"/>
                <w:szCs w:val="22"/>
                <w:highlight w:val="none"/>
                <w:lang w:val="en-US" w:eastAsia="zh-CN"/>
              </w:rPr>
              <w:t>及以上</w:t>
            </w:r>
            <w:r>
              <w:rPr>
                <w:rFonts w:hint="eastAsia" w:ascii="宋体" w:hAnsi="宋体" w:eastAsia="宋体" w:cs="宋体"/>
                <w:sz w:val="22"/>
                <w:szCs w:val="22"/>
                <w:highlight w:val="none"/>
              </w:rPr>
              <w:t>职称的，每</w:t>
            </w:r>
            <w:r>
              <w:rPr>
                <w:rFonts w:hint="eastAsia" w:ascii="宋体" w:hAnsi="宋体" w:cs="宋体"/>
                <w:sz w:val="22"/>
                <w:szCs w:val="22"/>
                <w:highlight w:val="none"/>
                <w:lang w:val="en-US" w:eastAsia="zh-CN"/>
              </w:rPr>
              <w:t>提供</w:t>
            </w:r>
            <w:r>
              <w:rPr>
                <w:rFonts w:hint="eastAsia" w:ascii="宋体" w:hAnsi="宋体" w:eastAsia="宋体" w:cs="宋体"/>
                <w:sz w:val="22"/>
                <w:szCs w:val="22"/>
                <w:highlight w:val="none"/>
              </w:rPr>
              <w:t>一人得</w:t>
            </w:r>
            <w:r>
              <w:rPr>
                <w:rFonts w:hint="eastAsia" w:ascii="宋体" w:hAnsi="宋体" w:cs="宋体"/>
                <w:sz w:val="22"/>
                <w:szCs w:val="22"/>
                <w:highlight w:val="none"/>
                <w:lang w:val="en-US" w:eastAsia="zh-CN"/>
              </w:rPr>
              <w:t>1.5</w:t>
            </w:r>
            <w:r>
              <w:rPr>
                <w:rFonts w:hint="eastAsia" w:ascii="宋体" w:hAnsi="宋体" w:eastAsia="宋体" w:cs="宋体"/>
                <w:sz w:val="22"/>
                <w:szCs w:val="22"/>
                <w:highlight w:val="none"/>
              </w:rPr>
              <w:t>分，</w:t>
            </w:r>
            <w:r>
              <w:rPr>
                <w:rFonts w:hint="eastAsia" w:ascii="宋体" w:hAnsi="宋体" w:cs="宋体"/>
                <w:sz w:val="22"/>
                <w:szCs w:val="22"/>
                <w:highlight w:val="none"/>
                <w:lang w:val="en-US" w:eastAsia="zh-CN"/>
              </w:rPr>
              <w:t>本项</w:t>
            </w:r>
            <w:r>
              <w:rPr>
                <w:rFonts w:hint="eastAsia" w:ascii="宋体" w:hAnsi="宋体" w:eastAsia="宋体" w:cs="宋体"/>
                <w:sz w:val="22"/>
                <w:szCs w:val="22"/>
                <w:highlight w:val="none"/>
              </w:rPr>
              <w:t>最多得</w:t>
            </w:r>
            <w:r>
              <w:rPr>
                <w:rFonts w:hint="eastAsia" w:ascii="宋体" w:hAnsi="宋体" w:cs="宋体"/>
                <w:sz w:val="22"/>
                <w:szCs w:val="22"/>
                <w:highlight w:val="none"/>
                <w:lang w:val="en-US" w:eastAsia="zh-CN"/>
              </w:rPr>
              <w:t>6</w:t>
            </w:r>
            <w:r>
              <w:rPr>
                <w:rFonts w:hint="eastAsia" w:ascii="宋体" w:hAnsi="宋体" w:eastAsia="宋体" w:cs="宋体"/>
                <w:sz w:val="22"/>
                <w:szCs w:val="22"/>
                <w:highlight w:val="none"/>
              </w:rPr>
              <w:t>分。</w:t>
            </w:r>
          </w:p>
        </w:tc>
        <w:tc>
          <w:tcPr>
            <w:tcW w:w="1723" w:type="dxa"/>
            <w:vMerge w:val="continue"/>
            <w:vAlign w:val="center"/>
          </w:tcPr>
          <w:p>
            <w:pPr>
              <w:snapToGrid w:val="0"/>
              <w:rPr>
                <w:rFonts w:hint="eastAsia" w:ascii="宋体" w:hAnsi="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4" w:type="dxa"/>
            <w:vMerge w:val="continue"/>
            <w:vAlign w:val="center"/>
          </w:tcPr>
          <w:p>
            <w:pPr>
              <w:spacing w:line="240" w:lineRule="atLeast"/>
              <w:ind w:firstLine="28"/>
              <w:jc w:val="center"/>
              <w:rPr>
                <w:rFonts w:hint="eastAsia" w:ascii="宋体" w:hAnsi="宋体"/>
                <w:sz w:val="21"/>
                <w:szCs w:val="21"/>
                <w:highlight w:val="none"/>
              </w:rPr>
            </w:pPr>
          </w:p>
        </w:tc>
        <w:tc>
          <w:tcPr>
            <w:tcW w:w="1134" w:type="dxa"/>
            <w:vMerge w:val="continue"/>
            <w:vAlign w:val="center"/>
          </w:tcPr>
          <w:p>
            <w:pPr>
              <w:spacing w:line="240" w:lineRule="atLeast"/>
              <w:ind w:firstLine="28"/>
              <w:jc w:val="center"/>
              <w:rPr>
                <w:rFonts w:hint="eastAsia" w:ascii="宋体" w:hAnsi="宋体"/>
                <w:sz w:val="21"/>
                <w:szCs w:val="21"/>
                <w:highlight w:val="none"/>
              </w:rPr>
            </w:pPr>
          </w:p>
        </w:tc>
        <w:tc>
          <w:tcPr>
            <w:tcW w:w="992" w:type="dxa"/>
            <w:vMerge w:val="restart"/>
            <w:vAlign w:val="center"/>
          </w:tcPr>
          <w:p>
            <w:pPr>
              <w:spacing w:line="240" w:lineRule="atLeast"/>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供应商实力</w:t>
            </w:r>
          </w:p>
          <w:p>
            <w:pPr>
              <w:spacing w:line="240" w:lineRule="atLeast"/>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（2分）</w:t>
            </w:r>
          </w:p>
        </w:tc>
        <w:tc>
          <w:tcPr>
            <w:tcW w:w="5245" w:type="dxa"/>
            <w:vAlign w:val="center"/>
          </w:tcPr>
          <w:p>
            <w:pPr>
              <w:spacing w:line="240" w:lineRule="atLeast"/>
              <w:jc w:val="both"/>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1.供应商提供有效的质量管理体系认证证书ISO9001证书复印件，得1分，其余不得分。</w:t>
            </w:r>
          </w:p>
        </w:tc>
        <w:tc>
          <w:tcPr>
            <w:tcW w:w="1723" w:type="dxa"/>
            <w:vMerge w:val="restart"/>
            <w:vAlign w:val="center"/>
          </w:tcPr>
          <w:p>
            <w:pPr>
              <w:snapToGrid w:val="0"/>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提供资质证书证复印件，并加盖供应商公章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534" w:type="dxa"/>
            <w:vMerge w:val="continue"/>
            <w:vAlign w:val="center"/>
          </w:tcPr>
          <w:p>
            <w:pPr>
              <w:spacing w:line="240" w:lineRule="atLeast"/>
              <w:ind w:firstLine="28"/>
              <w:jc w:val="center"/>
              <w:rPr>
                <w:rFonts w:hint="eastAsia" w:ascii="宋体" w:hAnsi="宋体"/>
                <w:sz w:val="21"/>
                <w:szCs w:val="21"/>
                <w:highlight w:val="none"/>
              </w:rPr>
            </w:pPr>
          </w:p>
        </w:tc>
        <w:tc>
          <w:tcPr>
            <w:tcW w:w="1134" w:type="dxa"/>
            <w:vMerge w:val="continue"/>
            <w:vAlign w:val="center"/>
          </w:tcPr>
          <w:p>
            <w:pPr>
              <w:spacing w:line="240" w:lineRule="atLeast"/>
              <w:ind w:firstLine="28"/>
              <w:jc w:val="center"/>
              <w:rPr>
                <w:rFonts w:hint="eastAsia" w:ascii="宋体" w:hAnsi="宋体"/>
                <w:sz w:val="21"/>
                <w:szCs w:val="21"/>
                <w:highlight w:val="none"/>
              </w:rPr>
            </w:pPr>
          </w:p>
        </w:tc>
        <w:tc>
          <w:tcPr>
            <w:tcW w:w="992" w:type="dxa"/>
            <w:vMerge w:val="continue"/>
            <w:vAlign w:val="center"/>
          </w:tcPr>
          <w:p>
            <w:pPr>
              <w:spacing w:line="240" w:lineRule="atLeast"/>
              <w:jc w:val="center"/>
              <w:rPr>
                <w:rFonts w:hint="eastAsia" w:ascii="宋体" w:hAnsi="宋体"/>
                <w:sz w:val="21"/>
                <w:szCs w:val="21"/>
                <w:highlight w:val="none"/>
                <w:lang w:val="en-US" w:eastAsia="zh-CN"/>
              </w:rPr>
            </w:pPr>
          </w:p>
        </w:tc>
        <w:tc>
          <w:tcPr>
            <w:tcW w:w="5245" w:type="dxa"/>
            <w:vAlign w:val="center"/>
          </w:tcPr>
          <w:p>
            <w:pPr>
              <w:spacing w:line="240" w:lineRule="atLeast"/>
              <w:jc w:val="both"/>
              <w:rPr>
                <w:rFonts w:hint="eastAsia" w:ascii="宋体" w:hAnsi="宋体" w:eastAsia="宋体" w:cs="宋体"/>
                <w:sz w:val="22"/>
                <w:szCs w:val="22"/>
                <w:highlight w:val="none"/>
              </w:rPr>
            </w:pPr>
            <w:r>
              <w:rPr>
                <w:rFonts w:hint="eastAsia" w:ascii="宋体" w:hAnsi="宋体" w:eastAsia="宋体" w:cs="宋体"/>
                <w:sz w:val="22"/>
                <w:szCs w:val="22"/>
                <w:highlight w:val="none"/>
                <w:lang w:val="en-US" w:eastAsia="zh-CN"/>
              </w:rPr>
              <w:t>2.供应商提供有效的ISO27001系列信息安全管理体系认证证书复印件，得1分，其余不得分。</w:t>
            </w:r>
          </w:p>
        </w:tc>
        <w:tc>
          <w:tcPr>
            <w:tcW w:w="1723" w:type="dxa"/>
            <w:vMerge w:val="continue"/>
            <w:vAlign w:val="center"/>
          </w:tcPr>
          <w:p>
            <w:pPr>
              <w:snapToGrid w:val="0"/>
              <w:rPr>
                <w:rFonts w:hint="eastAsia" w:ascii="宋体" w:hAnsi="宋体" w:cs="宋体"/>
                <w:sz w:val="21"/>
                <w:szCs w:val="21"/>
                <w:highlight w:val="none"/>
                <w:lang w:val="en-US" w:eastAsia="zh-CN"/>
              </w:rPr>
            </w:pPr>
          </w:p>
        </w:tc>
      </w:tr>
    </w:tbl>
    <w:p>
      <w:pPr>
        <w:snapToGrid w:val="0"/>
        <w:spacing w:line="360" w:lineRule="auto"/>
        <w:ind w:firstLine="465"/>
        <w:rPr>
          <w:rFonts w:ascii="宋体" w:hAnsi="宋体"/>
          <w:sz w:val="24"/>
          <w:szCs w:val="24"/>
        </w:rPr>
      </w:pPr>
      <w:r>
        <w:rPr>
          <w:rFonts w:hint="eastAsia" w:ascii="宋体" w:hAnsi="宋体"/>
          <w:sz w:val="24"/>
          <w:szCs w:val="24"/>
        </w:rPr>
        <w:t>注：关于小微企业报价扣除比例说明</w:t>
      </w:r>
    </w:p>
    <w:p>
      <w:pPr>
        <w:snapToGrid w:val="0"/>
        <w:spacing w:line="360" w:lineRule="auto"/>
        <w:ind w:firstLine="465"/>
        <w:rPr>
          <w:rFonts w:ascii="宋体" w:hAnsi="宋体"/>
          <w:sz w:val="24"/>
          <w:szCs w:val="24"/>
        </w:rPr>
      </w:pPr>
      <w:r>
        <w:rPr>
          <w:rFonts w:hint="eastAsia" w:ascii="宋体" w:hAns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sz w:val="24"/>
          <w:szCs w:val="24"/>
        </w:rPr>
      </w:pPr>
      <w:r>
        <w:rPr>
          <w:rFonts w:hint="eastAsia" w:ascii="宋体" w:hAns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sz w:val="24"/>
          <w:szCs w:val="24"/>
        </w:rPr>
      </w:pPr>
      <w:r>
        <w:rPr>
          <w:rFonts w:hint="eastAsia" w:ascii="宋体" w:hAnsi="宋体"/>
          <w:sz w:val="24"/>
          <w:szCs w:val="24"/>
        </w:rPr>
        <w:t>（2）在工程采购项目中，工程由中小企业承建，即工程施工单位为中小企业；</w:t>
      </w:r>
    </w:p>
    <w:p>
      <w:pPr>
        <w:snapToGrid w:val="0"/>
        <w:spacing w:line="360" w:lineRule="auto"/>
        <w:ind w:firstLine="465"/>
        <w:rPr>
          <w:rFonts w:ascii="宋体" w:hAnsi="宋体"/>
          <w:sz w:val="24"/>
          <w:szCs w:val="24"/>
        </w:rPr>
      </w:pPr>
      <w:r>
        <w:rPr>
          <w:rFonts w:hint="eastAsia" w:ascii="宋体" w:hAnsi="宋体"/>
          <w:sz w:val="24"/>
          <w:szCs w:val="24"/>
        </w:rPr>
        <w:t>（3）在服务采购项目中，服务由中小企业承接，即提供服务的人员为与中小企业订立劳动合同的从业人员。</w:t>
      </w:r>
    </w:p>
    <w:p>
      <w:pPr>
        <w:snapToGrid w:val="0"/>
        <w:spacing w:line="360" w:lineRule="auto"/>
        <w:ind w:firstLine="465"/>
        <w:rPr>
          <w:rFonts w:ascii="宋体" w:hAnsi="宋体"/>
          <w:sz w:val="24"/>
          <w:szCs w:val="24"/>
        </w:rPr>
      </w:pPr>
      <w:r>
        <w:rPr>
          <w:rFonts w:hint="eastAsia" w:ascii="宋体" w:hAnsi="宋体"/>
          <w:sz w:val="24"/>
          <w:szCs w:val="24"/>
        </w:rPr>
        <w:t>2.对小微型企业供应商给予</w:t>
      </w:r>
      <w:r>
        <w:rPr>
          <w:rFonts w:hint="eastAsia" w:ascii="宋体" w:hAnsi="宋体"/>
          <w:b/>
          <w:bCs/>
          <w:sz w:val="24"/>
          <w:szCs w:val="24"/>
          <w:u w:val="single"/>
        </w:rPr>
        <w:t xml:space="preserve"> 20 %</w:t>
      </w:r>
      <w:r>
        <w:rPr>
          <w:rFonts w:hint="eastAsia" w:ascii="宋体" w:hAnsi="宋体"/>
          <w:sz w:val="24"/>
          <w:szCs w:val="24"/>
        </w:rPr>
        <w:t>的扣除，以扣除后的报价参加评审。</w:t>
      </w:r>
    </w:p>
    <w:p>
      <w:pPr>
        <w:pStyle w:val="4"/>
        <w:spacing w:before="0" w:after="0" w:line="360" w:lineRule="auto"/>
        <w:ind w:firstLine="482" w:firstLineChars="200"/>
        <w:rPr>
          <w:rFonts w:ascii="宋体" w:hAnsi="宋体"/>
          <w:sz w:val="24"/>
          <w:szCs w:val="24"/>
        </w:rPr>
      </w:pPr>
      <w:bookmarkStart w:id="69" w:name="_Toc23597"/>
      <w:r>
        <w:rPr>
          <w:rFonts w:hint="eastAsia" w:ascii="宋体" w:hAnsi="宋体"/>
          <w:sz w:val="24"/>
          <w:szCs w:val="24"/>
        </w:rPr>
        <w:t>三、无效响应</w:t>
      </w:r>
      <w:bookmarkEnd w:id="69"/>
    </w:p>
    <w:p>
      <w:pPr>
        <w:snapToGrid w:val="0"/>
        <w:spacing w:line="360" w:lineRule="auto"/>
        <w:ind w:firstLine="465"/>
        <w:rPr>
          <w:rFonts w:ascii="宋体" w:hAnsi="宋体"/>
          <w:sz w:val="24"/>
          <w:szCs w:val="24"/>
        </w:rPr>
      </w:pPr>
      <w:r>
        <w:rPr>
          <w:rFonts w:hint="eastAsia" w:ascii="宋体" w:hAnsi="宋体"/>
          <w:sz w:val="24"/>
          <w:szCs w:val="24"/>
        </w:rPr>
        <w:t>供应商发生以下条款情况之一者，视为无效响应，其响应文件将被拒绝：</w:t>
      </w:r>
    </w:p>
    <w:p>
      <w:pPr>
        <w:snapToGrid w:val="0"/>
        <w:spacing w:line="360" w:lineRule="auto"/>
        <w:ind w:firstLine="465"/>
        <w:rPr>
          <w:rFonts w:ascii="宋体" w:hAnsi="宋体"/>
          <w:sz w:val="24"/>
          <w:szCs w:val="24"/>
        </w:rPr>
      </w:pPr>
      <w:r>
        <w:rPr>
          <w:rFonts w:hint="eastAsia" w:ascii="宋体" w:hAnsi="宋体"/>
          <w:sz w:val="24"/>
          <w:szCs w:val="24"/>
        </w:rPr>
        <w:t>（一）供应商不符合规定的资格条件的；</w:t>
      </w:r>
    </w:p>
    <w:p>
      <w:pPr>
        <w:snapToGrid w:val="0"/>
        <w:spacing w:line="360" w:lineRule="auto"/>
        <w:ind w:firstLine="465"/>
        <w:rPr>
          <w:rFonts w:ascii="宋体" w:hAnsi="宋体"/>
          <w:sz w:val="24"/>
          <w:szCs w:val="24"/>
        </w:rPr>
      </w:pPr>
      <w:r>
        <w:rPr>
          <w:rFonts w:hint="eastAsia" w:ascii="宋体" w:hAnsi="宋体"/>
          <w:sz w:val="24"/>
          <w:szCs w:val="24"/>
        </w:rPr>
        <w:t>（二）供应商的法定代表人（或其授权代表）或自然人未参加磋商；</w:t>
      </w:r>
    </w:p>
    <w:p>
      <w:pPr>
        <w:snapToGrid w:val="0"/>
        <w:spacing w:line="360" w:lineRule="auto"/>
        <w:ind w:firstLine="465"/>
        <w:rPr>
          <w:rFonts w:ascii="宋体" w:hAnsi="宋体"/>
          <w:sz w:val="24"/>
          <w:szCs w:val="24"/>
        </w:rPr>
      </w:pPr>
      <w:r>
        <w:rPr>
          <w:rFonts w:hint="eastAsia" w:ascii="宋体" w:hAnsi="宋体"/>
          <w:sz w:val="24"/>
          <w:szCs w:val="24"/>
        </w:rPr>
        <w:t>（三）供应商所提交的响应文件不按“第七篇响应文件编制要求”要求签署或盖章；</w:t>
      </w:r>
    </w:p>
    <w:p>
      <w:pPr>
        <w:snapToGrid w:val="0"/>
        <w:spacing w:line="360" w:lineRule="auto"/>
        <w:ind w:firstLine="465"/>
        <w:rPr>
          <w:rFonts w:ascii="宋体" w:hAnsi="宋体"/>
          <w:sz w:val="24"/>
          <w:szCs w:val="24"/>
        </w:rPr>
      </w:pPr>
      <w:r>
        <w:rPr>
          <w:rFonts w:hint="eastAsia" w:ascii="宋体" w:hAnsi="宋体"/>
          <w:sz w:val="24"/>
          <w:szCs w:val="24"/>
        </w:rPr>
        <w:t>（四）供应商的最后报价超过采购预算或最高限价的；</w:t>
      </w:r>
    </w:p>
    <w:p>
      <w:pPr>
        <w:snapToGrid w:val="0"/>
        <w:spacing w:line="360" w:lineRule="auto"/>
        <w:ind w:firstLine="465"/>
        <w:rPr>
          <w:rFonts w:ascii="宋体" w:hAnsi="宋体"/>
          <w:sz w:val="24"/>
          <w:szCs w:val="24"/>
        </w:rPr>
      </w:pPr>
      <w:r>
        <w:rPr>
          <w:rFonts w:hint="eastAsia" w:ascii="宋体" w:hAnsi="宋体"/>
          <w:sz w:val="24"/>
          <w:szCs w:val="24"/>
        </w:rPr>
        <w:t>（五）法定代表人为同一个人的两个及两个以上法人，母公司、全资子公司及其控股公司，在同一包采购中同时参与磋商；</w:t>
      </w:r>
    </w:p>
    <w:p>
      <w:pPr>
        <w:snapToGrid w:val="0"/>
        <w:spacing w:line="360" w:lineRule="auto"/>
        <w:ind w:firstLine="465"/>
        <w:rPr>
          <w:rFonts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pPr>
        <w:snapToGrid w:val="0"/>
        <w:spacing w:line="360" w:lineRule="auto"/>
        <w:ind w:firstLine="465"/>
        <w:rPr>
          <w:rFonts w:ascii="宋体" w:hAnsi="宋体"/>
          <w:sz w:val="24"/>
          <w:szCs w:val="24"/>
        </w:rPr>
      </w:pPr>
      <w:r>
        <w:rPr>
          <w:rFonts w:hint="eastAsia" w:ascii="宋体" w:hAnsi="宋体"/>
          <w:sz w:val="24"/>
          <w:szCs w:val="24"/>
        </w:rPr>
        <w:t>（七）为采购项目提供整体设计、规范编制或者项目管理、监理、检测等服务的供应商，再参加该采购项目的其他采购活动；</w:t>
      </w:r>
    </w:p>
    <w:p>
      <w:pPr>
        <w:snapToGrid w:val="0"/>
        <w:spacing w:line="360" w:lineRule="auto"/>
        <w:ind w:firstLine="465"/>
        <w:rPr>
          <w:rFonts w:ascii="宋体" w:hAnsi="宋体"/>
          <w:sz w:val="24"/>
          <w:szCs w:val="24"/>
        </w:rPr>
      </w:pPr>
      <w:r>
        <w:rPr>
          <w:rFonts w:hint="eastAsia" w:ascii="宋体" w:hAnsi="宋体"/>
          <w:sz w:val="24"/>
          <w:szCs w:val="24"/>
        </w:rPr>
        <w:t>（八）供应商磋商有效期不满足竞争性磋商文件要求的；</w:t>
      </w:r>
    </w:p>
    <w:p>
      <w:pPr>
        <w:snapToGrid w:val="0"/>
        <w:spacing w:line="360" w:lineRule="auto"/>
        <w:ind w:firstLine="465"/>
        <w:rPr>
          <w:rFonts w:ascii="宋体" w:hAnsi="宋体"/>
          <w:sz w:val="24"/>
          <w:szCs w:val="24"/>
        </w:rPr>
      </w:pPr>
      <w:r>
        <w:rPr>
          <w:rFonts w:hint="eastAsia" w:ascii="宋体" w:hAnsi="宋体"/>
          <w:sz w:val="24"/>
          <w:szCs w:val="24"/>
        </w:rPr>
        <w:t>（九）供应商响应文件内容有与国家现行法律法规相违背的内容，或附有采购人无法接受的条件；</w:t>
      </w:r>
    </w:p>
    <w:p>
      <w:pPr>
        <w:snapToGrid w:val="0"/>
        <w:spacing w:line="360" w:lineRule="auto"/>
        <w:ind w:firstLine="465"/>
        <w:rPr>
          <w:rFonts w:ascii="宋体" w:hAnsi="宋体"/>
          <w:sz w:val="24"/>
          <w:szCs w:val="24"/>
        </w:rPr>
      </w:pPr>
      <w:r>
        <w:rPr>
          <w:rFonts w:hint="eastAsia" w:ascii="宋体" w:hAnsi="宋体"/>
          <w:sz w:val="24"/>
          <w:szCs w:val="24"/>
        </w:rPr>
        <w:t>（十）法律、法规和竞争性磋商文件规定的其他无效情形。</w:t>
      </w:r>
    </w:p>
    <w:p>
      <w:pPr>
        <w:pStyle w:val="4"/>
        <w:spacing w:before="0" w:after="0" w:line="360" w:lineRule="auto"/>
        <w:ind w:firstLine="482" w:firstLineChars="200"/>
        <w:rPr>
          <w:rFonts w:ascii="宋体" w:hAnsi="宋体"/>
          <w:sz w:val="24"/>
          <w:szCs w:val="24"/>
        </w:rPr>
      </w:pPr>
      <w:bookmarkStart w:id="70" w:name="_Toc27664"/>
      <w:r>
        <w:rPr>
          <w:rFonts w:hint="eastAsia" w:ascii="宋体" w:hAnsi="宋体"/>
          <w:sz w:val="24"/>
          <w:szCs w:val="24"/>
        </w:rPr>
        <w:t>四、</w:t>
      </w:r>
      <w:bookmarkEnd w:id="67"/>
      <w:bookmarkEnd w:id="68"/>
      <w:r>
        <w:rPr>
          <w:rFonts w:hint="eastAsia" w:ascii="宋体" w:hAnsi="宋体"/>
          <w:sz w:val="24"/>
          <w:szCs w:val="24"/>
        </w:rPr>
        <w:t>采购终止</w:t>
      </w:r>
      <w:bookmarkEnd w:id="70"/>
    </w:p>
    <w:p>
      <w:pPr>
        <w:snapToGrid w:val="0"/>
        <w:spacing w:line="360" w:lineRule="auto"/>
        <w:ind w:firstLine="465"/>
        <w:rPr>
          <w:rFonts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pPr>
        <w:snapToGrid w:val="0"/>
        <w:spacing w:line="360" w:lineRule="auto"/>
        <w:ind w:firstLine="465"/>
        <w:rPr>
          <w:rFonts w:ascii="宋体" w:hAnsi="宋体"/>
          <w:sz w:val="24"/>
          <w:szCs w:val="24"/>
        </w:rPr>
      </w:pPr>
      <w:r>
        <w:rPr>
          <w:rFonts w:hint="eastAsia" w:ascii="宋体" w:hAnsi="宋体"/>
          <w:sz w:val="24"/>
          <w:szCs w:val="24"/>
        </w:rPr>
        <w:t>（一）因情况变化，不再符合规定的竞争性磋商采购方式适用情形的；</w:t>
      </w:r>
    </w:p>
    <w:p>
      <w:pPr>
        <w:snapToGrid w:val="0"/>
        <w:spacing w:line="360" w:lineRule="auto"/>
        <w:ind w:firstLine="465"/>
        <w:rPr>
          <w:rFonts w:ascii="宋体" w:hAnsi="宋体"/>
          <w:sz w:val="24"/>
          <w:szCs w:val="24"/>
        </w:rPr>
      </w:pPr>
      <w:r>
        <w:rPr>
          <w:rFonts w:hint="eastAsia" w:ascii="宋体" w:hAnsi="宋体"/>
          <w:sz w:val="24"/>
          <w:szCs w:val="24"/>
        </w:rPr>
        <w:t>（二）出现影响采购公正的违法、违规行为的；</w:t>
      </w:r>
    </w:p>
    <w:p>
      <w:pPr>
        <w:snapToGrid w:val="0"/>
        <w:spacing w:line="360" w:lineRule="auto"/>
        <w:ind w:firstLine="465"/>
        <w:rPr>
          <w:rFonts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pPr>
        <w:pStyle w:val="3"/>
        <w:spacing w:line="360" w:lineRule="auto"/>
        <w:jc w:val="center"/>
        <w:rPr>
          <w:rFonts w:ascii="宋体" w:hAnsi="宋体" w:eastAsia="宋体"/>
          <w:sz w:val="36"/>
          <w:szCs w:val="30"/>
        </w:rPr>
      </w:pPr>
      <w:bookmarkStart w:id="71" w:name="_Toc102227313"/>
      <w:bookmarkStart w:id="72" w:name="_Toc1108"/>
      <w:r>
        <w:rPr>
          <w:rFonts w:hint="eastAsia" w:ascii="宋体" w:hAnsi="宋体" w:eastAsia="宋体"/>
          <w:sz w:val="36"/>
          <w:szCs w:val="30"/>
        </w:rPr>
        <w:t>第五篇  供应商须知</w:t>
      </w:r>
      <w:bookmarkEnd w:id="71"/>
      <w:bookmarkEnd w:id="72"/>
    </w:p>
    <w:p>
      <w:pPr>
        <w:pStyle w:val="4"/>
        <w:spacing w:before="0" w:after="0" w:line="360" w:lineRule="auto"/>
        <w:ind w:firstLine="482" w:firstLineChars="200"/>
        <w:rPr>
          <w:rFonts w:ascii="宋体" w:hAnsi="宋体"/>
          <w:sz w:val="24"/>
          <w:szCs w:val="24"/>
        </w:rPr>
      </w:pPr>
      <w:bookmarkStart w:id="73" w:name="_Toc342913389"/>
      <w:bookmarkStart w:id="74" w:name="_Toc8431"/>
      <w:bookmarkStart w:id="75" w:name="_Toc342913391"/>
      <w:r>
        <w:rPr>
          <w:rFonts w:hint="eastAsia" w:ascii="宋体" w:hAnsi="宋体"/>
          <w:sz w:val="24"/>
          <w:szCs w:val="24"/>
        </w:rPr>
        <w:t>一、磋商费用</w:t>
      </w:r>
      <w:bookmarkEnd w:id="73"/>
      <w:bookmarkEnd w:id="74"/>
    </w:p>
    <w:p>
      <w:pPr>
        <w:pStyle w:val="182"/>
        <w:spacing w:line="360" w:lineRule="auto"/>
        <w:ind w:firstLine="480" w:firstLineChars="200"/>
        <w:rPr>
          <w:rFonts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360" w:lineRule="auto"/>
        <w:ind w:firstLine="482" w:firstLineChars="200"/>
        <w:rPr>
          <w:rFonts w:ascii="宋体" w:hAnsi="宋体"/>
          <w:sz w:val="24"/>
          <w:szCs w:val="24"/>
        </w:rPr>
      </w:pPr>
      <w:bookmarkStart w:id="76" w:name="_Toc9048"/>
      <w:r>
        <w:rPr>
          <w:rFonts w:hint="eastAsia" w:ascii="宋体" w:hAnsi="宋体"/>
          <w:sz w:val="24"/>
          <w:szCs w:val="24"/>
        </w:rPr>
        <w:t>二、竞争性磋商文件</w:t>
      </w:r>
      <w:bookmarkEnd w:id="75"/>
      <w:bookmarkEnd w:id="76"/>
    </w:p>
    <w:p>
      <w:pPr>
        <w:snapToGrid w:val="0"/>
        <w:spacing w:line="360" w:lineRule="auto"/>
        <w:ind w:firstLine="480" w:firstLineChars="200"/>
        <w:rPr>
          <w:rFonts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（三）竞争性磋商文件的解释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7" w:name="_Toc318159780"/>
      <w:bookmarkStart w:id="78" w:name="_Toc318159160"/>
      <w:bookmarkStart w:id="79" w:name="_Toc318159349"/>
      <w:bookmarkStart w:id="80" w:name="_Toc318166429"/>
    </w:p>
    <w:p>
      <w:pPr>
        <w:spacing w:line="360" w:lineRule="auto"/>
        <w:ind w:firstLine="480" w:firstLineChars="200"/>
        <w:rPr>
          <w:rFonts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pPr>
        <w:spacing w:line="360" w:lineRule="auto"/>
        <w:ind w:firstLine="480" w:firstLineChars="200"/>
        <w:rPr>
          <w:rFonts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77"/>
    <w:bookmarkEnd w:id="78"/>
    <w:bookmarkEnd w:id="79"/>
    <w:bookmarkEnd w:id="80"/>
    <w:p>
      <w:pPr>
        <w:pStyle w:val="4"/>
        <w:spacing w:before="0" w:after="0" w:line="360" w:lineRule="auto"/>
        <w:ind w:firstLine="482" w:firstLineChars="200"/>
        <w:rPr>
          <w:rFonts w:ascii="宋体" w:hAnsi="宋体"/>
          <w:sz w:val="24"/>
          <w:szCs w:val="24"/>
        </w:rPr>
      </w:pPr>
      <w:bookmarkStart w:id="81" w:name="_Toc179714297"/>
      <w:bookmarkStart w:id="82" w:name="_Toc342913392"/>
      <w:bookmarkStart w:id="83" w:name="_Toc102227318"/>
      <w:bookmarkStart w:id="84" w:name="_Toc14880"/>
      <w:r>
        <w:rPr>
          <w:rFonts w:hint="eastAsia" w:ascii="宋体" w:hAnsi="宋体"/>
          <w:sz w:val="24"/>
          <w:szCs w:val="24"/>
        </w:rPr>
        <w:t>三、磋商要求</w:t>
      </w:r>
      <w:bookmarkEnd w:id="81"/>
      <w:bookmarkEnd w:id="82"/>
      <w:bookmarkEnd w:id="83"/>
      <w:bookmarkEnd w:id="84"/>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本项目不接受联合体磋商。</w:t>
      </w:r>
    </w:p>
    <w:p>
      <w:pPr>
        <w:spacing w:line="360" w:lineRule="auto"/>
        <w:ind w:firstLine="480" w:firstLineChars="200"/>
        <w:rPr>
          <w:rFonts w:ascii="宋体" w:hAnsi="宋体"/>
          <w:sz w:val="24"/>
          <w:szCs w:val="24"/>
        </w:rPr>
      </w:pPr>
      <w:r>
        <w:rPr>
          <w:rFonts w:hint="eastAsia" w:ascii="宋体" w:hAnsi="宋体"/>
          <w:sz w:val="24"/>
          <w:szCs w:val="24"/>
        </w:rPr>
        <w:t>（三）磋商有效期</w:t>
      </w:r>
    </w:p>
    <w:p>
      <w:pPr>
        <w:spacing w:line="360" w:lineRule="auto"/>
        <w:ind w:firstLine="480" w:firstLineChars="200"/>
        <w:rPr>
          <w:rFonts w:ascii="宋体" w:hAnsi="宋体"/>
          <w:sz w:val="24"/>
          <w:szCs w:val="24"/>
        </w:rPr>
      </w:pPr>
      <w:r>
        <w:rPr>
          <w:rFonts w:hint="eastAsia" w:ascii="宋体" w:hAnsi="宋体"/>
          <w:sz w:val="24"/>
          <w:szCs w:val="24"/>
        </w:rPr>
        <w:t>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响应文件的正本、副本和电子文档统一密封在一个密封袋中。信封上注明项目名称、供应商名称、响应文件份数等。信封的封口应加盖供应商公章或法人授权代表签字。</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pPr>
        <w:pStyle w:val="4"/>
        <w:spacing w:before="0" w:after="0" w:line="360" w:lineRule="auto"/>
        <w:ind w:firstLine="482" w:firstLineChars="200"/>
        <w:rPr>
          <w:rFonts w:ascii="宋体" w:hAnsi="宋体"/>
          <w:sz w:val="24"/>
          <w:szCs w:val="24"/>
        </w:rPr>
      </w:pPr>
      <w:bookmarkStart w:id="85" w:name="_Toc26545"/>
      <w:r>
        <w:rPr>
          <w:rFonts w:hint="eastAsia" w:ascii="宋体" w:hAnsi="宋体"/>
          <w:sz w:val="24"/>
          <w:szCs w:val="24"/>
        </w:rPr>
        <w:t>四、成交供应商的确认和变更</w:t>
      </w:r>
      <w:bookmarkEnd w:id="85"/>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4"/>
        <w:spacing w:before="0" w:after="0" w:line="360" w:lineRule="auto"/>
        <w:ind w:firstLine="482" w:firstLineChars="200"/>
        <w:rPr>
          <w:rFonts w:ascii="宋体" w:hAnsi="宋体"/>
          <w:sz w:val="24"/>
          <w:szCs w:val="24"/>
        </w:rPr>
      </w:pPr>
      <w:bookmarkStart w:id="86" w:name="_Toc342913395"/>
      <w:bookmarkStart w:id="87" w:name="_Toc102227321"/>
      <w:bookmarkStart w:id="88" w:name="_Toc25969"/>
      <w:r>
        <w:rPr>
          <w:rFonts w:hint="eastAsia" w:ascii="宋体" w:hAnsi="宋体"/>
          <w:sz w:val="24"/>
          <w:szCs w:val="24"/>
        </w:rPr>
        <w:t>五、成交通知</w:t>
      </w:r>
      <w:bookmarkEnd w:id="86"/>
      <w:bookmarkEnd w:id="87"/>
      <w:bookmarkEnd w:id="88"/>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（一）成交供应商确定后，采购代理机构将在重庆市经济和信息化委员会网上发布成交结果公告。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pStyle w:val="4"/>
        <w:spacing w:before="0" w:after="0" w:line="360" w:lineRule="auto"/>
        <w:ind w:firstLine="482" w:firstLineChars="200"/>
        <w:rPr>
          <w:rFonts w:ascii="宋体" w:hAnsi="宋体"/>
          <w:sz w:val="24"/>
          <w:szCs w:val="24"/>
        </w:rPr>
      </w:pPr>
      <w:bookmarkStart w:id="89" w:name="_Toc1094"/>
      <w:r>
        <w:rPr>
          <w:rFonts w:hint="eastAsia" w:ascii="宋体" w:hAnsi="宋体"/>
          <w:sz w:val="24"/>
          <w:szCs w:val="24"/>
        </w:rPr>
        <w:t>六、关于质疑和投诉</w:t>
      </w:r>
      <w:bookmarkEnd w:id="89"/>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供应商认为磋商文件、采购过程和成交结果使自己的权益</w:t>
      </w:r>
      <w:r>
        <w:rPr>
          <w:rFonts w:hint="eastAsia" w:ascii="宋体" w:hAnsi="宋体"/>
          <w:sz w:val="24"/>
          <w:szCs w:val="24"/>
          <w:lang w:val="en-US" w:eastAsia="zh-CN"/>
        </w:rPr>
        <w:t>受到</w:t>
      </w:r>
      <w:r>
        <w:rPr>
          <w:rFonts w:hint="eastAsia" w:ascii="宋体" w:hAnsi="宋体"/>
          <w:sz w:val="24"/>
          <w:szCs w:val="24"/>
        </w:rPr>
        <w:t>伤害的，可向采购人或采购代理机构以书面形式提出质疑。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Style w:val="4"/>
        <w:spacing w:before="0" w:after="0" w:line="360" w:lineRule="auto"/>
        <w:ind w:firstLine="482" w:firstLineChars="200"/>
        <w:rPr>
          <w:rFonts w:ascii="宋体" w:hAnsi="宋体"/>
          <w:sz w:val="24"/>
          <w:szCs w:val="24"/>
        </w:rPr>
      </w:pPr>
      <w:bookmarkStart w:id="90" w:name="_Toc7485"/>
      <w:r>
        <w:rPr>
          <w:rFonts w:hint="eastAsia" w:ascii="宋体" w:hAnsi="宋体"/>
          <w:sz w:val="24"/>
          <w:szCs w:val="24"/>
        </w:rPr>
        <w:t>七、采购代理服务费</w:t>
      </w:r>
      <w:bookmarkEnd w:id="90"/>
    </w:p>
    <w:p>
      <w:pPr>
        <w:spacing w:line="360" w:lineRule="auto"/>
        <w:ind w:firstLine="480" w:firstLineChars="200"/>
        <w:rPr>
          <w:rFonts w:ascii="宋体" w:hAnsi="宋体"/>
          <w:sz w:val="24"/>
        </w:rPr>
      </w:pPr>
      <w:r>
        <w:rPr>
          <w:rFonts w:hint="eastAsia" w:ascii="宋体" w:hAnsi="宋体"/>
          <w:sz w:val="24"/>
        </w:rPr>
        <w:t>（一）采购代理服务费标准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供应商中标后向采购代理机构缴纳招标代理服务费，采购代理服务费的收取标准按照以下标准执行:</w:t>
      </w:r>
    </w:p>
    <w:tbl>
      <w:tblPr>
        <w:tblStyle w:val="6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8++YPWAAAACAEAAA8AAAAAAAAAAQAgAAAAIgAAAGRycy9kb3ducmV2LnhtbFBL&#10;AQIUABQAAAAIAIdO4kA2q55ovwEAAH8DAAAOAAAAAAAAAAEAIAAAACUBAABkcnMvZTJvRG9jLnht&#10;bFBLBQYAAAAABgAGAFkBAABWBQ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成交金额（万元）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170"/>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注：采购代理服务收费按差额定率累进法计算。采购代理服务费按上表计算出不足3500元的，按3500元记取。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2"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2"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2" w:firstLineChars="200"/>
        <w:rPr>
          <w:rFonts w:ascii="宋体" w:hAnsi="宋体"/>
          <w:b/>
          <w:sz w:val="24"/>
          <w:szCs w:val="24"/>
        </w:rPr>
      </w:pPr>
      <w:r>
        <w:rPr>
          <w:rFonts w:hint="eastAsia" w:ascii="宋体" w:hAnsi="宋体"/>
          <w:b/>
          <w:sz w:val="24"/>
          <w:szCs w:val="24"/>
        </w:rPr>
        <w:t>账  号：1144 6718 4234</w:t>
      </w:r>
    </w:p>
    <w:p>
      <w:pPr>
        <w:pStyle w:val="4"/>
        <w:spacing w:before="0" w:after="0" w:line="360" w:lineRule="auto"/>
        <w:ind w:firstLine="482" w:firstLineChars="200"/>
        <w:rPr>
          <w:rFonts w:ascii="宋体" w:hAnsi="宋体"/>
          <w:sz w:val="24"/>
          <w:szCs w:val="24"/>
        </w:rPr>
      </w:pPr>
      <w:bookmarkStart w:id="91" w:name="_Toc102227322"/>
      <w:bookmarkStart w:id="92" w:name="_Toc342913396"/>
      <w:bookmarkStart w:id="93" w:name="_Toc30952"/>
      <w:bookmarkStart w:id="94" w:name="_Toc12789059"/>
      <w:bookmarkStart w:id="95" w:name="_Toc11641055"/>
      <w:r>
        <w:rPr>
          <w:rFonts w:hint="eastAsia" w:ascii="宋体" w:hAnsi="宋体"/>
          <w:sz w:val="24"/>
          <w:szCs w:val="24"/>
        </w:rPr>
        <w:t>八、签订</w:t>
      </w:r>
      <w:bookmarkEnd w:id="91"/>
      <w:r>
        <w:rPr>
          <w:rFonts w:hint="eastAsia" w:ascii="宋体" w:hAnsi="宋体"/>
          <w:sz w:val="24"/>
          <w:szCs w:val="24"/>
        </w:rPr>
        <w:t>合同</w:t>
      </w:r>
      <w:bookmarkEnd w:id="92"/>
      <w:bookmarkEnd w:id="93"/>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（二）竞争性磋商文件、成交供应商的响应文件及有效承诺文件等，均为签订合同的依据。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3"/>
        <w:pageBreakBefore/>
        <w:spacing w:line="360" w:lineRule="auto"/>
        <w:jc w:val="center"/>
        <w:rPr>
          <w:rFonts w:ascii="宋体" w:hAnsi="宋体" w:eastAsia="宋体"/>
          <w:sz w:val="36"/>
          <w:szCs w:val="30"/>
        </w:rPr>
      </w:pPr>
      <w:bookmarkStart w:id="96" w:name="_Toc7525"/>
      <w:r>
        <w:rPr>
          <w:rFonts w:hint="eastAsia" w:ascii="宋体" w:hAnsi="宋体" w:eastAsia="宋体"/>
          <w:sz w:val="36"/>
          <w:szCs w:val="30"/>
        </w:rPr>
        <w:t xml:space="preserve">第六篇  </w:t>
      </w:r>
      <w:bookmarkEnd w:id="94"/>
      <w:bookmarkEnd w:id="95"/>
      <w:r>
        <w:rPr>
          <w:rFonts w:hint="eastAsia" w:ascii="宋体" w:hAnsi="宋体" w:eastAsia="宋体"/>
          <w:sz w:val="36"/>
          <w:szCs w:val="30"/>
        </w:rPr>
        <w:t>政府采购合同</w:t>
      </w:r>
      <w:bookmarkEnd w:id="96"/>
    </w:p>
    <w:p>
      <w:pPr>
        <w:spacing w:line="360" w:lineRule="auto"/>
        <w:jc w:val="center"/>
        <w:rPr>
          <w:rFonts w:ascii="宋体" w:hAnsi="宋体"/>
          <w:b/>
          <w:sz w:val="44"/>
        </w:rPr>
      </w:pPr>
      <w:bookmarkStart w:id="97" w:name="_Hlt41879464"/>
      <w:bookmarkEnd w:id="97"/>
      <w:bookmarkStart w:id="98" w:name="_Toc12789072"/>
      <w:r>
        <w:rPr>
          <w:rFonts w:ascii="宋体" w:hAnsi="宋体"/>
          <w:b/>
          <w:sz w:val="44"/>
        </w:rPr>
        <w:t>重庆市政府采购合同</w:t>
      </w:r>
    </w:p>
    <w:p>
      <w:pPr>
        <w:spacing w:line="360" w:lineRule="auto"/>
        <w:jc w:val="center"/>
        <w:rPr>
          <w:rFonts w:ascii="宋体" w:hAnsi="宋体"/>
        </w:rPr>
      </w:pPr>
      <w:r>
        <w:rPr>
          <w:rFonts w:ascii="宋体" w:hAnsi="宋体"/>
        </w:rPr>
        <w:t>（项目号：     ）</w:t>
      </w:r>
    </w:p>
    <w:p>
      <w:pPr>
        <w:spacing w:line="360" w:lineRule="auto"/>
        <w:rPr>
          <w:rFonts w:ascii="宋体" w:hAnsi="宋体"/>
          <w:sz w:val="24"/>
        </w:rPr>
      </w:pPr>
      <w:r>
        <w:rPr>
          <w:rFonts w:ascii="宋体" w:hAnsi="宋体"/>
          <w:sz w:val="24"/>
        </w:rPr>
        <w:t>甲方（需方）：___________________________</w:t>
      </w:r>
    </w:p>
    <w:p>
      <w:pPr>
        <w:spacing w:line="360" w:lineRule="auto"/>
        <w:rPr>
          <w:rFonts w:ascii="宋体" w:hAnsi="宋体"/>
          <w:sz w:val="24"/>
        </w:rPr>
      </w:pPr>
      <w:r>
        <w:rPr>
          <w:rFonts w:ascii="宋体" w:hAnsi="宋体"/>
          <w:sz w:val="24"/>
        </w:rPr>
        <w:t>乙方（供方）：___________________________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6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3071" w:type="dxa"/>
            <w:vAlign w:val="center"/>
          </w:tcPr>
          <w:p>
            <w:pPr>
              <w:snapToGrid w:val="0"/>
              <w:jc w:val="center"/>
              <w:rPr>
                <w:rFonts w:ascii="宋体" w:hAnsi="宋体"/>
                <w:sz w:val="21"/>
                <w:szCs w:val="21"/>
              </w:rPr>
            </w:pPr>
            <w:r>
              <w:rPr>
                <w:rFonts w:hint="eastAsia" w:ascii="宋体" w:hAnsi="宋体"/>
                <w:sz w:val="21"/>
                <w:szCs w:val="21"/>
              </w:rPr>
              <w:t>项目内容</w:t>
            </w:r>
          </w:p>
        </w:tc>
        <w:tc>
          <w:tcPr>
            <w:tcW w:w="1999" w:type="dxa"/>
            <w:gridSpan w:val="2"/>
            <w:vAlign w:val="center"/>
          </w:tcPr>
          <w:p>
            <w:pPr>
              <w:snapToGrid w:val="0"/>
              <w:jc w:val="center"/>
              <w:rPr>
                <w:rFonts w:ascii="宋体" w:hAnsi="宋体"/>
                <w:sz w:val="21"/>
                <w:szCs w:val="21"/>
              </w:rPr>
            </w:pPr>
            <w:r>
              <w:rPr>
                <w:rFonts w:ascii="宋体" w:hAnsi="宋体"/>
                <w:sz w:val="21"/>
                <w:szCs w:val="21"/>
              </w:rPr>
              <w:t>总价</w:t>
            </w:r>
          </w:p>
        </w:tc>
        <w:tc>
          <w:tcPr>
            <w:tcW w:w="2268" w:type="dxa"/>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vAlign w:val="center"/>
          </w:tcPr>
          <w:p>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85" w:hRule="atLeast"/>
        </w:trPr>
        <w:tc>
          <w:tcPr>
            <w:tcW w:w="3071" w:type="dxa"/>
            <w:vAlign w:val="center"/>
          </w:tcPr>
          <w:p>
            <w:pPr>
              <w:snapToGrid w:val="0"/>
              <w:jc w:val="center"/>
              <w:rPr>
                <w:rFonts w:ascii="宋体" w:hAnsi="宋体"/>
                <w:sz w:val="21"/>
                <w:szCs w:val="21"/>
              </w:rPr>
            </w:pPr>
          </w:p>
        </w:tc>
        <w:tc>
          <w:tcPr>
            <w:tcW w:w="1999" w:type="dxa"/>
            <w:gridSpan w:val="2"/>
            <w:vAlign w:val="center"/>
          </w:tcPr>
          <w:p>
            <w:pPr>
              <w:snapToGrid w:val="0"/>
              <w:jc w:val="center"/>
              <w:rPr>
                <w:rFonts w:ascii="宋体" w:hAnsi="宋体"/>
                <w:sz w:val="21"/>
                <w:szCs w:val="21"/>
              </w:rPr>
            </w:pPr>
          </w:p>
        </w:tc>
        <w:tc>
          <w:tcPr>
            <w:tcW w:w="2268" w:type="dxa"/>
            <w:vAlign w:val="center"/>
          </w:tcPr>
          <w:p>
            <w:pPr>
              <w:snapToGrid w:val="0"/>
              <w:jc w:val="center"/>
              <w:rPr>
                <w:rFonts w:ascii="宋体" w:hAnsi="宋体"/>
                <w:sz w:val="21"/>
                <w:szCs w:val="21"/>
              </w:rPr>
            </w:pPr>
          </w:p>
        </w:tc>
        <w:tc>
          <w:tcPr>
            <w:tcW w:w="2275"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385" w:hRule="atLeast"/>
        </w:trPr>
        <w:tc>
          <w:tcPr>
            <w:tcW w:w="3071" w:type="dxa"/>
            <w:vAlign w:val="center"/>
          </w:tcPr>
          <w:p>
            <w:pPr>
              <w:snapToGrid w:val="0"/>
              <w:jc w:val="center"/>
              <w:rPr>
                <w:rFonts w:ascii="宋体" w:hAnsi="宋体"/>
                <w:sz w:val="21"/>
                <w:szCs w:val="21"/>
              </w:rPr>
            </w:pPr>
          </w:p>
        </w:tc>
        <w:tc>
          <w:tcPr>
            <w:tcW w:w="1999" w:type="dxa"/>
            <w:gridSpan w:val="2"/>
            <w:vAlign w:val="center"/>
          </w:tcPr>
          <w:p>
            <w:pPr>
              <w:snapToGrid w:val="0"/>
              <w:jc w:val="center"/>
              <w:rPr>
                <w:rFonts w:ascii="宋体" w:hAnsi="宋体"/>
                <w:sz w:val="21"/>
                <w:szCs w:val="21"/>
              </w:rPr>
            </w:pPr>
          </w:p>
        </w:tc>
        <w:tc>
          <w:tcPr>
            <w:tcW w:w="2268" w:type="dxa"/>
            <w:vAlign w:val="center"/>
          </w:tcPr>
          <w:p>
            <w:pPr>
              <w:snapToGrid w:val="0"/>
              <w:jc w:val="center"/>
              <w:rPr>
                <w:rFonts w:ascii="宋体" w:hAnsi="宋体"/>
                <w:sz w:val="21"/>
                <w:szCs w:val="21"/>
              </w:rPr>
            </w:pPr>
          </w:p>
        </w:tc>
        <w:tc>
          <w:tcPr>
            <w:tcW w:w="2275"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5"/>
            <w:vAlign w:val="center"/>
          </w:tcPr>
          <w:p>
            <w:pPr>
              <w:snapToGrid w:val="0"/>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5"/>
            <w:vAlign w:val="center"/>
          </w:tcPr>
          <w:p>
            <w:pPr>
              <w:snapToGrid w:val="0"/>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605" w:hRule="atLeast"/>
        </w:trPr>
        <w:tc>
          <w:tcPr>
            <w:tcW w:w="9613" w:type="dxa"/>
            <w:gridSpan w:val="5"/>
          </w:tcPr>
          <w:p>
            <w:pPr>
              <w:snapToGrid w:val="0"/>
              <w:rPr>
                <w:rFonts w:ascii="宋体" w:hAnsi="宋体"/>
                <w:sz w:val="21"/>
                <w:szCs w:val="21"/>
              </w:rPr>
            </w:pPr>
            <w:r>
              <w:rPr>
                <w:rFonts w:ascii="宋体" w:hAnsi="宋体"/>
                <w:sz w:val="21"/>
                <w:szCs w:val="21"/>
              </w:rPr>
              <w:t>一、</w:t>
            </w:r>
            <w:r>
              <w:rPr>
                <w:rFonts w:hint="eastAsia" w:ascii="宋体" w:hAnsi="宋体"/>
                <w:sz w:val="21"/>
                <w:szCs w:val="21"/>
              </w:rPr>
              <w:t>服务内容及要求</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9628" w:type="dxa"/>
            <w:gridSpan w:val="6"/>
          </w:tcPr>
          <w:p>
            <w:pPr>
              <w:snapToGrid w:val="0"/>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napToGrid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9628" w:type="dxa"/>
            <w:gridSpan w:val="6"/>
          </w:tcPr>
          <w:p>
            <w:pPr>
              <w:snapToGrid w:val="0"/>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5"/>
              <w:snapToGrid w:val="0"/>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9628" w:type="dxa"/>
            <w:gridSpan w:val="6"/>
          </w:tcPr>
          <w:p>
            <w:pPr>
              <w:snapToGrid w:val="0"/>
              <w:rPr>
                <w:rFonts w:ascii="宋体" w:hAnsi="宋体"/>
                <w:sz w:val="21"/>
                <w:szCs w:val="21"/>
              </w:rPr>
            </w:pPr>
            <w:r>
              <w:rPr>
                <w:rFonts w:hint="eastAsia" w:ascii="宋体" w:hAnsi="宋体"/>
                <w:sz w:val="21"/>
                <w:szCs w:val="21"/>
              </w:rPr>
              <w:t>四、履约保证金：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628" w:type="dxa"/>
            <w:gridSpan w:val="6"/>
          </w:tcPr>
          <w:p>
            <w:pPr>
              <w:snapToGrid w:val="0"/>
              <w:rPr>
                <w:rFonts w:ascii="宋体" w:hAnsi="宋体"/>
                <w:sz w:val="21"/>
                <w:szCs w:val="21"/>
              </w:rPr>
            </w:pPr>
            <w:r>
              <w:rPr>
                <w:rFonts w:hint="eastAsia" w:ascii="宋体" w:hAnsi="宋体"/>
                <w:sz w:val="21"/>
                <w:szCs w:val="21"/>
              </w:rPr>
              <w:t>五</w:t>
            </w:r>
            <w:r>
              <w:rPr>
                <w:rFonts w:ascii="宋体" w:hAnsi="宋体"/>
                <w:sz w:val="21"/>
                <w:szCs w:val="21"/>
              </w:rPr>
              <w:t>、违约责任：</w:t>
            </w:r>
          </w:p>
          <w:p>
            <w:pPr>
              <w:snapToGrid w:val="0"/>
              <w:rPr>
                <w:rFonts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中华人民共和国</w:t>
            </w:r>
            <w:r>
              <w:rPr>
                <w:rFonts w:ascii="宋体" w:hAnsi="宋体"/>
                <w:sz w:val="21"/>
                <w:szCs w:val="21"/>
              </w:rPr>
              <w:t>政府采购法》</w:t>
            </w:r>
            <w:r>
              <w:rPr>
                <w:rFonts w:hint="eastAsia" w:ascii="宋体" w:hAnsi="宋体"/>
                <w:sz w:val="21"/>
                <w:szCs w:val="21"/>
              </w:rPr>
              <w:t>、采购文件</w:t>
            </w:r>
            <w:r>
              <w:rPr>
                <w:rFonts w:ascii="宋体" w:hAnsi="宋体"/>
                <w:sz w:val="21"/>
                <w:szCs w:val="21"/>
              </w:rPr>
              <w:t>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9628" w:type="dxa"/>
            <w:gridSpan w:val="6"/>
          </w:tcPr>
          <w:p>
            <w:pPr>
              <w:snapToGrid w:val="0"/>
              <w:rPr>
                <w:rFonts w:ascii="宋体" w:hAnsi="宋体"/>
                <w:sz w:val="21"/>
                <w:szCs w:val="21"/>
              </w:rPr>
            </w:pPr>
            <w:r>
              <w:rPr>
                <w:rFonts w:hint="eastAsia" w:ascii="宋体" w:hAnsi="宋体"/>
                <w:sz w:val="21"/>
                <w:szCs w:val="21"/>
              </w:rPr>
              <w:t>六</w:t>
            </w:r>
            <w:r>
              <w:rPr>
                <w:rFonts w:ascii="宋体" w:hAnsi="宋体"/>
                <w:sz w:val="21"/>
                <w:szCs w:val="21"/>
              </w:rPr>
              <w:t>、其他约定事项：</w:t>
            </w:r>
          </w:p>
          <w:p>
            <w:pPr>
              <w:snapToGrid w:val="0"/>
              <w:rPr>
                <w:rFonts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w:t>
            </w:r>
            <w:r>
              <w:rPr>
                <w:rFonts w:hint="eastAsia" w:ascii="宋体" w:hAnsi="宋体"/>
                <w:sz w:val="21"/>
                <w:szCs w:val="21"/>
              </w:rPr>
              <w:t>澄清</w:t>
            </w:r>
            <w:r>
              <w:rPr>
                <w:rFonts w:ascii="宋体" w:hAnsi="宋体"/>
                <w:sz w:val="21"/>
                <w:szCs w:val="21"/>
              </w:rPr>
              <w:t>文件、</w:t>
            </w:r>
            <w:r>
              <w:rPr>
                <w:rFonts w:hint="eastAsia" w:ascii="宋体" w:hAnsi="宋体"/>
                <w:sz w:val="21"/>
                <w:szCs w:val="21"/>
              </w:rPr>
              <w:t>响应</w:t>
            </w:r>
            <w:r>
              <w:rPr>
                <w:rFonts w:ascii="宋体" w:hAnsi="宋体"/>
                <w:sz w:val="21"/>
                <w:szCs w:val="21"/>
              </w:rPr>
              <w:t>文件和承诺是本合同不可分割的部分。</w:t>
            </w:r>
          </w:p>
          <w:p>
            <w:pPr>
              <w:snapToGrid w:val="0"/>
              <w:rPr>
                <w:rFonts w:ascii="宋体" w:hAnsi="宋体"/>
                <w:sz w:val="21"/>
                <w:szCs w:val="21"/>
              </w:rPr>
            </w:pPr>
            <w:r>
              <w:rPr>
                <w:rFonts w:hint="eastAsia" w:ascii="宋体" w:hAnsi="宋体"/>
                <w:sz w:val="21"/>
                <w:szCs w:val="21"/>
              </w:rPr>
              <w:t>2.</w:t>
            </w:r>
            <w:r>
              <w:rPr>
                <w:rFonts w:ascii="宋体" w:hAnsi="宋体"/>
                <w:sz w:val="21"/>
                <w:szCs w:val="21"/>
              </w:rPr>
              <w:t>本合同如发生争议由双方协商解决，协商不成向需方所在人民法院提请诉讼。</w:t>
            </w:r>
          </w:p>
          <w:p>
            <w:pPr>
              <w:snapToGrid w:val="0"/>
              <w:rPr>
                <w:rFonts w:ascii="宋体" w:hAnsi="宋体"/>
                <w:sz w:val="21"/>
                <w:szCs w:val="21"/>
              </w:rPr>
            </w:pPr>
            <w:r>
              <w:rPr>
                <w:rFonts w:hint="eastAsia" w:ascii="宋体" w:hAnsi="宋体"/>
                <w:sz w:val="21"/>
                <w:szCs w:val="21"/>
              </w:rPr>
              <w:t>3.</w:t>
            </w:r>
            <w:r>
              <w:rPr>
                <w:rFonts w:ascii="宋体" w:hAnsi="宋体"/>
                <w:sz w:val="21"/>
                <w:szCs w:val="21"/>
              </w:rPr>
              <w:t>本合同一式__份， 需方__份，供方__份，具同等法律效力。</w:t>
            </w:r>
          </w:p>
          <w:p>
            <w:pPr>
              <w:snapToGrid w:val="0"/>
              <w:rPr>
                <w:rFonts w:ascii="宋体" w:hAnsi="宋体"/>
                <w:sz w:val="21"/>
                <w:szCs w:val="21"/>
              </w:rPr>
            </w:pPr>
            <w:r>
              <w:rPr>
                <w:rFonts w:hint="eastAsia" w:ascii="宋体" w:hAnsi="宋体"/>
                <w:sz w:val="21"/>
                <w:szCs w:val="21"/>
              </w:rPr>
              <w:t>4.</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4503" w:type="dxa"/>
            <w:gridSpan w:val="2"/>
          </w:tcPr>
          <w:p>
            <w:pPr>
              <w:snapToGrid w:val="0"/>
              <w:rPr>
                <w:rFonts w:ascii="宋体" w:hAnsi="宋体"/>
                <w:sz w:val="21"/>
                <w:szCs w:val="21"/>
              </w:rPr>
            </w:pPr>
            <w:r>
              <w:rPr>
                <w:rFonts w:ascii="宋体" w:hAnsi="宋体"/>
                <w:sz w:val="21"/>
                <w:szCs w:val="21"/>
              </w:rPr>
              <w:t>需方：</w:t>
            </w:r>
          </w:p>
          <w:p>
            <w:pPr>
              <w:snapToGrid w:val="0"/>
              <w:rPr>
                <w:rFonts w:ascii="宋体" w:hAnsi="宋体"/>
                <w:sz w:val="21"/>
                <w:szCs w:val="21"/>
              </w:rPr>
            </w:pPr>
            <w:r>
              <w:rPr>
                <w:rFonts w:ascii="宋体" w:hAnsi="宋体"/>
                <w:sz w:val="21"/>
                <w:szCs w:val="21"/>
              </w:rPr>
              <w:t>地址：</w:t>
            </w:r>
          </w:p>
          <w:p>
            <w:pPr>
              <w:snapToGrid w:val="0"/>
              <w:rPr>
                <w:rFonts w:ascii="宋体" w:hAnsi="宋体"/>
                <w:sz w:val="21"/>
                <w:szCs w:val="21"/>
              </w:rPr>
            </w:pPr>
            <w:r>
              <w:rPr>
                <w:rFonts w:ascii="宋体" w:hAnsi="宋体"/>
                <w:sz w:val="21"/>
                <w:szCs w:val="21"/>
              </w:rPr>
              <w:t>联系电话：</w:t>
            </w:r>
          </w:p>
          <w:p>
            <w:pPr>
              <w:snapToGrid w:val="0"/>
              <w:rPr>
                <w:rFonts w:ascii="宋体" w:hAnsi="宋体"/>
                <w:sz w:val="21"/>
                <w:szCs w:val="21"/>
              </w:rPr>
            </w:pPr>
            <w:r>
              <w:rPr>
                <w:rFonts w:ascii="宋体" w:hAnsi="宋体"/>
                <w:sz w:val="21"/>
                <w:szCs w:val="21"/>
              </w:rPr>
              <w:t>授权代表：</w:t>
            </w:r>
          </w:p>
        </w:tc>
        <w:tc>
          <w:tcPr>
            <w:tcW w:w="5125" w:type="dxa"/>
            <w:gridSpan w:val="4"/>
          </w:tcPr>
          <w:p>
            <w:pPr>
              <w:snapToGrid w:val="0"/>
              <w:rPr>
                <w:rFonts w:ascii="宋体" w:hAnsi="宋体"/>
                <w:sz w:val="21"/>
                <w:szCs w:val="21"/>
              </w:rPr>
            </w:pPr>
            <w:r>
              <w:rPr>
                <w:rFonts w:ascii="宋体" w:hAnsi="宋体"/>
                <w:sz w:val="21"/>
                <w:szCs w:val="21"/>
              </w:rPr>
              <w:t>供方：</w:t>
            </w:r>
          </w:p>
          <w:p>
            <w:pPr>
              <w:snapToGrid w:val="0"/>
              <w:rPr>
                <w:rFonts w:ascii="宋体" w:hAnsi="宋体"/>
                <w:sz w:val="21"/>
                <w:szCs w:val="21"/>
              </w:rPr>
            </w:pPr>
            <w:r>
              <w:rPr>
                <w:rFonts w:ascii="宋体" w:hAnsi="宋体"/>
                <w:sz w:val="21"/>
                <w:szCs w:val="21"/>
              </w:rPr>
              <w:t>地址：</w:t>
            </w:r>
          </w:p>
          <w:p>
            <w:pPr>
              <w:snapToGrid w:val="0"/>
              <w:rPr>
                <w:rFonts w:ascii="宋体" w:hAnsi="宋体"/>
                <w:sz w:val="21"/>
                <w:szCs w:val="21"/>
              </w:rPr>
            </w:pPr>
            <w:r>
              <w:rPr>
                <w:rFonts w:ascii="宋体" w:hAnsi="宋体"/>
                <w:sz w:val="21"/>
                <w:szCs w:val="21"/>
              </w:rPr>
              <w:t>电话：</w:t>
            </w:r>
          </w:p>
          <w:p>
            <w:pPr>
              <w:snapToGrid w:val="0"/>
              <w:rPr>
                <w:rFonts w:ascii="宋体" w:hAnsi="宋体"/>
                <w:sz w:val="21"/>
                <w:szCs w:val="21"/>
              </w:rPr>
            </w:pPr>
            <w:r>
              <w:rPr>
                <w:rFonts w:ascii="宋体" w:hAnsi="宋体"/>
                <w:sz w:val="21"/>
                <w:szCs w:val="21"/>
              </w:rPr>
              <w:t>传真：</w:t>
            </w:r>
          </w:p>
          <w:p>
            <w:pPr>
              <w:snapToGrid w:val="0"/>
              <w:rPr>
                <w:rFonts w:ascii="宋体" w:hAnsi="宋体"/>
                <w:sz w:val="21"/>
                <w:szCs w:val="21"/>
              </w:rPr>
            </w:pPr>
            <w:r>
              <w:rPr>
                <w:rFonts w:ascii="宋体" w:hAnsi="宋体"/>
                <w:sz w:val="21"/>
                <w:szCs w:val="21"/>
              </w:rPr>
              <w:t>开户银行：</w:t>
            </w:r>
          </w:p>
          <w:p>
            <w:pPr>
              <w:snapToGrid w:val="0"/>
              <w:rPr>
                <w:rFonts w:ascii="宋体" w:hAnsi="宋体"/>
                <w:sz w:val="21"/>
                <w:szCs w:val="21"/>
              </w:rPr>
            </w:pPr>
            <w:r>
              <w:rPr>
                <w:rFonts w:ascii="宋体" w:hAnsi="宋体"/>
                <w:sz w:val="21"/>
                <w:szCs w:val="21"/>
              </w:rPr>
              <w:t>账号：</w:t>
            </w:r>
          </w:p>
          <w:p>
            <w:pPr>
              <w:snapToGrid w:val="0"/>
              <w:rPr>
                <w:rFonts w:ascii="宋体" w:hAnsi="宋体"/>
                <w:sz w:val="21"/>
                <w:szCs w:val="21"/>
              </w:rPr>
            </w:pPr>
            <w:r>
              <w:rPr>
                <w:rFonts w:ascii="宋体" w:hAnsi="宋体"/>
                <w:sz w:val="21"/>
                <w:szCs w:val="21"/>
              </w:rPr>
              <w:t>授权代表：</w:t>
            </w:r>
          </w:p>
          <w:p>
            <w:pPr>
              <w:widowControl/>
              <w:snapToGrid w:val="0"/>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9628" w:type="dxa"/>
            <w:gridSpan w:val="6"/>
          </w:tcPr>
          <w:p>
            <w:pPr>
              <w:snapToGrid w:val="0"/>
              <w:rPr>
                <w:rFonts w:ascii="宋体" w:hAnsi="宋体"/>
                <w:sz w:val="21"/>
                <w:szCs w:val="21"/>
              </w:rPr>
            </w:pPr>
            <w:r>
              <w:rPr>
                <w:rFonts w:ascii="宋体" w:hAnsi="宋体"/>
                <w:sz w:val="21"/>
                <w:szCs w:val="21"/>
              </w:rPr>
              <w:t>备注：</w:t>
            </w:r>
          </w:p>
          <w:p>
            <w:pPr>
              <w:snapToGrid w:val="0"/>
              <w:rPr>
                <w:rFonts w:ascii="宋体" w:hAnsi="宋体"/>
                <w:sz w:val="21"/>
                <w:szCs w:val="21"/>
              </w:rPr>
            </w:pPr>
          </w:p>
        </w:tc>
      </w:tr>
    </w:tbl>
    <w:p>
      <w:pPr>
        <w:snapToGrid w:val="0"/>
        <w:spacing w:line="360" w:lineRule="auto"/>
        <w:rPr>
          <w:rFonts w:ascii="宋体" w:hAnsi="宋体"/>
          <w:sz w:val="24"/>
        </w:rPr>
      </w:pPr>
      <w:r>
        <w:rPr>
          <w:rFonts w:ascii="宋体" w:hAnsi="宋体"/>
          <w:sz w:val="24"/>
        </w:rPr>
        <w:t>签约时间：           年   月   日      签约地点：</w:t>
      </w:r>
    </w:p>
    <w:bookmarkEnd w:id="98"/>
    <w:p>
      <w:pPr>
        <w:pageBreakBefore/>
        <w:spacing w:line="500" w:lineRule="exact"/>
        <w:rPr>
          <w:rFonts w:ascii="宋体" w:hAnsi="宋体"/>
          <w:sz w:val="24"/>
          <w:szCs w:val="24"/>
        </w:rPr>
      </w:pPr>
      <w:bookmarkStart w:id="99" w:name="_Toc23764521"/>
      <w:r>
        <w:rPr>
          <w:rFonts w:hint="eastAsia" w:ascii="宋体" w:hAnsi="宋体"/>
          <w:sz w:val="24"/>
          <w:szCs w:val="24"/>
        </w:rPr>
        <w:t xml:space="preserve">    附件1：重庆市经济信息委验收单</w:t>
      </w: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311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jc w:val="center"/>
              <w:rPr>
                <w:rFonts w:ascii="宋体" w:hAnsi="宋体"/>
                <w:b/>
              </w:rPr>
            </w:pPr>
            <w:r>
              <w:rPr>
                <w:rFonts w:hint="eastAsia" w:ascii="宋体" w:hAnsi="宋体"/>
                <w:b/>
              </w:rPr>
              <w:t>重庆市经济信息委验收单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处室名称：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采购类别：货物□                   服务□                     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合同金额：                           验收金额：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6" w:type="dxa"/>
            <w:gridSpan w:val="3"/>
          </w:tcPr>
          <w:p>
            <w:pPr>
              <w:spacing w:line="500" w:lineRule="exact"/>
              <w:rPr>
                <w:rFonts w:ascii="宋体" w:hAnsi="宋体"/>
                <w:sz w:val="24"/>
                <w:szCs w:val="24"/>
              </w:rPr>
            </w:pPr>
            <w:r>
              <w:rPr>
                <w:rFonts w:hint="eastAsia" w:ascii="宋体" w:hAnsi="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629" w:type="dxa"/>
            <w:gridSpan w:val="2"/>
          </w:tcPr>
          <w:p>
            <w:pPr>
              <w:spacing w:line="500" w:lineRule="exact"/>
              <w:jc w:val="center"/>
              <w:rPr>
                <w:rFonts w:ascii="宋体" w:hAnsi="宋体"/>
                <w:b/>
                <w:bCs/>
                <w:sz w:val="24"/>
                <w:szCs w:val="24"/>
              </w:rPr>
            </w:pPr>
            <w:r>
              <w:rPr>
                <w:rFonts w:hint="eastAsia" w:ascii="宋体" w:hAnsi="宋体"/>
                <w:b/>
                <w:bCs/>
                <w:sz w:val="24"/>
                <w:szCs w:val="24"/>
              </w:rPr>
              <w:t>主要服务内容及要求</w:t>
            </w:r>
          </w:p>
        </w:tc>
        <w:tc>
          <w:tcPr>
            <w:tcW w:w="2977" w:type="dxa"/>
          </w:tcPr>
          <w:p>
            <w:pPr>
              <w:spacing w:line="500" w:lineRule="exact"/>
              <w:jc w:val="center"/>
              <w:rPr>
                <w:rFonts w:ascii="宋体" w:hAnsi="宋体"/>
                <w:b/>
                <w:bCs/>
                <w:sz w:val="24"/>
                <w:szCs w:val="24"/>
              </w:rPr>
            </w:pPr>
            <w:r>
              <w:rPr>
                <w:rFonts w:hint="eastAsia" w:ascii="宋体" w:hAnsi="宋体"/>
                <w:b/>
                <w:bCs/>
                <w:sz w:val="24"/>
                <w:szCs w:val="24"/>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629" w:type="dxa"/>
            <w:gridSpan w:val="2"/>
            <w:vAlign w:val="center"/>
          </w:tcPr>
          <w:p>
            <w:pPr>
              <w:snapToGrid w:val="0"/>
              <w:rPr>
                <w:rFonts w:ascii="宋体" w:hAnsi="宋体"/>
                <w:sz w:val="24"/>
                <w:szCs w:val="24"/>
              </w:rPr>
            </w:pPr>
            <w:r>
              <w:rPr>
                <w:rFonts w:hint="eastAsia" w:ascii="宋体" w:hAnsi="宋体" w:eastAsia="宋体"/>
                <w:sz w:val="24"/>
                <w:szCs w:val="24"/>
                <w:lang w:eastAsia="zh-CN"/>
              </w:rPr>
              <w:t>“经济·瓶装燃气智慧管理”应用开发方案</w:t>
            </w:r>
          </w:p>
        </w:tc>
        <w:tc>
          <w:tcPr>
            <w:tcW w:w="2977" w:type="dxa"/>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3510" w:type="dxa"/>
            <w:vAlign w:val="center"/>
          </w:tcPr>
          <w:p>
            <w:pPr>
              <w:spacing w:line="500" w:lineRule="exact"/>
              <w:jc w:val="center"/>
              <w:rPr>
                <w:rFonts w:ascii="宋体" w:hAnsi="宋体"/>
                <w:sz w:val="24"/>
                <w:szCs w:val="24"/>
              </w:rPr>
            </w:pPr>
            <w:r>
              <w:rPr>
                <w:rFonts w:hint="eastAsia" w:ascii="宋体" w:hAnsi="宋体"/>
                <w:sz w:val="24"/>
                <w:szCs w:val="24"/>
              </w:rPr>
              <w:t>供应商名称（盖章）</w:t>
            </w:r>
          </w:p>
        </w:tc>
        <w:tc>
          <w:tcPr>
            <w:tcW w:w="6096" w:type="dxa"/>
            <w:gridSpan w:val="2"/>
          </w:tcPr>
          <w:p>
            <w:pPr>
              <w:spacing w:line="500" w:lineRule="exact"/>
              <w:rPr>
                <w:rFonts w:ascii="宋体" w:hAnsi="宋体"/>
                <w:sz w:val="24"/>
                <w:szCs w:val="24"/>
              </w:rPr>
            </w:pPr>
          </w:p>
          <w:p>
            <w:pPr>
              <w:spacing w:line="500" w:lineRule="exact"/>
              <w:rPr>
                <w:rFonts w:ascii="宋体" w:hAnsi="宋体"/>
                <w:sz w:val="24"/>
                <w:szCs w:val="24"/>
              </w:rPr>
            </w:pPr>
          </w:p>
          <w:p>
            <w:pPr>
              <w:spacing w:line="500" w:lineRule="exact"/>
              <w:ind w:firstLine="960" w:firstLineChars="400"/>
              <w:rPr>
                <w:rFonts w:ascii="宋体" w:hAnsi="宋体"/>
                <w:sz w:val="24"/>
                <w:szCs w:val="24"/>
              </w:rPr>
            </w:pPr>
            <w:r>
              <w:rPr>
                <w:rFonts w:hint="eastAsia" w:ascii="宋体" w:hAnsi="宋体"/>
                <w:sz w:val="24"/>
                <w:szCs w:val="24"/>
              </w:rPr>
              <w:t>供应商签字：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3510" w:type="dxa"/>
            <w:vAlign w:val="center"/>
          </w:tcPr>
          <w:p>
            <w:pPr>
              <w:spacing w:line="500" w:lineRule="exact"/>
              <w:jc w:val="center"/>
              <w:rPr>
                <w:rFonts w:ascii="宋体" w:hAnsi="宋体"/>
                <w:sz w:val="24"/>
                <w:szCs w:val="24"/>
              </w:rPr>
            </w:pPr>
            <w:r>
              <w:rPr>
                <w:rFonts w:hint="eastAsia" w:ascii="宋体" w:hAnsi="宋体"/>
                <w:sz w:val="24"/>
                <w:szCs w:val="24"/>
              </w:rPr>
              <w:t>使用处室验收意见（盖章）</w:t>
            </w:r>
          </w:p>
        </w:tc>
        <w:tc>
          <w:tcPr>
            <w:tcW w:w="6096" w:type="dxa"/>
            <w:gridSpan w:val="2"/>
          </w:tcPr>
          <w:p>
            <w:pPr>
              <w:spacing w:line="500" w:lineRule="exact"/>
              <w:rPr>
                <w:rFonts w:ascii="宋体" w:hAnsi="宋体"/>
                <w:sz w:val="24"/>
                <w:szCs w:val="24"/>
              </w:rPr>
            </w:pPr>
          </w:p>
          <w:p>
            <w:pPr>
              <w:spacing w:line="500" w:lineRule="exact"/>
              <w:rPr>
                <w:rFonts w:ascii="宋体" w:hAnsi="宋体"/>
                <w:sz w:val="24"/>
                <w:szCs w:val="24"/>
              </w:rPr>
            </w:pPr>
          </w:p>
          <w:p>
            <w:pPr>
              <w:spacing w:line="500" w:lineRule="exact"/>
              <w:ind w:firstLine="960" w:firstLineChars="400"/>
              <w:rPr>
                <w:rFonts w:ascii="宋体" w:hAnsi="宋体"/>
                <w:sz w:val="24"/>
                <w:szCs w:val="24"/>
              </w:rPr>
            </w:pPr>
            <w:r>
              <w:rPr>
                <w:rFonts w:hint="eastAsia" w:ascii="宋体" w:hAnsi="宋体"/>
                <w:sz w:val="24"/>
                <w:szCs w:val="24"/>
              </w:rPr>
              <w:t>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3510" w:type="dxa"/>
            <w:vAlign w:val="center"/>
          </w:tcPr>
          <w:p>
            <w:pPr>
              <w:spacing w:line="500" w:lineRule="exact"/>
              <w:jc w:val="center"/>
              <w:rPr>
                <w:rFonts w:ascii="宋体" w:hAnsi="宋体"/>
                <w:sz w:val="24"/>
                <w:szCs w:val="24"/>
              </w:rPr>
            </w:pPr>
            <w:r>
              <w:rPr>
                <w:rFonts w:hint="eastAsia" w:ascii="宋体" w:hAnsi="宋体"/>
                <w:sz w:val="24"/>
                <w:szCs w:val="24"/>
              </w:rPr>
              <w:t>其他参与处室验收意见（若有）</w:t>
            </w:r>
          </w:p>
        </w:tc>
        <w:tc>
          <w:tcPr>
            <w:tcW w:w="6096" w:type="dxa"/>
            <w:gridSpan w:val="2"/>
          </w:tcPr>
          <w:p>
            <w:pPr>
              <w:spacing w:line="500" w:lineRule="exact"/>
              <w:rPr>
                <w:rFonts w:ascii="宋体" w:hAnsi="宋体"/>
                <w:sz w:val="24"/>
                <w:szCs w:val="24"/>
              </w:rPr>
            </w:pPr>
          </w:p>
          <w:p>
            <w:pPr>
              <w:spacing w:line="500" w:lineRule="exact"/>
              <w:rPr>
                <w:rFonts w:ascii="宋体" w:hAnsi="宋体"/>
                <w:sz w:val="24"/>
                <w:szCs w:val="24"/>
              </w:rPr>
            </w:pPr>
          </w:p>
          <w:p>
            <w:pPr>
              <w:spacing w:line="500" w:lineRule="exact"/>
              <w:ind w:firstLine="720" w:firstLineChars="300"/>
              <w:rPr>
                <w:rFonts w:ascii="宋体" w:hAnsi="宋体"/>
                <w:sz w:val="24"/>
                <w:szCs w:val="24"/>
              </w:rPr>
            </w:pPr>
            <w:r>
              <w:rPr>
                <w:rFonts w:hint="eastAsia" w:ascii="宋体" w:hAnsi="宋体"/>
                <w:sz w:val="24"/>
                <w:szCs w:val="24"/>
              </w:rPr>
              <w:t xml:space="preserve">  验收人签字：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0" w:type="dxa"/>
          </w:tcPr>
          <w:p>
            <w:pPr>
              <w:spacing w:line="500" w:lineRule="exact"/>
              <w:jc w:val="center"/>
              <w:rPr>
                <w:rFonts w:ascii="宋体" w:hAnsi="宋体"/>
                <w:sz w:val="24"/>
                <w:szCs w:val="24"/>
              </w:rPr>
            </w:pPr>
            <w:r>
              <w:rPr>
                <w:rFonts w:hint="eastAsia" w:ascii="宋体" w:hAnsi="宋体"/>
                <w:sz w:val="24"/>
                <w:szCs w:val="24"/>
              </w:rPr>
              <w:t>备注</w:t>
            </w:r>
          </w:p>
        </w:tc>
        <w:tc>
          <w:tcPr>
            <w:tcW w:w="6096" w:type="dxa"/>
            <w:gridSpan w:val="2"/>
          </w:tcPr>
          <w:p>
            <w:pPr>
              <w:spacing w:line="500" w:lineRule="exact"/>
              <w:rPr>
                <w:rFonts w:ascii="宋体" w:hAnsi="宋体"/>
                <w:sz w:val="24"/>
                <w:szCs w:val="24"/>
              </w:rPr>
            </w:pPr>
          </w:p>
        </w:tc>
      </w:tr>
    </w:tbl>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bookmarkStart w:id="100" w:name="OLE_LINK169"/>
      <w:bookmarkStart w:id="101" w:name="_Toc443233540"/>
      <w:bookmarkStart w:id="102" w:name="_Toc527636859"/>
      <w:bookmarkStart w:id="103" w:name="_Toc67968938"/>
      <w:bookmarkStart w:id="104" w:name="_Toc67831730"/>
      <w:bookmarkStart w:id="105" w:name="_Toc296088418"/>
      <w:bookmarkStart w:id="106" w:name="_Toc65908708"/>
      <w:bookmarkStart w:id="107" w:name="_Toc65656155"/>
      <w:bookmarkStart w:id="108" w:name="_Toc67831034"/>
      <w:bookmarkStart w:id="109" w:name="_Toc65648955"/>
      <w:bookmarkStart w:id="110" w:name="_Toc297884605"/>
    </w:p>
    <w:tbl>
      <w:tblPr>
        <w:tblStyle w:val="66"/>
        <w:tblW w:w="141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4175" w:type="dxa"/>
            <w:gridSpan w:val="5"/>
            <w:vAlign w:val="center"/>
          </w:tcPr>
          <w:p>
            <w:pPr>
              <w:snapToGrid w:val="0"/>
              <w:rPr>
                <w:rFonts w:ascii="宋体" w:hAnsi="宋体"/>
                <w:sz w:val="24"/>
              </w:rPr>
            </w:pPr>
            <w:r>
              <w:rPr>
                <w:rFonts w:hint="eastAsia" w:ascii="宋体" w:hAnsi="宋体"/>
                <w:sz w:val="24"/>
              </w:rPr>
              <w:t>附件2：服务质量审核表</w:t>
            </w:r>
          </w:p>
          <w:p>
            <w:pPr>
              <w:snapToGrid w:val="0"/>
              <w:jc w:val="center"/>
              <w:rPr>
                <w:rFonts w:hint="eastAsia" w:ascii="宋体" w:hAnsi="宋体"/>
                <w:b/>
                <w:sz w:val="24"/>
                <w:lang w:eastAsia="zh-CN"/>
              </w:rPr>
            </w:pPr>
            <w:r>
              <w:rPr>
                <w:rFonts w:hint="eastAsia" w:ascii="宋体" w:hAnsi="宋体"/>
                <w:b/>
                <w:sz w:val="24"/>
                <w:lang w:eastAsia="zh-CN"/>
              </w:rPr>
              <w:t>“经济·瓶装燃气智慧管理”应用开发方案编制服务</w:t>
            </w:r>
          </w:p>
          <w:p>
            <w:pPr>
              <w:snapToGrid w:val="0"/>
              <w:jc w:val="center"/>
              <w:rPr>
                <w:rFonts w:hint="default" w:ascii="宋体" w:hAnsi="宋体" w:eastAsia="宋体"/>
                <w:b/>
                <w:sz w:val="24"/>
                <w:lang w:val="en-US" w:eastAsia="zh-CN"/>
              </w:rPr>
            </w:pPr>
            <w:r>
              <w:rPr>
                <w:rFonts w:hint="eastAsia" w:ascii="宋体" w:hAnsi="宋体"/>
                <w:b/>
                <w:sz w:val="24"/>
                <w:lang w:val="en-US" w:eastAsia="zh-CN"/>
              </w:rPr>
              <w:t>服务质量审核表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1560" w:type="dxa"/>
            <w:vAlign w:val="center"/>
          </w:tcPr>
          <w:p>
            <w:pPr>
              <w:snapToGrid w:val="0"/>
              <w:jc w:val="center"/>
              <w:rPr>
                <w:rFonts w:ascii="宋体" w:hAnsi="宋体"/>
                <w:b/>
                <w:sz w:val="24"/>
              </w:rPr>
            </w:pPr>
            <w:r>
              <w:rPr>
                <w:rFonts w:hint="eastAsia" w:ascii="宋体" w:hAnsi="宋体"/>
                <w:b/>
                <w:sz w:val="24"/>
              </w:rPr>
              <w:t>成交供应商</w:t>
            </w:r>
          </w:p>
          <w:p>
            <w:pPr>
              <w:snapToGrid w:val="0"/>
              <w:jc w:val="center"/>
              <w:rPr>
                <w:rFonts w:ascii="宋体" w:hAnsi="宋体"/>
                <w:b/>
                <w:sz w:val="24"/>
              </w:rPr>
            </w:pPr>
            <w:r>
              <w:rPr>
                <w:rFonts w:hint="eastAsia" w:ascii="宋体" w:hAnsi="宋体"/>
                <w:b/>
                <w:sz w:val="24"/>
              </w:rPr>
              <w:t>名称</w:t>
            </w:r>
          </w:p>
        </w:tc>
        <w:tc>
          <w:tcPr>
            <w:tcW w:w="1842" w:type="dxa"/>
            <w:vAlign w:val="center"/>
          </w:tcPr>
          <w:p>
            <w:pPr>
              <w:snapToGrid w:val="0"/>
              <w:jc w:val="center"/>
              <w:rPr>
                <w:rFonts w:ascii="宋体" w:hAnsi="宋体"/>
                <w:b/>
                <w:sz w:val="24"/>
              </w:rPr>
            </w:pPr>
            <w:r>
              <w:rPr>
                <w:rFonts w:hint="eastAsia" w:ascii="宋体" w:hAnsi="宋体"/>
                <w:b/>
                <w:sz w:val="24"/>
              </w:rPr>
              <w:t>审核日期</w:t>
            </w:r>
          </w:p>
        </w:tc>
        <w:tc>
          <w:tcPr>
            <w:tcW w:w="6096" w:type="dxa"/>
            <w:vAlign w:val="center"/>
          </w:tcPr>
          <w:p>
            <w:pPr>
              <w:snapToGrid w:val="0"/>
              <w:jc w:val="center"/>
              <w:rPr>
                <w:rFonts w:ascii="宋体" w:hAnsi="宋体"/>
                <w:b/>
                <w:sz w:val="24"/>
              </w:rPr>
            </w:pPr>
            <w:r>
              <w:rPr>
                <w:rFonts w:hint="eastAsia" w:ascii="宋体" w:hAnsi="宋体"/>
                <w:b/>
                <w:sz w:val="24"/>
              </w:rPr>
              <w:t>审核结果及说明</w:t>
            </w:r>
          </w:p>
        </w:tc>
        <w:tc>
          <w:tcPr>
            <w:tcW w:w="2409" w:type="dxa"/>
            <w:vAlign w:val="center"/>
          </w:tcPr>
          <w:p>
            <w:pPr>
              <w:snapToGrid w:val="0"/>
              <w:jc w:val="center"/>
              <w:rPr>
                <w:rFonts w:ascii="宋体" w:hAnsi="宋体"/>
                <w:b/>
                <w:sz w:val="24"/>
              </w:rPr>
            </w:pPr>
            <w:r>
              <w:rPr>
                <w:rFonts w:hint="eastAsia" w:ascii="宋体" w:hAnsi="宋体"/>
                <w:b/>
                <w:sz w:val="24"/>
              </w:rPr>
              <w:t>审核人签字</w:t>
            </w:r>
          </w:p>
        </w:tc>
        <w:tc>
          <w:tcPr>
            <w:tcW w:w="2268" w:type="dxa"/>
            <w:vAlign w:val="center"/>
          </w:tcPr>
          <w:p>
            <w:pPr>
              <w:snapToGrid w:val="0"/>
              <w:jc w:val="center"/>
              <w:rPr>
                <w:rFonts w:ascii="宋体" w:hAnsi="宋体"/>
                <w:b/>
                <w:sz w:val="24"/>
              </w:rPr>
            </w:pPr>
            <w:r>
              <w:rPr>
                <w:rFonts w:hint="eastAsia" w:ascii="宋体" w:hAnsi="宋体"/>
                <w:b/>
                <w:sz w:val="24"/>
              </w:rPr>
              <w:t>成交供应商代表</w:t>
            </w:r>
          </w:p>
          <w:p>
            <w:pPr>
              <w:snapToGrid w:val="0"/>
              <w:jc w:val="center"/>
              <w:rPr>
                <w:rFonts w:ascii="宋体" w:hAnsi="宋体"/>
                <w:b/>
                <w:sz w:val="24"/>
              </w:rPr>
            </w:pPr>
            <w:r>
              <w:rPr>
                <w:rFonts w:hint="eastAsia" w:ascii="宋体" w:hAnsi="宋体"/>
                <w:b/>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restart"/>
            <w:vAlign w:val="center"/>
          </w:tcPr>
          <w:p>
            <w:pPr>
              <w:spacing w:line="500" w:lineRule="exact"/>
              <w:ind w:firstLine="480" w:firstLineChars="200"/>
              <w:rPr>
                <w:rFonts w:ascii="宋体" w:hAnsi="宋体"/>
                <w:sz w:val="24"/>
              </w:rPr>
            </w:pPr>
          </w:p>
        </w:tc>
        <w:tc>
          <w:tcPr>
            <w:tcW w:w="1842" w:type="dxa"/>
            <w:vAlign w:val="center"/>
          </w:tcPr>
          <w:p>
            <w:pPr>
              <w:spacing w:line="500" w:lineRule="exact"/>
              <w:ind w:firstLine="480" w:firstLineChars="200"/>
              <w:rPr>
                <w:rFonts w:ascii="宋体" w:hAnsi="宋体"/>
                <w:sz w:val="24"/>
              </w:rPr>
            </w:pPr>
          </w:p>
        </w:tc>
        <w:tc>
          <w:tcPr>
            <w:tcW w:w="6096" w:type="dxa"/>
            <w:vAlign w:val="center"/>
          </w:tcPr>
          <w:p>
            <w:pPr>
              <w:spacing w:line="500" w:lineRule="exact"/>
              <w:ind w:firstLine="480" w:firstLineChars="200"/>
              <w:rPr>
                <w:rFonts w:ascii="宋体" w:hAnsi="宋体"/>
                <w:sz w:val="24"/>
              </w:rPr>
            </w:pPr>
          </w:p>
        </w:tc>
        <w:tc>
          <w:tcPr>
            <w:tcW w:w="2409" w:type="dxa"/>
            <w:vAlign w:val="center"/>
          </w:tcPr>
          <w:p>
            <w:pPr>
              <w:spacing w:line="500" w:lineRule="exact"/>
              <w:ind w:firstLine="480" w:firstLineChars="200"/>
              <w:rPr>
                <w:rFonts w:ascii="宋体" w:hAnsi="宋体"/>
                <w:sz w:val="24"/>
              </w:rPr>
            </w:pPr>
          </w:p>
        </w:tc>
        <w:tc>
          <w:tcPr>
            <w:tcW w:w="2268" w:type="dxa"/>
            <w:vAlign w:val="center"/>
          </w:tcPr>
          <w:p>
            <w:pPr>
              <w:spacing w:line="5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rPr>
            </w:pPr>
          </w:p>
        </w:tc>
        <w:tc>
          <w:tcPr>
            <w:tcW w:w="1842" w:type="dxa"/>
            <w:vAlign w:val="center"/>
          </w:tcPr>
          <w:p>
            <w:pPr>
              <w:spacing w:line="500" w:lineRule="exact"/>
              <w:ind w:firstLine="480" w:firstLineChars="200"/>
              <w:rPr>
                <w:rFonts w:ascii="宋体" w:hAnsi="宋体"/>
                <w:sz w:val="24"/>
              </w:rPr>
            </w:pPr>
          </w:p>
        </w:tc>
        <w:tc>
          <w:tcPr>
            <w:tcW w:w="6096" w:type="dxa"/>
            <w:vAlign w:val="center"/>
          </w:tcPr>
          <w:p>
            <w:pPr>
              <w:spacing w:line="500" w:lineRule="exact"/>
              <w:ind w:firstLine="480" w:firstLineChars="200"/>
              <w:rPr>
                <w:rFonts w:ascii="宋体" w:hAnsi="宋体"/>
                <w:sz w:val="24"/>
              </w:rPr>
            </w:pPr>
          </w:p>
        </w:tc>
        <w:tc>
          <w:tcPr>
            <w:tcW w:w="2409" w:type="dxa"/>
            <w:vAlign w:val="center"/>
          </w:tcPr>
          <w:p>
            <w:pPr>
              <w:spacing w:line="500" w:lineRule="exact"/>
              <w:ind w:firstLine="480" w:firstLineChars="200"/>
              <w:rPr>
                <w:rFonts w:ascii="宋体" w:hAnsi="宋体"/>
                <w:sz w:val="24"/>
              </w:rPr>
            </w:pPr>
          </w:p>
        </w:tc>
        <w:tc>
          <w:tcPr>
            <w:tcW w:w="2268" w:type="dxa"/>
            <w:vAlign w:val="center"/>
          </w:tcPr>
          <w:p>
            <w:pPr>
              <w:spacing w:line="5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rPr>
            </w:pPr>
          </w:p>
        </w:tc>
        <w:tc>
          <w:tcPr>
            <w:tcW w:w="1842" w:type="dxa"/>
            <w:vAlign w:val="center"/>
          </w:tcPr>
          <w:p>
            <w:pPr>
              <w:spacing w:line="500" w:lineRule="exact"/>
              <w:ind w:firstLine="480" w:firstLineChars="200"/>
              <w:rPr>
                <w:rFonts w:ascii="宋体" w:hAnsi="宋体"/>
                <w:sz w:val="24"/>
              </w:rPr>
            </w:pPr>
          </w:p>
        </w:tc>
        <w:tc>
          <w:tcPr>
            <w:tcW w:w="6096" w:type="dxa"/>
            <w:vAlign w:val="center"/>
          </w:tcPr>
          <w:p>
            <w:pPr>
              <w:spacing w:line="500" w:lineRule="exact"/>
              <w:ind w:firstLine="480" w:firstLineChars="200"/>
              <w:rPr>
                <w:rFonts w:ascii="宋体" w:hAnsi="宋体"/>
                <w:sz w:val="24"/>
              </w:rPr>
            </w:pPr>
          </w:p>
        </w:tc>
        <w:tc>
          <w:tcPr>
            <w:tcW w:w="2409" w:type="dxa"/>
            <w:vAlign w:val="center"/>
          </w:tcPr>
          <w:p>
            <w:pPr>
              <w:spacing w:line="500" w:lineRule="exact"/>
              <w:ind w:firstLine="480" w:firstLineChars="200"/>
              <w:rPr>
                <w:rFonts w:ascii="宋体" w:hAnsi="宋体"/>
                <w:sz w:val="24"/>
              </w:rPr>
            </w:pPr>
          </w:p>
        </w:tc>
        <w:tc>
          <w:tcPr>
            <w:tcW w:w="2268" w:type="dxa"/>
            <w:vAlign w:val="center"/>
          </w:tcPr>
          <w:p>
            <w:pPr>
              <w:spacing w:line="5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rPr>
            </w:pPr>
          </w:p>
        </w:tc>
        <w:tc>
          <w:tcPr>
            <w:tcW w:w="1842" w:type="dxa"/>
            <w:vAlign w:val="center"/>
          </w:tcPr>
          <w:p>
            <w:pPr>
              <w:spacing w:line="500" w:lineRule="exact"/>
              <w:ind w:firstLine="480" w:firstLineChars="200"/>
              <w:rPr>
                <w:rFonts w:ascii="宋体" w:hAnsi="宋体"/>
                <w:sz w:val="24"/>
              </w:rPr>
            </w:pPr>
          </w:p>
        </w:tc>
        <w:tc>
          <w:tcPr>
            <w:tcW w:w="6096" w:type="dxa"/>
            <w:vAlign w:val="center"/>
          </w:tcPr>
          <w:p>
            <w:pPr>
              <w:spacing w:line="500" w:lineRule="exact"/>
              <w:ind w:firstLine="480" w:firstLineChars="200"/>
              <w:rPr>
                <w:rFonts w:ascii="宋体" w:hAnsi="宋体"/>
                <w:sz w:val="24"/>
              </w:rPr>
            </w:pPr>
          </w:p>
        </w:tc>
        <w:tc>
          <w:tcPr>
            <w:tcW w:w="2409" w:type="dxa"/>
            <w:vAlign w:val="center"/>
          </w:tcPr>
          <w:p>
            <w:pPr>
              <w:spacing w:line="500" w:lineRule="exact"/>
              <w:ind w:firstLine="480" w:firstLineChars="200"/>
              <w:rPr>
                <w:rFonts w:ascii="宋体" w:hAnsi="宋体"/>
                <w:sz w:val="24"/>
              </w:rPr>
            </w:pPr>
          </w:p>
        </w:tc>
        <w:tc>
          <w:tcPr>
            <w:tcW w:w="2268" w:type="dxa"/>
            <w:vAlign w:val="center"/>
          </w:tcPr>
          <w:p>
            <w:pPr>
              <w:spacing w:line="5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trPr>
        <w:tc>
          <w:tcPr>
            <w:tcW w:w="1560" w:type="dxa"/>
            <w:vMerge w:val="continue"/>
            <w:vAlign w:val="center"/>
          </w:tcPr>
          <w:p>
            <w:pPr>
              <w:spacing w:line="500" w:lineRule="exact"/>
              <w:ind w:firstLine="480" w:firstLineChars="200"/>
              <w:rPr>
                <w:rFonts w:ascii="宋体" w:hAnsi="宋体"/>
                <w:sz w:val="24"/>
              </w:rPr>
            </w:pPr>
          </w:p>
        </w:tc>
        <w:tc>
          <w:tcPr>
            <w:tcW w:w="1842" w:type="dxa"/>
            <w:vAlign w:val="center"/>
          </w:tcPr>
          <w:p>
            <w:pPr>
              <w:spacing w:line="500" w:lineRule="exact"/>
              <w:ind w:firstLine="480" w:firstLineChars="200"/>
              <w:rPr>
                <w:rFonts w:ascii="宋体" w:hAnsi="宋体"/>
                <w:sz w:val="24"/>
              </w:rPr>
            </w:pPr>
          </w:p>
        </w:tc>
        <w:tc>
          <w:tcPr>
            <w:tcW w:w="6096" w:type="dxa"/>
            <w:vAlign w:val="center"/>
          </w:tcPr>
          <w:p>
            <w:pPr>
              <w:spacing w:line="500" w:lineRule="exact"/>
              <w:ind w:firstLine="480" w:firstLineChars="200"/>
              <w:rPr>
                <w:rFonts w:ascii="宋体" w:hAnsi="宋体"/>
                <w:sz w:val="24"/>
              </w:rPr>
            </w:pPr>
          </w:p>
        </w:tc>
        <w:tc>
          <w:tcPr>
            <w:tcW w:w="2409" w:type="dxa"/>
            <w:vAlign w:val="center"/>
          </w:tcPr>
          <w:p>
            <w:pPr>
              <w:spacing w:line="500" w:lineRule="exact"/>
              <w:ind w:firstLine="480" w:firstLineChars="200"/>
              <w:rPr>
                <w:rFonts w:ascii="宋体" w:hAnsi="宋体"/>
                <w:sz w:val="24"/>
              </w:rPr>
            </w:pPr>
          </w:p>
        </w:tc>
        <w:tc>
          <w:tcPr>
            <w:tcW w:w="2268" w:type="dxa"/>
            <w:vAlign w:val="center"/>
          </w:tcPr>
          <w:p>
            <w:pPr>
              <w:spacing w:line="500" w:lineRule="exact"/>
              <w:ind w:firstLine="480" w:firstLineChars="200"/>
              <w:rPr>
                <w:rFonts w:ascii="宋体" w:hAnsi="宋体"/>
                <w:sz w:val="24"/>
              </w:rPr>
            </w:pPr>
          </w:p>
        </w:tc>
      </w:tr>
    </w:tbl>
    <w:p>
      <w:pPr>
        <w:spacing w:line="500" w:lineRule="exact"/>
        <w:ind w:firstLine="480" w:firstLineChars="200"/>
        <w:rPr>
          <w:rFonts w:ascii="宋体" w:hAnsi="宋体"/>
          <w:sz w:val="24"/>
        </w:rPr>
        <w:sectPr>
          <w:headerReference r:id="rId11" w:type="default"/>
          <w:pgSz w:w="16840" w:h="11907" w:orient="landscape"/>
          <w:pgMar w:top="1191" w:right="1134" w:bottom="1191" w:left="1134" w:header="851" w:footer="992" w:gutter="0"/>
          <w:pgNumType w:fmt="numberInDash"/>
          <w:cols w:space="720" w:num="1"/>
          <w:docGrid w:linePitch="380" w:charSpace="-5735"/>
        </w:sectPr>
      </w:pPr>
    </w:p>
    <w:p>
      <w:pPr>
        <w:spacing w:line="500" w:lineRule="exact"/>
        <w:ind w:firstLine="480" w:firstLineChars="200"/>
        <w:rPr>
          <w:rFonts w:ascii="宋体" w:hAnsi="宋体"/>
          <w:sz w:val="24"/>
        </w:rPr>
      </w:pPr>
      <w:r>
        <w:rPr>
          <w:rFonts w:hint="eastAsia" w:ascii="宋体" w:hAnsi="宋体"/>
          <w:sz w:val="24"/>
        </w:rPr>
        <w:t>附件3：保密协议</w:t>
      </w:r>
    </w:p>
    <w:p>
      <w:pPr>
        <w:spacing w:line="600" w:lineRule="exact"/>
        <w:ind w:firstLine="540"/>
        <w:jc w:val="center"/>
        <w:rPr>
          <w:rFonts w:ascii="宋体" w:hAnsi="宋体"/>
          <w:b/>
          <w:snapToGrid w:val="0"/>
          <w:kern w:val="0"/>
          <w:szCs w:val="28"/>
        </w:rPr>
      </w:pPr>
      <w:r>
        <w:rPr>
          <w:rFonts w:hint="eastAsia" w:ascii="宋体" w:hAnsi="宋体"/>
          <w:b/>
          <w:snapToGrid w:val="0"/>
          <w:kern w:val="0"/>
          <w:szCs w:val="28"/>
        </w:rPr>
        <w:t>保密协议</w:t>
      </w:r>
    </w:p>
    <w:bookmarkEnd w:id="100"/>
    <w:bookmarkEnd w:id="101"/>
    <w:bookmarkEnd w:id="102"/>
    <w:bookmarkEnd w:id="103"/>
    <w:bookmarkEnd w:id="104"/>
    <w:bookmarkEnd w:id="105"/>
    <w:bookmarkEnd w:id="106"/>
    <w:bookmarkEnd w:id="107"/>
    <w:bookmarkEnd w:id="108"/>
    <w:bookmarkEnd w:id="109"/>
    <w:bookmarkEnd w:id="110"/>
    <w:p>
      <w:pPr>
        <w:spacing w:line="600" w:lineRule="exact"/>
        <w:ind w:firstLine="422" w:firstLineChars="200"/>
        <w:rPr>
          <w:rFonts w:ascii="宋体" w:hAnsi="宋体"/>
          <w:b/>
          <w:sz w:val="21"/>
          <w:szCs w:val="21"/>
        </w:rPr>
      </w:pPr>
      <w:r>
        <w:rPr>
          <w:rFonts w:hint="eastAsia" w:ascii="宋体" w:hAnsi="宋体"/>
          <w:b/>
          <w:sz w:val="21"/>
          <w:szCs w:val="21"/>
        </w:rPr>
        <w:t>甲方：重庆市经济和信息化委员会</w:t>
      </w:r>
    </w:p>
    <w:p>
      <w:pPr>
        <w:spacing w:line="600" w:lineRule="exact"/>
        <w:ind w:firstLine="422" w:firstLineChars="200"/>
        <w:rPr>
          <w:rFonts w:ascii="宋体" w:hAnsi="宋体"/>
          <w:b/>
          <w:sz w:val="21"/>
          <w:szCs w:val="21"/>
        </w:rPr>
      </w:pPr>
      <w:r>
        <w:rPr>
          <w:rFonts w:hint="eastAsia" w:ascii="宋体" w:hAnsi="宋体"/>
          <w:b/>
          <w:sz w:val="21"/>
          <w:szCs w:val="21"/>
        </w:rPr>
        <w:t>乙方：</w:t>
      </w:r>
      <w:r>
        <w:rPr>
          <w:rFonts w:ascii="宋体" w:hAnsi="宋体"/>
          <w:b/>
          <w:sz w:val="21"/>
          <w:szCs w:val="21"/>
        </w:rPr>
        <w:t xml:space="preserve"> </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第一条 保密资料的范围</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在</w:t>
      </w:r>
      <w:r>
        <w:rPr>
          <w:rFonts w:hint="eastAsia" w:ascii="宋体" w:hAnsi="宋体"/>
          <w:snapToGrid w:val="0"/>
          <w:kern w:val="0"/>
          <w:sz w:val="21"/>
          <w:szCs w:val="21"/>
          <w:u w:val="single"/>
        </w:rPr>
        <w:t xml:space="preserve">                                             </w:t>
      </w:r>
      <w:r>
        <w:rPr>
          <w:rFonts w:hint="eastAsia" w:ascii="宋体" w:hAnsi="宋体"/>
          <w:snapToGrid w:val="0"/>
          <w:kern w:val="0"/>
          <w:sz w:val="21"/>
          <w:szCs w:val="21"/>
        </w:rPr>
        <w:t>（以下简称“本项目”或“项目”）磋商及项目执行过程中，甲方将/已向乙方披露或乙方将/已从甲方知悉保密信息。为保护甲方的合法权益，经平等自愿协商一致，甲乙双方特就保密事宜签订本协议，共同遵照履行。</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第二条 保密义务的内容</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第三条  保密对象</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第四条  保密期限</w:t>
      </w:r>
    </w:p>
    <w:p>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乙方应在职责范围内对所</w:t>
      </w:r>
      <w:r>
        <w:rPr>
          <w:rFonts w:hint="eastAsia" w:ascii="宋体" w:hAnsi="宋体"/>
          <w:snapToGrid w:val="0"/>
          <w:kern w:val="0"/>
          <w:sz w:val="21"/>
          <w:szCs w:val="21"/>
        </w:rPr>
        <w:t>接触</w:t>
      </w:r>
      <w:r>
        <w:rPr>
          <w:rFonts w:ascii="宋体" w:hAnsi="宋体"/>
          <w:snapToGrid w:val="0"/>
          <w:kern w:val="0"/>
          <w:sz w:val="21"/>
          <w:szCs w:val="21"/>
        </w:rPr>
        <w:t>的甲方资料负有保密义务，该保密义务自签署之日起生效，不因协议的解除或终止而失效。</w:t>
      </w:r>
    </w:p>
    <w:p>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 xml:space="preserve">因履行合同的需要或根据本协议，保密资料需要为第三方所知时，乙方应取得甲方的书面同意，且确保第三方签署一份与协议中的保密义务相等的保密承诺书。 </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4.如乙方未按上述条款所述义务保密从而导致甲方遭受损失，乙方应承担由此造成的全部损失，包括但不限于甲方因乙方的违约行为而受到的索赔、支出、法庭或仲裁庭或任何其它监管机构作出的处罚。</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5.本协议经甲乙双方签字盖章后生效。</w:t>
      </w:r>
    </w:p>
    <w:p>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（以下无正文）</w:t>
      </w:r>
    </w:p>
    <w:p>
      <w:pPr>
        <w:spacing w:line="600" w:lineRule="exact"/>
        <w:rPr>
          <w:rFonts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pPr>
        <w:spacing w:line="600" w:lineRule="exact"/>
        <w:jc w:val="left"/>
        <w:rPr>
          <w:rFonts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pPr>
        <w:spacing w:line="600" w:lineRule="exact"/>
        <w:jc w:val="left"/>
        <w:rPr>
          <w:rFonts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pPr>
        <w:spacing w:line="600" w:lineRule="exact"/>
        <w:ind w:firstLine="420" w:firstLineChars="200"/>
        <w:jc w:val="left"/>
        <w:rPr>
          <w:rFonts w:ascii="宋体" w:hAnsi="宋体"/>
          <w:sz w:val="21"/>
          <w:szCs w:val="21"/>
        </w:rPr>
      </w:pPr>
      <w:r>
        <w:rPr>
          <w:rFonts w:hint="eastAsia" w:ascii="宋体" w:hAnsi="宋体"/>
          <w:sz w:val="21"/>
          <w:szCs w:val="21"/>
        </w:rPr>
        <w:t xml:space="preserve">                                                  </w:t>
      </w:r>
    </w:p>
    <w:p>
      <w:pPr>
        <w:snapToGrid w:val="0"/>
        <w:spacing w:line="360" w:lineRule="auto"/>
        <w:jc w:val="left"/>
        <w:rPr>
          <w:rFonts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pPr>
        <w:snapToGrid w:val="0"/>
        <w:spacing w:line="360" w:lineRule="auto"/>
        <w:jc w:val="left"/>
        <w:rPr>
          <w:rFonts w:ascii="宋体" w:hAnsi="宋体"/>
          <w:sz w:val="21"/>
          <w:szCs w:val="21"/>
        </w:rPr>
        <w:sectPr>
          <w:pgSz w:w="11907" w:h="16840"/>
          <w:pgMar w:top="1134" w:right="1191" w:bottom="1134" w:left="1191" w:header="851" w:footer="992" w:gutter="0"/>
          <w:pgNumType w:fmt="numberInDash"/>
          <w:cols w:space="720" w:num="1"/>
          <w:docGrid w:linePitch="380" w:charSpace="-5735"/>
        </w:sectPr>
      </w:pPr>
    </w:p>
    <w:p>
      <w:pPr>
        <w:pStyle w:val="3"/>
        <w:spacing w:line="360" w:lineRule="auto"/>
        <w:jc w:val="center"/>
        <w:rPr>
          <w:rFonts w:ascii="宋体" w:hAnsi="宋体" w:eastAsia="宋体"/>
          <w:sz w:val="36"/>
          <w:szCs w:val="30"/>
        </w:rPr>
      </w:pPr>
      <w:bookmarkStart w:id="111" w:name="_Toc18407"/>
      <w:r>
        <w:rPr>
          <w:rFonts w:ascii="宋体" w:hAnsi="宋体" w:eastAsia="宋体"/>
          <w:sz w:val="36"/>
          <w:szCs w:val="30"/>
        </w:rPr>
        <w:t>第七篇  响应文件编制要求</w:t>
      </w:r>
      <w:bookmarkEnd w:id="99"/>
      <w:bookmarkEnd w:id="111"/>
    </w:p>
    <w:p>
      <w:pPr>
        <w:pStyle w:val="4"/>
        <w:spacing w:before="0" w:after="0" w:line="360" w:lineRule="auto"/>
        <w:ind w:firstLine="482" w:firstLineChars="200"/>
        <w:rPr>
          <w:rFonts w:ascii="宋体" w:hAnsi="宋体"/>
          <w:sz w:val="24"/>
          <w:szCs w:val="24"/>
        </w:rPr>
      </w:pPr>
      <w:bookmarkStart w:id="112" w:name="_Toc1315"/>
      <w:r>
        <w:rPr>
          <w:rFonts w:ascii="宋体" w:hAnsi="宋体"/>
          <w:sz w:val="24"/>
          <w:szCs w:val="24"/>
        </w:rPr>
        <w:t>一、经济</w:t>
      </w:r>
      <w:r>
        <w:rPr>
          <w:rFonts w:hint="eastAsia" w:ascii="宋体" w:hAnsi="宋体"/>
          <w:sz w:val="24"/>
          <w:szCs w:val="24"/>
        </w:rPr>
        <w:t>部分</w:t>
      </w:r>
      <w:bookmarkEnd w:id="112"/>
    </w:p>
    <w:p>
      <w:pPr>
        <w:snapToGrid w:val="0"/>
        <w:spacing w:line="360" w:lineRule="auto"/>
        <w:ind w:firstLine="480" w:firstLineChars="200"/>
        <w:rPr>
          <w:sz w:val="24"/>
          <w:szCs w:val="24"/>
        </w:rPr>
      </w:pPr>
      <w:r>
        <w:rPr>
          <w:sz w:val="24"/>
          <w:szCs w:val="24"/>
        </w:rPr>
        <w:t>（一）竞争性磋商报价函</w:t>
      </w:r>
    </w:p>
    <w:p>
      <w:pPr>
        <w:snapToGrid w:val="0"/>
        <w:spacing w:line="360" w:lineRule="auto"/>
        <w:ind w:firstLine="480" w:firstLineChars="200"/>
        <w:rPr>
          <w:sz w:val="24"/>
          <w:szCs w:val="24"/>
        </w:rPr>
      </w:pPr>
      <w:r>
        <w:rPr>
          <w:rFonts w:hint="eastAsia"/>
          <w:sz w:val="24"/>
          <w:szCs w:val="24"/>
        </w:rPr>
        <w:t>（二）分项报价明细表</w:t>
      </w:r>
    </w:p>
    <w:p>
      <w:pPr>
        <w:pStyle w:val="4"/>
        <w:spacing w:before="0" w:after="0" w:line="360" w:lineRule="auto"/>
        <w:ind w:firstLine="482" w:firstLineChars="200"/>
        <w:rPr>
          <w:rFonts w:ascii="宋体" w:hAnsi="宋体"/>
          <w:sz w:val="24"/>
          <w:szCs w:val="24"/>
        </w:rPr>
      </w:pPr>
      <w:bookmarkStart w:id="113" w:name="_Toc78194469"/>
      <w:bookmarkStart w:id="114" w:name="_Toc18708"/>
      <w:r>
        <w:rPr>
          <w:rFonts w:hint="eastAsia" w:ascii="宋体" w:hAnsi="宋体"/>
          <w:sz w:val="24"/>
          <w:szCs w:val="24"/>
        </w:rPr>
        <w:t>二、技术</w:t>
      </w:r>
      <w:bookmarkEnd w:id="113"/>
      <w:r>
        <w:rPr>
          <w:rFonts w:hint="eastAsia" w:ascii="宋体" w:hAnsi="宋体"/>
          <w:sz w:val="24"/>
          <w:szCs w:val="24"/>
        </w:rPr>
        <w:t>部分</w:t>
      </w:r>
      <w:bookmarkEnd w:id="114"/>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（二）服务响应偏离表</w:t>
      </w:r>
    </w:p>
    <w:p>
      <w:pPr>
        <w:pStyle w:val="4"/>
        <w:spacing w:before="0" w:after="0" w:line="360" w:lineRule="auto"/>
        <w:ind w:firstLine="482" w:firstLineChars="200"/>
        <w:rPr>
          <w:rFonts w:ascii="宋体" w:hAnsi="宋体"/>
          <w:sz w:val="24"/>
          <w:szCs w:val="24"/>
        </w:rPr>
      </w:pPr>
      <w:bookmarkStart w:id="115" w:name="_Toc13444"/>
      <w:r>
        <w:rPr>
          <w:rFonts w:ascii="宋体" w:hAnsi="宋体"/>
          <w:sz w:val="24"/>
          <w:szCs w:val="24"/>
        </w:rPr>
        <w:t>三、商务</w:t>
      </w:r>
      <w:r>
        <w:rPr>
          <w:rFonts w:hint="eastAsia" w:ascii="宋体" w:hAnsi="宋体"/>
          <w:sz w:val="24"/>
          <w:szCs w:val="24"/>
        </w:rPr>
        <w:t>部分</w:t>
      </w:r>
      <w:bookmarkEnd w:id="115"/>
    </w:p>
    <w:p>
      <w:pPr>
        <w:snapToGrid w:val="0"/>
        <w:spacing w:line="360" w:lineRule="auto"/>
        <w:ind w:firstLine="480" w:firstLineChars="200"/>
        <w:rPr>
          <w:sz w:val="24"/>
          <w:szCs w:val="24"/>
        </w:rPr>
      </w:pPr>
      <w:r>
        <w:rPr>
          <w:sz w:val="24"/>
          <w:szCs w:val="24"/>
        </w:rPr>
        <w:t>（一）</w:t>
      </w:r>
      <w:r>
        <w:rPr>
          <w:rFonts w:hint="eastAsia"/>
          <w:sz w:val="24"/>
          <w:szCs w:val="24"/>
        </w:rPr>
        <w:t>商务响应偏离表</w:t>
      </w:r>
    </w:p>
    <w:p>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pPr>
        <w:pStyle w:val="4"/>
        <w:spacing w:before="0" w:after="0" w:line="360" w:lineRule="auto"/>
        <w:ind w:firstLine="482" w:firstLineChars="200"/>
        <w:rPr>
          <w:rFonts w:ascii="宋体" w:hAnsi="宋体"/>
          <w:sz w:val="24"/>
          <w:szCs w:val="24"/>
        </w:rPr>
      </w:pPr>
      <w:bookmarkStart w:id="116" w:name="_Toc3549"/>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16"/>
    </w:p>
    <w:p>
      <w:pPr>
        <w:snapToGrid w:val="0"/>
        <w:spacing w:line="360" w:lineRule="auto"/>
        <w:ind w:firstLine="480" w:firstLineChars="200"/>
        <w:rPr>
          <w:rFonts w:ascii="宋体" w:hAnsi="宋体"/>
          <w:sz w:val="24"/>
          <w:szCs w:val="24"/>
        </w:rPr>
      </w:pPr>
      <w:r>
        <w:rPr>
          <w:sz w:val="24"/>
          <w:szCs w:val="24"/>
        </w:rPr>
        <w:t>（一）</w:t>
      </w:r>
      <w:r>
        <w:rPr>
          <w:rFonts w:hint="eastAsia" w:ascii="宋体" w:hAnsi="宋体"/>
          <w:sz w:val="24"/>
          <w:szCs w:val="24"/>
        </w:rPr>
        <w:t>法人营业执照（副本）或事业单位法人证书（副本）或个体工商户营业执照或有效的自然人身份证明或社会团体法人登记证书复印件</w:t>
      </w:r>
    </w:p>
    <w:p>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法定代表人授权委托书（格式）</w:t>
      </w:r>
    </w:p>
    <w:p>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snapToGrid w:val="0"/>
        <w:spacing w:line="360" w:lineRule="auto"/>
        <w:ind w:firstLine="480" w:firstLineChars="200"/>
        <w:rPr>
          <w:rFonts w:ascii="宋体" w:hAnsi="宋体"/>
          <w:sz w:val="24"/>
          <w:szCs w:val="24"/>
        </w:rPr>
      </w:pPr>
      <w:r>
        <w:rPr>
          <w:rFonts w:hint="eastAsia" w:ascii="宋体" w:hAnsi="宋体"/>
          <w:sz w:val="24"/>
          <w:szCs w:val="24"/>
        </w:rPr>
        <w:t>（五）本项目的特定资格条件（如果有）</w:t>
      </w:r>
    </w:p>
    <w:p>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（六）落实政府采购政策需满足的资格要求（如果有）</w:t>
      </w:r>
    </w:p>
    <w:p>
      <w:pPr>
        <w:pStyle w:val="4"/>
        <w:spacing w:before="0" w:after="0" w:line="360" w:lineRule="auto"/>
        <w:ind w:firstLine="482" w:firstLineChars="200"/>
        <w:rPr>
          <w:rFonts w:ascii="宋体" w:hAnsi="宋体"/>
          <w:sz w:val="24"/>
          <w:szCs w:val="24"/>
        </w:rPr>
      </w:pPr>
      <w:bookmarkStart w:id="117" w:name="_Toc10881"/>
      <w:r>
        <w:rPr>
          <w:rFonts w:hint="eastAsia" w:ascii="宋体" w:hAnsi="宋体"/>
          <w:sz w:val="24"/>
          <w:szCs w:val="24"/>
        </w:rPr>
        <w:t>五</w:t>
      </w:r>
      <w:r>
        <w:rPr>
          <w:rFonts w:ascii="宋体" w:hAnsi="宋体"/>
          <w:sz w:val="24"/>
          <w:szCs w:val="24"/>
        </w:rPr>
        <w:t>、其他</w:t>
      </w:r>
      <w:bookmarkEnd w:id="117"/>
    </w:p>
    <w:p>
      <w:pPr>
        <w:snapToGrid w:val="0"/>
        <w:spacing w:line="360" w:lineRule="auto"/>
        <w:ind w:firstLine="480" w:firstLineChars="200"/>
        <w:rPr>
          <w:sz w:val="24"/>
          <w:szCs w:val="24"/>
        </w:rPr>
      </w:pPr>
      <w:r>
        <w:rPr>
          <w:rFonts w:hint="eastAsia"/>
          <w:sz w:val="24"/>
          <w:szCs w:val="24"/>
        </w:rPr>
        <w:t>（一）中小企业声明函、监狱企业证明文件、残疾人福利性单位声明函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（二）其他与项目有关的资料（自附）</w:t>
      </w:r>
    </w:p>
    <w:p>
      <w:pPr>
        <w:pageBreakBefore/>
        <w:tabs>
          <w:tab w:val="left" w:pos="6300"/>
        </w:tabs>
        <w:snapToGrid w:val="0"/>
        <w:spacing w:line="360" w:lineRule="auto"/>
        <w:ind w:firstLine="482" w:firstLineChars="200"/>
        <w:rPr>
          <w:b/>
          <w:sz w:val="24"/>
          <w:szCs w:val="24"/>
        </w:rPr>
      </w:pPr>
      <w:bookmarkStart w:id="118" w:name="_Toc342913419"/>
      <w:bookmarkStart w:id="119" w:name="_Toc313888360"/>
      <w:bookmarkStart w:id="120" w:name="_Toc23764522"/>
      <w:bookmarkStart w:id="121" w:name="_Toc313008356"/>
      <w:bookmarkStart w:id="122" w:name="_Toc283382454"/>
      <w:bookmarkStart w:id="123" w:name="_Toc12789073"/>
      <w:r>
        <w:rPr>
          <w:b/>
          <w:sz w:val="24"/>
          <w:szCs w:val="24"/>
        </w:rPr>
        <w:t>一、经济</w:t>
      </w:r>
      <w:bookmarkEnd w:id="118"/>
      <w:bookmarkEnd w:id="119"/>
      <w:bookmarkEnd w:id="120"/>
      <w:bookmarkEnd w:id="121"/>
      <w:r>
        <w:rPr>
          <w:rFonts w:hint="eastAsia"/>
          <w:b/>
          <w:sz w:val="24"/>
          <w:szCs w:val="24"/>
        </w:rPr>
        <w:t>文件</w:t>
      </w:r>
    </w:p>
    <w:bookmarkEnd w:id="122"/>
    <w:bookmarkEnd w:id="123"/>
    <w:p>
      <w:pPr>
        <w:tabs>
          <w:tab w:val="left" w:pos="6300"/>
        </w:tabs>
        <w:snapToGrid w:val="0"/>
        <w:spacing w:line="360" w:lineRule="auto"/>
        <w:ind w:firstLine="480" w:firstLineChars="200"/>
        <w:rPr>
          <w:sz w:val="24"/>
          <w:szCs w:val="24"/>
        </w:rPr>
      </w:pPr>
      <w:r>
        <w:rPr>
          <w:sz w:val="24"/>
          <w:szCs w:val="24"/>
        </w:rPr>
        <w:t>（一）竞争性磋商报价函</w:t>
      </w:r>
    </w:p>
    <w:p>
      <w:pPr>
        <w:tabs>
          <w:tab w:val="left" w:pos="6300"/>
        </w:tabs>
        <w:snapToGrid w:val="0"/>
        <w:spacing w:line="520" w:lineRule="exact"/>
        <w:jc w:val="center"/>
        <w:outlineLvl w:val="0"/>
        <w:rPr>
          <w:b/>
          <w:szCs w:val="28"/>
        </w:rPr>
      </w:pPr>
      <w:r>
        <w:rPr>
          <w:b/>
          <w:szCs w:val="28"/>
        </w:rPr>
        <w:t>竞争性磋商报价函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愿意按照竞争性磋商文件中的一切要求，提供本项目的服务，初始报价为人民币大写：</w:t>
      </w:r>
      <w:r>
        <w:rPr>
          <w:rFonts w:ascii="宋体" w:hAnsi="宋体"/>
          <w:sz w:val="24"/>
          <w:szCs w:val="24"/>
          <w:u w:val="single"/>
        </w:rPr>
        <w:t xml:space="preserve">      </w:t>
      </w:r>
      <w:r>
        <w:rPr>
          <w:rFonts w:ascii="宋体" w:hAnsi="宋体"/>
          <w:sz w:val="24"/>
          <w:szCs w:val="24"/>
        </w:rPr>
        <w:t>元整；人民币小写：</w:t>
      </w:r>
      <w:r>
        <w:rPr>
          <w:rFonts w:ascii="宋体" w:hAnsi="宋体"/>
          <w:sz w:val="24"/>
          <w:szCs w:val="24"/>
          <w:u w:val="single"/>
        </w:rPr>
        <w:t xml:space="preserve">    </w:t>
      </w:r>
      <w:r>
        <w:rPr>
          <w:rFonts w:ascii="宋体" w:hAnsi="宋体"/>
          <w:sz w:val="24"/>
          <w:szCs w:val="24"/>
        </w:rPr>
        <w:t>元。以我公司最后报价为准。</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7.如果我方成为成交供应商，保证在接到成交通知书后，</w:t>
      </w:r>
      <w:r>
        <w:rPr>
          <w:rFonts w:hint="eastAsia" w:ascii="宋体" w:hAnsi="宋体"/>
          <w:sz w:val="24"/>
          <w:szCs w:val="24"/>
        </w:rPr>
        <w:t>向采购代理机构缴纳竞争性磋商文件规定的</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供应商（公章）：</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 xml:space="preserve">地址：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电话：                                             传真：</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网址：                                             邮编：</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sectPr>
          <w:headerReference r:id="rId12" w:type="default"/>
          <w:pgSz w:w="11907" w:h="16840"/>
          <w:pgMar w:top="1134" w:right="1191" w:bottom="1134" w:left="1191" w:header="851" w:footer="992" w:gutter="0"/>
          <w:pgNumType w:fmt="numberInDash"/>
          <w:cols w:space="720" w:num="1"/>
          <w:docGrid w:linePitch="380" w:charSpace="-5735"/>
        </w:sectPr>
      </w:pPr>
      <w:r>
        <w:rPr>
          <w:sz w:val="24"/>
          <w:szCs w:val="24"/>
        </w:rPr>
        <w:t xml:space="preserve">                                                  年   月   日</w:t>
      </w:r>
    </w:p>
    <w:p>
      <w:pPr>
        <w:pageBreakBefore/>
        <w:snapToGrid w:val="0"/>
        <w:spacing w:line="360" w:lineRule="auto"/>
        <w:ind w:firstLine="480" w:firstLineChars="200"/>
        <w:jc w:val="left"/>
        <w:rPr>
          <w:rFonts w:ascii="宋体" w:hAnsi="宋体"/>
          <w:sz w:val="24"/>
          <w:szCs w:val="24"/>
        </w:rPr>
      </w:pPr>
      <w:bookmarkStart w:id="124" w:name="_Toc342913420"/>
      <w:bookmarkStart w:id="125" w:name="_Toc313008357"/>
      <w:bookmarkStart w:id="126" w:name="_Toc313888361"/>
      <w:bookmarkStart w:id="127" w:name="_Toc23764523"/>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pStyle w:val="35"/>
        <w:tabs>
          <w:tab w:val="left" w:pos="6300"/>
        </w:tabs>
        <w:snapToGrid w:val="0"/>
        <w:spacing w:line="360" w:lineRule="auto"/>
        <w:ind w:firstLine="480" w:firstLineChars="200"/>
        <w:rPr>
          <w:rFonts w:ascii="宋体" w:hAnsi="宋体"/>
          <w:sz w:val="24"/>
        </w:rPr>
      </w:pPr>
      <w:r>
        <w:rPr>
          <w:rFonts w:hint="eastAsia" w:ascii="宋体" w:hAnsi="宋体"/>
          <w:sz w:val="24"/>
        </w:rPr>
        <w:t>项目号：</w:t>
      </w:r>
    </w:p>
    <w:p>
      <w:pPr>
        <w:pStyle w:val="35"/>
        <w:tabs>
          <w:tab w:val="left" w:pos="6300"/>
        </w:tabs>
        <w:snapToGrid w:val="0"/>
        <w:spacing w:line="360" w:lineRule="auto"/>
        <w:ind w:firstLine="480" w:firstLineChars="200"/>
        <w:rPr>
          <w:rFonts w:ascii="宋体" w:hAnsi="宋体"/>
          <w:sz w:val="24"/>
        </w:rPr>
      </w:pPr>
      <w:r>
        <w:rPr>
          <w:rFonts w:hint="eastAsia" w:ascii="宋体" w:hAnsi="宋体"/>
          <w:sz w:val="24"/>
        </w:rPr>
        <w:t>项目名称：                                                       单位：元</w:t>
      </w:r>
    </w:p>
    <w:tbl>
      <w:tblPr>
        <w:tblStyle w:val="6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2552"/>
        <w:gridCol w:w="850"/>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709" w:type="dxa"/>
            <w:vAlign w:val="center"/>
          </w:tcPr>
          <w:p>
            <w:pPr>
              <w:jc w:val="center"/>
              <w:rPr>
                <w:rFonts w:ascii="宋体" w:hAnsi="宋体"/>
                <w:b/>
                <w:sz w:val="21"/>
                <w:szCs w:val="21"/>
              </w:rPr>
            </w:pPr>
            <w:r>
              <w:rPr>
                <w:rFonts w:hint="eastAsia" w:ascii="宋体" w:hAnsi="宋体"/>
                <w:b/>
                <w:sz w:val="21"/>
                <w:szCs w:val="21"/>
              </w:rPr>
              <w:t>序号</w:t>
            </w:r>
          </w:p>
        </w:tc>
        <w:tc>
          <w:tcPr>
            <w:tcW w:w="3260" w:type="dxa"/>
            <w:vAlign w:val="center"/>
          </w:tcPr>
          <w:p>
            <w:pPr>
              <w:jc w:val="center"/>
              <w:rPr>
                <w:rFonts w:ascii="宋体" w:hAnsi="宋体"/>
                <w:b/>
                <w:sz w:val="21"/>
                <w:szCs w:val="21"/>
              </w:rPr>
            </w:pPr>
            <w:r>
              <w:rPr>
                <w:rFonts w:hint="eastAsia" w:ascii="宋体" w:hAnsi="宋体"/>
                <w:b/>
                <w:sz w:val="21"/>
                <w:szCs w:val="21"/>
              </w:rPr>
              <w:t>费用名称</w:t>
            </w:r>
          </w:p>
        </w:tc>
        <w:tc>
          <w:tcPr>
            <w:tcW w:w="2552" w:type="dxa"/>
            <w:vAlign w:val="center"/>
          </w:tcPr>
          <w:p>
            <w:pPr>
              <w:jc w:val="center"/>
              <w:rPr>
                <w:rFonts w:ascii="宋体" w:hAnsi="宋体"/>
                <w:b/>
                <w:sz w:val="21"/>
                <w:szCs w:val="21"/>
              </w:rPr>
            </w:pPr>
            <w:r>
              <w:rPr>
                <w:rFonts w:hint="eastAsia" w:ascii="宋体" w:hAnsi="宋体"/>
                <w:b/>
                <w:sz w:val="21"/>
                <w:szCs w:val="21"/>
              </w:rPr>
              <w:t>相关信息</w:t>
            </w:r>
          </w:p>
        </w:tc>
        <w:tc>
          <w:tcPr>
            <w:tcW w:w="850" w:type="dxa"/>
            <w:vAlign w:val="center"/>
          </w:tcPr>
          <w:p>
            <w:pPr>
              <w:jc w:val="center"/>
              <w:rPr>
                <w:rFonts w:ascii="宋体" w:hAnsi="宋体"/>
                <w:b/>
                <w:sz w:val="21"/>
                <w:szCs w:val="21"/>
              </w:rPr>
            </w:pPr>
            <w:r>
              <w:rPr>
                <w:rFonts w:hint="eastAsia" w:ascii="宋体" w:hAnsi="宋体"/>
                <w:b/>
                <w:sz w:val="21"/>
                <w:szCs w:val="21"/>
              </w:rPr>
              <w:t>数量</w:t>
            </w:r>
          </w:p>
        </w:tc>
        <w:tc>
          <w:tcPr>
            <w:tcW w:w="993" w:type="dxa"/>
            <w:vAlign w:val="center"/>
          </w:tcPr>
          <w:p>
            <w:pPr>
              <w:jc w:val="center"/>
              <w:rPr>
                <w:rFonts w:ascii="宋体" w:hAnsi="宋体"/>
                <w:b/>
                <w:sz w:val="21"/>
                <w:szCs w:val="21"/>
              </w:rPr>
            </w:pPr>
            <w:r>
              <w:rPr>
                <w:rFonts w:hint="eastAsia" w:ascii="宋体" w:hAnsi="宋体"/>
                <w:b/>
                <w:sz w:val="21"/>
                <w:szCs w:val="21"/>
              </w:rPr>
              <w:t>单价</w:t>
            </w:r>
          </w:p>
        </w:tc>
        <w:tc>
          <w:tcPr>
            <w:tcW w:w="1134" w:type="dxa"/>
            <w:vAlign w:val="center"/>
          </w:tcPr>
          <w:p>
            <w:pPr>
              <w:jc w:val="center"/>
              <w:rPr>
                <w:rFonts w:ascii="宋体" w:hAnsi="宋体"/>
                <w:b/>
                <w:sz w:val="21"/>
                <w:szCs w:val="21"/>
              </w:rPr>
            </w:pPr>
            <w:r>
              <w:rPr>
                <w:rFonts w:hint="eastAsia" w:ascii="宋体" w:hAnsi="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r>
              <w:rPr>
                <w:rFonts w:hint="eastAsia" w:ascii="宋体" w:hAnsi="宋体"/>
                <w:sz w:val="21"/>
                <w:szCs w:val="21"/>
              </w:rPr>
              <w:t>1</w:t>
            </w:r>
          </w:p>
        </w:tc>
        <w:tc>
          <w:tcPr>
            <w:tcW w:w="3260" w:type="dxa"/>
            <w:vAlign w:val="center"/>
          </w:tcPr>
          <w:p>
            <w:pPr>
              <w:snapToGrid w:val="0"/>
              <w:jc w:val="center"/>
              <w:rPr>
                <w:rFonts w:ascii="宋体" w:hAnsi="宋体"/>
                <w:sz w:val="21"/>
                <w:szCs w:val="21"/>
              </w:rPr>
            </w:pPr>
            <w:r>
              <w:rPr>
                <w:rFonts w:hint="eastAsia" w:ascii="宋体" w:hAnsi="宋体"/>
                <w:sz w:val="24"/>
                <w:szCs w:val="24"/>
                <w:lang w:val="en-US" w:eastAsia="zh-CN"/>
              </w:rPr>
              <w:t>“经济·瓶装燃气智慧管理”应用开发方案</w:t>
            </w: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r>
              <w:rPr>
                <w:rFonts w:hint="eastAsia" w:ascii="宋体" w:hAnsi="宋体"/>
                <w:sz w:val="21"/>
                <w:szCs w:val="21"/>
              </w:rPr>
              <w:t>2</w:t>
            </w: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r>
              <w:rPr>
                <w:rFonts w:hint="eastAsia" w:ascii="宋体" w:hAnsi="宋体"/>
                <w:sz w:val="21"/>
                <w:szCs w:val="21"/>
              </w:rPr>
              <w:t>3</w:t>
            </w:r>
          </w:p>
        </w:tc>
        <w:tc>
          <w:tcPr>
            <w:tcW w:w="3260" w:type="dxa"/>
            <w:vAlign w:val="center"/>
          </w:tcPr>
          <w:p>
            <w:pPr>
              <w:snapToGrid w:val="0"/>
              <w:jc w:val="center"/>
              <w:rPr>
                <w:rFonts w:ascii="宋体" w:hAnsi="宋体"/>
                <w:sz w:val="21"/>
                <w:szCs w:val="21"/>
              </w:rPr>
            </w:pPr>
            <w:r>
              <w:rPr>
                <w:rFonts w:hint="eastAsia" w:ascii="宋体" w:hAnsi="宋体"/>
                <w:sz w:val="21"/>
                <w:szCs w:val="21"/>
              </w:rPr>
              <w:t>……</w:t>
            </w: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09" w:type="dxa"/>
            <w:vAlign w:val="center"/>
          </w:tcPr>
          <w:p>
            <w:pPr>
              <w:jc w:val="center"/>
              <w:rPr>
                <w:rFonts w:ascii="宋体" w:hAnsi="宋体"/>
                <w:sz w:val="21"/>
                <w:szCs w:val="21"/>
              </w:rPr>
            </w:pPr>
          </w:p>
        </w:tc>
        <w:tc>
          <w:tcPr>
            <w:tcW w:w="3260" w:type="dxa"/>
            <w:vAlign w:val="center"/>
          </w:tcPr>
          <w:p>
            <w:pPr>
              <w:snapToGrid w:val="0"/>
              <w:jc w:val="center"/>
              <w:rPr>
                <w:rFonts w:ascii="宋体" w:hAnsi="宋体"/>
                <w:sz w:val="21"/>
                <w:szCs w:val="21"/>
              </w:rPr>
            </w:pPr>
          </w:p>
        </w:tc>
        <w:tc>
          <w:tcPr>
            <w:tcW w:w="2552" w:type="dxa"/>
            <w:vAlign w:val="center"/>
          </w:tcPr>
          <w:p>
            <w:pPr>
              <w:snapToGrid w:val="0"/>
              <w:jc w:val="center"/>
              <w:rPr>
                <w:rFonts w:ascii="宋体" w:hAnsi="宋体"/>
                <w:sz w:val="24"/>
                <w:szCs w:val="24"/>
              </w:rPr>
            </w:pPr>
          </w:p>
        </w:tc>
        <w:tc>
          <w:tcPr>
            <w:tcW w:w="850" w:type="dxa"/>
            <w:vAlign w:val="center"/>
          </w:tcPr>
          <w:p>
            <w:pPr>
              <w:snapToGrid w:val="0"/>
              <w:jc w:val="center"/>
              <w:rPr>
                <w:rFonts w:ascii="宋体" w:hAnsi="宋体"/>
                <w:sz w:val="21"/>
                <w:szCs w:val="21"/>
              </w:rPr>
            </w:pPr>
          </w:p>
        </w:tc>
        <w:tc>
          <w:tcPr>
            <w:tcW w:w="993" w:type="dxa"/>
            <w:vAlign w:val="center"/>
          </w:tcPr>
          <w:p>
            <w:pPr>
              <w:snapToGrid w:val="0"/>
              <w:jc w:val="center"/>
              <w:rPr>
                <w:rFonts w:ascii="宋体" w:hAnsi="宋体"/>
                <w:sz w:val="21"/>
                <w:szCs w:val="21"/>
              </w:rPr>
            </w:pPr>
          </w:p>
        </w:tc>
        <w:tc>
          <w:tcPr>
            <w:tcW w:w="1134" w:type="dxa"/>
            <w:vAlign w:val="center"/>
          </w:tcPr>
          <w:p>
            <w:pPr>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9498" w:type="dxa"/>
            <w:gridSpan w:val="6"/>
            <w:vAlign w:val="center"/>
          </w:tcPr>
          <w:p>
            <w:pPr>
              <w:tabs>
                <w:tab w:val="left" w:pos="2850"/>
                <w:tab w:val="center" w:pos="3039"/>
              </w:tabs>
              <w:jc w:val="left"/>
              <w:rPr>
                <w:rFonts w:ascii="宋体" w:hAnsi="宋体"/>
                <w:sz w:val="21"/>
                <w:szCs w:val="21"/>
              </w:rPr>
            </w:pPr>
            <w:r>
              <w:rPr>
                <w:rFonts w:hint="eastAsia" w:ascii="宋体" w:hAnsi="宋体"/>
                <w:sz w:val="21"/>
                <w:szCs w:val="21"/>
              </w:rPr>
              <w:t>总计（元）：</w:t>
            </w:r>
          </w:p>
        </w:tc>
      </w:tr>
    </w:tbl>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（供应商公章）                                   （签字或盖章）</w:t>
      </w:r>
    </w:p>
    <w:p>
      <w:pPr>
        <w:spacing w:line="360" w:lineRule="auto"/>
        <w:rPr>
          <w:rFonts w:ascii="宋体" w:hAnsi="宋体"/>
          <w:sz w:val="24"/>
          <w:szCs w:val="28"/>
        </w:rPr>
      </w:pP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2.供应商的分项报价为含税价（</w:t>
      </w:r>
      <w:r>
        <w:rPr>
          <w:rFonts w:hint="eastAsia" w:ascii="宋体" w:hAnsi="宋体"/>
          <w:b/>
          <w:sz w:val="24"/>
          <w:szCs w:val="28"/>
        </w:rPr>
        <w:t>即税费不单列</w:t>
      </w:r>
      <w:r>
        <w:rPr>
          <w:rFonts w:hint="eastAsia" w:ascii="宋体" w:hAnsi="宋体"/>
          <w:sz w:val="24"/>
          <w:szCs w:val="28"/>
        </w:rPr>
        <w:t>），应包含“</w:t>
      </w:r>
      <w:r>
        <w:rPr>
          <w:rFonts w:hint="eastAsia" w:ascii="宋体" w:hAnsi="宋体"/>
          <w:b/>
          <w:sz w:val="24"/>
          <w:szCs w:val="28"/>
        </w:rPr>
        <w:t>第三篇 项目商务需求 二、报价要求（一）</w:t>
      </w:r>
      <w:r>
        <w:rPr>
          <w:rFonts w:hint="eastAsia" w:ascii="宋体" w:hAnsi="宋体"/>
          <w:sz w:val="24"/>
          <w:szCs w:val="28"/>
        </w:rPr>
        <w:t>”所列的所有费用。</w:t>
      </w:r>
    </w:p>
    <w:p>
      <w:pPr>
        <w:snapToGrid w:val="0"/>
        <w:spacing w:line="360" w:lineRule="auto"/>
        <w:ind w:firstLine="480" w:firstLineChars="200"/>
        <w:rPr>
          <w:b/>
          <w:sz w:val="24"/>
          <w:szCs w:val="24"/>
        </w:rPr>
      </w:pPr>
      <w:r>
        <w:rPr>
          <w:rFonts w:hint="eastAsia" w:ascii="宋体" w:hAnsi="宋体"/>
          <w:sz w:val="24"/>
          <w:szCs w:val="28"/>
        </w:rPr>
        <w:t>3.供应商须在响应文件“明细报价表”的“相关信息”一栏中详细列出明细报价组成情况。若明细内容较多的，供应商可自行增加列表。</w:t>
      </w:r>
    </w:p>
    <w:p>
      <w:pPr>
        <w:pageBreakBefore/>
        <w:tabs>
          <w:tab w:val="left" w:pos="6300"/>
        </w:tabs>
        <w:snapToGrid w:val="0"/>
        <w:spacing w:line="360" w:lineRule="auto"/>
        <w:ind w:firstLine="482" w:firstLineChars="200"/>
        <w:rPr>
          <w:b/>
          <w:sz w:val="24"/>
          <w:szCs w:val="24"/>
        </w:rPr>
      </w:pPr>
      <w:r>
        <w:rPr>
          <w:b/>
          <w:sz w:val="24"/>
          <w:szCs w:val="24"/>
        </w:rPr>
        <w:t>二、</w:t>
      </w:r>
      <w:r>
        <w:rPr>
          <w:rFonts w:hint="eastAsia"/>
          <w:b/>
          <w:sz w:val="24"/>
          <w:szCs w:val="24"/>
        </w:rPr>
        <w:t>技术</w:t>
      </w:r>
      <w:bookmarkEnd w:id="124"/>
      <w:bookmarkEnd w:id="125"/>
      <w:bookmarkEnd w:id="126"/>
      <w:bookmarkEnd w:id="127"/>
      <w:r>
        <w:rPr>
          <w:rFonts w:hint="eastAsia"/>
          <w:b/>
          <w:sz w:val="24"/>
          <w:szCs w:val="24"/>
        </w:rPr>
        <w:t>文件</w:t>
      </w:r>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（二）服务响应偏离表</w:t>
      </w:r>
    </w:p>
    <w:p>
      <w:pPr>
        <w:tabs>
          <w:tab w:val="left" w:pos="6300"/>
        </w:tabs>
        <w:snapToGrid w:val="0"/>
        <w:spacing w:line="360" w:lineRule="auto"/>
        <w:jc w:val="center"/>
        <w:rPr>
          <w:rFonts w:ascii="宋体" w:hAnsi="宋体"/>
          <w:szCs w:val="24"/>
        </w:rPr>
      </w:pPr>
      <w:bookmarkStart w:id="128" w:name="_Hlk71831631"/>
      <w:r>
        <w:rPr>
          <w:rFonts w:hint="eastAsia" w:ascii="宋体" w:hAnsi="宋体"/>
          <w:szCs w:val="24"/>
        </w:rPr>
        <w:t>服务</w:t>
      </w:r>
      <w:bookmarkEnd w:id="128"/>
      <w:r>
        <w:rPr>
          <w:rFonts w:hint="eastAsia" w:ascii="宋体" w:hAnsi="宋体"/>
          <w:szCs w:val="24"/>
        </w:rPr>
        <w:t>响应偏离表</w:t>
      </w:r>
    </w:p>
    <w:p>
      <w:pPr>
        <w:pStyle w:val="35"/>
        <w:tabs>
          <w:tab w:val="left" w:pos="6300"/>
        </w:tabs>
        <w:snapToGrid w:val="0"/>
        <w:spacing w:line="360" w:lineRule="auto"/>
        <w:ind w:firstLine="480" w:firstLineChars="200"/>
        <w:rPr>
          <w:rFonts w:ascii="宋体" w:hAnsi="宋体"/>
          <w:sz w:val="24"/>
        </w:rPr>
      </w:pPr>
      <w:r>
        <w:rPr>
          <w:rFonts w:hint="eastAsia" w:ascii="宋体" w:hAnsi="宋体"/>
          <w:sz w:val="24"/>
        </w:rPr>
        <w:t>项目号：</w:t>
      </w:r>
    </w:p>
    <w:p>
      <w:pPr>
        <w:pStyle w:val="35"/>
        <w:tabs>
          <w:tab w:val="left" w:pos="6300"/>
        </w:tabs>
        <w:snapToGrid w:val="0"/>
        <w:spacing w:line="360" w:lineRule="auto"/>
        <w:ind w:firstLine="480" w:firstLineChars="200"/>
        <w:rPr>
          <w:rFonts w:ascii="宋体" w:hAnsi="宋体"/>
          <w:sz w:val="24"/>
        </w:rPr>
      </w:pPr>
      <w:r>
        <w:rPr>
          <w:rFonts w:hint="eastAsia" w:ascii="宋体" w:hAnsi="宋体"/>
          <w:sz w:val="24"/>
        </w:rPr>
        <w:t>项目名称：</w:t>
      </w:r>
    </w:p>
    <w:tbl>
      <w:tblPr>
        <w:tblStyle w:val="66"/>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067"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067"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（供应商公章）                               （签字或盖章）</w:t>
      </w:r>
    </w:p>
    <w:p>
      <w:pPr>
        <w:spacing w:line="360" w:lineRule="auto"/>
        <w:rPr>
          <w:rFonts w:ascii="宋体" w:hAnsi="宋体"/>
          <w:sz w:val="24"/>
          <w:szCs w:val="28"/>
        </w:rPr>
      </w:pPr>
    </w:p>
    <w:p>
      <w:pPr>
        <w:tabs>
          <w:tab w:val="left" w:pos="6300"/>
        </w:tabs>
        <w:snapToGrid w:val="0"/>
        <w:spacing w:line="360" w:lineRule="auto"/>
        <w:ind w:firstLine="570"/>
        <w:rPr>
          <w:rFonts w:ascii="宋体" w:hAnsi="宋体"/>
          <w:sz w:val="24"/>
          <w:szCs w:val="28"/>
        </w:rPr>
      </w:pPr>
      <w:r>
        <w:rPr>
          <w:rFonts w:hint="eastAsia" w:ascii="宋体" w:hAnsi="宋体"/>
          <w:sz w:val="24"/>
          <w:szCs w:val="28"/>
        </w:rPr>
        <w:t xml:space="preserve">                                              年     月     日</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2.该表可扩展。</w:t>
      </w:r>
    </w:p>
    <w:p>
      <w:pPr>
        <w:pageBreakBefore/>
        <w:tabs>
          <w:tab w:val="left" w:pos="6300"/>
        </w:tabs>
        <w:snapToGrid w:val="0"/>
        <w:spacing w:line="360" w:lineRule="auto"/>
        <w:ind w:firstLine="482" w:firstLineChars="200"/>
        <w:rPr>
          <w:b/>
          <w:sz w:val="24"/>
          <w:szCs w:val="24"/>
        </w:rPr>
      </w:pPr>
      <w:bookmarkStart w:id="129" w:name="_Toc313888362"/>
      <w:bookmarkStart w:id="130" w:name="_Toc342913421"/>
      <w:bookmarkStart w:id="131" w:name="_Toc23764524"/>
      <w:bookmarkStart w:id="132" w:name="_Toc313008358"/>
      <w:r>
        <w:rPr>
          <w:b/>
          <w:sz w:val="24"/>
          <w:szCs w:val="24"/>
        </w:rPr>
        <w:t>三、商务</w:t>
      </w:r>
      <w:bookmarkEnd w:id="129"/>
      <w:bookmarkEnd w:id="130"/>
      <w:bookmarkEnd w:id="131"/>
      <w:bookmarkEnd w:id="132"/>
      <w:r>
        <w:rPr>
          <w:rFonts w:hint="eastAsia"/>
          <w:b/>
          <w:sz w:val="24"/>
          <w:szCs w:val="24"/>
        </w:rPr>
        <w:t>文件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66"/>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项目商务需求”中所列商务条款进行比较和响应；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2.该表可扩展。</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（二）其它优惠承诺（格式自定）</w:t>
      </w:r>
    </w:p>
    <w:p>
      <w:pPr>
        <w:tabs>
          <w:tab w:val="left" w:pos="6300"/>
        </w:tabs>
        <w:snapToGrid w:val="0"/>
        <w:spacing w:line="360" w:lineRule="auto"/>
        <w:ind w:firstLine="560" w:firstLineChars="200"/>
      </w:pPr>
    </w:p>
    <w:p>
      <w:pPr>
        <w:tabs>
          <w:tab w:val="left" w:pos="6300"/>
        </w:tabs>
        <w:snapToGrid w:val="0"/>
        <w:spacing w:line="360" w:lineRule="auto"/>
        <w:ind w:firstLine="480" w:firstLineChars="200"/>
        <w:rPr>
          <w:sz w:val="24"/>
          <w:szCs w:val="24"/>
        </w:rPr>
      </w:pPr>
      <w:bookmarkStart w:id="133" w:name="_Toc342913422"/>
      <w:bookmarkStart w:id="134" w:name="_Toc313888363"/>
      <w:bookmarkStart w:id="135" w:name="_Toc23764525"/>
      <w:bookmarkStart w:id="136" w:name="_Toc313008359"/>
    </w:p>
    <w:p>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133"/>
      <w:bookmarkEnd w:id="134"/>
      <w:bookmarkEnd w:id="135"/>
      <w:bookmarkEnd w:id="136"/>
      <w:r>
        <w:rPr>
          <w:rFonts w:hint="eastAsia"/>
          <w:b/>
          <w:sz w:val="24"/>
          <w:szCs w:val="24"/>
        </w:rPr>
        <w:t>文件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w:t>
      </w:r>
      <w:r>
        <w:rPr>
          <w:rFonts w:hint="eastAsia"/>
          <w:sz w:val="24"/>
          <w:szCs w:val="24"/>
          <w:lang w:val="en-US" w:eastAsia="zh-CN"/>
        </w:rPr>
        <w:t>撤销</w:t>
      </w:r>
      <w:r>
        <w:rPr>
          <w:sz w:val="24"/>
          <w:szCs w:val="24"/>
        </w:rPr>
        <w:t>授权的书面通知以前，本授权书一直有效。被授权人在授权书有效期内签署的所有文件不因授权的</w:t>
      </w:r>
      <w:r>
        <w:rPr>
          <w:rFonts w:hint="eastAsia"/>
          <w:sz w:val="24"/>
          <w:szCs w:val="24"/>
          <w:lang w:val="en-US" w:eastAsia="zh-CN"/>
        </w:rPr>
        <w:t>撤销</w:t>
      </w:r>
      <w:r>
        <w:rPr>
          <w:sz w:val="24"/>
          <w:szCs w:val="24"/>
        </w:rPr>
        <w:t>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rFonts w:ascii="宋体" w:hAnsi="宋体"/>
          <w:sz w:val="24"/>
          <w:szCs w:val="24"/>
        </w:rPr>
      </w:pPr>
      <w:r>
        <w:rPr>
          <w:sz w:val="24"/>
          <w:szCs w:val="24"/>
        </w:rPr>
        <w:t>注</w:t>
      </w:r>
      <w:r>
        <w:rPr>
          <w:rFonts w:ascii="宋体" w:hAnsi="宋体"/>
          <w:sz w:val="24"/>
          <w:szCs w:val="24"/>
        </w:rPr>
        <w:t>：若为法定代表人办理并签署响应文件的，不提供此文件</w:t>
      </w:r>
      <w:r>
        <w:rPr>
          <w:rFonts w:hint="eastAsia" w:ascii="宋体" w:hAnsi="宋体"/>
          <w:sz w:val="24"/>
          <w:szCs w:val="24"/>
        </w:rPr>
        <w:t>；</w:t>
      </w:r>
    </w:p>
    <w:p>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pPr>
        <w:tabs>
          <w:tab w:val="left" w:pos="6300"/>
        </w:tabs>
        <w:snapToGrid w:val="0"/>
        <w:spacing w:line="500" w:lineRule="exact"/>
        <w:jc w:val="center"/>
      </w:pPr>
      <w:r>
        <w:rPr>
          <w:rFonts w:hint="eastAsia"/>
        </w:rPr>
        <w:t>基本资格条件承诺函</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rPr>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（采购代理机构名称）</w:t>
      </w:r>
    </w:p>
    <w:p>
      <w:pPr>
        <w:tabs>
          <w:tab w:val="left" w:pos="6300"/>
        </w:tabs>
        <w:snapToGrid w:val="0"/>
        <w:spacing w:line="500" w:lineRule="exact"/>
        <w:ind w:firstLine="480" w:firstLineChars="200"/>
        <w:rPr>
          <w:sz w:val="24"/>
          <w:szCs w:val="24"/>
        </w:rPr>
      </w:pPr>
      <w:r>
        <w:rPr>
          <w:rFonts w:hint="eastAsia"/>
          <w:sz w:val="24"/>
          <w:szCs w:val="24"/>
          <w:u w:val="single"/>
        </w:rPr>
        <w:t xml:space="preserve">                    </w:t>
      </w:r>
      <w:r>
        <w:rPr>
          <w:rFonts w:hint="eastAsia"/>
          <w:sz w:val="24"/>
          <w:szCs w:val="24"/>
        </w:rPr>
        <w:t>（供应商名称）郑重承诺：</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sz w:val="24"/>
          <w:szCs w:val="24"/>
        </w:rPr>
      </w:pPr>
      <w:r>
        <w:rPr>
          <w:rFonts w:hint="eastAsia" w:ascii="宋体" w:hAnsi="宋体"/>
          <w:sz w:val="24"/>
          <w:szCs w:val="24"/>
        </w:rPr>
        <w:t>3.我方在采购项目评审（评标）环节结束后，随时接受采购人、采购代理机构的检查验证，配合</w:t>
      </w:r>
      <w:r>
        <w:rPr>
          <w:rFonts w:hint="eastAsia"/>
          <w:sz w:val="24"/>
          <w:szCs w:val="24"/>
        </w:rPr>
        <w:t>提供相关证明材料，证明符合《中华人民共和国政府采购法》规定的投标人基本资格条件。</w:t>
      </w:r>
    </w:p>
    <w:p>
      <w:pPr>
        <w:tabs>
          <w:tab w:val="left" w:pos="6300"/>
        </w:tabs>
        <w:snapToGrid w:val="0"/>
        <w:spacing w:line="500" w:lineRule="exact"/>
        <w:ind w:firstLine="480" w:firstLineChars="200"/>
        <w:rPr>
          <w:sz w:val="24"/>
          <w:szCs w:val="24"/>
        </w:rPr>
      </w:pPr>
      <w:r>
        <w:rPr>
          <w:rFonts w:hint="eastAsia"/>
          <w:sz w:val="24"/>
          <w:szCs w:val="24"/>
        </w:rPr>
        <w:t>我方对以上承诺负全部法律责任。</w:t>
      </w:r>
    </w:p>
    <w:p>
      <w:pPr>
        <w:tabs>
          <w:tab w:val="left" w:pos="6300"/>
        </w:tabs>
        <w:snapToGrid w:val="0"/>
        <w:spacing w:line="500" w:lineRule="exact"/>
        <w:ind w:firstLine="480" w:firstLineChars="200"/>
        <w:rPr>
          <w:sz w:val="24"/>
          <w:szCs w:val="24"/>
        </w:rPr>
      </w:pPr>
      <w:r>
        <w:rPr>
          <w:rFonts w:hint="eastAsia"/>
          <w:sz w:val="24"/>
          <w:szCs w:val="24"/>
        </w:rPr>
        <w:t>特此承诺。</w:t>
      </w:r>
    </w:p>
    <w:p>
      <w:pPr>
        <w:tabs>
          <w:tab w:val="left" w:pos="6300"/>
        </w:tabs>
        <w:snapToGrid w:val="0"/>
        <w:spacing w:line="500" w:lineRule="exact"/>
        <w:ind w:firstLine="480" w:firstLineChars="200"/>
        <w:rPr>
          <w:sz w:val="24"/>
          <w:szCs w:val="24"/>
        </w:rPr>
      </w:pPr>
    </w:p>
    <w:p>
      <w:pPr>
        <w:tabs>
          <w:tab w:val="left" w:pos="6300"/>
        </w:tabs>
        <w:snapToGrid w:val="0"/>
        <w:spacing w:line="500" w:lineRule="exact"/>
        <w:ind w:firstLine="480" w:firstLineChars="200"/>
        <w:jc w:val="right"/>
        <w:rPr>
          <w:sz w:val="24"/>
          <w:szCs w:val="24"/>
        </w:rPr>
      </w:pPr>
      <w:r>
        <w:rPr>
          <w:rFonts w:hint="eastAsia"/>
          <w:sz w:val="24"/>
          <w:szCs w:val="24"/>
        </w:rPr>
        <w:t>供应商名称（公章）</w:t>
      </w:r>
    </w:p>
    <w:p>
      <w:pPr>
        <w:tabs>
          <w:tab w:val="left" w:pos="6300"/>
        </w:tabs>
        <w:snapToGrid w:val="0"/>
        <w:spacing w:line="500" w:lineRule="exact"/>
        <w:ind w:firstLine="480" w:firstLineChars="200"/>
        <w:jc w:val="right"/>
        <w:rPr>
          <w:sz w:val="24"/>
          <w:szCs w:val="24"/>
        </w:rPr>
      </w:pPr>
      <w:r>
        <w:rPr>
          <w:rFonts w:hint="eastAsia"/>
          <w:sz w:val="24"/>
          <w:szCs w:val="24"/>
        </w:rPr>
        <w:t>年   月   日</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（五）本项目的特定资格条件（如果有）</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（六）落实政府采购政策需满足的资格要求（如果有）</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pageBreakBefore/>
        <w:tabs>
          <w:tab w:val="left" w:pos="6300"/>
        </w:tabs>
        <w:snapToGrid w:val="0"/>
        <w:spacing w:line="360" w:lineRule="auto"/>
        <w:ind w:firstLine="482" w:firstLineChars="200"/>
        <w:rPr>
          <w:b/>
          <w:sz w:val="24"/>
          <w:szCs w:val="24"/>
        </w:rPr>
      </w:pPr>
      <w:r>
        <w:rPr>
          <w:rFonts w:hint="eastAsia"/>
          <w:b/>
          <w:sz w:val="24"/>
          <w:szCs w:val="24"/>
        </w:rPr>
        <w:t>五</w:t>
      </w:r>
      <w:r>
        <w:rPr>
          <w:b/>
          <w:sz w:val="24"/>
          <w:szCs w:val="24"/>
        </w:rPr>
        <w:t>、</w:t>
      </w:r>
      <w:r>
        <w:rPr>
          <w:rFonts w:hint="eastAsia"/>
          <w:b/>
          <w:sz w:val="24"/>
          <w:szCs w:val="24"/>
        </w:rPr>
        <w:t>其他</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1.中小企业声明函</w:t>
      </w:r>
    </w:p>
    <w:p>
      <w:pPr>
        <w:snapToGrid w:val="0"/>
        <w:spacing w:line="360" w:lineRule="auto"/>
        <w:ind w:firstLine="560" w:firstLineChars="200"/>
        <w:jc w:val="center"/>
        <w:rPr>
          <w:rFonts w:ascii="宋体" w:hAnsi="宋体"/>
          <w:szCs w:val="28"/>
        </w:rPr>
      </w:pPr>
      <w:r>
        <w:rPr>
          <w:rFonts w:hint="eastAsia" w:ascii="宋体" w:hAnsi="宋体"/>
          <w:szCs w:val="28"/>
        </w:rPr>
        <w:t>中小企业声明函</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ascii="宋体" w:hAnsi="宋体"/>
          <w:sz w:val="24"/>
          <w:szCs w:val="24"/>
        </w:rPr>
      </w:pPr>
      <w:r>
        <w:rPr>
          <w:rFonts w:hint="eastAsia" w:ascii="宋体" w:hAnsi="宋体"/>
          <w:i/>
          <w:sz w:val="24"/>
          <w:szCs w:val="24"/>
          <w:u w:val="single"/>
        </w:rPr>
        <w:t>（标的名称）</w:t>
      </w:r>
      <w:r>
        <w:rPr>
          <w:rFonts w:hint="eastAsia" w:ascii="宋体" w:hAnsi="宋体"/>
          <w:sz w:val="24"/>
          <w:szCs w:val="24"/>
        </w:rPr>
        <w:t>，属于</w:t>
      </w:r>
      <w:r>
        <w:rPr>
          <w:rFonts w:hint="eastAsia" w:ascii="宋体" w:hAnsi="宋体"/>
          <w:i/>
          <w:sz w:val="24"/>
          <w:szCs w:val="24"/>
          <w:u w:val="single"/>
        </w:rPr>
        <w:t>（采购文件中明确的所属行业）</w:t>
      </w:r>
      <w:r>
        <w:rPr>
          <w:rFonts w:hint="eastAsia" w:ascii="宋体" w:hAnsi="宋体"/>
          <w:sz w:val="24"/>
          <w:szCs w:val="24"/>
        </w:rPr>
        <w:t>；承接企业为</w:t>
      </w:r>
      <w:r>
        <w:rPr>
          <w:rFonts w:hint="eastAsia" w:ascii="宋体" w:hAnsi="宋体"/>
          <w:i/>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i/>
          <w:sz w:val="24"/>
          <w:szCs w:val="24"/>
          <w:u w:val="single"/>
        </w:rPr>
        <w:t>（中型企业、小型企业、微型企业）</w:t>
      </w:r>
      <w:r>
        <w:rPr>
          <w:rFonts w:hint="eastAsia" w:ascii="宋体" w:hAnsi="宋体"/>
          <w:sz w:val="24"/>
          <w:szCs w:val="24"/>
        </w:rPr>
        <w:t>；</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4"/>
        </w:rPr>
        <w:t>为本标的提供的服务人员</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r>
        <w:rPr>
          <w:rFonts w:hint="eastAsia" w:ascii="宋体" w:hAnsi="宋体"/>
          <w:sz w:val="24"/>
          <w:szCs w:val="24"/>
        </w:rPr>
        <w:t>。</w:t>
      </w:r>
    </w:p>
    <w:p>
      <w:pPr>
        <w:tabs>
          <w:tab w:val="left" w:pos="6300"/>
        </w:tabs>
        <w:snapToGrid w:val="0"/>
        <w:spacing w:line="500" w:lineRule="exact"/>
        <w:ind w:right="782" w:firstLine="480" w:firstLineChars="200"/>
        <w:rPr>
          <w:rFonts w:ascii="宋体" w:hAnsi="宋体"/>
          <w:sz w:val="24"/>
        </w:rPr>
      </w:pPr>
      <w:r>
        <w:rPr>
          <w:rFonts w:ascii="宋体" w:hAnsi="宋体"/>
          <w:sz w:val="24"/>
        </w:rPr>
        <w:t>……</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pPr>
        <w:tabs>
          <w:tab w:val="left" w:pos="6300"/>
        </w:tabs>
        <w:snapToGrid w:val="0"/>
        <w:spacing w:line="500" w:lineRule="exact"/>
        <w:ind w:firstLine="480" w:firstLineChars="200"/>
        <w:rPr>
          <w:rFonts w:ascii="宋体" w:hAnsi="宋体"/>
          <w:sz w:val="24"/>
          <w:szCs w:val="28"/>
        </w:rPr>
      </w:pP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企业名称（盖章）： </w:t>
      </w:r>
    </w:p>
    <w:p>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日期：</w:t>
      </w:r>
    </w:p>
    <w:p>
      <w:pPr>
        <w:tabs>
          <w:tab w:val="left" w:pos="6300"/>
        </w:tabs>
        <w:snapToGrid w:val="0"/>
        <w:rPr>
          <w:rFonts w:ascii="宋体" w:hAnsi="宋体" w:cs="宋体"/>
          <w:kern w:val="0"/>
          <w:sz w:val="24"/>
          <w:szCs w:val="24"/>
        </w:rPr>
      </w:pP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填写时应注意以下事项：</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2.农、林、牧、渔业无需填写从业人员和资产总额项；</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5.若中标人（成交供应商）为小微企业的，将在结果公告时公告其《中小企业声明函》，中标人（成交供应商）投标的产品若涉及到其他小微企业制造的将一并进行公告。</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附：各行业划型标准</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cs="宋体"/>
          <w:kern w:val="0"/>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ind w:firstLine="570"/>
        <w:jc w:val="left"/>
        <w:rPr>
          <w:rFonts w:ascii="宋体" w:hAnsi="宋体"/>
          <w:sz w:val="24"/>
          <w:szCs w:val="24"/>
        </w:rPr>
      </w:pPr>
    </w:p>
    <w:p>
      <w:pPr>
        <w:tabs>
          <w:tab w:val="left" w:pos="6300"/>
        </w:tabs>
        <w:snapToGrid w:val="0"/>
        <w:spacing w:line="500" w:lineRule="exact"/>
        <w:ind w:firstLine="570"/>
        <w:jc w:val="left"/>
        <w:rPr>
          <w:rFonts w:ascii="宋体" w:hAnsi="宋体"/>
          <w:sz w:val="24"/>
          <w:szCs w:val="24"/>
        </w:rPr>
      </w:pPr>
    </w:p>
    <w:p>
      <w:pPr>
        <w:tabs>
          <w:tab w:val="left" w:pos="6300"/>
        </w:tabs>
        <w:snapToGrid w:val="0"/>
        <w:spacing w:line="500" w:lineRule="exact"/>
        <w:ind w:firstLine="570"/>
        <w:jc w:val="left"/>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（二）其他与项目有关的资料（自附）</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方正楷体_GBK"/>
    <w:panose1 w:val="00000000000000000000"/>
    <w:charset w:val="00"/>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方正黑体_GBK"/>
    <w:panose1 w:val="00000000000000000000"/>
    <w:charset w:val="00"/>
    <w:family w:val="modern"/>
    <w:pitch w:val="default"/>
    <w:sig w:usb0="00000000" w:usb1="00000000" w:usb2="00000010" w:usb3="00000000" w:csb0="00040000" w:csb1="00000000"/>
  </w:font>
  <w:font w:name="宋体;SimSun">
    <w:altName w:val="宋体"/>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0"/>
      </w:rPr>
    </w:pPr>
  </w:p>
  <w:p>
    <w:pPr>
      <w:pStyle w:val="38"/>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w:t>
    </w:r>
    <w:r>
      <w:t xml:space="preserve"> 4 -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rFonts w:ascii="宋体" w:hAnsi="宋体"/>
        <w:sz w:val="21"/>
        <w:szCs w:val="21"/>
      </w:rPr>
    </w:pPr>
    <w:r>
      <w:rPr>
        <w:rFonts w:hint="eastAsia" w:ascii="宋体" w:hAnsi="宋体"/>
        <w:sz w:val="21"/>
        <w:szCs w:val="21"/>
      </w:rPr>
      <w:t>重庆中基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rPr>
      <w:t>重庆中基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upperLetter"/>
      <w:pStyle w:val="22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6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2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5"/>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6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3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5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8"/>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3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9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1"/>
  </w:num>
  <w:num w:numId="5">
    <w:abstractNumId w:val="4"/>
  </w:num>
  <w:num w:numId="6">
    <w:abstractNumId w:val="5"/>
  </w:num>
  <w:num w:numId="7">
    <w:abstractNumId w:val="7"/>
  </w:num>
  <w:num w:numId="8">
    <w:abstractNumId w:val="0"/>
  </w:num>
  <w:num w:numId="9">
    <w:abstractNumId w:val="3"/>
  </w:num>
  <w:num w:numId="10">
    <w:abstractNumId w:val="12"/>
  </w:num>
  <w:num w:numId="11">
    <w:abstractNumId w:val="2"/>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887"/>
    <w:rsid w:val="00016B79"/>
    <w:rsid w:val="00017816"/>
    <w:rsid w:val="00021BFC"/>
    <w:rsid w:val="00023349"/>
    <w:rsid w:val="00023788"/>
    <w:rsid w:val="00023B94"/>
    <w:rsid w:val="00026234"/>
    <w:rsid w:val="000276F9"/>
    <w:rsid w:val="000314C7"/>
    <w:rsid w:val="0003184C"/>
    <w:rsid w:val="000318FF"/>
    <w:rsid w:val="000328D9"/>
    <w:rsid w:val="0003422B"/>
    <w:rsid w:val="0003632F"/>
    <w:rsid w:val="000364F3"/>
    <w:rsid w:val="00036B6E"/>
    <w:rsid w:val="00037681"/>
    <w:rsid w:val="0004198A"/>
    <w:rsid w:val="000432E7"/>
    <w:rsid w:val="000447C1"/>
    <w:rsid w:val="000451C6"/>
    <w:rsid w:val="000451E0"/>
    <w:rsid w:val="000452D1"/>
    <w:rsid w:val="000468E0"/>
    <w:rsid w:val="00047E3F"/>
    <w:rsid w:val="00051015"/>
    <w:rsid w:val="0005152B"/>
    <w:rsid w:val="0005298B"/>
    <w:rsid w:val="000529F4"/>
    <w:rsid w:val="000533A5"/>
    <w:rsid w:val="0005417C"/>
    <w:rsid w:val="000552F4"/>
    <w:rsid w:val="000576E1"/>
    <w:rsid w:val="00057B29"/>
    <w:rsid w:val="00060863"/>
    <w:rsid w:val="00063981"/>
    <w:rsid w:val="000645F1"/>
    <w:rsid w:val="00065701"/>
    <w:rsid w:val="0006684C"/>
    <w:rsid w:val="00066DAD"/>
    <w:rsid w:val="0007233F"/>
    <w:rsid w:val="00074411"/>
    <w:rsid w:val="000768C3"/>
    <w:rsid w:val="00077795"/>
    <w:rsid w:val="00080519"/>
    <w:rsid w:val="0008070D"/>
    <w:rsid w:val="00080A20"/>
    <w:rsid w:val="00082153"/>
    <w:rsid w:val="0008429A"/>
    <w:rsid w:val="000850F5"/>
    <w:rsid w:val="00086033"/>
    <w:rsid w:val="000868BD"/>
    <w:rsid w:val="00086F80"/>
    <w:rsid w:val="00087004"/>
    <w:rsid w:val="00087882"/>
    <w:rsid w:val="00087B92"/>
    <w:rsid w:val="00090C5A"/>
    <w:rsid w:val="00091B1C"/>
    <w:rsid w:val="000923FA"/>
    <w:rsid w:val="00094140"/>
    <w:rsid w:val="000943FB"/>
    <w:rsid w:val="0009599B"/>
    <w:rsid w:val="00095EB7"/>
    <w:rsid w:val="00096E3E"/>
    <w:rsid w:val="00097FF6"/>
    <w:rsid w:val="000A164E"/>
    <w:rsid w:val="000A2A0B"/>
    <w:rsid w:val="000A5754"/>
    <w:rsid w:val="000A58D1"/>
    <w:rsid w:val="000A5D17"/>
    <w:rsid w:val="000A5F16"/>
    <w:rsid w:val="000A7241"/>
    <w:rsid w:val="000A72C0"/>
    <w:rsid w:val="000B0272"/>
    <w:rsid w:val="000B2811"/>
    <w:rsid w:val="000B42F4"/>
    <w:rsid w:val="000B4B56"/>
    <w:rsid w:val="000B4BD9"/>
    <w:rsid w:val="000B4DA2"/>
    <w:rsid w:val="000B621E"/>
    <w:rsid w:val="000B6523"/>
    <w:rsid w:val="000B6A62"/>
    <w:rsid w:val="000B7377"/>
    <w:rsid w:val="000B7451"/>
    <w:rsid w:val="000B749C"/>
    <w:rsid w:val="000B7F54"/>
    <w:rsid w:val="000C14D1"/>
    <w:rsid w:val="000C3A1D"/>
    <w:rsid w:val="000C4773"/>
    <w:rsid w:val="000C47E4"/>
    <w:rsid w:val="000C4FD2"/>
    <w:rsid w:val="000C6472"/>
    <w:rsid w:val="000C7C24"/>
    <w:rsid w:val="000D5453"/>
    <w:rsid w:val="000D6B20"/>
    <w:rsid w:val="000D6CE2"/>
    <w:rsid w:val="000D79BB"/>
    <w:rsid w:val="000E01C9"/>
    <w:rsid w:val="000E05BC"/>
    <w:rsid w:val="000E0769"/>
    <w:rsid w:val="000E24E5"/>
    <w:rsid w:val="000E3259"/>
    <w:rsid w:val="000E6C5A"/>
    <w:rsid w:val="000E7236"/>
    <w:rsid w:val="000E783A"/>
    <w:rsid w:val="000E7AE4"/>
    <w:rsid w:val="000F12F0"/>
    <w:rsid w:val="000F1652"/>
    <w:rsid w:val="000F16C9"/>
    <w:rsid w:val="000F358C"/>
    <w:rsid w:val="000F35A5"/>
    <w:rsid w:val="000F5BB5"/>
    <w:rsid w:val="000F5F78"/>
    <w:rsid w:val="000F5FD6"/>
    <w:rsid w:val="000F7DBF"/>
    <w:rsid w:val="0010014A"/>
    <w:rsid w:val="00100639"/>
    <w:rsid w:val="001019BB"/>
    <w:rsid w:val="0010237E"/>
    <w:rsid w:val="00102544"/>
    <w:rsid w:val="0010266D"/>
    <w:rsid w:val="00106CD4"/>
    <w:rsid w:val="00107445"/>
    <w:rsid w:val="00107591"/>
    <w:rsid w:val="001100DA"/>
    <w:rsid w:val="001113BE"/>
    <w:rsid w:val="00111939"/>
    <w:rsid w:val="00112547"/>
    <w:rsid w:val="001160C4"/>
    <w:rsid w:val="001167CA"/>
    <w:rsid w:val="001167E1"/>
    <w:rsid w:val="00116856"/>
    <w:rsid w:val="00117C75"/>
    <w:rsid w:val="00117CDC"/>
    <w:rsid w:val="00120259"/>
    <w:rsid w:val="00120A3D"/>
    <w:rsid w:val="00122C71"/>
    <w:rsid w:val="001230D8"/>
    <w:rsid w:val="001234BD"/>
    <w:rsid w:val="00124D09"/>
    <w:rsid w:val="00125DBA"/>
    <w:rsid w:val="00126591"/>
    <w:rsid w:val="001266BF"/>
    <w:rsid w:val="00130298"/>
    <w:rsid w:val="001330DD"/>
    <w:rsid w:val="00133D16"/>
    <w:rsid w:val="00134EE7"/>
    <w:rsid w:val="0013601C"/>
    <w:rsid w:val="00136D2B"/>
    <w:rsid w:val="00136F77"/>
    <w:rsid w:val="0013794A"/>
    <w:rsid w:val="00137EB6"/>
    <w:rsid w:val="001460FA"/>
    <w:rsid w:val="001464CE"/>
    <w:rsid w:val="00147FB4"/>
    <w:rsid w:val="0015011C"/>
    <w:rsid w:val="00150429"/>
    <w:rsid w:val="00150E9E"/>
    <w:rsid w:val="001515A0"/>
    <w:rsid w:val="00151616"/>
    <w:rsid w:val="00151887"/>
    <w:rsid w:val="001537C6"/>
    <w:rsid w:val="00153F29"/>
    <w:rsid w:val="0015429E"/>
    <w:rsid w:val="0015489A"/>
    <w:rsid w:val="00154B3C"/>
    <w:rsid w:val="00154FB4"/>
    <w:rsid w:val="00157E6F"/>
    <w:rsid w:val="00160656"/>
    <w:rsid w:val="001606AB"/>
    <w:rsid w:val="00160A1A"/>
    <w:rsid w:val="00161270"/>
    <w:rsid w:val="001651BA"/>
    <w:rsid w:val="001661E0"/>
    <w:rsid w:val="0016657A"/>
    <w:rsid w:val="001717BA"/>
    <w:rsid w:val="00172A27"/>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D98"/>
    <w:rsid w:val="001940F1"/>
    <w:rsid w:val="00196543"/>
    <w:rsid w:val="001A0DF4"/>
    <w:rsid w:val="001A1025"/>
    <w:rsid w:val="001A24BA"/>
    <w:rsid w:val="001A43A9"/>
    <w:rsid w:val="001A650F"/>
    <w:rsid w:val="001A6632"/>
    <w:rsid w:val="001A68E1"/>
    <w:rsid w:val="001A6DCC"/>
    <w:rsid w:val="001A6EBA"/>
    <w:rsid w:val="001B2BFB"/>
    <w:rsid w:val="001B2C52"/>
    <w:rsid w:val="001B3DBD"/>
    <w:rsid w:val="001B4377"/>
    <w:rsid w:val="001B7861"/>
    <w:rsid w:val="001B7894"/>
    <w:rsid w:val="001B7942"/>
    <w:rsid w:val="001C1FC7"/>
    <w:rsid w:val="001C23E7"/>
    <w:rsid w:val="001C246C"/>
    <w:rsid w:val="001C4801"/>
    <w:rsid w:val="001C4803"/>
    <w:rsid w:val="001C6F1E"/>
    <w:rsid w:val="001C6FA3"/>
    <w:rsid w:val="001C7ABE"/>
    <w:rsid w:val="001C7CD2"/>
    <w:rsid w:val="001D0F7B"/>
    <w:rsid w:val="001D100C"/>
    <w:rsid w:val="001D1A56"/>
    <w:rsid w:val="001D2321"/>
    <w:rsid w:val="001D25D6"/>
    <w:rsid w:val="001D2DCD"/>
    <w:rsid w:val="001D3707"/>
    <w:rsid w:val="001D5055"/>
    <w:rsid w:val="001D58BC"/>
    <w:rsid w:val="001D5C57"/>
    <w:rsid w:val="001D629E"/>
    <w:rsid w:val="001D630C"/>
    <w:rsid w:val="001D64EE"/>
    <w:rsid w:val="001D6DFC"/>
    <w:rsid w:val="001D790C"/>
    <w:rsid w:val="001E1837"/>
    <w:rsid w:val="001E201B"/>
    <w:rsid w:val="001E20B0"/>
    <w:rsid w:val="001E233D"/>
    <w:rsid w:val="001E2708"/>
    <w:rsid w:val="001E2B42"/>
    <w:rsid w:val="001E2B6A"/>
    <w:rsid w:val="001E309B"/>
    <w:rsid w:val="001E4C57"/>
    <w:rsid w:val="001E57EA"/>
    <w:rsid w:val="001E5CAC"/>
    <w:rsid w:val="001E725F"/>
    <w:rsid w:val="001E7B36"/>
    <w:rsid w:val="001F0B34"/>
    <w:rsid w:val="001F1AF7"/>
    <w:rsid w:val="001F2104"/>
    <w:rsid w:val="001F2383"/>
    <w:rsid w:val="001F2882"/>
    <w:rsid w:val="001F3BA0"/>
    <w:rsid w:val="001F4964"/>
    <w:rsid w:val="001F4D63"/>
    <w:rsid w:val="001F7063"/>
    <w:rsid w:val="00200571"/>
    <w:rsid w:val="00200A34"/>
    <w:rsid w:val="00200E93"/>
    <w:rsid w:val="00201BB8"/>
    <w:rsid w:val="00202B04"/>
    <w:rsid w:val="00204936"/>
    <w:rsid w:val="00204DA3"/>
    <w:rsid w:val="0020558D"/>
    <w:rsid w:val="002100EE"/>
    <w:rsid w:val="00210F5A"/>
    <w:rsid w:val="00212E76"/>
    <w:rsid w:val="0021704D"/>
    <w:rsid w:val="00217C16"/>
    <w:rsid w:val="00220EE5"/>
    <w:rsid w:val="00222097"/>
    <w:rsid w:val="00222B42"/>
    <w:rsid w:val="00225E2A"/>
    <w:rsid w:val="00226F04"/>
    <w:rsid w:val="00227A5C"/>
    <w:rsid w:val="00227EF7"/>
    <w:rsid w:val="00231660"/>
    <w:rsid w:val="002325BE"/>
    <w:rsid w:val="002348E0"/>
    <w:rsid w:val="002361D6"/>
    <w:rsid w:val="00237015"/>
    <w:rsid w:val="00237C93"/>
    <w:rsid w:val="00241034"/>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61E6"/>
    <w:rsid w:val="00260AA8"/>
    <w:rsid w:val="002626C0"/>
    <w:rsid w:val="00263E6C"/>
    <w:rsid w:val="002643C1"/>
    <w:rsid w:val="00264BB5"/>
    <w:rsid w:val="00265203"/>
    <w:rsid w:val="00265498"/>
    <w:rsid w:val="002654E7"/>
    <w:rsid w:val="0026695A"/>
    <w:rsid w:val="0026699C"/>
    <w:rsid w:val="0026720A"/>
    <w:rsid w:val="00270AEA"/>
    <w:rsid w:val="00271D47"/>
    <w:rsid w:val="002721D9"/>
    <w:rsid w:val="002721EA"/>
    <w:rsid w:val="00272E62"/>
    <w:rsid w:val="002735E5"/>
    <w:rsid w:val="00274DF0"/>
    <w:rsid w:val="00274E7C"/>
    <w:rsid w:val="002750A5"/>
    <w:rsid w:val="0027562B"/>
    <w:rsid w:val="002772EB"/>
    <w:rsid w:val="00280E8A"/>
    <w:rsid w:val="00281819"/>
    <w:rsid w:val="00281F3D"/>
    <w:rsid w:val="00282059"/>
    <w:rsid w:val="00282E12"/>
    <w:rsid w:val="002835BF"/>
    <w:rsid w:val="00285066"/>
    <w:rsid w:val="00285164"/>
    <w:rsid w:val="002859B4"/>
    <w:rsid w:val="00286491"/>
    <w:rsid w:val="00290E60"/>
    <w:rsid w:val="00291597"/>
    <w:rsid w:val="00293B0B"/>
    <w:rsid w:val="00294429"/>
    <w:rsid w:val="00294AD2"/>
    <w:rsid w:val="002952B5"/>
    <w:rsid w:val="00295EA4"/>
    <w:rsid w:val="00297357"/>
    <w:rsid w:val="002A061E"/>
    <w:rsid w:val="002A072B"/>
    <w:rsid w:val="002A078C"/>
    <w:rsid w:val="002A30AF"/>
    <w:rsid w:val="002A4956"/>
    <w:rsid w:val="002A65D6"/>
    <w:rsid w:val="002A6615"/>
    <w:rsid w:val="002A6710"/>
    <w:rsid w:val="002A6EA3"/>
    <w:rsid w:val="002A7C87"/>
    <w:rsid w:val="002B0725"/>
    <w:rsid w:val="002B1025"/>
    <w:rsid w:val="002B3C35"/>
    <w:rsid w:val="002B6B84"/>
    <w:rsid w:val="002B7904"/>
    <w:rsid w:val="002C2136"/>
    <w:rsid w:val="002C2507"/>
    <w:rsid w:val="002C2E6E"/>
    <w:rsid w:val="002C6EF6"/>
    <w:rsid w:val="002C7470"/>
    <w:rsid w:val="002D081E"/>
    <w:rsid w:val="002D1785"/>
    <w:rsid w:val="002D5C1C"/>
    <w:rsid w:val="002D6696"/>
    <w:rsid w:val="002D7707"/>
    <w:rsid w:val="002D7725"/>
    <w:rsid w:val="002E0A13"/>
    <w:rsid w:val="002E0A25"/>
    <w:rsid w:val="002E13A6"/>
    <w:rsid w:val="002E167C"/>
    <w:rsid w:val="002E19DE"/>
    <w:rsid w:val="002E1BD1"/>
    <w:rsid w:val="002E391B"/>
    <w:rsid w:val="002E4386"/>
    <w:rsid w:val="002E69BB"/>
    <w:rsid w:val="002F3DE3"/>
    <w:rsid w:val="002F4996"/>
    <w:rsid w:val="002F5375"/>
    <w:rsid w:val="002F632E"/>
    <w:rsid w:val="002F7C39"/>
    <w:rsid w:val="00301727"/>
    <w:rsid w:val="0030175D"/>
    <w:rsid w:val="00301F64"/>
    <w:rsid w:val="00302F01"/>
    <w:rsid w:val="00303655"/>
    <w:rsid w:val="00304CB1"/>
    <w:rsid w:val="00305C1B"/>
    <w:rsid w:val="00307859"/>
    <w:rsid w:val="00310AF9"/>
    <w:rsid w:val="00313635"/>
    <w:rsid w:val="003136C9"/>
    <w:rsid w:val="0031465E"/>
    <w:rsid w:val="00315742"/>
    <w:rsid w:val="003163B3"/>
    <w:rsid w:val="00316C71"/>
    <w:rsid w:val="003204A2"/>
    <w:rsid w:val="00322A7A"/>
    <w:rsid w:val="00323542"/>
    <w:rsid w:val="00324734"/>
    <w:rsid w:val="00324A00"/>
    <w:rsid w:val="00325296"/>
    <w:rsid w:val="00326213"/>
    <w:rsid w:val="00331002"/>
    <w:rsid w:val="0033243A"/>
    <w:rsid w:val="003344F6"/>
    <w:rsid w:val="00335B83"/>
    <w:rsid w:val="00335CD5"/>
    <w:rsid w:val="00337856"/>
    <w:rsid w:val="00340873"/>
    <w:rsid w:val="00340ADC"/>
    <w:rsid w:val="00340D62"/>
    <w:rsid w:val="00341DEB"/>
    <w:rsid w:val="00341F9D"/>
    <w:rsid w:val="00342B0C"/>
    <w:rsid w:val="003447B3"/>
    <w:rsid w:val="003452D3"/>
    <w:rsid w:val="0034591F"/>
    <w:rsid w:val="0034664F"/>
    <w:rsid w:val="0034697B"/>
    <w:rsid w:val="00346A3D"/>
    <w:rsid w:val="00347F6B"/>
    <w:rsid w:val="00350C20"/>
    <w:rsid w:val="003548FA"/>
    <w:rsid w:val="00354DE5"/>
    <w:rsid w:val="003551F3"/>
    <w:rsid w:val="00355A74"/>
    <w:rsid w:val="00356F69"/>
    <w:rsid w:val="00357234"/>
    <w:rsid w:val="00360554"/>
    <w:rsid w:val="003606CD"/>
    <w:rsid w:val="00361427"/>
    <w:rsid w:val="0036276F"/>
    <w:rsid w:val="0036458B"/>
    <w:rsid w:val="003649D6"/>
    <w:rsid w:val="00365CA8"/>
    <w:rsid w:val="0036648B"/>
    <w:rsid w:val="00367266"/>
    <w:rsid w:val="00371D2F"/>
    <w:rsid w:val="0037257D"/>
    <w:rsid w:val="003748AD"/>
    <w:rsid w:val="0037654E"/>
    <w:rsid w:val="00376B94"/>
    <w:rsid w:val="0038033A"/>
    <w:rsid w:val="00380447"/>
    <w:rsid w:val="00381F2F"/>
    <w:rsid w:val="00383092"/>
    <w:rsid w:val="00384161"/>
    <w:rsid w:val="003846FE"/>
    <w:rsid w:val="00385995"/>
    <w:rsid w:val="0038626A"/>
    <w:rsid w:val="00387610"/>
    <w:rsid w:val="00391DC2"/>
    <w:rsid w:val="00393369"/>
    <w:rsid w:val="00394922"/>
    <w:rsid w:val="00395C2F"/>
    <w:rsid w:val="00396D43"/>
    <w:rsid w:val="003973D3"/>
    <w:rsid w:val="00397A4C"/>
    <w:rsid w:val="003A01E5"/>
    <w:rsid w:val="003A0892"/>
    <w:rsid w:val="003A1674"/>
    <w:rsid w:val="003A19D4"/>
    <w:rsid w:val="003A449E"/>
    <w:rsid w:val="003A4D9A"/>
    <w:rsid w:val="003A4F03"/>
    <w:rsid w:val="003A567D"/>
    <w:rsid w:val="003A6BF3"/>
    <w:rsid w:val="003A71F3"/>
    <w:rsid w:val="003A7821"/>
    <w:rsid w:val="003B0F1D"/>
    <w:rsid w:val="003B19F5"/>
    <w:rsid w:val="003B63C5"/>
    <w:rsid w:val="003B6590"/>
    <w:rsid w:val="003C21F7"/>
    <w:rsid w:val="003C27CC"/>
    <w:rsid w:val="003C3DD8"/>
    <w:rsid w:val="003C41F9"/>
    <w:rsid w:val="003C4A44"/>
    <w:rsid w:val="003C565D"/>
    <w:rsid w:val="003D0E0A"/>
    <w:rsid w:val="003D2401"/>
    <w:rsid w:val="003D2D09"/>
    <w:rsid w:val="003D3B22"/>
    <w:rsid w:val="003D4530"/>
    <w:rsid w:val="003D5C78"/>
    <w:rsid w:val="003D7E4D"/>
    <w:rsid w:val="003D7F56"/>
    <w:rsid w:val="003E0F85"/>
    <w:rsid w:val="003E1D0F"/>
    <w:rsid w:val="003E2780"/>
    <w:rsid w:val="003E4851"/>
    <w:rsid w:val="003E58D9"/>
    <w:rsid w:val="003E6488"/>
    <w:rsid w:val="003F09AB"/>
    <w:rsid w:val="003F7A1C"/>
    <w:rsid w:val="00400859"/>
    <w:rsid w:val="0040096B"/>
    <w:rsid w:val="00400F9C"/>
    <w:rsid w:val="00401C5D"/>
    <w:rsid w:val="00401D58"/>
    <w:rsid w:val="004021E6"/>
    <w:rsid w:val="00402B32"/>
    <w:rsid w:val="00405185"/>
    <w:rsid w:val="00405FB2"/>
    <w:rsid w:val="0040638D"/>
    <w:rsid w:val="00406B0B"/>
    <w:rsid w:val="00406D06"/>
    <w:rsid w:val="00410AFE"/>
    <w:rsid w:val="00410C93"/>
    <w:rsid w:val="00410D9A"/>
    <w:rsid w:val="00411B4A"/>
    <w:rsid w:val="00413472"/>
    <w:rsid w:val="00414649"/>
    <w:rsid w:val="0041597E"/>
    <w:rsid w:val="00415FB9"/>
    <w:rsid w:val="0041741A"/>
    <w:rsid w:val="00417E99"/>
    <w:rsid w:val="00420460"/>
    <w:rsid w:val="00422467"/>
    <w:rsid w:val="00423570"/>
    <w:rsid w:val="00423870"/>
    <w:rsid w:val="00427067"/>
    <w:rsid w:val="0042744F"/>
    <w:rsid w:val="0042763A"/>
    <w:rsid w:val="00427DFB"/>
    <w:rsid w:val="00427E1E"/>
    <w:rsid w:val="004311DD"/>
    <w:rsid w:val="00431BA1"/>
    <w:rsid w:val="00432024"/>
    <w:rsid w:val="004323D3"/>
    <w:rsid w:val="0043395E"/>
    <w:rsid w:val="0043498B"/>
    <w:rsid w:val="004349C4"/>
    <w:rsid w:val="00435671"/>
    <w:rsid w:val="0043676D"/>
    <w:rsid w:val="0043715B"/>
    <w:rsid w:val="00437210"/>
    <w:rsid w:val="0044095A"/>
    <w:rsid w:val="00443A9F"/>
    <w:rsid w:val="00443F18"/>
    <w:rsid w:val="004444EE"/>
    <w:rsid w:val="004454AC"/>
    <w:rsid w:val="00447BB7"/>
    <w:rsid w:val="00450C33"/>
    <w:rsid w:val="00452E53"/>
    <w:rsid w:val="0045377A"/>
    <w:rsid w:val="00456141"/>
    <w:rsid w:val="0045751F"/>
    <w:rsid w:val="0046242A"/>
    <w:rsid w:val="00462878"/>
    <w:rsid w:val="00463522"/>
    <w:rsid w:val="00463D57"/>
    <w:rsid w:val="00464527"/>
    <w:rsid w:val="0046485D"/>
    <w:rsid w:val="00465B7A"/>
    <w:rsid w:val="00467D56"/>
    <w:rsid w:val="00470AD0"/>
    <w:rsid w:val="00471630"/>
    <w:rsid w:val="00471D38"/>
    <w:rsid w:val="00472AA2"/>
    <w:rsid w:val="0047377F"/>
    <w:rsid w:val="00475265"/>
    <w:rsid w:val="00477255"/>
    <w:rsid w:val="004777F3"/>
    <w:rsid w:val="00481371"/>
    <w:rsid w:val="00481A85"/>
    <w:rsid w:val="00481D7D"/>
    <w:rsid w:val="00484133"/>
    <w:rsid w:val="00485D16"/>
    <w:rsid w:val="00485FB5"/>
    <w:rsid w:val="004873A7"/>
    <w:rsid w:val="004874B2"/>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9C4"/>
    <w:rsid w:val="004A66E6"/>
    <w:rsid w:val="004B0706"/>
    <w:rsid w:val="004B32A2"/>
    <w:rsid w:val="004B4073"/>
    <w:rsid w:val="004B4667"/>
    <w:rsid w:val="004B7859"/>
    <w:rsid w:val="004C1DD0"/>
    <w:rsid w:val="004C1EB2"/>
    <w:rsid w:val="004C2517"/>
    <w:rsid w:val="004C2DF6"/>
    <w:rsid w:val="004C4070"/>
    <w:rsid w:val="004C448E"/>
    <w:rsid w:val="004C64E4"/>
    <w:rsid w:val="004C710D"/>
    <w:rsid w:val="004E156F"/>
    <w:rsid w:val="004E55DB"/>
    <w:rsid w:val="004E6A84"/>
    <w:rsid w:val="004E7695"/>
    <w:rsid w:val="004F3025"/>
    <w:rsid w:val="004F36B8"/>
    <w:rsid w:val="004F38E0"/>
    <w:rsid w:val="004F4CA0"/>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106C5"/>
    <w:rsid w:val="005106C9"/>
    <w:rsid w:val="00511829"/>
    <w:rsid w:val="00512D00"/>
    <w:rsid w:val="00514179"/>
    <w:rsid w:val="005164F8"/>
    <w:rsid w:val="00520075"/>
    <w:rsid w:val="00520230"/>
    <w:rsid w:val="00521DEC"/>
    <w:rsid w:val="0052293F"/>
    <w:rsid w:val="005237B2"/>
    <w:rsid w:val="0052505D"/>
    <w:rsid w:val="005251A3"/>
    <w:rsid w:val="00525E4E"/>
    <w:rsid w:val="0052628F"/>
    <w:rsid w:val="0053062A"/>
    <w:rsid w:val="005309E0"/>
    <w:rsid w:val="00530AD6"/>
    <w:rsid w:val="00531589"/>
    <w:rsid w:val="00532C25"/>
    <w:rsid w:val="00532FEF"/>
    <w:rsid w:val="00535E36"/>
    <w:rsid w:val="0053607B"/>
    <w:rsid w:val="0053749A"/>
    <w:rsid w:val="00537AFE"/>
    <w:rsid w:val="00537DAE"/>
    <w:rsid w:val="005404D9"/>
    <w:rsid w:val="00542838"/>
    <w:rsid w:val="00542CEF"/>
    <w:rsid w:val="00542D04"/>
    <w:rsid w:val="0054470E"/>
    <w:rsid w:val="00544933"/>
    <w:rsid w:val="00544BE5"/>
    <w:rsid w:val="00544BEA"/>
    <w:rsid w:val="0054525E"/>
    <w:rsid w:val="005460D5"/>
    <w:rsid w:val="00552C49"/>
    <w:rsid w:val="00552D97"/>
    <w:rsid w:val="0055348E"/>
    <w:rsid w:val="00556630"/>
    <w:rsid w:val="00556913"/>
    <w:rsid w:val="00560279"/>
    <w:rsid w:val="0056192A"/>
    <w:rsid w:val="0056241D"/>
    <w:rsid w:val="0056623E"/>
    <w:rsid w:val="00566A85"/>
    <w:rsid w:val="00567161"/>
    <w:rsid w:val="0057247C"/>
    <w:rsid w:val="00573656"/>
    <w:rsid w:val="00573AE3"/>
    <w:rsid w:val="00575438"/>
    <w:rsid w:val="00577F44"/>
    <w:rsid w:val="005806F6"/>
    <w:rsid w:val="00580E9C"/>
    <w:rsid w:val="00581644"/>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B0724"/>
    <w:rsid w:val="005B0DD6"/>
    <w:rsid w:val="005B10BA"/>
    <w:rsid w:val="005B1948"/>
    <w:rsid w:val="005B1E46"/>
    <w:rsid w:val="005B3357"/>
    <w:rsid w:val="005B3431"/>
    <w:rsid w:val="005B523A"/>
    <w:rsid w:val="005B7761"/>
    <w:rsid w:val="005B7DC4"/>
    <w:rsid w:val="005C00A8"/>
    <w:rsid w:val="005C04A5"/>
    <w:rsid w:val="005C187F"/>
    <w:rsid w:val="005C20E5"/>
    <w:rsid w:val="005C4211"/>
    <w:rsid w:val="005C42AC"/>
    <w:rsid w:val="005C498C"/>
    <w:rsid w:val="005C4F84"/>
    <w:rsid w:val="005C5E78"/>
    <w:rsid w:val="005C6AF5"/>
    <w:rsid w:val="005C71FB"/>
    <w:rsid w:val="005C73AB"/>
    <w:rsid w:val="005D01C6"/>
    <w:rsid w:val="005D157C"/>
    <w:rsid w:val="005D1EF4"/>
    <w:rsid w:val="005D2489"/>
    <w:rsid w:val="005D37D0"/>
    <w:rsid w:val="005D545B"/>
    <w:rsid w:val="005D703E"/>
    <w:rsid w:val="005E0478"/>
    <w:rsid w:val="005E1C29"/>
    <w:rsid w:val="005E4194"/>
    <w:rsid w:val="005E5525"/>
    <w:rsid w:val="005E5E03"/>
    <w:rsid w:val="005E6014"/>
    <w:rsid w:val="005F073D"/>
    <w:rsid w:val="005F0D88"/>
    <w:rsid w:val="005F120C"/>
    <w:rsid w:val="005F14CC"/>
    <w:rsid w:val="005F21B6"/>
    <w:rsid w:val="005F2756"/>
    <w:rsid w:val="005F5712"/>
    <w:rsid w:val="005F6BA9"/>
    <w:rsid w:val="005F7808"/>
    <w:rsid w:val="005F7FA6"/>
    <w:rsid w:val="0060240C"/>
    <w:rsid w:val="00604CF8"/>
    <w:rsid w:val="00605C92"/>
    <w:rsid w:val="00605FDA"/>
    <w:rsid w:val="00607416"/>
    <w:rsid w:val="006104BE"/>
    <w:rsid w:val="00610EA6"/>
    <w:rsid w:val="00611A5B"/>
    <w:rsid w:val="00613410"/>
    <w:rsid w:val="0061427D"/>
    <w:rsid w:val="006166A5"/>
    <w:rsid w:val="00616BCD"/>
    <w:rsid w:val="006171C3"/>
    <w:rsid w:val="00617986"/>
    <w:rsid w:val="00622D51"/>
    <w:rsid w:val="00623BE2"/>
    <w:rsid w:val="00623F6C"/>
    <w:rsid w:val="0062480E"/>
    <w:rsid w:val="00625506"/>
    <w:rsid w:val="006321D7"/>
    <w:rsid w:val="00633EAC"/>
    <w:rsid w:val="0063450D"/>
    <w:rsid w:val="00634C9C"/>
    <w:rsid w:val="00634D6B"/>
    <w:rsid w:val="006350CE"/>
    <w:rsid w:val="006354E5"/>
    <w:rsid w:val="00636637"/>
    <w:rsid w:val="006420D2"/>
    <w:rsid w:val="0064248F"/>
    <w:rsid w:val="006428C7"/>
    <w:rsid w:val="006435E9"/>
    <w:rsid w:val="00646291"/>
    <w:rsid w:val="006463C6"/>
    <w:rsid w:val="006467F5"/>
    <w:rsid w:val="00650E95"/>
    <w:rsid w:val="00652FC6"/>
    <w:rsid w:val="00654179"/>
    <w:rsid w:val="00654A48"/>
    <w:rsid w:val="00655009"/>
    <w:rsid w:val="0065651B"/>
    <w:rsid w:val="00656AD7"/>
    <w:rsid w:val="00662544"/>
    <w:rsid w:val="006640BE"/>
    <w:rsid w:val="00664607"/>
    <w:rsid w:val="006646B7"/>
    <w:rsid w:val="00664A13"/>
    <w:rsid w:val="0066533E"/>
    <w:rsid w:val="00665D59"/>
    <w:rsid w:val="00666958"/>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CCE"/>
    <w:rsid w:val="00677F90"/>
    <w:rsid w:val="00680317"/>
    <w:rsid w:val="00680AE4"/>
    <w:rsid w:val="00680D3D"/>
    <w:rsid w:val="00680F54"/>
    <w:rsid w:val="00683435"/>
    <w:rsid w:val="006835EE"/>
    <w:rsid w:val="006837E8"/>
    <w:rsid w:val="00683A4D"/>
    <w:rsid w:val="00684E51"/>
    <w:rsid w:val="00687A70"/>
    <w:rsid w:val="006917A1"/>
    <w:rsid w:val="00692FDE"/>
    <w:rsid w:val="00694263"/>
    <w:rsid w:val="00695F8E"/>
    <w:rsid w:val="00696BF0"/>
    <w:rsid w:val="00697F6A"/>
    <w:rsid w:val="006A100B"/>
    <w:rsid w:val="006A143A"/>
    <w:rsid w:val="006A22DE"/>
    <w:rsid w:val="006A3285"/>
    <w:rsid w:val="006A7395"/>
    <w:rsid w:val="006B42BF"/>
    <w:rsid w:val="006B56BA"/>
    <w:rsid w:val="006B6F91"/>
    <w:rsid w:val="006B72DE"/>
    <w:rsid w:val="006B7D3F"/>
    <w:rsid w:val="006B7EFF"/>
    <w:rsid w:val="006C1D37"/>
    <w:rsid w:val="006C3449"/>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7B77"/>
    <w:rsid w:val="006E21FA"/>
    <w:rsid w:val="006E2969"/>
    <w:rsid w:val="006E3197"/>
    <w:rsid w:val="006E3FE8"/>
    <w:rsid w:val="006E4F5E"/>
    <w:rsid w:val="006E7C4C"/>
    <w:rsid w:val="006F0A64"/>
    <w:rsid w:val="006F0FB7"/>
    <w:rsid w:val="006F2359"/>
    <w:rsid w:val="006F272D"/>
    <w:rsid w:val="006F339E"/>
    <w:rsid w:val="006F34E9"/>
    <w:rsid w:val="006F5290"/>
    <w:rsid w:val="006F533E"/>
    <w:rsid w:val="006F5A07"/>
    <w:rsid w:val="006F64A4"/>
    <w:rsid w:val="007001FA"/>
    <w:rsid w:val="007006E6"/>
    <w:rsid w:val="007007B1"/>
    <w:rsid w:val="007010CF"/>
    <w:rsid w:val="007024B8"/>
    <w:rsid w:val="00702908"/>
    <w:rsid w:val="00703636"/>
    <w:rsid w:val="00704645"/>
    <w:rsid w:val="00704E5D"/>
    <w:rsid w:val="00705739"/>
    <w:rsid w:val="00705B42"/>
    <w:rsid w:val="00706335"/>
    <w:rsid w:val="00706802"/>
    <w:rsid w:val="00706B02"/>
    <w:rsid w:val="00710548"/>
    <w:rsid w:val="00710759"/>
    <w:rsid w:val="00710E3C"/>
    <w:rsid w:val="00711109"/>
    <w:rsid w:val="00712312"/>
    <w:rsid w:val="0071316F"/>
    <w:rsid w:val="00713A16"/>
    <w:rsid w:val="00713F21"/>
    <w:rsid w:val="00715FB5"/>
    <w:rsid w:val="007171A6"/>
    <w:rsid w:val="0071799D"/>
    <w:rsid w:val="00717BD0"/>
    <w:rsid w:val="007226F1"/>
    <w:rsid w:val="00722DF9"/>
    <w:rsid w:val="00723BB2"/>
    <w:rsid w:val="00726088"/>
    <w:rsid w:val="00726240"/>
    <w:rsid w:val="00727B6A"/>
    <w:rsid w:val="0073019A"/>
    <w:rsid w:val="00730921"/>
    <w:rsid w:val="00730B6A"/>
    <w:rsid w:val="00730BF5"/>
    <w:rsid w:val="00732375"/>
    <w:rsid w:val="00735A84"/>
    <w:rsid w:val="00736D88"/>
    <w:rsid w:val="00736DD2"/>
    <w:rsid w:val="00741B65"/>
    <w:rsid w:val="007436B5"/>
    <w:rsid w:val="0074681C"/>
    <w:rsid w:val="00746EC2"/>
    <w:rsid w:val="00747EB5"/>
    <w:rsid w:val="00750AA9"/>
    <w:rsid w:val="00751C7D"/>
    <w:rsid w:val="00751DFD"/>
    <w:rsid w:val="00753C61"/>
    <w:rsid w:val="0075426B"/>
    <w:rsid w:val="00755648"/>
    <w:rsid w:val="0075637C"/>
    <w:rsid w:val="00757324"/>
    <w:rsid w:val="00760BE7"/>
    <w:rsid w:val="0076753A"/>
    <w:rsid w:val="00770AB5"/>
    <w:rsid w:val="00771079"/>
    <w:rsid w:val="0077172F"/>
    <w:rsid w:val="00771AFC"/>
    <w:rsid w:val="00772398"/>
    <w:rsid w:val="007726AA"/>
    <w:rsid w:val="00774392"/>
    <w:rsid w:val="0077590F"/>
    <w:rsid w:val="00775FDF"/>
    <w:rsid w:val="00777024"/>
    <w:rsid w:val="0078000F"/>
    <w:rsid w:val="007802FC"/>
    <w:rsid w:val="00781626"/>
    <w:rsid w:val="00781AFA"/>
    <w:rsid w:val="00781B2D"/>
    <w:rsid w:val="007857D7"/>
    <w:rsid w:val="007869F0"/>
    <w:rsid w:val="007876DF"/>
    <w:rsid w:val="0079019C"/>
    <w:rsid w:val="00790F9F"/>
    <w:rsid w:val="00792CD2"/>
    <w:rsid w:val="00793424"/>
    <w:rsid w:val="00793D41"/>
    <w:rsid w:val="00794D1E"/>
    <w:rsid w:val="007959AC"/>
    <w:rsid w:val="0079726B"/>
    <w:rsid w:val="007A162D"/>
    <w:rsid w:val="007A1846"/>
    <w:rsid w:val="007A1919"/>
    <w:rsid w:val="007A20BC"/>
    <w:rsid w:val="007A20E0"/>
    <w:rsid w:val="007A4430"/>
    <w:rsid w:val="007A4D61"/>
    <w:rsid w:val="007A67A7"/>
    <w:rsid w:val="007A73AD"/>
    <w:rsid w:val="007B02B9"/>
    <w:rsid w:val="007B2204"/>
    <w:rsid w:val="007B3BC8"/>
    <w:rsid w:val="007B4B60"/>
    <w:rsid w:val="007B5581"/>
    <w:rsid w:val="007B7037"/>
    <w:rsid w:val="007C0124"/>
    <w:rsid w:val="007C0791"/>
    <w:rsid w:val="007C1A34"/>
    <w:rsid w:val="007C1B6E"/>
    <w:rsid w:val="007C20BD"/>
    <w:rsid w:val="007C2337"/>
    <w:rsid w:val="007C294D"/>
    <w:rsid w:val="007C29B0"/>
    <w:rsid w:val="007C3DBA"/>
    <w:rsid w:val="007C6E12"/>
    <w:rsid w:val="007C775D"/>
    <w:rsid w:val="007D0EDC"/>
    <w:rsid w:val="007D0F51"/>
    <w:rsid w:val="007D14F5"/>
    <w:rsid w:val="007D1764"/>
    <w:rsid w:val="007D2759"/>
    <w:rsid w:val="007D2CF9"/>
    <w:rsid w:val="007D46FC"/>
    <w:rsid w:val="007D4D87"/>
    <w:rsid w:val="007D5361"/>
    <w:rsid w:val="007D6C2E"/>
    <w:rsid w:val="007D70B0"/>
    <w:rsid w:val="007D7E65"/>
    <w:rsid w:val="007E2B3E"/>
    <w:rsid w:val="007E30AE"/>
    <w:rsid w:val="007E3173"/>
    <w:rsid w:val="007E418B"/>
    <w:rsid w:val="007E56FA"/>
    <w:rsid w:val="007E5F58"/>
    <w:rsid w:val="007E6305"/>
    <w:rsid w:val="007E63CE"/>
    <w:rsid w:val="007E6479"/>
    <w:rsid w:val="007E694D"/>
    <w:rsid w:val="007F029F"/>
    <w:rsid w:val="007F17FC"/>
    <w:rsid w:val="007F1F0F"/>
    <w:rsid w:val="007F2690"/>
    <w:rsid w:val="007F2B97"/>
    <w:rsid w:val="007F5282"/>
    <w:rsid w:val="007F541D"/>
    <w:rsid w:val="007F6999"/>
    <w:rsid w:val="007F6CB3"/>
    <w:rsid w:val="007F7139"/>
    <w:rsid w:val="008020D2"/>
    <w:rsid w:val="00802EB2"/>
    <w:rsid w:val="008033CB"/>
    <w:rsid w:val="008041D4"/>
    <w:rsid w:val="008044FF"/>
    <w:rsid w:val="00806288"/>
    <w:rsid w:val="00806A0B"/>
    <w:rsid w:val="00807318"/>
    <w:rsid w:val="00807662"/>
    <w:rsid w:val="00807C13"/>
    <w:rsid w:val="00810C1B"/>
    <w:rsid w:val="00810F79"/>
    <w:rsid w:val="0081156A"/>
    <w:rsid w:val="00811CDC"/>
    <w:rsid w:val="00813C0C"/>
    <w:rsid w:val="00814772"/>
    <w:rsid w:val="00816F77"/>
    <w:rsid w:val="008176A0"/>
    <w:rsid w:val="0082155D"/>
    <w:rsid w:val="00821EFD"/>
    <w:rsid w:val="0082217E"/>
    <w:rsid w:val="00823F36"/>
    <w:rsid w:val="008242F5"/>
    <w:rsid w:val="008264A7"/>
    <w:rsid w:val="00826D42"/>
    <w:rsid w:val="00827153"/>
    <w:rsid w:val="00827398"/>
    <w:rsid w:val="008278CB"/>
    <w:rsid w:val="00830F57"/>
    <w:rsid w:val="008318D8"/>
    <w:rsid w:val="00833AEF"/>
    <w:rsid w:val="008342AF"/>
    <w:rsid w:val="008342C3"/>
    <w:rsid w:val="00834E01"/>
    <w:rsid w:val="00835F02"/>
    <w:rsid w:val="00836E30"/>
    <w:rsid w:val="00842974"/>
    <w:rsid w:val="00843966"/>
    <w:rsid w:val="008468A9"/>
    <w:rsid w:val="00847A83"/>
    <w:rsid w:val="00852814"/>
    <w:rsid w:val="00853D80"/>
    <w:rsid w:val="00854936"/>
    <w:rsid w:val="0085550A"/>
    <w:rsid w:val="008566B6"/>
    <w:rsid w:val="008570FD"/>
    <w:rsid w:val="00857C4E"/>
    <w:rsid w:val="008616EF"/>
    <w:rsid w:val="008639FF"/>
    <w:rsid w:val="00863C25"/>
    <w:rsid w:val="00864171"/>
    <w:rsid w:val="0086432B"/>
    <w:rsid w:val="008662A7"/>
    <w:rsid w:val="0086729A"/>
    <w:rsid w:val="008705BC"/>
    <w:rsid w:val="008705D7"/>
    <w:rsid w:val="0087107F"/>
    <w:rsid w:val="0087113B"/>
    <w:rsid w:val="00874AFC"/>
    <w:rsid w:val="00875667"/>
    <w:rsid w:val="00875A42"/>
    <w:rsid w:val="00876CEE"/>
    <w:rsid w:val="00880BDF"/>
    <w:rsid w:val="00882BE2"/>
    <w:rsid w:val="008904A8"/>
    <w:rsid w:val="00890A0E"/>
    <w:rsid w:val="0089236E"/>
    <w:rsid w:val="00894AAF"/>
    <w:rsid w:val="00896775"/>
    <w:rsid w:val="008978FB"/>
    <w:rsid w:val="008A06EC"/>
    <w:rsid w:val="008A18C0"/>
    <w:rsid w:val="008A1B38"/>
    <w:rsid w:val="008A2865"/>
    <w:rsid w:val="008A2F96"/>
    <w:rsid w:val="008A3D79"/>
    <w:rsid w:val="008A4057"/>
    <w:rsid w:val="008A4A6A"/>
    <w:rsid w:val="008A638D"/>
    <w:rsid w:val="008A6480"/>
    <w:rsid w:val="008A663E"/>
    <w:rsid w:val="008A66AD"/>
    <w:rsid w:val="008A722D"/>
    <w:rsid w:val="008B0CBD"/>
    <w:rsid w:val="008B1BA8"/>
    <w:rsid w:val="008B2198"/>
    <w:rsid w:val="008B3AC8"/>
    <w:rsid w:val="008B55C8"/>
    <w:rsid w:val="008B66E6"/>
    <w:rsid w:val="008B6E63"/>
    <w:rsid w:val="008B782A"/>
    <w:rsid w:val="008C0294"/>
    <w:rsid w:val="008C02FD"/>
    <w:rsid w:val="008C09BC"/>
    <w:rsid w:val="008C11DB"/>
    <w:rsid w:val="008C299C"/>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54A7"/>
    <w:rsid w:val="008D7874"/>
    <w:rsid w:val="008E1579"/>
    <w:rsid w:val="008E2E60"/>
    <w:rsid w:val="008E3B3E"/>
    <w:rsid w:val="008E3F17"/>
    <w:rsid w:val="008E41E0"/>
    <w:rsid w:val="008E4808"/>
    <w:rsid w:val="008E512F"/>
    <w:rsid w:val="008E66B8"/>
    <w:rsid w:val="008E7A06"/>
    <w:rsid w:val="008F01C1"/>
    <w:rsid w:val="008F1483"/>
    <w:rsid w:val="008F1988"/>
    <w:rsid w:val="008F4441"/>
    <w:rsid w:val="008F450F"/>
    <w:rsid w:val="008F6252"/>
    <w:rsid w:val="008F71FD"/>
    <w:rsid w:val="008F78E2"/>
    <w:rsid w:val="009023F3"/>
    <w:rsid w:val="00902B99"/>
    <w:rsid w:val="0090383C"/>
    <w:rsid w:val="00906019"/>
    <w:rsid w:val="00910DE7"/>
    <w:rsid w:val="00912132"/>
    <w:rsid w:val="009129CA"/>
    <w:rsid w:val="00912AEC"/>
    <w:rsid w:val="009130B2"/>
    <w:rsid w:val="00914C75"/>
    <w:rsid w:val="00915C4F"/>
    <w:rsid w:val="009165AE"/>
    <w:rsid w:val="00916996"/>
    <w:rsid w:val="0091737F"/>
    <w:rsid w:val="00920FFA"/>
    <w:rsid w:val="009227B8"/>
    <w:rsid w:val="00922F48"/>
    <w:rsid w:val="00922FAD"/>
    <w:rsid w:val="009247CD"/>
    <w:rsid w:val="00924F0A"/>
    <w:rsid w:val="00925681"/>
    <w:rsid w:val="00925C89"/>
    <w:rsid w:val="00925D5C"/>
    <w:rsid w:val="0092708B"/>
    <w:rsid w:val="0093049D"/>
    <w:rsid w:val="009316E5"/>
    <w:rsid w:val="00935625"/>
    <w:rsid w:val="00937713"/>
    <w:rsid w:val="00937A9A"/>
    <w:rsid w:val="00937D8C"/>
    <w:rsid w:val="00940235"/>
    <w:rsid w:val="00940EA9"/>
    <w:rsid w:val="00942222"/>
    <w:rsid w:val="00942E54"/>
    <w:rsid w:val="00944592"/>
    <w:rsid w:val="00944CC1"/>
    <w:rsid w:val="00945839"/>
    <w:rsid w:val="00945A4A"/>
    <w:rsid w:val="00951E11"/>
    <w:rsid w:val="00953333"/>
    <w:rsid w:val="0095340A"/>
    <w:rsid w:val="00954B4D"/>
    <w:rsid w:val="009551F9"/>
    <w:rsid w:val="00955A35"/>
    <w:rsid w:val="0095672D"/>
    <w:rsid w:val="009606C4"/>
    <w:rsid w:val="00960AF8"/>
    <w:rsid w:val="009628B9"/>
    <w:rsid w:val="0096342A"/>
    <w:rsid w:val="0096444A"/>
    <w:rsid w:val="00965B96"/>
    <w:rsid w:val="00966820"/>
    <w:rsid w:val="00966BBD"/>
    <w:rsid w:val="00967762"/>
    <w:rsid w:val="00967A6B"/>
    <w:rsid w:val="00971E57"/>
    <w:rsid w:val="009723CF"/>
    <w:rsid w:val="00972A9D"/>
    <w:rsid w:val="00972C86"/>
    <w:rsid w:val="00974C9E"/>
    <w:rsid w:val="00974E2A"/>
    <w:rsid w:val="00975A73"/>
    <w:rsid w:val="0097676D"/>
    <w:rsid w:val="00977C81"/>
    <w:rsid w:val="00980037"/>
    <w:rsid w:val="0098065F"/>
    <w:rsid w:val="00980BDD"/>
    <w:rsid w:val="00983B43"/>
    <w:rsid w:val="009844DD"/>
    <w:rsid w:val="00985462"/>
    <w:rsid w:val="00986862"/>
    <w:rsid w:val="0098698B"/>
    <w:rsid w:val="00990179"/>
    <w:rsid w:val="00991B37"/>
    <w:rsid w:val="00992231"/>
    <w:rsid w:val="009927D8"/>
    <w:rsid w:val="009942B5"/>
    <w:rsid w:val="00995F35"/>
    <w:rsid w:val="00996680"/>
    <w:rsid w:val="009967FA"/>
    <w:rsid w:val="009974B5"/>
    <w:rsid w:val="009A1FCE"/>
    <w:rsid w:val="009A27AF"/>
    <w:rsid w:val="009A43F9"/>
    <w:rsid w:val="009A5499"/>
    <w:rsid w:val="009A7FA3"/>
    <w:rsid w:val="009B10F7"/>
    <w:rsid w:val="009B18B2"/>
    <w:rsid w:val="009B3C4A"/>
    <w:rsid w:val="009B4C7C"/>
    <w:rsid w:val="009B71E7"/>
    <w:rsid w:val="009C2583"/>
    <w:rsid w:val="009C2C42"/>
    <w:rsid w:val="009C3034"/>
    <w:rsid w:val="009C36E8"/>
    <w:rsid w:val="009C3D9F"/>
    <w:rsid w:val="009C51A7"/>
    <w:rsid w:val="009C54B9"/>
    <w:rsid w:val="009C6FC6"/>
    <w:rsid w:val="009C7687"/>
    <w:rsid w:val="009D0824"/>
    <w:rsid w:val="009D15CD"/>
    <w:rsid w:val="009D2FDC"/>
    <w:rsid w:val="009D3181"/>
    <w:rsid w:val="009D4A92"/>
    <w:rsid w:val="009D4BA0"/>
    <w:rsid w:val="009D57AB"/>
    <w:rsid w:val="009D7719"/>
    <w:rsid w:val="009D7C75"/>
    <w:rsid w:val="009D7FE0"/>
    <w:rsid w:val="009E0853"/>
    <w:rsid w:val="009E17F7"/>
    <w:rsid w:val="009E49E4"/>
    <w:rsid w:val="009E4CA2"/>
    <w:rsid w:val="009E7207"/>
    <w:rsid w:val="009E7285"/>
    <w:rsid w:val="009E737D"/>
    <w:rsid w:val="009E744B"/>
    <w:rsid w:val="009F15AF"/>
    <w:rsid w:val="009F2518"/>
    <w:rsid w:val="009F3A6B"/>
    <w:rsid w:val="009F41BD"/>
    <w:rsid w:val="00A006F6"/>
    <w:rsid w:val="00A0372A"/>
    <w:rsid w:val="00A03977"/>
    <w:rsid w:val="00A03B8F"/>
    <w:rsid w:val="00A05117"/>
    <w:rsid w:val="00A07C7F"/>
    <w:rsid w:val="00A10447"/>
    <w:rsid w:val="00A1077A"/>
    <w:rsid w:val="00A11454"/>
    <w:rsid w:val="00A11D50"/>
    <w:rsid w:val="00A14BAC"/>
    <w:rsid w:val="00A151AA"/>
    <w:rsid w:val="00A1610D"/>
    <w:rsid w:val="00A165DC"/>
    <w:rsid w:val="00A17D17"/>
    <w:rsid w:val="00A20E1D"/>
    <w:rsid w:val="00A21425"/>
    <w:rsid w:val="00A220A4"/>
    <w:rsid w:val="00A245FD"/>
    <w:rsid w:val="00A247D5"/>
    <w:rsid w:val="00A24A41"/>
    <w:rsid w:val="00A26FF7"/>
    <w:rsid w:val="00A27535"/>
    <w:rsid w:val="00A27F77"/>
    <w:rsid w:val="00A310A7"/>
    <w:rsid w:val="00A3496C"/>
    <w:rsid w:val="00A36452"/>
    <w:rsid w:val="00A37419"/>
    <w:rsid w:val="00A37ADD"/>
    <w:rsid w:val="00A445DC"/>
    <w:rsid w:val="00A44BEA"/>
    <w:rsid w:val="00A46518"/>
    <w:rsid w:val="00A477C2"/>
    <w:rsid w:val="00A479C0"/>
    <w:rsid w:val="00A50886"/>
    <w:rsid w:val="00A515C0"/>
    <w:rsid w:val="00A51732"/>
    <w:rsid w:val="00A54006"/>
    <w:rsid w:val="00A567D4"/>
    <w:rsid w:val="00A569E8"/>
    <w:rsid w:val="00A572DB"/>
    <w:rsid w:val="00A5743E"/>
    <w:rsid w:val="00A57A65"/>
    <w:rsid w:val="00A57DFB"/>
    <w:rsid w:val="00A63D7F"/>
    <w:rsid w:val="00A65FE7"/>
    <w:rsid w:val="00A66A2D"/>
    <w:rsid w:val="00A66AC4"/>
    <w:rsid w:val="00A70C39"/>
    <w:rsid w:val="00A70FE2"/>
    <w:rsid w:val="00A711C6"/>
    <w:rsid w:val="00A71FB5"/>
    <w:rsid w:val="00A73C28"/>
    <w:rsid w:val="00A74D3D"/>
    <w:rsid w:val="00A74D5D"/>
    <w:rsid w:val="00A7728F"/>
    <w:rsid w:val="00A7730B"/>
    <w:rsid w:val="00A8177B"/>
    <w:rsid w:val="00A81A48"/>
    <w:rsid w:val="00A830E4"/>
    <w:rsid w:val="00A83C9E"/>
    <w:rsid w:val="00A84863"/>
    <w:rsid w:val="00A84AE4"/>
    <w:rsid w:val="00A851DB"/>
    <w:rsid w:val="00A871E8"/>
    <w:rsid w:val="00A95D95"/>
    <w:rsid w:val="00A96028"/>
    <w:rsid w:val="00A96047"/>
    <w:rsid w:val="00A96C84"/>
    <w:rsid w:val="00A977EC"/>
    <w:rsid w:val="00AA0619"/>
    <w:rsid w:val="00AA200F"/>
    <w:rsid w:val="00AA3456"/>
    <w:rsid w:val="00AA3FD1"/>
    <w:rsid w:val="00AA443F"/>
    <w:rsid w:val="00AA4DBB"/>
    <w:rsid w:val="00AA57A0"/>
    <w:rsid w:val="00AA69B8"/>
    <w:rsid w:val="00AB11B3"/>
    <w:rsid w:val="00AB50E0"/>
    <w:rsid w:val="00AB5196"/>
    <w:rsid w:val="00AB5ED3"/>
    <w:rsid w:val="00AB65F7"/>
    <w:rsid w:val="00AB6B0C"/>
    <w:rsid w:val="00AB70CD"/>
    <w:rsid w:val="00AB77AA"/>
    <w:rsid w:val="00AB79DB"/>
    <w:rsid w:val="00AB7F65"/>
    <w:rsid w:val="00AC1BEA"/>
    <w:rsid w:val="00AC2B04"/>
    <w:rsid w:val="00AC33AD"/>
    <w:rsid w:val="00AC4674"/>
    <w:rsid w:val="00AC4898"/>
    <w:rsid w:val="00AC48B3"/>
    <w:rsid w:val="00AC7626"/>
    <w:rsid w:val="00AC7AC9"/>
    <w:rsid w:val="00AD0621"/>
    <w:rsid w:val="00AD22DE"/>
    <w:rsid w:val="00AD380C"/>
    <w:rsid w:val="00AD70F9"/>
    <w:rsid w:val="00AD748B"/>
    <w:rsid w:val="00AD7B20"/>
    <w:rsid w:val="00AE18AC"/>
    <w:rsid w:val="00AE1920"/>
    <w:rsid w:val="00AE263B"/>
    <w:rsid w:val="00AE3014"/>
    <w:rsid w:val="00AE35A4"/>
    <w:rsid w:val="00AE38AB"/>
    <w:rsid w:val="00AE5971"/>
    <w:rsid w:val="00AE5D62"/>
    <w:rsid w:val="00AE7331"/>
    <w:rsid w:val="00AF01B3"/>
    <w:rsid w:val="00AF0B91"/>
    <w:rsid w:val="00AF0F13"/>
    <w:rsid w:val="00AF0F15"/>
    <w:rsid w:val="00AF1969"/>
    <w:rsid w:val="00AF1F22"/>
    <w:rsid w:val="00AF2180"/>
    <w:rsid w:val="00AF2437"/>
    <w:rsid w:val="00AF3718"/>
    <w:rsid w:val="00AF3947"/>
    <w:rsid w:val="00AF556F"/>
    <w:rsid w:val="00AF671D"/>
    <w:rsid w:val="00AF7992"/>
    <w:rsid w:val="00B00545"/>
    <w:rsid w:val="00B00AB3"/>
    <w:rsid w:val="00B011FE"/>
    <w:rsid w:val="00B032FE"/>
    <w:rsid w:val="00B038F8"/>
    <w:rsid w:val="00B05D4B"/>
    <w:rsid w:val="00B077BA"/>
    <w:rsid w:val="00B10B2D"/>
    <w:rsid w:val="00B116AF"/>
    <w:rsid w:val="00B12B0E"/>
    <w:rsid w:val="00B14C52"/>
    <w:rsid w:val="00B14DF2"/>
    <w:rsid w:val="00B200AA"/>
    <w:rsid w:val="00B206CB"/>
    <w:rsid w:val="00B21DED"/>
    <w:rsid w:val="00B22021"/>
    <w:rsid w:val="00B2367F"/>
    <w:rsid w:val="00B2511D"/>
    <w:rsid w:val="00B251E0"/>
    <w:rsid w:val="00B27BC4"/>
    <w:rsid w:val="00B27ED6"/>
    <w:rsid w:val="00B326F2"/>
    <w:rsid w:val="00B32A4C"/>
    <w:rsid w:val="00B32D4B"/>
    <w:rsid w:val="00B32E50"/>
    <w:rsid w:val="00B3300D"/>
    <w:rsid w:val="00B34073"/>
    <w:rsid w:val="00B34435"/>
    <w:rsid w:val="00B3470F"/>
    <w:rsid w:val="00B34878"/>
    <w:rsid w:val="00B349ED"/>
    <w:rsid w:val="00B34FF0"/>
    <w:rsid w:val="00B360E8"/>
    <w:rsid w:val="00B36F29"/>
    <w:rsid w:val="00B400C2"/>
    <w:rsid w:val="00B407DA"/>
    <w:rsid w:val="00B40F7B"/>
    <w:rsid w:val="00B4216A"/>
    <w:rsid w:val="00B42536"/>
    <w:rsid w:val="00B43649"/>
    <w:rsid w:val="00B44446"/>
    <w:rsid w:val="00B458CD"/>
    <w:rsid w:val="00B4758C"/>
    <w:rsid w:val="00B478C3"/>
    <w:rsid w:val="00B51093"/>
    <w:rsid w:val="00B526A3"/>
    <w:rsid w:val="00B52715"/>
    <w:rsid w:val="00B5496C"/>
    <w:rsid w:val="00B56353"/>
    <w:rsid w:val="00B571E6"/>
    <w:rsid w:val="00B5746F"/>
    <w:rsid w:val="00B600D8"/>
    <w:rsid w:val="00B61348"/>
    <w:rsid w:val="00B6263F"/>
    <w:rsid w:val="00B62732"/>
    <w:rsid w:val="00B630EE"/>
    <w:rsid w:val="00B651BD"/>
    <w:rsid w:val="00B652C0"/>
    <w:rsid w:val="00B65E05"/>
    <w:rsid w:val="00B6603F"/>
    <w:rsid w:val="00B67114"/>
    <w:rsid w:val="00B71CA0"/>
    <w:rsid w:val="00B727CE"/>
    <w:rsid w:val="00B72DFC"/>
    <w:rsid w:val="00B72E0A"/>
    <w:rsid w:val="00B75449"/>
    <w:rsid w:val="00B76396"/>
    <w:rsid w:val="00B7732B"/>
    <w:rsid w:val="00B7751B"/>
    <w:rsid w:val="00B7770A"/>
    <w:rsid w:val="00B80B0E"/>
    <w:rsid w:val="00B8192A"/>
    <w:rsid w:val="00B837D4"/>
    <w:rsid w:val="00B83D62"/>
    <w:rsid w:val="00B83E56"/>
    <w:rsid w:val="00B852FF"/>
    <w:rsid w:val="00B90CA5"/>
    <w:rsid w:val="00B917E7"/>
    <w:rsid w:val="00B93104"/>
    <w:rsid w:val="00B93ABB"/>
    <w:rsid w:val="00B94C85"/>
    <w:rsid w:val="00B94E50"/>
    <w:rsid w:val="00B96190"/>
    <w:rsid w:val="00BA0E74"/>
    <w:rsid w:val="00BA1E4E"/>
    <w:rsid w:val="00BA3DBA"/>
    <w:rsid w:val="00BA4450"/>
    <w:rsid w:val="00BA45DC"/>
    <w:rsid w:val="00BA527C"/>
    <w:rsid w:val="00BA56A7"/>
    <w:rsid w:val="00BA5E02"/>
    <w:rsid w:val="00BA6DB6"/>
    <w:rsid w:val="00BA7AAB"/>
    <w:rsid w:val="00BB0DCD"/>
    <w:rsid w:val="00BB29A2"/>
    <w:rsid w:val="00BB2A53"/>
    <w:rsid w:val="00BB3AD9"/>
    <w:rsid w:val="00BB3CA5"/>
    <w:rsid w:val="00BB45DD"/>
    <w:rsid w:val="00BB5B76"/>
    <w:rsid w:val="00BB6F1E"/>
    <w:rsid w:val="00BB7494"/>
    <w:rsid w:val="00BC016D"/>
    <w:rsid w:val="00BC2390"/>
    <w:rsid w:val="00BC24E1"/>
    <w:rsid w:val="00BC3B8E"/>
    <w:rsid w:val="00BC4775"/>
    <w:rsid w:val="00BC546C"/>
    <w:rsid w:val="00BC59FA"/>
    <w:rsid w:val="00BC7413"/>
    <w:rsid w:val="00BC753C"/>
    <w:rsid w:val="00BD0AC8"/>
    <w:rsid w:val="00BD136C"/>
    <w:rsid w:val="00BD4351"/>
    <w:rsid w:val="00BE075A"/>
    <w:rsid w:val="00BE07A9"/>
    <w:rsid w:val="00BE084D"/>
    <w:rsid w:val="00BE098D"/>
    <w:rsid w:val="00BE1507"/>
    <w:rsid w:val="00BE428C"/>
    <w:rsid w:val="00BE4C17"/>
    <w:rsid w:val="00BE574C"/>
    <w:rsid w:val="00BF21BB"/>
    <w:rsid w:val="00BF444F"/>
    <w:rsid w:val="00BF46A7"/>
    <w:rsid w:val="00BF4ADB"/>
    <w:rsid w:val="00BF5230"/>
    <w:rsid w:val="00C02269"/>
    <w:rsid w:val="00C02E19"/>
    <w:rsid w:val="00C04072"/>
    <w:rsid w:val="00C04C2F"/>
    <w:rsid w:val="00C1090C"/>
    <w:rsid w:val="00C1209D"/>
    <w:rsid w:val="00C144DB"/>
    <w:rsid w:val="00C159C7"/>
    <w:rsid w:val="00C15B26"/>
    <w:rsid w:val="00C16CCA"/>
    <w:rsid w:val="00C17705"/>
    <w:rsid w:val="00C177AD"/>
    <w:rsid w:val="00C20D8D"/>
    <w:rsid w:val="00C21574"/>
    <w:rsid w:val="00C22D61"/>
    <w:rsid w:val="00C23675"/>
    <w:rsid w:val="00C23FD0"/>
    <w:rsid w:val="00C240C8"/>
    <w:rsid w:val="00C24431"/>
    <w:rsid w:val="00C26513"/>
    <w:rsid w:val="00C310C9"/>
    <w:rsid w:val="00C32088"/>
    <w:rsid w:val="00C328C9"/>
    <w:rsid w:val="00C339A4"/>
    <w:rsid w:val="00C37080"/>
    <w:rsid w:val="00C37F72"/>
    <w:rsid w:val="00C37FC8"/>
    <w:rsid w:val="00C4017D"/>
    <w:rsid w:val="00C420C1"/>
    <w:rsid w:val="00C422E6"/>
    <w:rsid w:val="00C444DC"/>
    <w:rsid w:val="00C44E91"/>
    <w:rsid w:val="00C45963"/>
    <w:rsid w:val="00C459DC"/>
    <w:rsid w:val="00C472B8"/>
    <w:rsid w:val="00C47A0B"/>
    <w:rsid w:val="00C47E19"/>
    <w:rsid w:val="00C50375"/>
    <w:rsid w:val="00C51574"/>
    <w:rsid w:val="00C52673"/>
    <w:rsid w:val="00C52AF9"/>
    <w:rsid w:val="00C53124"/>
    <w:rsid w:val="00C53A31"/>
    <w:rsid w:val="00C53B2E"/>
    <w:rsid w:val="00C544AC"/>
    <w:rsid w:val="00C572B0"/>
    <w:rsid w:val="00C57DD2"/>
    <w:rsid w:val="00C60B6A"/>
    <w:rsid w:val="00C6160A"/>
    <w:rsid w:val="00C63D6E"/>
    <w:rsid w:val="00C63E60"/>
    <w:rsid w:val="00C648F3"/>
    <w:rsid w:val="00C65711"/>
    <w:rsid w:val="00C66943"/>
    <w:rsid w:val="00C66AC4"/>
    <w:rsid w:val="00C73211"/>
    <w:rsid w:val="00C74BAB"/>
    <w:rsid w:val="00C75849"/>
    <w:rsid w:val="00C76ECD"/>
    <w:rsid w:val="00C77235"/>
    <w:rsid w:val="00C77B36"/>
    <w:rsid w:val="00C80D99"/>
    <w:rsid w:val="00C80F82"/>
    <w:rsid w:val="00C8232A"/>
    <w:rsid w:val="00C83500"/>
    <w:rsid w:val="00C83F71"/>
    <w:rsid w:val="00C84D18"/>
    <w:rsid w:val="00C84E04"/>
    <w:rsid w:val="00C85C43"/>
    <w:rsid w:val="00C90463"/>
    <w:rsid w:val="00C910BE"/>
    <w:rsid w:val="00C922BE"/>
    <w:rsid w:val="00C92E16"/>
    <w:rsid w:val="00C949A2"/>
    <w:rsid w:val="00C94B43"/>
    <w:rsid w:val="00C96A12"/>
    <w:rsid w:val="00C96EBD"/>
    <w:rsid w:val="00C97C99"/>
    <w:rsid w:val="00CA14BE"/>
    <w:rsid w:val="00CA1A83"/>
    <w:rsid w:val="00CA2168"/>
    <w:rsid w:val="00CA4900"/>
    <w:rsid w:val="00CA5844"/>
    <w:rsid w:val="00CA5ECC"/>
    <w:rsid w:val="00CA7415"/>
    <w:rsid w:val="00CA7C77"/>
    <w:rsid w:val="00CB265C"/>
    <w:rsid w:val="00CB3759"/>
    <w:rsid w:val="00CB4540"/>
    <w:rsid w:val="00CB7A07"/>
    <w:rsid w:val="00CB7AE3"/>
    <w:rsid w:val="00CB7B26"/>
    <w:rsid w:val="00CC01BD"/>
    <w:rsid w:val="00CC1192"/>
    <w:rsid w:val="00CC3305"/>
    <w:rsid w:val="00CC4CE5"/>
    <w:rsid w:val="00CC59BB"/>
    <w:rsid w:val="00CC5AE5"/>
    <w:rsid w:val="00CC5DB9"/>
    <w:rsid w:val="00CC6118"/>
    <w:rsid w:val="00CC70BF"/>
    <w:rsid w:val="00CC7DC1"/>
    <w:rsid w:val="00CD1274"/>
    <w:rsid w:val="00CD1A92"/>
    <w:rsid w:val="00CD1EE6"/>
    <w:rsid w:val="00CD21DB"/>
    <w:rsid w:val="00CD2AA1"/>
    <w:rsid w:val="00CD535A"/>
    <w:rsid w:val="00CD635D"/>
    <w:rsid w:val="00CD6D11"/>
    <w:rsid w:val="00CD7194"/>
    <w:rsid w:val="00CD72E9"/>
    <w:rsid w:val="00CD7CED"/>
    <w:rsid w:val="00CD7F23"/>
    <w:rsid w:val="00CE04C7"/>
    <w:rsid w:val="00CE1702"/>
    <w:rsid w:val="00CE3D60"/>
    <w:rsid w:val="00CE4344"/>
    <w:rsid w:val="00CE543A"/>
    <w:rsid w:val="00CE5C1F"/>
    <w:rsid w:val="00CE7D98"/>
    <w:rsid w:val="00CF0E02"/>
    <w:rsid w:val="00CF156B"/>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A16"/>
    <w:rsid w:val="00D12FE3"/>
    <w:rsid w:val="00D13B7A"/>
    <w:rsid w:val="00D14493"/>
    <w:rsid w:val="00D15748"/>
    <w:rsid w:val="00D157A5"/>
    <w:rsid w:val="00D15DB9"/>
    <w:rsid w:val="00D1691B"/>
    <w:rsid w:val="00D1794A"/>
    <w:rsid w:val="00D21E36"/>
    <w:rsid w:val="00D22B63"/>
    <w:rsid w:val="00D22C4B"/>
    <w:rsid w:val="00D230C7"/>
    <w:rsid w:val="00D23E7D"/>
    <w:rsid w:val="00D2405F"/>
    <w:rsid w:val="00D245CF"/>
    <w:rsid w:val="00D255B9"/>
    <w:rsid w:val="00D27566"/>
    <w:rsid w:val="00D27F2E"/>
    <w:rsid w:val="00D30C7F"/>
    <w:rsid w:val="00D30E3F"/>
    <w:rsid w:val="00D317DB"/>
    <w:rsid w:val="00D32171"/>
    <w:rsid w:val="00D33AF3"/>
    <w:rsid w:val="00D33BC4"/>
    <w:rsid w:val="00D3462C"/>
    <w:rsid w:val="00D35689"/>
    <w:rsid w:val="00D35A53"/>
    <w:rsid w:val="00D363DD"/>
    <w:rsid w:val="00D36BD8"/>
    <w:rsid w:val="00D402E1"/>
    <w:rsid w:val="00D410DF"/>
    <w:rsid w:val="00D412EF"/>
    <w:rsid w:val="00D41BA9"/>
    <w:rsid w:val="00D430E7"/>
    <w:rsid w:val="00D4409C"/>
    <w:rsid w:val="00D4449D"/>
    <w:rsid w:val="00D46FE7"/>
    <w:rsid w:val="00D5092F"/>
    <w:rsid w:val="00D50DFA"/>
    <w:rsid w:val="00D5186F"/>
    <w:rsid w:val="00D518A7"/>
    <w:rsid w:val="00D52376"/>
    <w:rsid w:val="00D55D20"/>
    <w:rsid w:val="00D55DD7"/>
    <w:rsid w:val="00D57CF1"/>
    <w:rsid w:val="00D60272"/>
    <w:rsid w:val="00D612C2"/>
    <w:rsid w:val="00D61E40"/>
    <w:rsid w:val="00D62D89"/>
    <w:rsid w:val="00D631E8"/>
    <w:rsid w:val="00D6776E"/>
    <w:rsid w:val="00D6793F"/>
    <w:rsid w:val="00D67954"/>
    <w:rsid w:val="00D73F21"/>
    <w:rsid w:val="00D743BF"/>
    <w:rsid w:val="00D745E0"/>
    <w:rsid w:val="00D74A7E"/>
    <w:rsid w:val="00D76AA3"/>
    <w:rsid w:val="00D8032A"/>
    <w:rsid w:val="00D8053F"/>
    <w:rsid w:val="00D80604"/>
    <w:rsid w:val="00D81A66"/>
    <w:rsid w:val="00D831AC"/>
    <w:rsid w:val="00D832A7"/>
    <w:rsid w:val="00D83402"/>
    <w:rsid w:val="00D86717"/>
    <w:rsid w:val="00D8717F"/>
    <w:rsid w:val="00D877D2"/>
    <w:rsid w:val="00D923B5"/>
    <w:rsid w:val="00D9333A"/>
    <w:rsid w:val="00D934BF"/>
    <w:rsid w:val="00D94B3B"/>
    <w:rsid w:val="00D94DB1"/>
    <w:rsid w:val="00DA086B"/>
    <w:rsid w:val="00DA1D7A"/>
    <w:rsid w:val="00DA23E4"/>
    <w:rsid w:val="00DA3163"/>
    <w:rsid w:val="00DA3D82"/>
    <w:rsid w:val="00DA3E80"/>
    <w:rsid w:val="00DA4232"/>
    <w:rsid w:val="00DA6834"/>
    <w:rsid w:val="00DA711B"/>
    <w:rsid w:val="00DA7BE9"/>
    <w:rsid w:val="00DA7E05"/>
    <w:rsid w:val="00DA7EE9"/>
    <w:rsid w:val="00DB0A44"/>
    <w:rsid w:val="00DB0BD6"/>
    <w:rsid w:val="00DB17E3"/>
    <w:rsid w:val="00DB1C53"/>
    <w:rsid w:val="00DB1CF2"/>
    <w:rsid w:val="00DB2360"/>
    <w:rsid w:val="00DB36ED"/>
    <w:rsid w:val="00DB3A11"/>
    <w:rsid w:val="00DB4794"/>
    <w:rsid w:val="00DB5C3E"/>
    <w:rsid w:val="00DB628E"/>
    <w:rsid w:val="00DB6762"/>
    <w:rsid w:val="00DB6DFE"/>
    <w:rsid w:val="00DB6EFB"/>
    <w:rsid w:val="00DC0895"/>
    <w:rsid w:val="00DC0F27"/>
    <w:rsid w:val="00DC1AC9"/>
    <w:rsid w:val="00DC39BB"/>
    <w:rsid w:val="00DC4714"/>
    <w:rsid w:val="00DC4AC9"/>
    <w:rsid w:val="00DC4DD2"/>
    <w:rsid w:val="00DC5638"/>
    <w:rsid w:val="00DC6214"/>
    <w:rsid w:val="00DC69E0"/>
    <w:rsid w:val="00DC7040"/>
    <w:rsid w:val="00DD01AE"/>
    <w:rsid w:val="00DD11CE"/>
    <w:rsid w:val="00DD1A2E"/>
    <w:rsid w:val="00DD2FF2"/>
    <w:rsid w:val="00DD534B"/>
    <w:rsid w:val="00DD54FD"/>
    <w:rsid w:val="00DD6BB5"/>
    <w:rsid w:val="00DD6F04"/>
    <w:rsid w:val="00DD7A02"/>
    <w:rsid w:val="00DE3391"/>
    <w:rsid w:val="00DE5A13"/>
    <w:rsid w:val="00DE6DFE"/>
    <w:rsid w:val="00DF04CD"/>
    <w:rsid w:val="00DF0886"/>
    <w:rsid w:val="00DF2873"/>
    <w:rsid w:val="00DF397D"/>
    <w:rsid w:val="00DF3ADE"/>
    <w:rsid w:val="00DF3D63"/>
    <w:rsid w:val="00DF5425"/>
    <w:rsid w:val="00DF7042"/>
    <w:rsid w:val="00DF782C"/>
    <w:rsid w:val="00E004D3"/>
    <w:rsid w:val="00E030A0"/>
    <w:rsid w:val="00E04F63"/>
    <w:rsid w:val="00E0549C"/>
    <w:rsid w:val="00E05704"/>
    <w:rsid w:val="00E06E27"/>
    <w:rsid w:val="00E075A1"/>
    <w:rsid w:val="00E079A9"/>
    <w:rsid w:val="00E1101C"/>
    <w:rsid w:val="00E124E3"/>
    <w:rsid w:val="00E12E68"/>
    <w:rsid w:val="00E14812"/>
    <w:rsid w:val="00E14DE9"/>
    <w:rsid w:val="00E15DDE"/>
    <w:rsid w:val="00E169D7"/>
    <w:rsid w:val="00E17F19"/>
    <w:rsid w:val="00E20253"/>
    <w:rsid w:val="00E2031F"/>
    <w:rsid w:val="00E2339E"/>
    <w:rsid w:val="00E239D1"/>
    <w:rsid w:val="00E24491"/>
    <w:rsid w:val="00E24884"/>
    <w:rsid w:val="00E26EA5"/>
    <w:rsid w:val="00E26F1B"/>
    <w:rsid w:val="00E276DB"/>
    <w:rsid w:val="00E3245B"/>
    <w:rsid w:val="00E3362F"/>
    <w:rsid w:val="00E337A1"/>
    <w:rsid w:val="00E3504A"/>
    <w:rsid w:val="00E3707B"/>
    <w:rsid w:val="00E407A8"/>
    <w:rsid w:val="00E41927"/>
    <w:rsid w:val="00E4199A"/>
    <w:rsid w:val="00E42CED"/>
    <w:rsid w:val="00E47B7A"/>
    <w:rsid w:val="00E50685"/>
    <w:rsid w:val="00E50B62"/>
    <w:rsid w:val="00E50D58"/>
    <w:rsid w:val="00E52847"/>
    <w:rsid w:val="00E53525"/>
    <w:rsid w:val="00E53933"/>
    <w:rsid w:val="00E57D9C"/>
    <w:rsid w:val="00E57F6B"/>
    <w:rsid w:val="00E60FAC"/>
    <w:rsid w:val="00E632FB"/>
    <w:rsid w:val="00E641A8"/>
    <w:rsid w:val="00E658AD"/>
    <w:rsid w:val="00E65A8B"/>
    <w:rsid w:val="00E66408"/>
    <w:rsid w:val="00E66C3B"/>
    <w:rsid w:val="00E673C1"/>
    <w:rsid w:val="00E6740C"/>
    <w:rsid w:val="00E70CED"/>
    <w:rsid w:val="00E71A08"/>
    <w:rsid w:val="00E7342C"/>
    <w:rsid w:val="00E744CB"/>
    <w:rsid w:val="00E76363"/>
    <w:rsid w:val="00E77A80"/>
    <w:rsid w:val="00E80026"/>
    <w:rsid w:val="00E80569"/>
    <w:rsid w:val="00E807B4"/>
    <w:rsid w:val="00E82AFD"/>
    <w:rsid w:val="00E82FDE"/>
    <w:rsid w:val="00E835DE"/>
    <w:rsid w:val="00E857C0"/>
    <w:rsid w:val="00E8731D"/>
    <w:rsid w:val="00E87C59"/>
    <w:rsid w:val="00E91D81"/>
    <w:rsid w:val="00E92BC2"/>
    <w:rsid w:val="00E92DE4"/>
    <w:rsid w:val="00E9318F"/>
    <w:rsid w:val="00E93755"/>
    <w:rsid w:val="00E93767"/>
    <w:rsid w:val="00E93BD5"/>
    <w:rsid w:val="00E945B4"/>
    <w:rsid w:val="00E97536"/>
    <w:rsid w:val="00EA010E"/>
    <w:rsid w:val="00EA08D9"/>
    <w:rsid w:val="00EA1302"/>
    <w:rsid w:val="00EA30E7"/>
    <w:rsid w:val="00EA53F1"/>
    <w:rsid w:val="00EA5987"/>
    <w:rsid w:val="00EA5A65"/>
    <w:rsid w:val="00EA70AE"/>
    <w:rsid w:val="00EB060B"/>
    <w:rsid w:val="00EB11AE"/>
    <w:rsid w:val="00EB1E33"/>
    <w:rsid w:val="00EB2FC4"/>
    <w:rsid w:val="00EB3A1F"/>
    <w:rsid w:val="00EB47C1"/>
    <w:rsid w:val="00EB5E45"/>
    <w:rsid w:val="00EC0881"/>
    <w:rsid w:val="00EC22CB"/>
    <w:rsid w:val="00EC3ACB"/>
    <w:rsid w:val="00EC4B4E"/>
    <w:rsid w:val="00ED05AA"/>
    <w:rsid w:val="00ED14C6"/>
    <w:rsid w:val="00ED2B38"/>
    <w:rsid w:val="00EE212F"/>
    <w:rsid w:val="00EE3E02"/>
    <w:rsid w:val="00EE5EFD"/>
    <w:rsid w:val="00EE6DCE"/>
    <w:rsid w:val="00EF0E72"/>
    <w:rsid w:val="00EF107D"/>
    <w:rsid w:val="00EF6540"/>
    <w:rsid w:val="00EF70A5"/>
    <w:rsid w:val="00F01DD8"/>
    <w:rsid w:val="00F020A6"/>
    <w:rsid w:val="00F04218"/>
    <w:rsid w:val="00F04414"/>
    <w:rsid w:val="00F047DB"/>
    <w:rsid w:val="00F0538D"/>
    <w:rsid w:val="00F06843"/>
    <w:rsid w:val="00F07F3D"/>
    <w:rsid w:val="00F11E97"/>
    <w:rsid w:val="00F121A4"/>
    <w:rsid w:val="00F1291B"/>
    <w:rsid w:val="00F1394D"/>
    <w:rsid w:val="00F14C80"/>
    <w:rsid w:val="00F17EEC"/>
    <w:rsid w:val="00F2063D"/>
    <w:rsid w:val="00F20F3D"/>
    <w:rsid w:val="00F20FF1"/>
    <w:rsid w:val="00F22D23"/>
    <w:rsid w:val="00F23A81"/>
    <w:rsid w:val="00F23D3B"/>
    <w:rsid w:val="00F2441C"/>
    <w:rsid w:val="00F24514"/>
    <w:rsid w:val="00F26957"/>
    <w:rsid w:val="00F279A6"/>
    <w:rsid w:val="00F31213"/>
    <w:rsid w:val="00F31BE8"/>
    <w:rsid w:val="00F32E2F"/>
    <w:rsid w:val="00F32F33"/>
    <w:rsid w:val="00F33C26"/>
    <w:rsid w:val="00F33F2F"/>
    <w:rsid w:val="00F351FD"/>
    <w:rsid w:val="00F35457"/>
    <w:rsid w:val="00F3595B"/>
    <w:rsid w:val="00F359D9"/>
    <w:rsid w:val="00F3617B"/>
    <w:rsid w:val="00F40207"/>
    <w:rsid w:val="00F40BA8"/>
    <w:rsid w:val="00F41AC8"/>
    <w:rsid w:val="00F42399"/>
    <w:rsid w:val="00F426A6"/>
    <w:rsid w:val="00F429FD"/>
    <w:rsid w:val="00F42C1A"/>
    <w:rsid w:val="00F44D6B"/>
    <w:rsid w:val="00F4623C"/>
    <w:rsid w:val="00F46897"/>
    <w:rsid w:val="00F51ACA"/>
    <w:rsid w:val="00F53723"/>
    <w:rsid w:val="00F54A24"/>
    <w:rsid w:val="00F54C4A"/>
    <w:rsid w:val="00F5560C"/>
    <w:rsid w:val="00F56399"/>
    <w:rsid w:val="00F625D1"/>
    <w:rsid w:val="00F62937"/>
    <w:rsid w:val="00F631CA"/>
    <w:rsid w:val="00F64940"/>
    <w:rsid w:val="00F6680D"/>
    <w:rsid w:val="00F71CB1"/>
    <w:rsid w:val="00F731C6"/>
    <w:rsid w:val="00F750CF"/>
    <w:rsid w:val="00F75648"/>
    <w:rsid w:val="00F75C9F"/>
    <w:rsid w:val="00F76911"/>
    <w:rsid w:val="00F7750A"/>
    <w:rsid w:val="00F80006"/>
    <w:rsid w:val="00F80084"/>
    <w:rsid w:val="00F81C57"/>
    <w:rsid w:val="00F83658"/>
    <w:rsid w:val="00F839A6"/>
    <w:rsid w:val="00F83C19"/>
    <w:rsid w:val="00F845D8"/>
    <w:rsid w:val="00F86E36"/>
    <w:rsid w:val="00F87E52"/>
    <w:rsid w:val="00F93D0B"/>
    <w:rsid w:val="00F95676"/>
    <w:rsid w:val="00FA03E3"/>
    <w:rsid w:val="00FA14F8"/>
    <w:rsid w:val="00FA2C6C"/>
    <w:rsid w:val="00FA52D5"/>
    <w:rsid w:val="00FA56CE"/>
    <w:rsid w:val="00FA6944"/>
    <w:rsid w:val="00FB0126"/>
    <w:rsid w:val="00FB1BA2"/>
    <w:rsid w:val="00FB2570"/>
    <w:rsid w:val="00FB2839"/>
    <w:rsid w:val="00FB4291"/>
    <w:rsid w:val="00FB513E"/>
    <w:rsid w:val="00FB62B5"/>
    <w:rsid w:val="00FB79AA"/>
    <w:rsid w:val="00FC0D15"/>
    <w:rsid w:val="00FC3534"/>
    <w:rsid w:val="00FC4297"/>
    <w:rsid w:val="00FC4DFC"/>
    <w:rsid w:val="00FC4E46"/>
    <w:rsid w:val="00FC559E"/>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F0CFC"/>
    <w:rsid w:val="00FF1B0E"/>
    <w:rsid w:val="00FF1DFF"/>
    <w:rsid w:val="00FF1E3E"/>
    <w:rsid w:val="00FF40FC"/>
    <w:rsid w:val="00FF5B7C"/>
    <w:rsid w:val="00FF748B"/>
    <w:rsid w:val="00FF7DE3"/>
    <w:rsid w:val="01DE0743"/>
    <w:rsid w:val="027652FC"/>
    <w:rsid w:val="027EEA87"/>
    <w:rsid w:val="036F6564"/>
    <w:rsid w:val="03B56484"/>
    <w:rsid w:val="04953A38"/>
    <w:rsid w:val="05E2CC00"/>
    <w:rsid w:val="07100717"/>
    <w:rsid w:val="071A376C"/>
    <w:rsid w:val="07F7101E"/>
    <w:rsid w:val="08613ED7"/>
    <w:rsid w:val="08FE48C8"/>
    <w:rsid w:val="090C0806"/>
    <w:rsid w:val="09AA5678"/>
    <w:rsid w:val="0A5E4659"/>
    <w:rsid w:val="0AEB5FE9"/>
    <w:rsid w:val="0B605985"/>
    <w:rsid w:val="0CA8710F"/>
    <w:rsid w:val="0E760B47"/>
    <w:rsid w:val="0E874A06"/>
    <w:rsid w:val="0F763767"/>
    <w:rsid w:val="10ED54B2"/>
    <w:rsid w:val="117B4C1C"/>
    <w:rsid w:val="121F089B"/>
    <w:rsid w:val="12223A2E"/>
    <w:rsid w:val="12687E9E"/>
    <w:rsid w:val="13AC1FC1"/>
    <w:rsid w:val="13BD3E5F"/>
    <w:rsid w:val="13DC2C6B"/>
    <w:rsid w:val="14CF3D24"/>
    <w:rsid w:val="154E393A"/>
    <w:rsid w:val="156E768E"/>
    <w:rsid w:val="15C35BE5"/>
    <w:rsid w:val="169A3302"/>
    <w:rsid w:val="17AA97D8"/>
    <w:rsid w:val="180C51F5"/>
    <w:rsid w:val="18427B49"/>
    <w:rsid w:val="1875217F"/>
    <w:rsid w:val="1879233A"/>
    <w:rsid w:val="18BE5C62"/>
    <w:rsid w:val="194355A9"/>
    <w:rsid w:val="194F1402"/>
    <w:rsid w:val="19542712"/>
    <w:rsid w:val="19625EB7"/>
    <w:rsid w:val="19A327C1"/>
    <w:rsid w:val="19BD64DD"/>
    <w:rsid w:val="19D73FF0"/>
    <w:rsid w:val="1A8E32DA"/>
    <w:rsid w:val="1AB37FF6"/>
    <w:rsid w:val="1B58661D"/>
    <w:rsid w:val="1B715D70"/>
    <w:rsid w:val="1B812F99"/>
    <w:rsid w:val="1BA96FB0"/>
    <w:rsid w:val="1BD02183"/>
    <w:rsid w:val="1C107927"/>
    <w:rsid w:val="1CE95912"/>
    <w:rsid w:val="1CF459BA"/>
    <w:rsid w:val="1DCB1A4C"/>
    <w:rsid w:val="1DF67FA2"/>
    <w:rsid w:val="204376E1"/>
    <w:rsid w:val="20D456C1"/>
    <w:rsid w:val="214772A1"/>
    <w:rsid w:val="21521D41"/>
    <w:rsid w:val="2157C120"/>
    <w:rsid w:val="22935557"/>
    <w:rsid w:val="22A06484"/>
    <w:rsid w:val="22F00A83"/>
    <w:rsid w:val="232B63B6"/>
    <w:rsid w:val="240C7539"/>
    <w:rsid w:val="24CA1512"/>
    <w:rsid w:val="25610339"/>
    <w:rsid w:val="26091741"/>
    <w:rsid w:val="26BE6858"/>
    <w:rsid w:val="27CA4F73"/>
    <w:rsid w:val="284C51F9"/>
    <w:rsid w:val="28F134A2"/>
    <w:rsid w:val="2AAD36A8"/>
    <w:rsid w:val="2B900426"/>
    <w:rsid w:val="2BF30AC7"/>
    <w:rsid w:val="2C3F26E5"/>
    <w:rsid w:val="2C5F615A"/>
    <w:rsid w:val="2C661776"/>
    <w:rsid w:val="2E22281F"/>
    <w:rsid w:val="2F9A3FB4"/>
    <w:rsid w:val="2FBFF04D"/>
    <w:rsid w:val="301A4E70"/>
    <w:rsid w:val="30BD0622"/>
    <w:rsid w:val="31436D79"/>
    <w:rsid w:val="316658B8"/>
    <w:rsid w:val="31865C9B"/>
    <w:rsid w:val="31AB06F9"/>
    <w:rsid w:val="32CE7A7E"/>
    <w:rsid w:val="347463DD"/>
    <w:rsid w:val="35097EC1"/>
    <w:rsid w:val="35CB4C4D"/>
    <w:rsid w:val="35CD0198"/>
    <w:rsid w:val="3650579C"/>
    <w:rsid w:val="36612E47"/>
    <w:rsid w:val="369C597C"/>
    <w:rsid w:val="376036B4"/>
    <w:rsid w:val="37623CD1"/>
    <w:rsid w:val="37834C70"/>
    <w:rsid w:val="37AF6778"/>
    <w:rsid w:val="37F4568F"/>
    <w:rsid w:val="37FF581C"/>
    <w:rsid w:val="39CE7FA5"/>
    <w:rsid w:val="3A911513"/>
    <w:rsid w:val="3B5C18FD"/>
    <w:rsid w:val="3BCF631D"/>
    <w:rsid w:val="3BF94B56"/>
    <w:rsid w:val="3C677367"/>
    <w:rsid w:val="3CC656EB"/>
    <w:rsid w:val="3CCA21E8"/>
    <w:rsid w:val="3D1F334F"/>
    <w:rsid w:val="3D546277"/>
    <w:rsid w:val="3E2057E8"/>
    <w:rsid w:val="3E29379B"/>
    <w:rsid w:val="3E3D429E"/>
    <w:rsid w:val="3EA97706"/>
    <w:rsid w:val="3EBBEF84"/>
    <w:rsid w:val="3FC159A6"/>
    <w:rsid w:val="3FF7F51C"/>
    <w:rsid w:val="402C6CE6"/>
    <w:rsid w:val="416A6C53"/>
    <w:rsid w:val="428A3BA8"/>
    <w:rsid w:val="42A74EAA"/>
    <w:rsid w:val="43680F1E"/>
    <w:rsid w:val="43DE733F"/>
    <w:rsid w:val="43F31FE2"/>
    <w:rsid w:val="44513222"/>
    <w:rsid w:val="44640439"/>
    <w:rsid w:val="45572B6C"/>
    <w:rsid w:val="455B320C"/>
    <w:rsid w:val="459E48B0"/>
    <w:rsid w:val="460F771A"/>
    <w:rsid w:val="4649494B"/>
    <w:rsid w:val="465ED152"/>
    <w:rsid w:val="470A2591"/>
    <w:rsid w:val="475C4800"/>
    <w:rsid w:val="477E2361"/>
    <w:rsid w:val="478618F4"/>
    <w:rsid w:val="47B14D93"/>
    <w:rsid w:val="48C9665E"/>
    <w:rsid w:val="49742C4D"/>
    <w:rsid w:val="498C2136"/>
    <w:rsid w:val="49CA6C65"/>
    <w:rsid w:val="4A455FF0"/>
    <w:rsid w:val="4A77022A"/>
    <w:rsid w:val="4AB425FA"/>
    <w:rsid w:val="4B3118C3"/>
    <w:rsid w:val="4B49460C"/>
    <w:rsid w:val="4BFD2018"/>
    <w:rsid w:val="4C3B0E2F"/>
    <w:rsid w:val="4CAB0D7C"/>
    <w:rsid w:val="4D0038F1"/>
    <w:rsid w:val="4E0D2791"/>
    <w:rsid w:val="4E2D68D7"/>
    <w:rsid w:val="4FF35FAD"/>
    <w:rsid w:val="508D7166"/>
    <w:rsid w:val="515A150F"/>
    <w:rsid w:val="52BE30D2"/>
    <w:rsid w:val="52D35800"/>
    <w:rsid w:val="533C54BD"/>
    <w:rsid w:val="537A4C04"/>
    <w:rsid w:val="53D770A4"/>
    <w:rsid w:val="53FC6338"/>
    <w:rsid w:val="543D22A5"/>
    <w:rsid w:val="55791323"/>
    <w:rsid w:val="55796678"/>
    <w:rsid w:val="55A05D34"/>
    <w:rsid w:val="55F1630D"/>
    <w:rsid w:val="563365F1"/>
    <w:rsid w:val="56E90786"/>
    <w:rsid w:val="58E30871"/>
    <w:rsid w:val="59550094"/>
    <w:rsid w:val="59834466"/>
    <w:rsid w:val="59906AA6"/>
    <w:rsid w:val="59E922EF"/>
    <w:rsid w:val="59E95FFF"/>
    <w:rsid w:val="59FEEA9C"/>
    <w:rsid w:val="5AD00A5A"/>
    <w:rsid w:val="5BAD6AF9"/>
    <w:rsid w:val="5BBE59A3"/>
    <w:rsid w:val="5C002B30"/>
    <w:rsid w:val="5CBF0FAA"/>
    <w:rsid w:val="5CFD75C9"/>
    <w:rsid w:val="5DF31C63"/>
    <w:rsid w:val="5E2A7C1A"/>
    <w:rsid w:val="5F442B24"/>
    <w:rsid w:val="5FF209BD"/>
    <w:rsid w:val="600A2FD4"/>
    <w:rsid w:val="60BF1A4F"/>
    <w:rsid w:val="6229058D"/>
    <w:rsid w:val="623B4550"/>
    <w:rsid w:val="640D2502"/>
    <w:rsid w:val="64235C8D"/>
    <w:rsid w:val="64440F4B"/>
    <w:rsid w:val="65536F9A"/>
    <w:rsid w:val="65BA088F"/>
    <w:rsid w:val="66361F34"/>
    <w:rsid w:val="671E309A"/>
    <w:rsid w:val="674C8EC9"/>
    <w:rsid w:val="68B009A8"/>
    <w:rsid w:val="69127D3A"/>
    <w:rsid w:val="694B1853"/>
    <w:rsid w:val="6A2A2317"/>
    <w:rsid w:val="6A93762C"/>
    <w:rsid w:val="6A996F13"/>
    <w:rsid w:val="6A9B2760"/>
    <w:rsid w:val="6C011206"/>
    <w:rsid w:val="6C4130E2"/>
    <w:rsid w:val="6C6C4759"/>
    <w:rsid w:val="6C910893"/>
    <w:rsid w:val="6CB79A6E"/>
    <w:rsid w:val="6D6313BE"/>
    <w:rsid w:val="6DCFD6DC"/>
    <w:rsid w:val="6EC5514E"/>
    <w:rsid w:val="6EF7221D"/>
    <w:rsid w:val="6FF61547"/>
    <w:rsid w:val="70FF71F1"/>
    <w:rsid w:val="7255060F"/>
    <w:rsid w:val="72823D2E"/>
    <w:rsid w:val="729F162E"/>
    <w:rsid w:val="7549288D"/>
    <w:rsid w:val="760A0079"/>
    <w:rsid w:val="76724FD8"/>
    <w:rsid w:val="76F1CF94"/>
    <w:rsid w:val="777423E0"/>
    <w:rsid w:val="77AD6BD4"/>
    <w:rsid w:val="787C2959"/>
    <w:rsid w:val="78CF7467"/>
    <w:rsid w:val="7A8742BC"/>
    <w:rsid w:val="7B7B17D0"/>
    <w:rsid w:val="7BF94230"/>
    <w:rsid w:val="7BFB3344"/>
    <w:rsid w:val="7D7F38AF"/>
    <w:rsid w:val="7DFF3090"/>
    <w:rsid w:val="7E5F0FFD"/>
    <w:rsid w:val="7F87FB46"/>
    <w:rsid w:val="7FFC4750"/>
    <w:rsid w:val="82EA17DC"/>
    <w:rsid w:val="AF374214"/>
    <w:rsid w:val="B5371B2C"/>
    <w:rsid w:val="B7F78639"/>
    <w:rsid w:val="BA6DB7AC"/>
    <w:rsid w:val="BFF71684"/>
    <w:rsid w:val="D60CD89B"/>
    <w:rsid w:val="E2FDB4A9"/>
    <w:rsid w:val="E3FE7271"/>
    <w:rsid w:val="E4FED9FA"/>
    <w:rsid w:val="E6B5A12D"/>
    <w:rsid w:val="E7BF5138"/>
    <w:rsid w:val="EB39521F"/>
    <w:rsid w:val="EB7B78E0"/>
    <w:rsid w:val="EFB55BC0"/>
    <w:rsid w:val="F5FF994E"/>
    <w:rsid w:val="F6DF669A"/>
    <w:rsid w:val="F7992587"/>
    <w:rsid w:val="F97FD032"/>
    <w:rsid w:val="FADFCC1F"/>
    <w:rsid w:val="FBAD5A61"/>
    <w:rsid w:val="FBFC73A1"/>
    <w:rsid w:val="FE016188"/>
    <w:rsid w:val="FEDF3E2A"/>
    <w:rsid w:val="FEEF9FD0"/>
    <w:rsid w:val="FFD6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66">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annotation subject"/>
    <w:basedOn w:val="13"/>
    <w:next w:val="13"/>
    <w:link w:val="80"/>
    <w:qFormat/>
    <w:uiPriority w:val="0"/>
    <w:pPr>
      <w:adjustRightInd/>
      <w:spacing w:line="240" w:lineRule="auto"/>
      <w:textAlignment w:val="auto"/>
    </w:pPr>
  </w:style>
  <w:style w:type="paragraph" w:styleId="13">
    <w:name w:val="annotation text"/>
    <w:basedOn w:val="1"/>
    <w:link w:val="72"/>
    <w:qFormat/>
    <w:uiPriority w:val="0"/>
    <w:pPr>
      <w:adjustRightInd w:val="0"/>
      <w:spacing w:line="360" w:lineRule="atLeast"/>
      <w:jc w:val="left"/>
      <w:textAlignment w:val="baseline"/>
    </w:pPr>
    <w:rPr>
      <w:kern w:val="0"/>
      <w:sz w:val="24"/>
    </w:rPr>
  </w:style>
  <w:style w:type="paragraph" w:styleId="14">
    <w:name w:val="toc 7"/>
    <w:basedOn w:val="1"/>
    <w:next w:val="1"/>
    <w:qFormat/>
    <w:uiPriority w:val="0"/>
    <w:pPr>
      <w:ind w:left="2520" w:leftChars="1200"/>
    </w:pPr>
  </w:style>
  <w:style w:type="paragraph" w:styleId="15">
    <w:name w:val="Body Text First Indent"/>
    <w:basedOn w:val="16"/>
    <w:next w:val="1"/>
    <w:qFormat/>
    <w:uiPriority w:val="0"/>
    <w:pPr>
      <w:spacing w:line="360" w:lineRule="auto"/>
      <w:ind w:firstLine="420"/>
    </w:pPr>
    <w:rPr>
      <w:rFonts w:ascii="宋体" w:hAnsi="宋体"/>
      <w:sz w:val="24"/>
    </w:rPr>
  </w:style>
  <w:style w:type="paragraph" w:styleId="16">
    <w:name w:val="Body Text"/>
    <w:basedOn w:val="1"/>
    <w:next w:val="17"/>
    <w:link w:val="73"/>
    <w:qFormat/>
    <w:uiPriority w:val="0"/>
    <w:rPr>
      <w:rFonts w:ascii="仿宋_GB2312" w:eastAsia="仿宋_GB2312"/>
      <w:sz w:val="32"/>
    </w:rPr>
  </w:style>
  <w:style w:type="paragraph" w:styleId="17">
    <w:name w:val="index 7"/>
    <w:basedOn w:val="1"/>
    <w:next w:val="1"/>
    <w:qFormat/>
    <w:uiPriority w:val="0"/>
    <w:pPr>
      <w:ind w:left="2520"/>
    </w:pPr>
  </w:style>
  <w:style w:type="paragraph" w:styleId="18">
    <w:name w:val="List Number 2"/>
    <w:basedOn w:val="1"/>
    <w:qFormat/>
    <w:uiPriority w:val="0"/>
    <w:pPr>
      <w:numPr>
        <w:ilvl w:val="0"/>
        <w:numId w:val="1"/>
      </w:numPr>
      <w:tabs>
        <w:tab w:val="left" w:pos="780"/>
        <w:tab w:val="clear" w:pos="425"/>
      </w:tabs>
      <w:spacing w:line="360" w:lineRule="auto"/>
    </w:pPr>
    <w:rPr>
      <w:sz w:val="24"/>
    </w:rPr>
  </w:style>
  <w:style w:type="paragraph" w:styleId="19">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link w:val="71"/>
    <w:qFormat/>
    <w:uiPriority w:val="0"/>
    <w:pPr>
      <w:adjustRightInd w:val="0"/>
      <w:snapToGrid w:val="0"/>
      <w:spacing w:line="360" w:lineRule="auto"/>
      <w:ind w:firstLine="420"/>
    </w:pPr>
    <w:rPr>
      <w:sz w:val="24"/>
    </w:rPr>
  </w:style>
  <w:style w:type="paragraph" w:styleId="21">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qFormat/>
    <w:uiPriority w:val="0"/>
    <w:pPr>
      <w:shd w:val="clear" w:color="auto" w:fill="000080"/>
    </w:pPr>
  </w:style>
  <w:style w:type="paragraph" w:styleId="23">
    <w:name w:val="toa heading"/>
    <w:basedOn w:val="1"/>
    <w:next w:val="1"/>
    <w:qFormat/>
    <w:uiPriority w:val="0"/>
    <w:pPr>
      <w:spacing w:before="120"/>
    </w:pPr>
    <w:rPr>
      <w:rFonts w:ascii="Arial" w:hAnsi="Arial"/>
      <w:sz w:val="24"/>
    </w:rPr>
  </w:style>
  <w:style w:type="paragraph" w:styleId="24">
    <w:name w:val="Body Text 3"/>
    <w:basedOn w:val="1"/>
    <w:qFormat/>
    <w:uiPriority w:val="0"/>
    <w:pPr>
      <w:adjustRightInd w:val="0"/>
      <w:snapToGrid w:val="0"/>
      <w:spacing w:after="120" w:line="360" w:lineRule="auto"/>
    </w:pPr>
    <w:rPr>
      <w:sz w:val="16"/>
    </w:rPr>
  </w:style>
  <w:style w:type="paragraph" w:styleId="25">
    <w:name w:val="List Bullet 3"/>
    <w:basedOn w:val="1"/>
    <w:qFormat/>
    <w:uiPriority w:val="0"/>
    <w:pPr>
      <w:tabs>
        <w:tab w:val="left" w:pos="1200"/>
      </w:tabs>
      <w:adjustRightInd w:val="0"/>
      <w:snapToGrid w:val="0"/>
      <w:spacing w:line="360" w:lineRule="auto"/>
      <w:ind w:left="1200" w:hanging="360"/>
    </w:pPr>
    <w:rPr>
      <w:sz w:val="24"/>
    </w:rPr>
  </w:style>
  <w:style w:type="paragraph" w:styleId="26">
    <w:name w:val="Body Text Indent"/>
    <w:basedOn w:val="1"/>
    <w:link w:val="74"/>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100" w:leftChars="200" w:hanging="200" w:hangingChars="200"/>
    </w:pPr>
    <w:rPr>
      <w:sz w:val="24"/>
    </w:rPr>
  </w:style>
  <w:style w:type="paragraph" w:styleId="29">
    <w:name w:val="List Continue"/>
    <w:basedOn w:val="1"/>
    <w:qFormat/>
    <w:uiPriority w:val="0"/>
    <w:pPr>
      <w:adjustRightInd w:val="0"/>
      <w:snapToGrid w:val="0"/>
      <w:spacing w:after="120" w:line="360" w:lineRule="auto"/>
      <w:ind w:left="420" w:leftChars="200"/>
    </w:pPr>
    <w:rPr>
      <w:sz w:val="24"/>
    </w:rPr>
  </w:style>
  <w:style w:type="paragraph" w:styleId="30">
    <w:name w:val="List Bullet 2"/>
    <w:basedOn w:val="1"/>
    <w:qFormat/>
    <w:uiPriority w:val="0"/>
    <w:pPr>
      <w:numPr>
        <w:ilvl w:val="0"/>
        <w:numId w:val="2"/>
      </w:numPr>
      <w:adjustRightInd w:val="0"/>
      <w:snapToGrid w:val="0"/>
      <w:spacing w:line="360" w:lineRule="auto"/>
    </w:pPr>
    <w:rPr>
      <w:sz w:val="24"/>
    </w:rPr>
  </w:style>
  <w:style w:type="paragraph" w:styleId="31">
    <w:name w:val="toc 5"/>
    <w:basedOn w:val="1"/>
    <w:next w:val="1"/>
    <w:qFormat/>
    <w:uiPriority w:val="0"/>
    <w:pPr>
      <w:ind w:left="1680" w:leftChars="800"/>
    </w:pPr>
  </w:style>
  <w:style w:type="paragraph" w:styleId="32">
    <w:name w:val="toc 3"/>
    <w:basedOn w:val="1"/>
    <w:next w:val="1"/>
    <w:qFormat/>
    <w:uiPriority w:val="39"/>
    <w:pPr>
      <w:ind w:left="840" w:leftChars="400"/>
    </w:pPr>
  </w:style>
  <w:style w:type="paragraph" w:styleId="33">
    <w:name w:val="Plain Text"/>
    <w:basedOn w:val="1"/>
    <w:qFormat/>
    <w:uiPriority w:val="0"/>
    <w:rPr>
      <w:rFonts w:ascii="宋体" w:hAnsi="Courier New"/>
      <w:sz w:val="21"/>
    </w:rPr>
  </w:style>
  <w:style w:type="paragraph" w:styleId="34">
    <w:name w:val="toc 8"/>
    <w:basedOn w:val="1"/>
    <w:next w:val="1"/>
    <w:qFormat/>
    <w:uiPriority w:val="0"/>
    <w:pPr>
      <w:ind w:left="2940" w:leftChars="1400"/>
    </w:pPr>
  </w:style>
  <w:style w:type="paragraph" w:styleId="35">
    <w:name w:val="Date"/>
    <w:basedOn w:val="1"/>
    <w:next w:val="1"/>
    <w:link w:val="75"/>
    <w:qFormat/>
    <w:uiPriority w:val="0"/>
  </w:style>
  <w:style w:type="paragraph" w:styleId="36">
    <w:name w:val="Body Text Indent 2"/>
    <w:basedOn w:val="1"/>
    <w:link w:val="76"/>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77"/>
    <w:qFormat/>
    <w:uiPriority w:val="99"/>
    <w:pPr>
      <w:tabs>
        <w:tab w:val="center" w:pos="4153"/>
        <w:tab w:val="right" w:pos="8306"/>
      </w:tabs>
      <w:snapToGrid w:val="0"/>
      <w:jc w:val="left"/>
    </w:pPr>
    <w:rPr>
      <w:sz w:val="18"/>
    </w:rPr>
  </w:style>
  <w:style w:type="paragraph" w:styleId="39">
    <w:name w:val="Body Text First Indent 2"/>
    <w:basedOn w:val="26"/>
    <w:link w:val="81"/>
    <w:qFormat/>
    <w:uiPriority w:val="0"/>
    <w:pPr>
      <w:spacing w:after="120" w:line="240" w:lineRule="auto"/>
      <w:ind w:left="420" w:leftChars="200" w:firstLine="420" w:firstLineChars="200"/>
    </w:pPr>
  </w:style>
  <w:style w:type="paragraph" w:styleId="40">
    <w:name w:val="header"/>
    <w:basedOn w:val="1"/>
    <w:link w:val="78"/>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spacing w:line="180" w:lineRule="auto"/>
      <w:jc w:val="center"/>
    </w:pPr>
    <w:rPr>
      <w:sz w:val="30"/>
    </w:rPr>
  </w:style>
  <w:style w:type="paragraph" w:styleId="42">
    <w:name w:val="List Continue 4"/>
    <w:basedOn w:val="1"/>
    <w:qFormat/>
    <w:uiPriority w:val="0"/>
    <w:pPr>
      <w:adjustRightInd w:val="0"/>
      <w:snapToGrid w:val="0"/>
      <w:spacing w:after="120" w:line="360" w:lineRule="auto"/>
      <w:ind w:left="1680" w:leftChars="800"/>
    </w:pPr>
    <w:rPr>
      <w:sz w:val="24"/>
    </w:rPr>
  </w:style>
  <w:style w:type="paragraph" w:styleId="43">
    <w:name w:val="toc 4"/>
    <w:basedOn w:val="1"/>
    <w:next w:val="1"/>
    <w:qFormat/>
    <w:uiPriority w:val="0"/>
    <w:pPr>
      <w:ind w:left="1260" w:leftChars="600"/>
    </w:pPr>
  </w:style>
  <w:style w:type="paragraph" w:styleId="44">
    <w:name w:val="footnote text"/>
    <w:basedOn w:val="1"/>
    <w:link w:val="79"/>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table" w:styleId="67">
    <w:name w:val="Table Grid"/>
    <w:basedOn w:val="6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68">
    <w:name w:val="Quote"/>
    <w:basedOn w:val="1"/>
    <w:next w:val="1"/>
    <w:qFormat/>
    <w:uiPriority w:val="0"/>
    <w:pPr>
      <w:wordWrap w:val="0"/>
      <w:spacing w:before="200" w:after="160"/>
      <w:ind w:left="864" w:right="864"/>
      <w:jc w:val="center"/>
    </w:pPr>
    <w:rPr>
      <w:i/>
      <w:sz w:val="21"/>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
    <w:link w:val="4"/>
    <w:qFormat/>
    <w:uiPriority w:val="0"/>
    <w:rPr>
      <w:rFonts w:eastAsia="宋体"/>
      <w:b/>
      <w:kern w:val="2"/>
      <w:sz w:val="32"/>
      <w:lang w:val="en-US" w:eastAsia="zh-CN"/>
    </w:rPr>
  </w:style>
  <w:style w:type="character" w:customStyle="1" w:styleId="71">
    <w:name w:val="正文缩进 字符"/>
    <w:link w:val="20"/>
    <w:qFormat/>
    <w:uiPriority w:val="0"/>
    <w:rPr>
      <w:kern w:val="2"/>
      <w:sz w:val="24"/>
    </w:rPr>
  </w:style>
  <w:style w:type="character" w:customStyle="1" w:styleId="72">
    <w:name w:val="批注文字 字符"/>
    <w:link w:val="13"/>
    <w:qFormat/>
    <w:uiPriority w:val="0"/>
    <w:rPr>
      <w:sz w:val="24"/>
    </w:rPr>
  </w:style>
  <w:style w:type="character" w:customStyle="1" w:styleId="73">
    <w:name w:val="正文文本 字符"/>
    <w:link w:val="16"/>
    <w:qFormat/>
    <w:uiPriority w:val="0"/>
    <w:rPr>
      <w:rFonts w:ascii="仿宋_GB2312" w:eastAsia="仿宋_GB2312"/>
      <w:kern w:val="2"/>
      <w:sz w:val="32"/>
    </w:rPr>
  </w:style>
  <w:style w:type="character" w:customStyle="1" w:styleId="74">
    <w:name w:val="正文文本缩进 字符"/>
    <w:link w:val="26"/>
    <w:qFormat/>
    <w:uiPriority w:val="0"/>
    <w:rPr>
      <w:kern w:val="2"/>
      <w:sz w:val="44"/>
    </w:rPr>
  </w:style>
  <w:style w:type="character" w:customStyle="1" w:styleId="75">
    <w:name w:val="日期 字符"/>
    <w:link w:val="35"/>
    <w:qFormat/>
    <w:uiPriority w:val="0"/>
    <w:rPr>
      <w:kern w:val="2"/>
      <w:sz w:val="28"/>
    </w:rPr>
  </w:style>
  <w:style w:type="character" w:customStyle="1" w:styleId="76">
    <w:name w:val="正文文本缩进 2 字符"/>
    <w:link w:val="36"/>
    <w:qFormat/>
    <w:uiPriority w:val="0"/>
    <w:rPr>
      <w:kern w:val="2"/>
      <w:sz w:val="28"/>
    </w:rPr>
  </w:style>
  <w:style w:type="character" w:customStyle="1" w:styleId="77">
    <w:name w:val="页脚 字符"/>
    <w:link w:val="38"/>
    <w:qFormat/>
    <w:uiPriority w:val="99"/>
    <w:rPr>
      <w:kern w:val="2"/>
      <w:sz w:val="18"/>
    </w:rPr>
  </w:style>
  <w:style w:type="character" w:customStyle="1" w:styleId="78">
    <w:name w:val="页眉 字符"/>
    <w:link w:val="40"/>
    <w:qFormat/>
    <w:uiPriority w:val="0"/>
    <w:rPr>
      <w:kern w:val="2"/>
      <w:sz w:val="18"/>
    </w:rPr>
  </w:style>
  <w:style w:type="character" w:customStyle="1" w:styleId="79">
    <w:name w:val="脚注文本 字符"/>
    <w:link w:val="44"/>
    <w:qFormat/>
    <w:uiPriority w:val="0"/>
    <w:rPr>
      <w:kern w:val="2"/>
      <w:sz w:val="18"/>
    </w:rPr>
  </w:style>
  <w:style w:type="character" w:customStyle="1" w:styleId="80">
    <w:name w:val="批注主题 字符"/>
    <w:link w:val="12"/>
    <w:qFormat/>
    <w:uiPriority w:val="0"/>
  </w:style>
  <w:style w:type="character" w:customStyle="1" w:styleId="81">
    <w:name w:val="正文文本首行缩进 2 字符"/>
    <w:link w:val="39"/>
    <w:qFormat/>
    <w:uiPriority w:val="0"/>
  </w:style>
  <w:style w:type="character" w:customStyle="1" w:styleId="82">
    <w:name w:val="H2 Char"/>
    <w:qFormat/>
    <w:uiPriority w:val="0"/>
    <w:rPr>
      <w:rFonts w:ascii="Arial" w:hAnsi="Arial" w:eastAsia="宋体"/>
      <w:kern w:val="2"/>
      <w:sz w:val="28"/>
      <w:lang w:val="en-US" w:eastAsia="zh-CN"/>
    </w:rPr>
  </w:style>
  <w:style w:type="character" w:customStyle="1" w:styleId="83">
    <w:name w:val="crowed11"/>
    <w:qFormat/>
    <w:uiPriority w:val="0"/>
    <w:rPr>
      <w:rFonts w:hint="default" w:ascii="_x000B__x000C_" w:hAnsi="_x000B__x000C_"/>
      <w:sz w:val="24"/>
    </w:rPr>
  </w:style>
  <w:style w:type="character" w:customStyle="1" w:styleId="84">
    <w:name w:val="正文文本缩进 字符1"/>
    <w:qFormat/>
    <w:locked/>
    <w:uiPriority w:val="0"/>
    <w:rPr>
      <w:kern w:val="2"/>
      <w:sz w:val="44"/>
    </w:rPr>
  </w:style>
  <w:style w:type="character" w:customStyle="1" w:styleId="85">
    <w:name w:val="样式 宋体"/>
    <w:qFormat/>
    <w:uiPriority w:val="0"/>
    <w:rPr>
      <w:rFonts w:ascii="宋体" w:hAnsi="宋体" w:eastAsia="宋体"/>
      <w:sz w:val="28"/>
    </w:rPr>
  </w:style>
  <w:style w:type="character" w:customStyle="1" w:styleId="86">
    <w:name w:val="小 Char"/>
    <w:qFormat/>
    <w:uiPriority w:val="0"/>
    <w:rPr>
      <w:rFonts w:ascii="宋体" w:hAnsi="Courier New" w:eastAsia="宋体"/>
      <w:kern w:val="2"/>
      <w:sz w:val="21"/>
      <w:lang w:val="en-US" w:eastAsia="zh-CN" w:bidi="ar-SA"/>
    </w:rPr>
  </w:style>
  <w:style w:type="character" w:customStyle="1" w:styleId="87">
    <w:name w:val="日期 Char"/>
    <w:qFormat/>
    <w:uiPriority w:val="0"/>
    <w:rPr>
      <w:kern w:val="2"/>
      <w:sz w:val="28"/>
    </w:rPr>
  </w:style>
  <w:style w:type="character" w:customStyle="1" w:styleId="88">
    <w:name w:val="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Table Text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v151"/>
    <w:qFormat/>
    <w:uiPriority w:val="0"/>
    <w:rPr>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Char Char3"/>
    <w:qFormat/>
    <w:uiPriority w:val="0"/>
    <w:rPr>
      <w:rFonts w:eastAsia="宋体"/>
      <w:kern w:val="2"/>
      <w:sz w:val="18"/>
      <w:lang w:val="en-US" w:eastAsia="zh-CN"/>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标题 3 字符1"/>
    <w:qFormat/>
    <w:uiPriority w:val="0"/>
    <w:rPr>
      <w:rFonts w:eastAsia="宋体"/>
      <w:b/>
      <w:kern w:val="2"/>
      <w:sz w:val="32"/>
      <w:lang w:val="en-US" w:eastAsia="zh-CN"/>
    </w:rPr>
  </w:style>
  <w:style w:type="character" w:customStyle="1" w:styleId="97">
    <w:name w:val="(符号)五标题1.1.1 Char"/>
    <w:link w:val="98"/>
    <w:qFormat/>
    <w:uiPriority w:val="0"/>
    <w:rPr>
      <w:rFonts w:ascii="宋体" w:hAnsi="宋体"/>
      <w:color w:val="000000"/>
      <w:kern w:val="2"/>
      <w:sz w:val="24"/>
    </w:rPr>
  </w:style>
  <w:style w:type="paragraph" w:customStyle="1" w:styleId="98">
    <w:name w:val="(符号)五标题1.1.1"/>
    <w:basedOn w:val="1"/>
    <w:link w:val="97"/>
    <w:qFormat/>
    <w:uiPriority w:val="0"/>
    <w:pPr>
      <w:numPr>
        <w:ilvl w:val="2"/>
        <w:numId w:val="3"/>
      </w:numPr>
      <w:tabs>
        <w:tab w:val="left" w:pos="1000"/>
      </w:tabs>
      <w:spacing w:line="500" w:lineRule="exact"/>
    </w:pPr>
    <w:rPr>
      <w:rFonts w:ascii="宋体" w:hAnsi="宋体"/>
      <w:color w:val="000000"/>
      <w:sz w:val="24"/>
    </w:rPr>
  </w:style>
  <w:style w:type="character" w:customStyle="1" w:styleId="99">
    <w:name w:val="content-white1"/>
    <w:qFormat/>
    <w:uiPriority w:val="0"/>
    <w:rPr>
      <w:rFonts w:ascii="_x000B__x000C_" w:hAnsi="_x000B__x000C_"/>
      <w:color w:val="auto"/>
      <w:sz w:val="18"/>
      <w:u w:val="none"/>
    </w:rPr>
  </w:style>
  <w:style w:type="character" w:customStyle="1" w:styleId="100">
    <w:name w:val="列表段落 字符"/>
    <w:link w:val="101"/>
    <w:qFormat/>
    <w:uiPriority w:val="0"/>
    <w:rPr>
      <w:rFonts w:ascii="Calibri" w:hAnsi="Calibri"/>
      <w:kern w:val="2"/>
      <w:sz w:val="21"/>
      <w:szCs w:val="22"/>
    </w:rPr>
  </w:style>
  <w:style w:type="paragraph" w:styleId="101">
    <w:name w:val="List Paragraph"/>
    <w:basedOn w:val="1"/>
    <w:link w:val="100"/>
    <w:qFormat/>
    <w:uiPriority w:val="0"/>
    <w:pPr>
      <w:ind w:firstLine="420" w:firstLineChars="200"/>
    </w:pPr>
    <w:rPr>
      <w:rFonts w:ascii="Calibri" w:hAnsi="Calibri"/>
      <w:sz w:val="21"/>
      <w:szCs w:val="22"/>
    </w:rPr>
  </w:style>
  <w:style w:type="character" w:customStyle="1" w:styleId="102">
    <w:name w:val="无"/>
    <w:qFormat/>
    <w:uiPriority w:val="0"/>
    <w:rPr>
      <w:rFonts w:ascii="Times New Roman" w:hAnsi="Times New Roman" w:eastAsia="宋体" w:cs="Times New Roman"/>
    </w:rPr>
  </w:style>
  <w:style w:type="character" w:customStyle="1" w:styleId="103">
    <w:name w:val="文字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font1"/>
    <w:qFormat/>
    <w:uiPriority w:val="0"/>
    <w:rPr>
      <w:color w:val="000000"/>
      <w:sz w:val="18"/>
    </w:rPr>
  </w:style>
  <w:style w:type="character" w:customStyle="1" w:styleId="106">
    <w:name w:val="Char Char2"/>
    <w:qFormat/>
    <w:uiPriority w:val="0"/>
    <w:rPr>
      <w:rFonts w:eastAsia="宋体"/>
      <w:kern w:val="2"/>
      <w:sz w:val="18"/>
      <w:lang w:val="en-US" w:eastAsia="zh-CN"/>
    </w:rPr>
  </w:style>
  <w:style w:type="character" w:customStyle="1" w:styleId="107">
    <w:name w:val="标书正文:  0.74 厘米 Char1"/>
    <w:qFormat/>
    <w:uiPriority w:val="0"/>
    <w:rPr>
      <w:rFonts w:eastAsia="宋体"/>
      <w:kern w:val="2"/>
      <w:sz w:val="24"/>
      <w:lang w:val="en-US" w:eastAsia="zh-CN"/>
    </w:rPr>
  </w:style>
  <w:style w:type="character" w:customStyle="1" w:styleId="108">
    <w:name w:val="Table Text Char Char Char Char"/>
    <w:link w:val="109"/>
    <w:qFormat/>
    <w:uiPriority w:val="0"/>
    <w:rPr>
      <w:rFonts w:ascii="Arial" w:hAnsi="Arial"/>
      <w:kern w:val="2"/>
      <w:sz w:val="18"/>
      <w:lang w:val="en-US" w:eastAsia="zh-CN" w:bidi="ar-SA"/>
    </w:rPr>
  </w:style>
  <w:style w:type="paragraph" w:customStyle="1" w:styleId="109">
    <w:name w:val="Table Text Char Char Char"/>
    <w:link w:val="108"/>
    <w:qFormat/>
    <w:uiPriority w:val="0"/>
    <w:pPr>
      <w:snapToGrid w:val="0"/>
      <w:spacing w:before="80" w:after="80"/>
    </w:pPr>
    <w:rPr>
      <w:rFonts w:ascii="Arial" w:hAnsi="Arial" w:eastAsia="宋体" w:cs="Times New Roman"/>
      <w:kern w:val="2"/>
      <w:sz w:val="18"/>
      <w:lang w:val="en-US" w:eastAsia="zh-CN" w:bidi="ar-SA"/>
    </w:rPr>
  </w:style>
  <w:style w:type="character" w:customStyle="1" w:styleId="110">
    <w:name w:val="正文 + 三号 Char"/>
    <w:qFormat/>
    <w:uiPriority w:val="0"/>
    <w:rPr>
      <w:rFonts w:eastAsia="宋体"/>
      <w:kern w:val="2"/>
      <w:sz w:val="21"/>
      <w:lang w:val="en-US" w:eastAsia="zh-CN"/>
    </w:rPr>
  </w:style>
  <w:style w:type="character" w:customStyle="1" w:styleId="111">
    <w:name w:val="Char Char11"/>
    <w:qFormat/>
    <w:uiPriority w:val="0"/>
    <w:rPr>
      <w:rFonts w:ascii="宋体"/>
      <w:kern w:val="2"/>
      <w:sz w:val="28"/>
    </w:rPr>
  </w:style>
  <w:style w:type="character" w:customStyle="1" w:styleId="112">
    <w:name w:val="标题 2 Char"/>
    <w:qFormat/>
    <w:uiPriority w:val="0"/>
    <w:rPr>
      <w:rFonts w:ascii="Arial" w:hAnsi="Arial" w:eastAsia="黑体"/>
      <w:b/>
      <w:kern w:val="2"/>
      <w:sz w:val="32"/>
    </w:rPr>
  </w:style>
  <w:style w:type="character" w:customStyle="1" w:styleId="113">
    <w:name w:val="Table Text Char1 Char"/>
    <w:qFormat/>
    <w:uiPriority w:val="0"/>
    <w:rPr>
      <w:rFonts w:ascii="Arial" w:hAnsi="Arial"/>
      <w:kern w:val="2"/>
      <w:sz w:val="18"/>
      <w:lang w:val="en-US" w:eastAsia="zh-CN" w:bidi="ar-SA"/>
    </w:rPr>
  </w:style>
  <w:style w:type="character" w:customStyle="1" w:styleId="114">
    <w:name w:val="标题 3 Char"/>
    <w:qFormat/>
    <w:uiPriority w:val="0"/>
    <w:rPr>
      <w:rFonts w:eastAsia="宋体"/>
      <w:b/>
      <w:kern w:val="2"/>
      <w:sz w:val="32"/>
      <w:lang w:val="en-US" w:eastAsia="zh-CN"/>
    </w:rPr>
  </w:style>
  <w:style w:type="character" w:customStyle="1" w:styleId="115">
    <w:name w:val="标题 3 Char1"/>
    <w:qFormat/>
    <w:uiPriority w:val="0"/>
    <w:rPr>
      <w:rFonts w:eastAsia="宋体"/>
      <w:b/>
      <w:kern w:val="2"/>
      <w:sz w:val="32"/>
      <w:lang w:val="en-US" w:eastAsia="zh-CN"/>
    </w:rPr>
  </w:style>
  <w:style w:type="character" w:customStyle="1" w:styleId="116">
    <w:name w:val="正文文本缩进 Char"/>
    <w:qFormat/>
    <w:uiPriority w:val="0"/>
    <w:rPr>
      <w:kern w:val="2"/>
      <w:sz w:val="44"/>
    </w:rPr>
  </w:style>
  <w:style w:type="character" w:customStyle="1" w:styleId="117">
    <w:name w:val="未处理的提及1"/>
    <w:unhideWhenUsed/>
    <w:qFormat/>
    <w:uiPriority w:val="99"/>
    <w:rPr>
      <w:color w:val="605E5C"/>
      <w:shd w:val="clear" w:color="auto" w:fill="E1DFDD"/>
    </w:rPr>
  </w:style>
  <w:style w:type="character" w:customStyle="1" w:styleId="118">
    <w:name w:val="未命名11"/>
    <w:qFormat/>
    <w:uiPriority w:val="0"/>
    <w:rPr>
      <w:color w:val="77FFFF"/>
      <w:sz w:val="24"/>
    </w:rPr>
  </w:style>
  <w:style w:type="character" w:customStyle="1" w:styleId="119">
    <w:name w:val="Char Char5"/>
    <w:qFormat/>
    <w:uiPriority w:val="0"/>
    <w:rPr>
      <w:rFonts w:ascii="Arial" w:hAnsi="Arial" w:eastAsia="宋体"/>
      <w:b/>
      <w:smallCaps/>
      <w:kern w:val="28"/>
      <w:sz w:val="36"/>
      <w:lang w:val="en-US" w:eastAsia="en-US"/>
    </w:rPr>
  </w:style>
  <w:style w:type="character" w:customStyle="1" w:styleId="120">
    <w:name w:val="Char Char6"/>
    <w:qFormat/>
    <w:uiPriority w:val="0"/>
    <w:rPr>
      <w:rFonts w:ascii="仿宋_GB2312" w:eastAsia="仿宋_GB2312"/>
      <w:kern w:val="2"/>
      <w:sz w:val="32"/>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title_emph1"/>
    <w:qFormat/>
    <w:uiPriority w:val="0"/>
    <w:rPr>
      <w:rFonts w:hint="default" w:ascii="Arial" w:hAnsi="Arial"/>
      <w:b/>
      <w:sz w:val="20"/>
    </w:rPr>
  </w:style>
  <w:style w:type="character" w:customStyle="1" w:styleId="124">
    <w:name w:val="Char Char4"/>
    <w:qFormat/>
    <w:uiPriority w:val="0"/>
    <w:rPr>
      <w:rFonts w:eastAsia="宋体"/>
      <w:b/>
      <w:kern w:val="2"/>
      <w:sz w:val="21"/>
      <w:lang w:val="en-US" w:eastAsia="zh-CN"/>
    </w:rPr>
  </w:style>
  <w:style w:type="character" w:customStyle="1" w:styleId="125">
    <w:name w:val="正文文本 Char"/>
    <w:qFormat/>
    <w:uiPriority w:val="0"/>
    <w:rPr>
      <w:rFonts w:ascii="仿宋_GB2312" w:eastAsia="仿宋_GB2312"/>
      <w:kern w:val="2"/>
      <w:sz w:val="32"/>
    </w:rPr>
  </w:style>
  <w:style w:type="paragraph" w:customStyle="1" w:styleId="126">
    <w:name w:val="样式 正文首行缩进 2 + 首行缩进:  2 字符"/>
    <w:basedOn w:val="1"/>
    <w:qFormat/>
    <w:uiPriority w:val="0"/>
    <w:pPr>
      <w:numPr>
        <w:ilvl w:val="0"/>
        <w:numId w:val="4"/>
      </w:numPr>
      <w:adjustRightInd w:val="0"/>
      <w:snapToGrid w:val="0"/>
      <w:spacing w:line="360" w:lineRule="auto"/>
    </w:pPr>
    <w:rPr>
      <w:rFonts w:ascii="Arial" w:hAnsi="Arial"/>
      <w:b/>
      <w:sz w:val="24"/>
    </w:rPr>
  </w:style>
  <w:style w:type="paragraph" w:customStyle="1" w:styleId="127">
    <w:name w:val="CSS1级正文 Char"/>
    <w:basedOn w:val="16"/>
    <w:qFormat/>
    <w:uiPriority w:val="0"/>
    <w:pPr>
      <w:adjustRightInd w:val="0"/>
      <w:snapToGrid w:val="0"/>
      <w:spacing w:line="360" w:lineRule="auto"/>
      <w:ind w:firstLine="480"/>
    </w:pPr>
    <w:rPr>
      <w:rFonts w:ascii="Times New Roman" w:eastAsia="宋体"/>
      <w:sz w:val="24"/>
    </w:rPr>
  </w:style>
  <w:style w:type="paragraph" w:customStyle="1" w:styleId="128">
    <w:name w:val="正文1"/>
    <w:basedOn w:val="1"/>
    <w:qFormat/>
    <w:uiPriority w:val="0"/>
    <w:pPr>
      <w:spacing w:line="300" w:lineRule="auto"/>
      <w:ind w:firstLine="200" w:firstLineChars="200"/>
    </w:pPr>
    <w:rPr>
      <w:sz w:val="24"/>
    </w:rPr>
  </w:style>
  <w:style w:type="paragraph" w:customStyle="1" w:styleId="12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30">
    <w:name w:val="正文文本缩进 21"/>
    <w:basedOn w:val="1"/>
    <w:qFormat/>
    <w:uiPriority w:val="0"/>
    <w:pPr>
      <w:adjustRightInd w:val="0"/>
      <w:spacing w:before="120"/>
      <w:ind w:firstLine="420"/>
      <w:textAlignment w:val="baseline"/>
    </w:pPr>
    <w:rPr>
      <w:sz w:val="24"/>
    </w:rPr>
  </w:style>
  <w:style w:type="paragraph" w:customStyle="1" w:styleId="131">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2">
    <w:name w:val="列表项目"/>
    <w:basedOn w:val="1"/>
    <w:qFormat/>
    <w:uiPriority w:val="0"/>
    <w:pPr>
      <w:numPr>
        <w:ilvl w:val="0"/>
        <w:numId w:val="5"/>
      </w:numPr>
      <w:tabs>
        <w:tab w:val="left" w:pos="420"/>
        <w:tab w:val="clear" w:pos="1200"/>
      </w:tabs>
      <w:spacing w:line="288" w:lineRule="auto"/>
      <w:ind w:left="840" w:leftChars="200" w:hanging="420" w:hangingChars="200"/>
    </w:pPr>
    <w:rPr>
      <w:sz w:val="21"/>
    </w:rPr>
  </w:style>
  <w:style w:type="paragraph" w:customStyle="1" w:styleId="133">
    <w:name w:val="样式4"/>
    <w:basedOn w:val="5"/>
    <w:qFormat/>
    <w:uiPriority w:val="0"/>
    <w:pPr>
      <w:adjustRightInd w:val="0"/>
      <w:snapToGrid w:val="0"/>
    </w:pPr>
  </w:style>
  <w:style w:type="paragraph" w:customStyle="1" w:styleId="134">
    <w:name w:val="Char1 Char Char Char"/>
    <w:basedOn w:val="1"/>
    <w:qFormat/>
    <w:uiPriority w:val="0"/>
    <w:rPr>
      <w:rFonts w:ascii="Tahoma" w:hAnsi="Tahoma"/>
      <w:sz w:val="30"/>
    </w:rPr>
  </w:style>
  <w:style w:type="paragraph" w:customStyle="1" w:styleId="135">
    <w:name w:val="bt"/>
    <w:basedOn w:val="1"/>
    <w:next w:val="16"/>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36">
    <w:name w:val="列出段落1"/>
    <w:basedOn w:val="1"/>
    <w:unhideWhenUsed/>
    <w:qFormat/>
    <w:uiPriority w:val="34"/>
    <w:pPr>
      <w:ind w:firstLine="420" w:firstLineChars="200"/>
    </w:pPr>
    <w:rPr>
      <w:rFonts w:ascii="Calibri" w:hAnsi="Calibri"/>
      <w:sz w:val="21"/>
      <w:szCs w:val="24"/>
    </w:rPr>
  </w:style>
  <w:style w:type="paragraph" w:customStyle="1" w:styleId="13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8">
    <w:name w:val="Char Char Char Char Char Char Char"/>
    <w:basedOn w:val="1"/>
    <w:qFormat/>
    <w:uiPriority w:val="0"/>
    <w:rPr>
      <w:rFonts w:ascii="Tahoma" w:hAnsi="Tahoma"/>
      <w:sz w:val="24"/>
    </w:rPr>
  </w:style>
  <w:style w:type="paragraph" w:customStyle="1" w:styleId="13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har Char1 Char"/>
    <w:basedOn w:val="1"/>
    <w:qFormat/>
    <w:uiPriority w:val="0"/>
    <w:rPr>
      <w:rFonts w:ascii="Tahoma" w:hAnsi="Tahoma"/>
      <w:sz w:val="24"/>
      <w:szCs w:val="24"/>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表格文本"/>
    <w:qFormat/>
    <w:uiPriority w:val="0"/>
    <w:pPr>
      <w:tabs>
        <w:tab w:val="decimal" w:pos="0"/>
      </w:tabs>
    </w:pPr>
    <w:rPr>
      <w:rFonts w:ascii="Arial" w:hAnsi="Arial" w:eastAsia="宋体" w:cs="Times New Roman"/>
      <w:sz w:val="21"/>
      <w:lang w:val="en-US" w:eastAsia="zh-CN" w:bidi="ar-SA"/>
    </w:rPr>
  </w:style>
  <w:style w:type="paragraph" w:customStyle="1" w:styleId="144">
    <w:name w:val="Char1"/>
    <w:basedOn w:val="1"/>
    <w:qFormat/>
    <w:uiPriority w:val="0"/>
    <w:rPr>
      <w:sz w:val="21"/>
    </w:rPr>
  </w:style>
  <w:style w:type="paragraph" w:customStyle="1" w:styleId="145">
    <w:name w:val="标书正文:  0.74 厘米"/>
    <w:basedOn w:val="1"/>
    <w:qFormat/>
    <w:uiPriority w:val="0"/>
    <w:pPr>
      <w:snapToGrid w:val="0"/>
      <w:spacing w:line="360" w:lineRule="auto"/>
      <w:ind w:firstLine="420"/>
    </w:pPr>
    <w:rPr>
      <w:sz w:val="24"/>
    </w:rPr>
  </w:style>
  <w:style w:type="paragraph" w:customStyle="1" w:styleId="146">
    <w:name w:val="正文 + 三号"/>
    <w:basedOn w:val="1"/>
    <w:qFormat/>
    <w:uiPriority w:val="0"/>
    <w:rPr>
      <w:sz w:val="21"/>
    </w:rPr>
  </w:style>
  <w:style w:type="paragraph" w:customStyle="1" w:styleId="147">
    <w:name w:val="IN Feature"/>
    <w:next w:val="14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4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0">
    <w:name w:val="默认段落字体 Para Char Char Char Char Char Char Char Char Char1 Char Char Char Char"/>
    <w:basedOn w:val="1"/>
    <w:qFormat/>
    <w:uiPriority w:val="0"/>
    <w:rPr>
      <w:rFonts w:ascii="Tahoma" w:hAnsi="Tahoma"/>
      <w:sz w:val="24"/>
    </w:rPr>
  </w:style>
  <w:style w:type="paragraph" w:customStyle="1" w:styleId="151">
    <w:name w:val="首行缩进"/>
    <w:basedOn w:val="1"/>
    <w:qFormat/>
    <w:uiPriority w:val="0"/>
    <w:pPr>
      <w:numPr>
        <w:ilvl w:val="0"/>
        <w:numId w:val="6"/>
      </w:numPr>
      <w:spacing w:line="360" w:lineRule="auto"/>
    </w:pPr>
    <w:rPr>
      <w:rFonts w:eastAsia="仿宋_GB2312"/>
    </w:rPr>
  </w:style>
  <w:style w:type="paragraph" w:customStyle="1" w:styleId="152">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3">
    <w:name w:val="Char Char Char Char Char"/>
    <w:basedOn w:val="1"/>
    <w:qFormat/>
    <w:uiPriority w:val="0"/>
    <w:pPr>
      <w:tabs>
        <w:tab w:val="left" w:pos="425"/>
      </w:tabs>
      <w:ind w:left="1620" w:hanging="360"/>
    </w:pPr>
    <w:rPr>
      <w:rFonts w:ascii="Tahoma" w:hAnsi="Tahoma"/>
      <w:sz w:val="24"/>
    </w:rPr>
  </w:style>
  <w:style w:type="paragraph" w:customStyle="1" w:styleId="154">
    <w:name w:val="Char1 Char Char Char1"/>
    <w:basedOn w:val="1"/>
    <w:qFormat/>
    <w:uiPriority w:val="0"/>
    <w:rPr>
      <w:rFonts w:ascii="Tahoma" w:hAnsi="Tahoma"/>
      <w:sz w:val="24"/>
    </w:rPr>
  </w:style>
  <w:style w:type="paragraph" w:customStyle="1" w:styleId="1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6">
    <w:name w:val="摘要"/>
    <w:basedOn w:val="1"/>
    <w:next w:val="3"/>
    <w:qFormat/>
    <w:uiPriority w:val="0"/>
    <w:pPr>
      <w:spacing w:line="360" w:lineRule="auto"/>
    </w:pPr>
    <w:rPr>
      <w:rFonts w:eastAsia="黑体"/>
      <w:sz w:val="20"/>
    </w:rPr>
  </w:style>
  <w:style w:type="paragraph" w:customStyle="1" w:styleId="157">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8">
    <w:name w:val="文本1"/>
    <w:basedOn w:val="1"/>
    <w:qFormat/>
    <w:uiPriority w:val="0"/>
    <w:pPr>
      <w:adjustRightInd w:val="0"/>
      <w:spacing w:line="312" w:lineRule="atLeast"/>
      <w:jc w:val="center"/>
      <w:textAlignment w:val="baseline"/>
    </w:pPr>
    <w:rPr>
      <w:kern w:val="0"/>
      <w:sz w:val="18"/>
    </w:rPr>
  </w:style>
  <w:style w:type="paragraph" w:customStyle="1" w:styleId="159">
    <w:name w:val="Table Contents"/>
    <w:basedOn w:val="16"/>
    <w:qFormat/>
    <w:uiPriority w:val="0"/>
    <w:pPr>
      <w:suppressAutoHyphens/>
      <w:jc w:val="left"/>
    </w:pPr>
    <w:rPr>
      <w:rFonts w:ascii="Times New Roman" w:eastAsia="Times New Roman"/>
      <w:kern w:val="0"/>
      <w:sz w:val="24"/>
    </w:rPr>
  </w:style>
  <w:style w:type="paragraph" w:customStyle="1" w:styleId="160">
    <w:name w:val="Note"/>
    <w:basedOn w:val="1"/>
    <w:qFormat/>
    <w:uiPriority w:val="0"/>
    <w:pPr>
      <w:pBdr>
        <w:top w:val="single" w:color="auto" w:sz="12" w:space="3"/>
        <w:bottom w:val="single" w:color="auto" w:sz="12" w:space="3"/>
      </w:pBdr>
      <w:spacing w:line="360" w:lineRule="auto"/>
    </w:pPr>
    <w:rPr>
      <w:sz w:val="24"/>
    </w:rPr>
  </w:style>
  <w:style w:type="paragraph" w:customStyle="1" w:styleId="161">
    <w:name w:val="00"/>
    <w:basedOn w:val="1"/>
    <w:qFormat/>
    <w:uiPriority w:val="0"/>
    <w:pPr>
      <w:autoSpaceDE w:val="0"/>
      <w:autoSpaceDN w:val="0"/>
      <w:adjustRightInd w:val="0"/>
      <w:jc w:val="left"/>
    </w:pPr>
    <w:rPr>
      <w:rFonts w:ascii="黑体" w:eastAsia="黑体"/>
      <w:b/>
      <w:kern w:val="0"/>
      <w:sz w:val="20"/>
    </w:rPr>
  </w:style>
  <w:style w:type="paragraph" w:customStyle="1" w:styleId="162">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4">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65">
    <w:name w:val="图片文字"/>
    <w:basedOn w:val="1"/>
    <w:qFormat/>
    <w:uiPriority w:val="0"/>
    <w:pPr>
      <w:spacing w:line="240" w:lineRule="atLeast"/>
      <w:jc w:val="center"/>
    </w:pPr>
    <w:rPr>
      <w:sz w:val="21"/>
    </w:rPr>
  </w:style>
  <w:style w:type="paragraph" w:customStyle="1" w:styleId="16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67">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68">
    <w:name w:val="A项目符号"/>
    <w:basedOn w:val="1"/>
    <w:qFormat/>
    <w:uiPriority w:val="0"/>
    <w:pPr>
      <w:numPr>
        <w:ilvl w:val="0"/>
        <w:numId w:val="9"/>
      </w:numPr>
      <w:tabs>
        <w:tab w:val="left" w:pos="1080"/>
      </w:tabs>
      <w:adjustRightInd w:val="0"/>
      <w:snapToGrid w:val="0"/>
      <w:spacing w:afterLines="50" w:line="360" w:lineRule="auto"/>
    </w:pPr>
    <w:rPr>
      <w:b/>
      <w:bCs/>
      <w:spacing w:val="12"/>
      <w:kern w:val="0"/>
      <w:sz w:val="24"/>
      <w:szCs w:val="24"/>
    </w:rPr>
  </w:style>
  <w:style w:type="paragraph" w:customStyle="1" w:styleId="169">
    <w:name w:val="样式1xz"/>
    <w:basedOn w:val="1"/>
    <w:qFormat/>
    <w:uiPriority w:val="0"/>
    <w:pPr>
      <w:tabs>
        <w:tab w:val="left" w:pos="1050"/>
        <w:tab w:val="right" w:leader="dot" w:pos="8296"/>
      </w:tabs>
    </w:pPr>
    <w:rPr>
      <w:caps/>
      <w:spacing w:val="20"/>
      <w:sz w:val="24"/>
    </w:rPr>
  </w:style>
  <w:style w:type="paragraph" w:customStyle="1" w:styleId="170">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73">
    <w:name w:val="Char Char Char"/>
    <w:basedOn w:val="1"/>
    <w:qFormat/>
    <w:uiPriority w:val="0"/>
    <w:rPr>
      <w:rFonts w:ascii="Tahoma" w:hAnsi="Tahoma"/>
      <w:sz w:val="24"/>
    </w:rPr>
  </w:style>
  <w:style w:type="paragraph" w:customStyle="1" w:styleId="174">
    <w:name w:val="_Style 172"/>
    <w:qFormat/>
    <w:uiPriority w:val="0"/>
    <w:rPr>
      <w:rFonts w:ascii="Times New Roman" w:hAnsi="Times New Roman" w:eastAsia="宋体" w:cs="Times New Roman"/>
      <w:kern w:val="2"/>
      <w:sz w:val="21"/>
      <w:lang w:val="en-US" w:eastAsia="zh-CN" w:bidi="ar-SA"/>
    </w:rPr>
  </w:style>
  <w:style w:type="paragraph" w:customStyle="1" w:styleId="175">
    <w:name w:val="Bullets"/>
    <w:basedOn w:val="1"/>
    <w:qFormat/>
    <w:uiPriority w:val="0"/>
    <w:pPr>
      <w:widowControl/>
      <w:adjustRightInd w:val="0"/>
      <w:snapToGrid w:val="0"/>
      <w:spacing w:before="60" w:after="60"/>
    </w:pPr>
    <w:rPr>
      <w:kern w:val="0"/>
      <w:sz w:val="24"/>
      <w:lang w:val="en-GB"/>
    </w:rPr>
  </w:style>
  <w:style w:type="paragraph" w:customStyle="1" w:styleId="176">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77">
    <w:name w:val="正文字缩2字"/>
    <w:basedOn w:val="1"/>
    <w:qFormat/>
    <w:uiPriority w:val="0"/>
    <w:pPr>
      <w:spacing w:before="60" w:after="60" w:line="360" w:lineRule="auto"/>
      <w:ind w:left="200" w:leftChars="200" w:firstLine="200" w:firstLineChars="200"/>
    </w:pPr>
    <w:rPr>
      <w:sz w:val="24"/>
    </w:rPr>
  </w:style>
  <w:style w:type="paragraph" w:customStyle="1" w:styleId="178">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179">
    <w:name w:val="样式 行距: 1.5 倍行距1"/>
    <w:basedOn w:val="1"/>
    <w:qFormat/>
    <w:uiPriority w:val="0"/>
    <w:pPr>
      <w:snapToGrid w:val="0"/>
    </w:pPr>
    <w:rPr>
      <w:sz w:val="21"/>
    </w:rPr>
  </w:style>
  <w:style w:type="paragraph" w:customStyle="1" w:styleId="18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2">
    <w:name w:val="1"/>
    <w:basedOn w:val="1"/>
    <w:next w:val="33"/>
    <w:qFormat/>
    <w:uiPriority w:val="0"/>
    <w:rPr>
      <w:rFonts w:ascii="宋体" w:hAnsi="Courier New"/>
      <w:sz w:val="21"/>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内容标题"/>
    <w:basedOn w:val="22"/>
    <w:qFormat/>
    <w:uiPriority w:val="0"/>
    <w:rPr>
      <w:rFonts w:ascii="Tahoma" w:hAnsi="Tahoma"/>
      <w:sz w:val="24"/>
    </w:rPr>
  </w:style>
  <w:style w:type="paragraph" w:customStyle="1" w:styleId="185">
    <w:name w:val="表头样式"/>
    <w:basedOn w:val="1"/>
    <w:qFormat/>
    <w:uiPriority w:val="0"/>
    <w:pPr>
      <w:autoSpaceDE w:val="0"/>
      <w:autoSpaceDN w:val="0"/>
      <w:adjustRightInd w:val="0"/>
      <w:spacing w:line="360" w:lineRule="auto"/>
      <w:jc w:val="left"/>
    </w:pPr>
    <w:rPr>
      <w:b/>
      <w:kern w:val="0"/>
      <w:sz w:val="21"/>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段落正文"/>
    <w:basedOn w:val="1"/>
    <w:qFormat/>
    <w:uiPriority w:val="0"/>
    <w:pPr>
      <w:spacing w:before="156" w:beforeLines="50" w:line="360" w:lineRule="auto"/>
      <w:ind w:firstLine="200" w:firstLineChars="200"/>
    </w:pPr>
    <w:rPr>
      <w:spacing w:val="2"/>
      <w:sz w:val="24"/>
    </w:rPr>
  </w:style>
  <w:style w:type="paragraph" w:customStyle="1" w:styleId="18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0">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1">
    <w:name w:val="一级条标题"/>
    <w:basedOn w:val="162"/>
    <w:next w:val="155"/>
    <w:qFormat/>
    <w:uiPriority w:val="0"/>
    <w:pPr>
      <w:numPr>
        <w:numId w:val="0"/>
      </w:numPr>
      <w:spacing w:before="0" w:beforeLines="0" w:after="0" w:afterLines="0"/>
      <w:ind w:left="525"/>
      <w:outlineLvl w:val="2"/>
    </w:pPr>
    <w:rPr>
      <w:sz w:val="21"/>
    </w:rPr>
  </w:style>
  <w:style w:type="paragraph" w:customStyle="1" w:styleId="192">
    <w:name w:val="编号正文"/>
    <w:basedOn w:val="193"/>
    <w:qFormat/>
    <w:uiPriority w:val="0"/>
    <w:pPr>
      <w:snapToGrid/>
      <w:spacing w:line="360" w:lineRule="auto"/>
      <w:ind w:left="1407" w:hanging="1047"/>
      <w:jc w:val="left"/>
    </w:pPr>
    <w:rPr>
      <w:rFonts w:eastAsia="仿宋_GB2312"/>
    </w:rPr>
  </w:style>
  <w:style w:type="paragraph" w:customStyle="1" w:styleId="19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4">
    <w:name w:val="没有缩进（为图形使用）"/>
    <w:basedOn w:val="1"/>
    <w:qFormat/>
    <w:uiPriority w:val="0"/>
    <w:pPr>
      <w:spacing w:before="120" w:after="120" w:line="360" w:lineRule="auto"/>
    </w:pPr>
    <w:rPr>
      <w:sz w:val="24"/>
    </w:rPr>
  </w:style>
  <w:style w:type="paragraph" w:customStyle="1" w:styleId="195">
    <w:name w:val="_Style 3"/>
    <w:basedOn w:val="1"/>
    <w:qFormat/>
    <w:uiPriority w:val="99"/>
    <w:pPr>
      <w:ind w:firstLine="420" w:firstLineChars="200"/>
    </w:pPr>
    <w:rPr>
      <w:rFonts w:ascii="Calibri" w:hAnsi="Calibri"/>
      <w:sz w:val="21"/>
      <w:szCs w:val="2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9">
    <w:name w:val="Char Char 字元 字元 字元 Char Char Char Char"/>
    <w:basedOn w:val="1"/>
    <w:qFormat/>
    <w:uiPriority w:val="0"/>
    <w:pPr>
      <w:adjustRightInd w:val="0"/>
      <w:spacing w:line="360" w:lineRule="auto"/>
    </w:pPr>
    <w:rPr>
      <w:kern w:val="0"/>
      <w:sz w:val="24"/>
    </w:rPr>
  </w:style>
  <w:style w:type="paragraph" w:customStyle="1" w:styleId="200">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0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03">
    <w:name w:val="Title - Revision"/>
    <w:basedOn w:val="57"/>
    <w:qFormat/>
    <w:uiPriority w:val="0"/>
    <w:pPr>
      <w:spacing w:before="720"/>
    </w:pPr>
  </w:style>
  <w:style w:type="paragraph" w:customStyle="1" w:styleId="204">
    <w:name w:val="正文（首行不缩进）"/>
    <w:basedOn w:val="1"/>
    <w:qFormat/>
    <w:uiPriority w:val="0"/>
    <w:pPr>
      <w:autoSpaceDE w:val="0"/>
      <w:autoSpaceDN w:val="0"/>
      <w:adjustRightInd w:val="0"/>
      <w:spacing w:line="360" w:lineRule="auto"/>
      <w:jc w:val="left"/>
    </w:pPr>
    <w:rPr>
      <w:kern w:val="0"/>
      <w:sz w:val="21"/>
    </w:rPr>
  </w:style>
  <w:style w:type="paragraph" w:customStyle="1" w:styleId="205">
    <w:name w:val="简单回函地址"/>
    <w:basedOn w:val="1"/>
    <w:qFormat/>
    <w:uiPriority w:val="0"/>
    <w:pPr>
      <w:adjustRightInd w:val="0"/>
      <w:snapToGrid w:val="0"/>
      <w:spacing w:line="360" w:lineRule="auto"/>
    </w:pPr>
    <w:rPr>
      <w:sz w:val="24"/>
    </w:rPr>
  </w:style>
  <w:style w:type="paragraph" w:customStyle="1" w:styleId="206">
    <w:name w:val="表格内文字"/>
    <w:basedOn w:val="33"/>
    <w:qFormat/>
    <w:uiPriority w:val="0"/>
    <w:pPr>
      <w:adjustRightInd w:val="0"/>
    </w:pPr>
    <w:rPr>
      <w:color w:val="000000"/>
      <w:lang w:val="en-GB"/>
    </w:rPr>
  </w:style>
  <w:style w:type="paragraph" w:customStyle="1" w:styleId="20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9">
    <w:name w:val="标题无"/>
    <w:basedOn w:val="1"/>
    <w:qFormat/>
    <w:uiPriority w:val="0"/>
    <w:pPr>
      <w:spacing w:line="360" w:lineRule="auto"/>
    </w:pPr>
    <w:rPr>
      <w:sz w:val="24"/>
    </w:rPr>
  </w:style>
  <w:style w:type="paragraph" w:customStyle="1" w:styleId="21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11">
    <w:name w:val="附录3"/>
    <w:basedOn w:val="1"/>
    <w:next w:val="1"/>
    <w:qFormat/>
    <w:uiPriority w:val="0"/>
    <w:pPr>
      <w:tabs>
        <w:tab w:val="left" w:pos="851"/>
      </w:tabs>
      <w:ind w:left="425" w:hanging="425"/>
      <w:outlineLvl w:val="2"/>
    </w:pPr>
    <w:rPr>
      <w:rFonts w:eastAsia="黑体"/>
      <w:b/>
      <w:sz w:val="32"/>
    </w:rPr>
  </w:style>
  <w:style w:type="paragraph" w:customStyle="1" w:styleId="212">
    <w:name w:val="样式2"/>
    <w:basedOn w:val="5"/>
    <w:qFormat/>
    <w:uiPriority w:val="0"/>
    <w:pPr>
      <w:numPr>
        <w:ilvl w:val="0"/>
        <w:numId w:val="10"/>
      </w:numPr>
      <w:spacing w:before="560" w:line="400" w:lineRule="exact"/>
      <w:jc w:val="center"/>
      <w:outlineLvl w:val="0"/>
    </w:pPr>
    <w:rPr>
      <w:b w:val="0"/>
      <w:sz w:val="44"/>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16">
    <w:name w:val="图例"/>
    <w:basedOn w:val="1"/>
    <w:qFormat/>
    <w:uiPriority w:val="0"/>
    <w:pPr>
      <w:spacing w:before="120" w:after="120" w:line="360" w:lineRule="auto"/>
      <w:jc w:val="center"/>
    </w:pPr>
    <w:rPr>
      <w:rFonts w:eastAsia="仿宋_GB2312"/>
      <w:b/>
      <w:sz w:val="24"/>
    </w:rPr>
  </w:style>
  <w:style w:type="paragraph" w:customStyle="1" w:styleId="217">
    <w:name w:val="表头文本"/>
    <w:qFormat/>
    <w:uiPriority w:val="0"/>
    <w:pPr>
      <w:jc w:val="center"/>
    </w:pPr>
    <w:rPr>
      <w:rFonts w:ascii="Arial" w:hAnsi="Arial" w:eastAsia="宋体" w:cs="Times New Roman"/>
      <w:b/>
      <w:sz w:val="21"/>
      <w:lang w:val="en-US" w:eastAsia="zh-CN" w:bidi="ar-SA"/>
    </w:rPr>
  </w:style>
  <w:style w:type="paragraph" w:customStyle="1" w:styleId="218">
    <w:name w:val="标准正文"/>
    <w:basedOn w:val="26"/>
    <w:qFormat/>
    <w:uiPriority w:val="0"/>
    <w:pPr>
      <w:spacing w:before="60" w:after="60" w:line="360" w:lineRule="auto"/>
      <w:ind w:left="0" w:firstLine="482"/>
    </w:pPr>
    <w:rPr>
      <w:rFonts w:ascii="Arial" w:hAnsi="Arial"/>
      <w:sz w:val="24"/>
    </w:rPr>
  </w:style>
  <w:style w:type="paragraph" w:customStyle="1" w:styleId="219">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20">
    <w:name w:val="Item Step in Tabl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22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二级条标题"/>
    <w:basedOn w:val="191"/>
    <w:next w:val="155"/>
    <w:qFormat/>
    <w:uiPriority w:val="0"/>
    <w:pPr>
      <w:ind w:left="840"/>
      <w:outlineLvl w:val="3"/>
    </w:pPr>
  </w:style>
  <w:style w:type="paragraph" w:customStyle="1" w:styleId="224">
    <w:name w:val="样式1"/>
    <w:basedOn w:val="5"/>
    <w:qFormat/>
    <w:uiPriority w:val="0"/>
    <w:pPr>
      <w:tabs>
        <w:tab w:val="left" w:pos="720"/>
      </w:tabs>
      <w:spacing w:before="500" w:after="260" w:line="560" w:lineRule="atLeast"/>
      <w:ind w:left="420" w:hanging="420"/>
    </w:pPr>
  </w:style>
  <w:style w:type="paragraph" w:customStyle="1" w:styleId="225">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7">
    <w:name w:val="标题3——2"/>
    <w:basedOn w:val="4"/>
    <w:next w:val="1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28">
    <w:name w:val="Style Heading 3h3Heading 3 - oldLevel 3 HeadH3level_3PIM 3se..."/>
    <w:basedOn w:val="4"/>
    <w:qFormat/>
    <w:uiPriority w:val="0"/>
    <w:pPr>
      <w:numPr>
        <w:ilvl w:val="2"/>
        <w:numId w:val="13"/>
      </w:numPr>
      <w:tabs>
        <w:tab w:val="left" w:pos="709"/>
        <w:tab w:val="left" w:pos="1620"/>
      </w:tabs>
    </w:pPr>
  </w:style>
  <w:style w:type="paragraph" w:customStyle="1" w:styleId="229">
    <w:name w:val="Char"/>
    <w:basedOn w:val="1"/>
    <w:qFormat/>
    <w:uiPriority w:val="0"/>
    <w:pPr>
      <w:spacing w:line="240" w:lineRule="atLeast"/>
      <w:ind w:left="420" w:firstLine="420"/>
    </w:pPr>
    <w:rPr>
      <w:kern w:val="0"/>
      <w:sz w:val="21"/>
    </w:rPr>
  </w:style>
  <w:style w:type="paragraph" w:customStyle="1" w:styleId="230">
    <w:name w:val="Title - Date"/>
    <w:basedOn w:val="57"/>
    <w:next w:val="1"/>
    <w:qFormat/>
    <w:uiPriority w:val="0"/>
    <w:pPr>
      <w:spacing w:before="240" w:after="720"/>
    </w:pPr>
    <w:rPr>
      <w:sz w:val="28"/>
    </w:rPr>
  </w:style>
  <w:style w:type="paragraph" w:customStyle="1" w:styleId="23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2">
    <w:name w:val="样式 正文缩进正文（首行缩进两字）表正文正文非缩进特点标题4段1 + 首行缩进:  2 字符"/>
    <w:basedOn w:val="20"/>
    <w:qFormat/>
    <w:uiPriority w:val="0"/>
    <w:pPr>
      <w:ind w:firstLine="480" w:firstLineChars="200"/>
    </w:pPr>
  </w:style>
  <w:style w:type="paragraph" w:customStyle="1" w:styleId="23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4">
    <w:name w:val="正文4"/>
    <w:basedOn w:val="1"/>
    <w:qFormat/>
    <w:uiPriority w:val="0"/>
    <w:pPr>
      <w:tabs>
        <w:tab w:val="left" w:pos="1275"/>
      </w:tabs>
      <w:spacing w:before="60" w:after="60" w:line="360" w:lineRule="auto"/>
      <w:ind w:left="820" w:leftChars="400" w:hanging="705"/>
    </w:pPr>
    <w:rPr>
      <w:sz w:val="24"/>
    </w:rPr>
  </w:style>
  <w:style w:type="paragraph" w:customStyle="1" w:styleId="23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6">
    <w:name w:val="可研正文"/>
    <w:basedOn w:val="16"/>
    <w:qFormat/>
    <w:uiPriority w:val="0"/>
    <w:pPr>
      <w:adjustRightInd w:val="0"/>
      <w:snapToGrid w:val="0"/>
      <w:spacing w:line="440" w:lineRule="exact"/>
      <w:ind w:firstLine="567"/>
    </w:pPr>
    <w:rPr>
      <w:sz w:val="28"/>
    </w:rPr>
  </w:style>
  <w:style w:type="paragraph" w:customStyle="1" w:styleId="237">
    <w:name w:val="二级列表"/>
    <w:basedOn w:val="188"/>
    <w:next w:val="188"/>
    <w:qFormat/>
    <w:uiPriority w:val="0"/>
    <w:pPr>
      <w:tabs>
        <w:tab w:val="left" w:pos="2120"/>
      </w:tabs>
      <w:ind w:firstLine="0" w:firstLineChars="0"/>
    </w:pPr>
    <w:rPr>
      <w:b/>
    </w:rPr>
  </w:style>
  <w:style w:type="paragraph" w:customStyle="1" w:styleId="238">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39">
    <w:name w:val="af"/>
    <w:basedOn w:val="1"/>
    <w:qFormat/>
    <w:uiPriority w:val="0"/>
    <w:pPr>
      <w:widowControl/>
      <w:spacing w:line="300" w:lineRule="atLeast"/>
      <w:jc w:val="left"/>
    </w:pPr>
    <w:rPr>
      <w:rFonts w:ascii="宋体" w:hAnsi="宋体"/>
      <w:kern w:val="0"/>
      <w:sz w:val="18"/>
    </w:rPr>
  </w:style>
  <w:style w:type="paragraph" w:customStyle="1" w:styleId="24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41">
    <w:name w:val="Char Char14 Char Char"/>
    <w:basedOn w:val="1"/>
    <w:qFormat/>
    <w:uiPriority w:val="0"/>
    <w:rPr>
      <w:sz w:val="21"/>
      <w:szCs w:val="24"/>
    </w:rPr>
  </w:style>
  <w:style w:type="paragraph" w:customStyle="1" w:styleId="24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3">
    <w:name w:val="Char2 Char Char Char Char Char Char"/>
    <w:basedOn w:val="1"/>
    <w:qFormat/>
    <w:uiPriority w:val="0"/>
    <w:rPr>
      <w:rFonts w:ascii="仿宋_GB2312"/>
      <w:b/>
      <w:sz w:val="30"/>
    </w:rPr>
  </w:style>
  <w:style w:type="paragraph" w:customStyle="1" w:styleId="24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4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4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47">
    <w:name w:val="文本框样式1"/>
    <w:basedOn w:val="1"/>
    <w:qFormat/>
    <w:uiPriority w:val="0"/>
    <w:pPr>
      <w:adjustRightInd w:val="0"/>
      <w:snapToGrid w:val="0"/>
      <w:spacing w:before="60" w:line="180" w:lineRule="exact"/>
      <w:jc w:val="center"/>
    </w:pPr>
    <w:rPr>
      <w:sz w:val="21"/>
    </w:rPr>
  </w:style>
  <w:style w:type="paragraph" w:customStyle="1" w:styleId="24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49">
    <w:name w:val="Char Char Char Char Char Char Char1"/>
    <w:basedOn w:val="22"/>
    <w:qFormat/>
    <w:uiPriority w:val="0"/>
    <w:rPr>
      <w:rFonts w:ascii="宋体" w:hAnsi="Tahoma"/>
    </w:rPr>
  </w:style>
  <w:style w:type="paragraph" w:customStyle="1" w:styleId="250">
    <w:name w:val="样式 宋体 五号 行距: 单倍行距"/>
    <w:basedOn w:val="1"/>
    <w:qFormat/>
    <w:uiPriority w:val="0"/>
    <w:pPr>
      <w:adjustRightInd w:val="0"/>
      <w:jc w:val="left"/>
    </w:pPr>
    <w:rPr>
      <w:rFonts w:ascii="宋体" w:hAnsi="宋体"/>
      <w:kern w:val="0"/>
      <w:sz w:val="21"/>
    </w:rPr>
  </w:style>
  <w:style w:type="paragraph" w:customStyle="1" w:styleId="251">
    <w:name w:val="Char Char Char Char Char Char Char Char Char Char Char Char Char Char Char Char"/>
    <w:basedOn w:val="1"/>
    <w:qFormat/>
    <w:uiPriority w:val="0"/>
    <w:pPr>
      <w:tabs>
        <w:tab w:val="left" w:pos="360"/>
      </w:tabs>
    </w:pPr>
    <w:rPr>
      <w:sz w:val="24"/>
    </w:rPr>
  </w:style>
  <w:style w:type="paragraph" w:customStyle="1" w:styleId="252">
    <w:name w:val="文章正文"/>
    <w:basedOn w:val="1"/>
    <w:qFormat/>
    <w:uiPriority w:val="0"/>
    <w:pPr>
      <w:ind w:firstLine="560" w:firstLineChars="200"/>
    </w:pPr>
    <w:rPr>
      <w:rFonts w:ascii="仿宋_GB2312" w:hAnsi="宋体" w:eastAsia="仿宋_GB2312"/>
      <w:color w:val="000000"/>
    </w:rPr>
  </w:style>
  <w:style w:type="paragraph" w:customStyle="1" w:styleId="253">
    <w:name w:val="1.正文"/>
    <w:basedOn w:val="1"/>
    <w:qFormat/>
    <w:uiPriority w:val="0"/>
    <w:pPr>
      <w:spacing w:line="360" w:lineRule="auto"/>
      <w:ind w:left="540" w:leftChars="225" w:firstLine="540" w:firstLineChars="225"/>
    </w:pPr>
    <w:rPr>
      <w:sz w:val="24"/>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55">
    <w:name w:val="首行缩进 1"/>
    <w:basedOn w:val="1"/>
    <w:qFormat/>
    <w:uiPriority w:val="0"/>
    <w:pPr>
      <w:spacing w:after="120" w:line="360" w:lineRule="auto"/>
      <w:ind w:firstLine="200" w:firstLineChars="200"/>
    </w:pPr>
    <w:rPr>
      <w:sz w:val="24"/>
    </w:rPr>
  </w:style>
  <w:style w:type="paragraph" w:customStyle="1" w:styleId="25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7">
    <w:name w:val="默认段落字体 Para Char Char Char Char Char Char Char"/>
    <w:basedOn w:val="1"/>
    <w:qFormat/>
    <w:uiPriority w:val="0"/>
    <w:rPr>
      <w:rFonts w:ascii="Tahoma" w:hAnsi="Tahoma"/>
      <w:sz w:val="24"/>
    </w:rPr>
  </w:style>
  <w:style w:type="paragraph" w:customStyle="1" w:styleId="258">
    <w:name w:val="正文文本 21"/>
    <w:basedOn w:val="1"/>
    <w:qFormat/>
    <w:uiPriority w:val="0"/>
    <w:pPr>
      <w:adjustRightInd w:val="0"/>
      <w:spacing w:before="120" w:line="360" w:lineRule="auto"/>
      <w:ind w:firstLine="480"/>
      <w:textAlignment w:val="baseline"/>
    </w:pPr>
    <w:rPr>
      <w:sz w:val="24"/>
    </w:rPr>
  </w:style>
  <w:style w:type="paragraph" w:customStyle="1" w:styleId="259">
    <w:name w:val="表文字"/>
    <w:qFormat/>
    <w:uiPriority w:val="0"/>
    <w:rPr>
      <w:rFonts w:ascii="宋体" w:hAnsi="Times New Roman" w:eastAsia="宋体" w:cs="Times New Roman"/>
      <w:kern w:val="2"/>
      <w:lang w:val="en-US" w:eastAsia="zh-CN" w:bidi="ar-SA"/>
    </w:rPr>
  </w:style>
  <w:style w:type="paragraph" w:customStyle="1" w:styleId="260">
    <w:name w:val="正文表格"/>
    <w:basedOn w:val="1"/>
    <w:qFormat/>
    <w:uiPriority w:val="0"/>
    <w:pPr>
      <w:adjustRightInd w:val="0"/>
      <w:spacing w:before="40" w:after="40"/>
    </w:pPr>
    <w:rPr>
      <w:sz w:val="24"/>
    </w:rPr>
  </w:style>
  <w:style w:type="paragraph" w:customStyle="1" w:styleId="261">
    <w:name w:val="Char2"/>
    <w:basedOn w:val="1"/>
    <w:qFormat/>
    <w:uiPriority w:val="0"/>
    <w:pPr>
      <w:spacing w:line="240" w:lineRule="atLeast"/>
      <w:ind w:left="420" w:firstLine="420"/>
    </w:pPr>
    <w:rPr>
      <w:kern w:val="0"/>
      <w:sz w:val="21"/>
    </w:rPr>
  </w:style>
  <w:style w:type="paragraph" w:customStyle="1" w:styleId="262">
    <w:name w:val="Char Char Char Char Char Char1 Char"/>
    <w:basedOn w:val="1"/>
    <w:qFormat/>
    <w:uiPriority w:val="0"/>
    <w:pPr>
      <w:widowControl/>
      <w:spacing w:after="160" w:line="240" w:lineRule="exact"/>
      <w:jc w:val="left"/>
    </w:pPr>
    <w:rPr>
      <w:rFonts w:ascii="Verdana" w:hAnsi="Verdana"/>
      <w:kern w:val="0"/>
      <w:sz w:val="21"/>
      <w:lang w:eastAsia="en-US"/>
    </w:rPr>
  </w:style>
  <w:style w:type="character" w:customStyle="1" w:styleId="263">
    <w:name w:val="font41"/>
    <w:basedOn w:val="58"/>
    <w:qFormat/>
    <w:uiPriority w:val="0"/>
    <w:rPr>
      <w:rFonts w:hint="eastAsia" w:ascii="宋体" w:hAnsi="宋体" w:eastAsia="宋体" w:cs="宋体"/>
      <w:b/>
      <w:bCs/>
      <w:color w:val="000000"/>
      <w:sz w:val="16"/>
      <w:szCs w:val="16"/>
      <w:u w:val="none"/>
    </w:rPr>
  </w:style>
  <w:style w:type="character" w:customStyle="1" w:styleId="264">
    <w:name w:val="font91"/>
    <w:basedOn w:val="58"/>
    <w:qFormat/>
    <w:uiPriority w:val="0"/>
    <w:rPr>
      <w:rFonts w:hint="eastAsia" w:ascii="宋体" w:hAnsi="宋体" w:eastAsia="宋体" w:cs="宋体"/>
      <w:color w:val="000000"/>
      <w:sz w:val="16"/>
      <w:szCs w:val="16"/>
      <w:u w:val="none"/>
    </w:rPr>
  </w:style>
  <w:style w:type="character" w:customStyle="1" w:styleId="265">
    <w:name w:val="font61"/>
    <w:basedOn w:val="58"/>
    <w:qFormat/>
    <w:uiPriority w:val="0"/>
    <w:rPr>
      <w:rFonts w:hint="eastAsia" w:ascii="宋体" w:hAnsi="宋体" w:eastAsia="宋体" w:cs="宋体"/>
      <w:color w:val="000000"/>
      <w:sz w:val="16"/>
      <w:szCs w:val="16"/>
      <w:u w:val="none"/>
    </w:rPr>
  </w:style>
  <w:style w:type="character" w:customStyle="1" w:styleId="266">
    <w:name w:val="font171"/>
    <w:basedOn w:val="58"/>
    <w:qFormat/>
    <w:uiPriority w:val="0"/>
    <w:rPr>
      <w:rFonts w:hint="eastAsia" w:ascii="宋体" w:hAnsi="宋体" w:eastAsia="宋体" w:cs="宋体"/>
      <w:color w:val="000000"/>
      <w:sz w:val="18"/>
      <w:szCs w:val="18"/>
      <w:u w:val="none"/>
    </w:rPr>
  </w:style>
  <w:style w:type="character" w:customStyle="1" w:styleId="267">
    <w:name w:val="font112"/>
    <w:basedOn w:val="58"/>
    <w:qFormat/>
    <w:uiPriority w:val="0"/>
    <w:rPr>
      <w:rFonts w:hint="eastAsia" w:ascii="宋体" w:hAnsi="宋体" w:eastAsia="宋体" w:cs="宋体"/>
      <w:color w:val="000000"/>
      <w:sz w:val="18"/>
      <w:szCs w:val="18"/>
      <w:u w:val="none"/>
    </w:rPr>
  </w:style>
  <w:style w:type="character" w:customStyle="1" w:styleId="268">
    <w:name w:val="font81"/>
    <w:basedOn w:val="58"/>
    <w:qFormat/>
    <w:uiPriority w:val="0"/>
    <w:rPr>
      <w:rFonts w:hint="eastAsia" w:ascii="宋体" w:hAnsi="宋体" w:eastAsia="宋体" w:cs="宋体"/>
      <w:color w:val="000000"/>
      <w:sz w:val="16"/>
      <w:szCs w:val="16"/>
      <w:u w:val="none"/>
    </w:rPr>
  </w:style>
  <w:style w:type="character" w:customStyle="1" w:styleId="269">
    <w:name w:val="font51"/>
    <w:basedOn w:val="58"/>
    <w:qFormat/>
    <w:uiPriority w:val="0"/>
    <w:rPr>
      <w:rFonts w:hint="eastAsia" w:ascii="宋体" w:hAnsi="宋体" w:eastAsia="宋体" w:cs="宋体"/>
      <w:color w:val="000000"/>
      <w:sz w:val="16"/>
      <w:szCs w:val="16"/>
      <w:u w:val="none"/>
    </w:rPr>
  </w:style>
  <w:style w:type="character" w:customStyle="1" w:styleId="270">
    <w:name w:val="font141"/>
    <w:basedOn w:val="58"/>
    <w:qFormat/>
    <w:uiPriority w:val="0"/>
    <w:rPr>
      <w:rFonts w:hint="eastAsia" w:ascii="宋体" w:hAnsi="宋体" w:eastAsia="宋体" w:cs="宋体"/>
      <w:color w:val="000000"/>
      <w:sz w:val="18"/>
      <w:szCs w:val="18"/>
      <w:u w:val="none"/>
    </w:rPr>
  </w:style>
  <w:style w:type="character" w:customStyle="1" w:styleId="271">
    <w:name w:val="font101"/>
    <w:basedOn w:val="58"/>
    <w:qFormat/>
    <w:uiPriority w:val="0"/>
    <w:rPr>
      <w:rFonts w:hint="eastAsia" w:ascii="宋体" w:hAnsi="宋体" w:eastAsia="宋体" w:cs="宋体"/>
      <w:color w:val="000000"/>
      <w:sz w:val="18"/>
      <w:szCs w:val="18"/>
      <w:u w:val="none"/>
    </w:rPr>
  </w:style>
  <w:style w:type="paragraph" w:customStyle="1" w:styleId="272">
    <w:name w:val="Revision"/>
    <w:hidden/>
    <w:unhideWhenUsed/>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19530</Words>
  <Characters>20429</Characters>
  <Lines>184</Lines>
  <Paragraphs>51</Paragraphs>
  <TotalTime>1</TotalTime>
  <ScaleCrop>false</ScaleCrop>
  <LinksUpToDate>false</LinksUpToDate>
  <CharactersWithSpaces>22264</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2023-11-20T18:46:00Z</dcterms:created>
  <dc:creator>罗成</dc:creator>
  <cp:lastModifiedBy>Administrator</cp:lastModifiedBy>
  <cp:lastPrinted>2022-10-02T02:19:00Z</cp:lastPrinted>
  <dcterms:modified xsi:type="dcterms:W3CDTF">2025-02-06T15:35:29Z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80DF323008ED49F59959651808951107_13</vt:lpwstr>
  </property>
</Properties>
</file>