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rPr>
      </w:pPr>
    </w:p>
    <w:p>
      <w:pPr>
        <w:pStyle w:val="6"/>
        <w:rPr>
          <w:rFonts w:ascii="宋体" w:hAnsi="宋体" w:eastAsia="宋体" w:cs="宋体"/>
        </w:rPr>
      </w:pPr>
    </w:p>
    <w:p>
      <w:pPr>
        <w:rPr>
          <w:rFonts w:ascii="宋体" w:hAnsi="宋体" w:cs="宋体"/>
        </w:rPr>
      </w:pPr>
    </w:p>
    <w:p>
      <w:pPr>
        <w:pStyle w:val="6"/>
        <w:rPr>
          <w:rFonts w:ascii="宋体" w:hAnsi="宋体" w:eastAsia="宋体" w:cs="宋体"/>
        </w:rPr>
      </w:pPr>
    </w:p>
    <w:p>
      <w:pPr>
        <w:rPr>
          <w:rFonts w:ascii="宋体" w:hAnsi="宋体" w:cs="宋体"/>
        </w:rPr>
      </w:pPr>
    </w:p>
    <w:p>
      <w:pPr>
        <w:jc w:val="center"/>
        <w:rPr>
          <w:rFonts w:ascii="宋体" w:hAnsi="宋体" w:cs="宋体"/>
        </w:rPr>
      </w:pPr>
    </w:p>
    <w:p>
      <w:pPr>
        <w:jc w:val="center"/>
        <w:outlineLvl w:val="0"/>
        <w:rPr>
          <w:rFonts w:ascii="宋体" w:hAnsi="宋体" w:cs="宋体"/>
          <w:sz w:val="44"/>
          <w:szCs w:val="44"/>
        </w:rPr>
      </w:pPr>
    </w:p>
    <w:p>
      <w:pPr>
        <w:spacing w:line="1600" w:lineRule="exact"/>
        <w:jc w:val="center"/>
        <w:outlineLvl w:val="0"/>
        <w:rPr>
          <w:rFonts w:ascii="宋体" w:hAnsi="宋体" w:cs="宋体"/>
          <w:sz w:val="112"/>
          <w:szCs w:val="112"/>
        </w:rPr>
      </w:pPr>
      <w:r>
        <w:rPr>
          <w:rFonts w:hint="eastAsia" w:ascii="宋体" w:hAnsi="宋体" w:cs="宋体"/>
          <w:sz w:val="112"/>
          <w:szCs w:val="112"/>
        </w:rPr>
        <w:t>竞争性磋商文件</w:t>
      </w:r>
    </w:p>
    <w:p>
      <w:pPr>
        <w:spacing w:line="700" w:lineRule="exact"/>
        <w:jc w:val="center"/>
        <w:rPr>
          <w:rFonts w:ascii="宋体" w:hAnsi="宋体" w:cs="宋体"/>
          <w:sz w:val="32"/>
        </w:rPr>
      </w:pPr>
    </w:p>
    <w:p>
      <w:pPr>
        <w:spacing w:line="700" w:lineRule="exact"/>
        <w:rPr>
          <w:rFonts w:ascii="宋体" w:hAnsi="宋体" w:cs="宋体"/>
          <w:sz w:val="32"/>
        </w:rPr>
      </w:pPr>
    </w:p>
    <w:p>
      <w:pPr>
        <w:spacing w:line="700" w:lineRule="exact"/>
        <w:jc w:val="center"/>
        <w:rPr>
          <w:rFonts w:ascii="宋体" w:hAnsi="宋体" w:cs="宋体"/>
          <w:sz w:val="32"/>
        </w:rPr>
      </w:pPr>
    </w:p>
    <w:p>
      <w:pPr>
        <w:spacing w:line="800" w:lineRule="exact"/>
        <w:ind w:firstLine="320" w:firstLineChars="100"/>
        <w:outlineLvl w:val="0"/>
        <w:rPr>
          <w:rFonts w:hint="default" w:ascii="宋体" w:hAnsi="宋体" w:eastAsia="宋体" w:cs="宋体"/>
          <w:sz w:val="32"/>
          <w:szCs w:val="32"/>
          <w:lang w:val="en-US" w:eastAsia="zh-CN"/>
        </w:rPr>
      </w:pPr>
      <w:r>
        <w:rPr>
          <w:rFonts w:hint="eastAsia" w:ascii="宋体" w:hAnsi="宋体" w:cs="宋体"/>
          <w:sz w:val="32"/>
          <w:szCs w:val="32"/>
        </w:rPr>
        <w:t>项   目   号：</w:t>
      </w:r>
      <w:r>
        <w:rPr>
          <w:rFonts w:hint="eastAsia" w:ascii="宋体" w:hAnsi="宋体" w:cs="宋体"/>
          <w:color w:val="auto"/>
          <w:sz w:val="32"/>
          <w:szCs w:val="32"/>
          <w:highlight w:val="none"/>
        </w:rPr>
        <w:t>PG-WXDZ2024-</w:t>
      </w:r>
      <w:r>
        <w:rPr>
          <w:rFonts w:hint="eastAsia" w:ascii="宋体" w:hAnsi="宋体" w:cs="宋体"/>
          <w:color w:val="auto"/>
          <w:sz w:val="32"/>
          <w:szCs w:val="32"/>
          <w:highlight w:val="none"/>
          <w:lang w:val="en-US" w:eastAsia="zh-CN"/>
        </w:rPr>
        <w:t>008</w:t>
      </w:r>
    </w:p>
    <w:p>
      <w:pPr>
        <w:spacing w:line="800" w:lineRule="exact"/>
        <w:ind w:left="2559" w:leftChars="114" w:hanging="2240" w:hangingChars="700"/>
        <w:outlineLvl w:val="0"/>
        <w:rPr>
          <w:rFonts w:ascii="宋体" w:hAnsi="宋体" w:cs="宋体"/>
          <w:sz w:val="32"/>
          <w:szCs w:val="32"/>
        </w:rPr>
      </w:pPr>
      <w:r>
        <w:rPr>
          <w:rFonts w:hint="eastAsia" w:ascii="宋体" w:hAnsi="宋体" w:cs="宋体"/>
          <w:sz w:val="32"/>
          <w:szCs w:val="32"/>
        </w:rPr>
        <w:t>磋商项目名称：2024年重庆市无线电专用设备运维</w:t>
      </w:r>
    </w:p>
    <w:p>
      <w:pPr>
        <w:spacing w:line="600" w:lineRule="exact"/>
        <w:rPr>
          <w:rFonts w:ascii="宋体" w:hAnsi="宋体" w:cs="宋体"/>
          <w:sz w:val="32"/>
          <w:szCs w:val="32"/>
        </w:rPr>
      </w:pPr>
    </w:p>
    <w:p>
      <w:pPr>
        <w:spacing w:line="600" w:lineRule="exact"/>
        <w:rPr>
          <w:rFonts w:ascii="宋体" w:hAnsi="宋体" w:cs="宋体"/>
          <w:b/>
          <w:sz w:val="32"/>
          <w:szCs w:val="32"/>
        </w:rPr>
      </w:pPr>
    </w:p>
    <w:p>
      <w:pPr>
        <w:pStyle w:val="6"/>
        <w:spacing w:line="600" w:lineRule="exact"/>
        <w:rPr>
          <w:rFonts w:ascii="宋体" w:hAnsi="宋体" w:eastAsia="宋体" w:cs="宋体"/>
          <w:b/>
          <w:szCs w:val="32"/>
        </w:rPr>
      </w:pPr>
    </w:p>
    <w:p>
      <w:pPr>
        <w:spacing w:line="800" w:lineRule="exact"/>
        <w:ind w:firstLine="320" w:firstLineChars="100"/>
        <w:outlineLvl w:val="0"/>
        <w:rPr>
          <w:rFonts w:ascii="宋体" w:hAnsi="宋体" w:cs="宋体"/>
          <w:sz w:val="32"/>
          <w:szCs w:val="32"/>
        </w:rPr>
      </w:pPr>
      <w:r>
        <w:rPr>
          <w:rFonts w:hint="eastAsia" w:ascii="宋体" w:hAnsi="宋体" w:cs="宋体"/>
          <w:sz w:val="32"/>
          <w:szCs w:val="32"/>
        </w:rPr>
        <w:t xml:space="preserve">采   购   人：重庆市无线电监测站 </w:t>
      </w:r>
    </w:p>
    <w:p>
      <w:pPr>
        <w:spacing w:line="800" w:lineRule="exact"/>
        <w:ind w:firstLine="320" w:firstLineChars="100"/>
        <w:outlineLvl w:val="0"/>
        <w:rPr>
          <w:rFonts w:ascii="宋体" w:hAnsi="宋体" w:cs="宋体"/>
          <w:sz w:val="32"/>
          <w:szCs w:val="32"/>
        </w:rPr>
      </w:pPr>
      <w:r>
        <w:rPr>
          <w:rFonts w:hint="eastAsia" w:ascii="宋体" w:hAnsi="宋体" w:cs="宋体"/>
          <w:sz w:val="32"/>
          <w:szCs w:val="32"/>
        </w:rPr>
        <w:t>采购代理机构：攀钢集团工科工程咨询有限公司</w:t>
      </w:r>
    </w:p>
    <w:p>
      <w:pPr>
        <w:spacing w:line="800" w:lineRule="exact"/>
        <w:jc w:val="center"/>
        <w:outlineLvl w:val="0"/>
        <w:rPr>
          <w:rFonts w:ascii="宋体" w:hAnsi="宋体" w:cs="宋体"/>
          <w:sz w:val="32"/>
          <w:szCs w:val="32"/>
        </w:rPr>
      </w:pPr>
    </w:p>
    <w:p>
      <w:pPr>
        <w:spacing w:line="800" w:lineRule="exact"/>
        <w:jc w:val="center"/>
        <w:outlineLvl w:val="0"/>
        <w:rPr>
          <w:rFonts w:ascii="宋体" w:hAnsi="宋体" w:cs="宋体"/>
          <w:sz w:val="32"/>
          <w:szCs w:val="32"/>
        </w:rPr>
      </w:pPr>
      <w:r>
        <w:rPr>
          <w:rFonts w:hint="eastAsia" w:ascii="宋体" w:hAnsi="宋体" w:cs="宋体"/>
          <w:sz w:val="32"/>
          <w:szCs w:val="32"/>
        </w:rPr>
        <w:t>二〇二四年</w:t>
      </w:r>
      <w:r>
        <w:rPr>
          <w:rFonts w:hint="eastAsia" w:ascii="宋体" w:hAnsi="宋体" w:cs="宋体"/>
          <w:sz w:val="32"/>
          <w:szCs w:val="32"/>
          <w:lang w:val="en-US" w:eastAsia="zh-CN"/>
        </w:rPr>
        <w:t>四</w:t>
      </w:r>
      <w:r>
        <w:rPr>
          <w:rFonts w:hint="eastAsia" w:ascii="宋体" w:hAnsi="宋体" w:cs="宋体"/>
          <w:sz w:val="32"/>
          <w:szCs w:val="32"/>
        </w:rPr>
        <w:t>月</w:t>
      </w:r>
    </w:p>
    <w:p>
      <w:pPr>
        <w:spacing w:line="800" w:lineRule="exact"/>
        <w:jc w:val="center"/>
        <w:outlineLvl w:val="0"/>
        <w:rPr>
          <w:rFonts w:ascii="宋体" w:hAnsi="宋体" w:cs="宋体"/>
          <w:sz w:val="32"/>
          <w:szCs w:val="32"/>
        </w:rPr>
        <w:sectPr>
          <w:headerReference r:id="rId4" w:type="first"/>
          <w:footerReference r:id="rId7" w:type="first"/>
          <w:headerReference r:id="rId3" w:type="default"/>
          <w:footerReference r:id="rId5" w:type="default"/>
          <w:footerReference r:id="rId6" w:type="even"/>
          <w:pgSz w:w="11907" w:h="16840"/>
          <w:pgMar w:top="1417" w:right="1417" w:bottom="1417" w:left="1417" w:header="851" w:footer="992" w:gutter="0"/>
          <w:pgNumType w:start="1"/>
          <w:cols w:space="0" w:num="1"/>
          <w:titlePg/>
          <w:docGrid w:linePitch="381" w:charSpace="0"/>
        </w:sectPr>
      </w:pPr>
    </w:p>
    <w:p>
      <w:pPr>
        <w:pageBreakBefore/>
        <w:spacing w:line="480" w:lineRule="exact"/>
        <w:jc w:val="center"/>
        <w:outlineLvl w:val="0"/>
        <w:rPr>
          <w:rFonts w:ascii="宋体" w:hAnsi="宋体" w:cs="宋体"/>
          <w:sz w:val="44"/>
          <w:szCs w:val="28"/>
        </w:rPr>
      </w:pPr>
      <w:r>
        <w:rPr>
          <w:rFonts w:hint="eastAsia" w:ascii="宋体" w:hAnsi="宋体" w:cs="宋体"/>
          <w:sz w:val="44"/>
          <w:szCs w:val="28"/>
        </w:rPr>
        <w:t>目   录</w:t>
      </w:r>
    </w:p>
    <w:p>
      <w:pPr>
        <w:pStyle w:val="6"/>
        <w:rPr>
          <w:rFonts w:ascii="宋体" w:hAnsi="宋体" w:eastAsia="宋体" w:cs="宋体"/>
        </w:rPr>
      </w:pPr>
    </w:p>
    <w:p>
      <w:pPr>
        <w:pStyle w:val="12"/>
        <w:tabs>
          <w:tab w:val="right" w:leader="dot" w:pos="9515"/>
        </w:tabs>
        <w:spacing w:line="700" w:lineRule="exact"/>
        <w:ind w:left="560"/>
        <w:rPr>
          <w:rFonts w:ascii="宋体" w:hAnsi="宋体" w:cs="宋体"/>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 TOC \o "1-3" \h \z </w:instrText>
      </w:r>
      <w:r>
        <w:rPr>
          <w:rFonts w:hint="eastAsia" w:ascii="宋体" w:hAnsi="宋体" w:cs="宋体"/>
          <w:sz w:val="30"/>
          <w:szCs w:val="30"/>
        </w:rPr>
        <w:fldChar w:fldCharType="separate"/>
      </w:r>
      <w:r>
        <w:fldChar w:fldCharType="begin"/>
      </w:r>
      <w:r>
        <w:instrText xml:space="preserve"> HYPERLINK \l "_Toc20130529" </w:instrText>
      </w:r>
      <w:r>
        <w:fldChar w:fldCharType="separate"/>
      </w:r>
      <w:r>
        <w:rPr>
          <w:rStyle w:val="18"/>
          <w:rFonts w:hint="eastAsia" w:ascii="宋体" w:hAnsi="宋体" w:cs="宋体"/>
          <w:sz w:val="30"/>
          <w:szCs w:val="30"/>
        </w:rPr>
        <w:t>第一篇  采购邀请书</w:t>
      </w:r>
      <w:r>
        <w:rPr>
          <w:rFonts w:hint="eastAsia" w:ascii="宋体" w:hAnsi="宋体" w:cs="宋体"/>
          <w:sz w:val="30"/>
          <w:szCs w:val="30"/>
        </w:rPr>
        <w:tab/>
      </w:r>
      <w:r>
        <w:rPr>
          <w:rFonts w:hint="eastAsia" w:ascii="宋体" w:hAnsi="宋体" w:cs="宋体"/>
          <w:sz w:val="30"/>
          <w:szCs w:val="30"/>
        </w:rPr>
        <w:fldChar w:fldCharType="begin"/>
      </w:r>
      <w:r>
        <w:rPr>
          <w:rFonts w:hint="eastAsia" w:ascii="宋体" w:hAnsi="宋体" w:cs="宋体"/>
          <w:sz w:val="30"/>
          <w:szCs w:val="30"/>
        </w:rPr>
        <w:instrText xml:space="preserve"> PAGEREF _Toc20130529 \h </w:instrText>
      </w:r>
      <w:r>
        <w:rPr>
          <w:rFonts w:hint="eastAsia" w:ascii="宋体" w:hAnsi="宋体" w:cs="宋体"/>
          <w:sz w:val="30"/>
          <w:szCs w:val="30"/>
        </w:rPr>
        <w:fldChar w:fldCharType="separate"/>
      </w:r>
      <w:r>
        <w:rPr>
          <w:rFonts w:hint="eastAsia" w:ascii="宋体" w:hAnsi="宋体" w:cs="宋体"/>
          <w:sz w:val="30"/>
          <w:szCs w:val="30"/>
        </w:rPr>
        <w:t>3</w:t>
      </w:r>
      <w:r>
        <w:rPr>
          <w:rFonts w:hint="eastAsia" w:ascii="宋体" w:hAnsi="宋体" w:cs="宋体"/>
          <w:sz w:val="30"/>
          <w:szCs w:val="30"/>
        </w:rPr>
        <w:fldChar w:fldCharType="end"/>
      </w:r>
      <w:r>
        <w:rPr>
          <w:rFonts w:hint="eastAsia" w:ascii="宋体" w:hAnsi="宋体" w:cs="宋体"/>
          <w:sz w:val="30"/>
          <w:szCs w:val="30"/>
        </w:rPr>
        <w:fldChar w:fldCharType="end"/>
      </w:r>
    </w:p>
    <w:p>
      <w:pPr>
        <w:pStyle w:val="12"/>
        <w:tabs>
          <w:tab w:val="right" w:leader="dot" w:pos="9515"/>
        </w:tabs>
        <w:spacing w:line="700" w:lineRule="exact"/>
        <w:ind w:left="560"/>
        <w:rPr>
          <w:rFonts w:ascii="宋体" w:hAnsi="宋体" w:cs="宋体"/>
          <w:sz w:val="30"/>
          <w:szCs w:val="30"/>
        </w:rPr>
      </w:pPr>
      <w:r>
        <w:fldChar w:fldCharType="begin"/>
      </w:r>
      <w:r>
        <w:instrText xml:space="preserve"> HYPERLINK \l "_Toc20130538" </w:instrText>
      </w:r>
      <w:r>
        <w:fldChar w:fldCharType="separate"/>
      </w:r>
      <w:r>
        <w:rPr>
          <w:rStyle w:val="18"/>
          <w:rFonts w:hint="eastAsia" w:ascii="宋体" w:hAnsi="宋体" w:cs="宋体"/>
          <w:sz w:val="30"/>
          <w:szCs w:val="30"/>
        </w:rPr>
        <w:t>第二篇  项目技术需求</w:t>
      </w:r>
      <w:r>
        <w:rPr>
          <w:rFonts w:hint="eastAsia" w:ascii="宋体" w:hAnsi="宋体" w:cs="宋体"/>
          <w:sz w:val="30"/>
          <w:szCs w:val="30"/>
        </w:rPr>
        <w:tab/>
      </w:r>
      <w:r>
        <w:rPr>
          <w:rFonts w:hint="eastAsia" w:ascii="宋体" w:hAnsi="宋体" w:cs="宋体"/>
          <w:sz w:val="30"/>
          <w:szCs w:val="30"/>
        </w:rPr>
        <w:fldChar w:fldCharType="begin"/>
      </w:r>
      <w:r>
        <w:rPr>
          <w:rFonts w:hint="eastAsia" w:ascii="宋体" w:hAnsi="宋体" w:cs="宋体"/>
          <w:sz w:val="30"/>
          <w:szCs w:val="30"/>
        </w:rPr>
        <w:instrText xml:space="preserve"> PAGEREF _Toc20130538 \h </w:instrText>
      </w:r>
      <w:r>
        <w:rPr>
          <w:rFonts w:hint="eastAsia" w:ascii="宋体" w:hAnsi="宋体" w:cs="宋体"/>
          <w:sz w:val="30"/>
          <w:szCs w:val="30"/>
        </w:rPr>
        <w:fldChar w:fldCharType="separate"/>
      </w:r>
      <w:r>
        <w:rPr>
          <w:rFonts w:hint="eastAsia" w:ascii="宋体" w:hAnsi="宋体" w:cs="宋体"/>
          <w:sz w:val="30"/>
          <w:szCs w:val="30"/>
        </w:rPr>
        <w:t>7</w:t>
      </w:r>
      <w:r>
        <w:rPr>
          <w:rFonts w:hint="eastAsia" w:ascii="宋体" w:hAnsi="宋体" w:cs="宋体"/>
          <w:sz w:val="30"/>
          <w:szCs w:val="30"/>
        </w:rPr>
        <w:fldChar w:fldCharType="end"/>
      </w:r>
      <w:r>
        <w:rPr>
          <w:rFonts w:hint="eastAsia" w:ascii="宋体" w:hAnsi="宋体" w:cs="宋体"/>
          <w:sz w:val="30"/>
          <w:szCs w:val="30"/>
        </w:rPr>
        <w:fldChar w:fldCharType="end"/>
      </w:r>
    </w:p>
    <w:p>
      <w:pPr>
        <w:pStyle w:val="12"/>
        <w:tabs>
          <w:tab w:val="right" w:leader="dot" w:pos="9515"/>
        </w:tabs>
        <w:spacing w:line="700" w:lineRule="exact"/>
        <w:ind w:left="560"/>
        <w:rPr>
          <w:rFonts w:ascii="宋体" w:hAnsi="宋体" w:cs="宋体"/>
          <w:sz w:val="30"/>
          <w:szCs w:val="30"/>
        </w:rPr>
      </w:pPr>
      <w:r>
        <w:fldChar w:fldCharType="begin"/>
      </w:r>
      <w:r>
        <w:instrText xml:space="preserve"> HYPERLINK \l "_Toc20130542" </w:instrText>
      </w:r>
      <w:r>
        <w:fldChar w:fldCharType="separate"/>
      </w:r>
      <w:r>
        <w:rPr>
          <w:rStyle w:val="18"/>
          <w:rFonts w:hint="eastAsia" w:ascii="宋体" w:hAnsi="宋体" w:cs="宋体"/>
          <w:sz w:val="30"/>
          <w:szCs w:val="30"/>
        </w:rPr>
        <w:t>第三篇  项目商务需求</w:t>
      </w:r>
      <w:r>
        <w:rPr>
          <w:rFonts w:hint="eastAsia" w:ascii="宋体" w:hAnsi="宋体" w:cs="宋体"/>
          <w:sz w:val="30"/>
          <w:szCs w:val="30"/>
        </w:rPr>
        <w:tab/>
      </w:r>
      <w:r>
        <w:rPr>
          <w:rFonts w:hint="eastAsia" w:ascii="宋体" w:hAnsi="宋体" w:cs="宋体"/>
          <w:sz w:val="30"/>
          <w:szCs w:val="30"/>
        </w:rPr>
        <w:fldChar w:fldCharType="begin"/>
      </w:r>
      <w:r>
        <w:rPr>
          <w:rFonts w:hint="eastAsia" w:ascii="宋体" w:hAnsi="宋体" w:cs="宋体"/>
          <w:sz w:val="30"/>
          <w:szCs w:val="30"/>
        </w:rPr>
        <w:instrText xml:space="preserve"> PAGEREF _Toc20130542 \h </w:instrText>
      </w:r>
      <w:r>
        <w:rPr>
          <w:rFonts w:hint="eastAsia" w:ascii="宋体" w:hAnsi="宋体" w:cs="宋体"/>
          <w:sz w:val="30"/>
          <w:szCs w:val="30"/>
        </w:rPr>
        <w:fldChar w:fldCharType="separate"/>
      </w:r>
      <w:r>
        <w:rPr>
          <w:rFonts w:hint="eastAsia" w:ascii="宋体" w:hAnsi="宋体" w:cs="宋体"/>
          <w:sz w:val="30"/>
          <w:szCs w:val="30"/>
        </w:rPr>
        <w:t>7</w:t>
      </w:r>
      <w:r>
        <w:rPr>
          <w:rFonts w:hint="eastAsia" w:ascii="宋体" w:hAnsi="宋体" w:cs="宋体"/>
          <w:sz w:val="30"/>
          <w:szCs w:val="30"/>
        </w:rPr>
        <w:fldChar w:fldCharType="end"/>
      </w:r>
      <w:r>
        <w:rPr>
          <w:rFonts w:hint="eastAsia" w:ascii="宋体" w:hAnsi="宋体" w:cs="宋体"/>
          <w:sz w:val="30"/>
          <w:szCs w:val="30"/>
        </w:rPr>
        <w:fldChar w:fldCharType="end"/>
      </w:r>
    </w:p>
    <w:p>
      <w:pPr>
        <w:pStyle w:val="12"/>
        <w:tabs>
          <w:tab w:val="right" w:leader="dot" w:pos="9515"/>
        </w:tabs>
        <w:spacing w:line="700" w:lineRule="exact"/>
        <w:ind w:left="560"/>
        <w:rPr>
          <w:rFonts w:ascii="宋体" w:hAnsi="宋体" w:cs="宋体"/>
          <w:sz w:val="30"/>
          <w:szCs w:val="30"/>
        </w:rPr>
      </w:pPr>
      <w:r>
        <w:fldChar w:fldCharType="begin"/>
      </w:r>
      <w:r>
        <w:instrText xml:space="preserve"> HYPERLINK \l "_Toc20130552" </w:instrText>
      </w:r>
      <w:r>
        <w:fldChar w:fldCharType="separate"/>
      </w:r>
      <w:r>
        <w:rPr>
          <w:rStyle w:val="18"/>
          <w:rFonts w:hint="eastAsia" w:ascii="宋体" w:hAnsi="宋体" w:cs="宋体"/>
          <w:sz w:val="30"/>
          <w:szCs w:val="30"/>
        </w:rPr>
        <w:t>第五篇  供应商须知</w:t>
      </w:r>
      <w:r>
        <w:rPr>
          <w:rFonts w:hint="eastAsia" w:ascii="宋体" w:hAnsi="宋体" w:cs="宋体"/>
          <w:sz w:val="30"/>
          <w:szCs w:val="30"/>
        </w:rPr>
        <w:tab/>
      </w:r>
      <w:r>
        <w:rPr>
          <w:rFonts w:hint="eastAsia" w:ascii="宋体" w:hAnsi="宋体" w:cs="宋体"/>
          <w:sz w:val="30"/>
          <w:szCs w:val="30"/>
        </w:rPr>
        <w:fldChar w:fldCharType="begin"/>
      </w:r>
      <w:r>
        <w:rPr>
          <w:rFonts w:hint="eastAsia" w:ascii="宋体" w:hAnsi="宋体" w:cs="宋体"/>
          <w:sz w:val="30"/>
          <w:szCs w:val="30"/>
        </w:rPr>
        <w:instrText xml:space="preserve"> PAGEREF _Toc20130552 \h </w:instrText>
      </w:r>
      <w:r>
        <w:rPr>
          <w:rFonts w:hint="eastAsia" w:ascii="宋体" w:hAnsi="宋体" w:cs="宋体"/>
          <w:sz w:val="30"/>
          <w:szCs w:val="30"/>
        </w:rPr>
        <w:fldChar w:fldCharType="separate"/>
      </w:r>
      <w:r>
        <w:rPr>
          <w:rFonts w:hint="eastAsia" w:ascii="宋体" w:hAnsi="宋体" w:cs="宋体"/>
          <w:sz w:val="30"/>
          <w:szCs w:val="30"/>
        </w:rPr>
        <w:t>17</w:t>
      </w:r>
      <w:r>
        <w:rPr>
          <w:rFonts w:hint="eastAsia" w:ascii="宋体" w:hAnsi="宋体" w:cs="宋体"/>
          <w:sz w:val="30"/>
          <w:szCs w:val="30"/>
        </w:rPr>
        <w:fldChar w:fldCharType="end"/>
      </w:r>
      <w:r>
        <w:rPr>
          <w:rFonts w:hint="eastAsia" w:ascii="宋体" w:hAnsi="宋体" w:cs="宋体"/>
          <w:sz w:val="30"/>
          <w:szCs w:val="30"/>
        </w:rPr>
        <w:fldChar w:fldCharType="end"/>
      </w:r>
    </w:p>
    <w:p>
      <w:pPr>
        <w:pStyle w:val="12"/>
        <w:tabs>
          <w:tab w:val="right" w:leader="dot" w:pos="9515"/>
        </w:tabs>
        <w:spacing w:line="700" w:lineRule="exact"/>
        <w:ind w:left="560"/>
        <w:rPr>
          <w:rFonts w:ascii="宋体" w:hAnsi="宋体" w:cs="宋体"/>
          <w:sz w:val="30"/>
          <w:szCs w:val="30"/>
        </w:rPr>
      </w:pPr>
      <w:r>
        <w:fldChar w:fldCharType="begin"/>
      </w:r>
      <w:r>
        <w:instrText xml:space="preserve"> HYPERLINK \l "_Toc20130563" </w:instrText>
      </w:r>
      <w:r>
        <w:fldChar w:fldCharType="separate"/>
      </w:r>
      <w:r>
        <w:rPr>
          <w:rStyle w:val="18"/>
          <w:rFonts w:hint="eastAsia" w:ascii="宋体" w:hAnsi="宋体" w:cs="宋体"/>
          <w:sz w:val="30"/>
          <w:szCs w:val="30"/>
        </w:rPr>
        <w:t>第六篇  合同草案条款</w:t>
      </w:r>
      <w:r>
        <w:rPr>
          <w:rFonts w:hint="eastAsia" w:ascii="宋体" w:hAnsi="宋体" w:cs="宋体"/>
          <w:sz w:val="30"/>
          <w:szCs w:val="30"/>
        </w:rPr>
        <w:tab/>
      </w:r>
      <w:r>
        <w:rPr>
          <w:rFonts w:hint="eastAsia" w:ascii="宋体" w:hAnsi="宋体" w:cs="宋体"/>
          <w:sz w:val="30"/>
          <w:szCs w:val="30"/>
        </w:rPr>
        <w:fldChar w:fldCharType="begin"/>
      </w:r>
      <w:r>
        <w:rPr>
          <w:rFonts w:hint="eastAsia" w:ascii="宋体" w:hAnsi="宋体" w:cs="宋体"/>
          <w:sz w:val="30"/>
          <w:szCs w:val="30"/>
        </w:rPr>
        <w:instrText xml:space="preserve"> PAGEREF _Toc20130563 \h </w:instrText>
      </w:r>
      <w:r>
        <w:rPr>
          <w:rFonts w:hint="eastAsia" w:ascii="宋体" w:hAnsi="宋体" w:cs="宋体"/>
          <w:sz w:val="30"/>
          <w:szCs w:val="30"/>
        </w:rPr>
        <w:fldChar w:fldCharType="separate"/>
      </w:r>
      <w:r>
        <w:rPr>
          <w:rFonts w:hint="eastAsia" w:ascii="宋体" w:hAnsi="宋体" w:cs="宋体"/>
          <w:sz w:val="30"/>
          <w:szCs w:val="30"/>
        </w:rPr>
        <w:t>22</w:t>
      </w:r>
      <w:r>
        <w:rPr>
          <w:rFonts w:hint="eastAsia" w:ascii="宋体" w:hAnsi="宋体" w:cs="宋体"/>
          <w:sz w:val="30"/>
          <w:szCs w:val="30"/>
        </w:rPr>
        <w:fldChar w:fldCharType="end"/>
      </w:r>
      <w:r>
        <w:rPr>
          <w:rFonts w:hint="eastAsia" w:ascii="宋体" w:hAnsi="宋体" w:cs="宋体"/>
          <w:sz w:val="30"/>
          <w:szCs w:val="30"/>
        </w:rPr>
        <w:fldChar w:fldCharType="end"/>
      </w:r>
    </w:p>
    <w:p>
      <w:pPr>
        <w:pStyle w:val="12"/>
        <w:tabs>
          <w:tab w:val="right" w:leader="dot" w:pos="9515"/>
        </w:tabs>
        <w:spacing w:line="700" w:lineRule="exact"/>
        <w:ind w:left="560"/>
        <w:rPr>
          <w:rFonts w:ascii="宋体" w:hAnsi="宋体" w:cs="宋体"/>
          <w:sz w:val="30"/>
          <w:szCs w:val="30"/>
        </w:rPr>
      </w:pPr>
      <w:r>
        <w:fldChar w:fldCharType="begin"/>
      </w:r>
      <w:r>
        <w:instrText xml:space="preserve"> HYPERLINK \l "_Toc20130566" </w:instrText>
      </w:r>
      <w:r>
        <w:fldChar w:fldCharType="separate"/>
      </w:r>
      <w:r>
        <w:rPr>
          <w:rStyle w:val="18"/>
          <w:rFonts w:hint="eastAsia" w:ascii="宋体" w:hAnsi="宋体" w:cs="宋体"/>
          <w:sz w:val="30"/>
          <w:szCs w:val="30"/>
        </w:rPr>
        <w:t>第七篇  响应文件编制要求</w:t>
      </w:r>
      <w:r>
        <w:rPr>
          <w:rFonts w:hint="eastAsia" w:ascii="宋体" w:hAnsi="宋体" w:cs="宋体"/>
          <w:sz w:val="30"/>
          <w:szCs w:val="30"/>
        </w:rPr>
        <w:tab/>
      </w:r>
      <w:r>
        <w:rPr>
          <w:rFonts w:hint="eastAsia" w:ascii="宋体" w:hAnsi="宋体" w:cs="宋体"/>
          <w:sz w:val="30"/>
          <w:szCs w:val="30"/>
        </w:rPr>
        <w:fldChar w:fldCharType="begin"/>
      </w:r>
      <w:r>
        <w:rPr>
          <w:rFonts w:hint="eastAsia" w:ascii="宋体" w:hAnsi="宋体" w:cs="宋体"/>
          <w:sz w:val="30"/>
          <w:szCs w:val="30"/>
        </w:rPr>
        <w:instrText xml:space="preserve"> PAGEREF _Toc20130566 \h </w:instrText>
      </w:r>
      <w:r>
        <w:rPr>
          <w:rFonts w:hint="eastAsia" w:ascii="宋体" w:hAnsi="宋体" w:cs="宋体"/>
          <w:sz w:val="30"/>
          <w:szCs w:val="30"/>
        </w:rPr>
        <w:fldChar w:fldCharType="separate"/>
      </w:r>
      <w:r>
        <w:rPr>
          <w:rFonts w:hint="eastAsia" w:ascii="宋体" w:hAnsi="宋体" w:cs="宋体"/>
          <w:sz w:val="30"/>
          <w:szCs w:val="30"/>
        </w:rPr>
        <w:t>23</w:t>
      </w:r>
      <w:r>
        <w:rPr>
          <w:rFonts w:hint="eastAsia" w:ascii="宋体" w:hAnsi="宋体" w:cs="宋体"/>
          <w:sz w:val="30"/>
          <w:szCs w:val="30"/>
        </w:rPr>
        <w:fldChar w:fldCharType="end"/>
      </w:r>
      <w:r>
        <w:rPr>
          <w:rFonts w:hint="eastAsia" w:ascii="宋体" w:hAnsi="宋体" w:cs="宋体"/>
          <w:sz w:val="30"/>
          <w:szCs w:val="30"/>
        </w:rPr>
        <w:fldChar w:fldCharType="end"/>
      </w:r>
    </w:p>
    <w:p>
      <w:pPr>
        <w:pStyle w:val="12"/>
        <w:tabs>
          <w:tab w:val="right" w:leader="dot" w:pos="9402"/>
        </w:tabs>
        <w:spacing w:line="700" w:lineRule="exact"/>
        <w:ind w:left="560"/>
        <w:jc w:val="center"/>
        <w:rPr>
          <w:rFonts w:ascii="宋体" w:hAnsi="宋体" w:cs="宋体"/>
          <w:sz w:val="24"/>
          <w:szCs w:val="24"/>
        </w:rPr>
        <w:sectPr>
          <w:headerReference r:id="rId9" w:type="first"/>
          <w:footerReference r:id="rId12" w:type="first"/>
          <w:headerReference r:id="rId8" w:type="default"/>
          <w:footerReference r:id="rId10" w:type="default"/>
          <w:footerReference r:id="rId11" w:type="even"/>
          <w:pgSz w:w="11907" w:h="16840"/>
          <w:pgMar w:top="1134" w:right="1191" w:bottom="1134" w:left="1191" w:header="851" w:footer="992" w:gutter="0"/>
          <w:cols w:space="720" w:num="1"/>
          <w:docGrid w:linePitch="380" w:charSpace="-5735"/>
        </w:sectPr>
      </w:pPr>
      <w:r>
        <w:rPr>
          <w:rFonts w:hint="eastAsia" w:ascii="宋体" w:hAnsi="宋体" w:cs="宋体"/>
          <w:sz w:val="30"/>
          <w:szCs w:val="30"/>
        </w:rPr>
        <w:fldChar w:fldCharType="end"/>
      </w:r>
    </w:p>
    <w:p>
      <w:pPr>
        <w:pStyle w:val="3"/>
        <w:spacing w:line="360" w:lineRule="auto"/>
        <w:jc w:val="center"/>
        <w:rPr>
          <w:rFonts w:ascii="宋体" w:hAnsi="宋体" w:eastAsia="宋体" w:cs="宋体"/>
          <w:b w:val="0"/>
          <w:szCs w:val="30"/>
        </w:rPr>
      </w:pPr>
      <w:bookmarkStart w:id="0" w:name="_Toc20130529"/>
      <w:bookmarkStart w:id="1" w:name="_Toc11641050"/>
      <w:bookmarkStart w:id="2" w:name="_Toc12789052"/>
      <w:r>
        <w:rPr>
          <w:rFonts w:hint="eastAsia" w:ascii="宋体" w:hAnsi="宋体" w:eastAsia="宋体" w:cs="宋体"/>
          <w:b w:val="0"/>
          <w:sz w:val="36"/>
          <w:szCs w:val="30"/>
        </w:rPr>
        <w:t>第一篇  采购邀请书</w:t>
      </w:r>
      <w:bookmarkEnd w:id="0"/>
      <w:bookmarkEnd w:id="1"/>
      <w:bookmarkEnd w:id="2"/>
    </w:p>
    <w:p>
      <w:pPr>
        <w:keepNext w:val="0"/>
        <w:keepLines w:val="0"/>
        <w:pageBreakBefore w:val="0"/>
        <w:widowControl w:val="0"/>
        <w:kinsoku/>
        <w:wordWrap/>
        <w:overflowPunct/>
        <w:topLinePunct w:val="0"/>
        <w:autoSpaceDE/>
        <w:autoSpaceDN/>
        <w:bidi w:val="0"/>
        <w:adjustRightInd/>
        <w:snapToGrid w:val="0"/>
        <w:spacing w:line="540" w:lineRule="exact"/>
        <w:ind w:firstLine="480" w:firstLineChars="200"/>
        <w:textAlignment w:val="auto"/>
        <w:rPr>
          <w:rFonts w:ascii="宋体" w:hAnsi="宋体" w:cs="宋体"/>
          <w:sz w:val="24"/>
          <w:szCs w:val="24"/>
        </w:rPr>
      </w:pPr>
      <w:r>
        <w:rPr>
          <w:rFonts w:hint="eastAsia" w:ascii="宋体" w:hAnsi="宋体" w:cs="宋体"/>
          <w:sz w:val="24"/>
          <w:szCs w:val="24"/>
          <w:u w:val="single"/>
        </w:rPr>
        <w:t>攀钢集团工科工程咨询有限公司</w:t>
      </w:r>
      <w:r>
        <w:rPr>
          <w:rFonts w:hint="eastAsia" w:ascii="宋体" w:hAnsi="宋体" w:cs="宋体"/>
          <w:sz w:val="24"/>
          <w:szCs w:val="24"/>
        </w:rPr>
        <w:t>接受</w:t>
      </w:r>
      <w:r>
        <w:rPr>
          <w:rFonts w:hint="eastAsia" w:ascii="宋体" w:hAnsi="宋体" w:cs="宋体"/>
          <w:sz w:val="24"/>
          <w:szCs w:val="24"/>
          <w:u w:val="single"/>
        </w:rPr>
        <w:t>重庆市无线电监测站</w:t>
      </w:r>
      <w:r>
        <w:rPr>
          <w:rFonts w:hint="eastAsia" w:ascii="宋体" w:hAnsi="宋体" w:cs="宋体"/>
          <w:sz w:val="24"/>
          <w:szCs w:val="24"/>
        </w:rPr>
        <w:t>的委托，对</w:t>
      </w:r>
      <w:r>
        <w:rPr>
          <w:rFonts w:hint="eastAsia" w:ascii="宋体" w:hAnsi="宋体" w:cs="宋体"/>
          <w:sz w:val="24"/>
          <w:szCs w:val="24"/>
          <w:u w:val="single"/>
        </w:rPr>
        <w:t xml:space="preserve"> 2024年重庆市无线电专用设备运维 </w:t>
      </w:r>
      <w:r>
        <w:rPr>
          <w:rFonts w:hint="eastAsia" w:ascii="宋体" w:hAnsi="宋体" w:cs="宋体"/>
          <w:sz w:val="24"/>
          <w:szCs w:val="24"/>
        </w:rPr>
        <w:t>进行竞争性磋商采购。欢迎有资格的供应商前来参与磋商。</w:t>
      </w:r>
    </w:p>
    <w:p>
      <w:pPr>
        <w:pStyle w:val="5"/>
        <w:pageBreakBefore w:val="0"/>
        <w:widowControl w:val="0"/>
        <w:kinsoku/>
        <w:wordWrap/>
        <w:overflowPunct/>
        <w:topLinePunct w:val="0"/>
        <w:autoSpaceDE/>
        <w:autoSpaceDN/>
        <w:bidi w:val="0"/>
        <w:adjustRightInd/>
        <w:spacing w:before="0" w:after="0" w:line="540" w:lineRule="exact"/>
        <w:ind w:firstLine="482" w:firstLineChars="200"/>
        <w:textAlignment w:val="auto"/>
        <w:rPr>
          <w:rFonts w:ascii="宋体" w:hAnsi="宋体" w:cs="宋体"/>
          <w:sz w:val="24"/>
          <w:szCs w:val="24"/>
        </w:rPr>
      </w:pPr>
      <w:bookmarkStart w:id="3" w:name="_Toc20130530"/>
      <w:bookmarkStart w:id="4" w:name="_Toc313893526"/>
      <w:bookmarkStart w:id="5" w:name="_Toc317775175"/>
      <w:r>
        <w:rPr>
          <w:rFonts w:hint="eastAsia" w:ascii="宋体" w:hAnsi="宋体" w:cs="宋体"/>
          <w:sz w:val="24"/>
          <w:szCs w:val="24"/>
        </w:rPr>
        <w:t>一、竞争性磋商内容</w:t>
      </w:r>
      <w:bookmarkEnd w:id="3"/>
      <w:bookmarkEnd w:id="4"/>
      <w:bookmarkEnd w:id="5"/>
    </w:p>
    <w:tbl>
      <w:tblPr>
        <w:tblStyle w:val="14"/>
        <w:tblW w:w="10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02"/>
        <w:gridCol w:w="1578"/>
        <w:gridCol w:w="1536"/>
        <w:gridCol w:w="1524"/>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3802" w:type="dxa"/>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1"/>
                <w:szCs w:val="21"/>
                <w:highlight w:val="none"/>
              </w:rPr>
            </w:pPr>
            <w:r>
              <w:rPr>
                <w:rFonts w:hint="eastAsia" w:ascii="宋体" w:hAnsi="宋体" w:cs="宋体"/>
                <w:b/>
                <w:bCs/>
                <w:kern w:val="0"/>
                <w:sz w:val="21"/>
                <w:szCs w:val="21"/>
                <w:highlight w:val="none"/>
              </w:rPr>
              <w:t>项目名称</w:t>
            </w:r>
          </w:p>
        </w:tc>
        <w:tc>
          <w:tcPr>
            <w:tcW w:w="1578" w:type="dxa"/>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1"/>
                <w:szCs w:val="21"/>
                <w:highlight w:val="none"/>
              </w:rPr>
            </w:pPr>
            <w:r>
              <w:rPr>
                <w:rFonts w:hint="eastAsia" w:ascii="宋体" w:hAnsi="宋体" w:cs="宋体"/>
                <w:b/>
                <w:bCs/>
                <w:kern w:val="0"/>
                <w:sz w:val="21"/>
                <w:szCs w:val="21"/>
                <w:highlight w:val="none"/>
              </w:rPr>
              <w:t>最高限价</w:t>
            </w:r>
          </w:p>
          <w:p>
            <w:pPr>
              <w:jc w:val="center"/>
              <w:rPr>
                <w:rFonts w:ascii="宋体" w:hAnsi="宋体" w:cs="宋体"/>
                <w:b/>
                <w:bCs/>
                <w:kern w:val="0"/>
                <w:sz w:val="21"/>
                <w:szCs w:val="21"/>
                <w:highlight w:val="none"/>
              </w:rPr>
            </w:pPr>
            <w:r>
              <w:rPr>
                <w:rFonts w:hint="eastAsia" w:ascii="宋体" w:hAnsi="宋体" w:cs="宋体"/>
                <w:b/>
                <w:bCs/>
                <w:kern w:val="0"/>
                <w:sz w:val="21"/>
                <w:szCs w:val="21"/>
                <w:highlight w:val="none"/>
              </w:rPr>
              <w:t>（万元）</w:t>
            </w:r>
          </w:p>
        </w:tc>
        <w:tc>
          <w:tcPr>
            <w:tcW w:w="1536" w:type="dxa"/>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1"/>
                <w:szCs w:val="21"/>
                <w:highlight w:val="none"/>
              </w:rPr>
            </w:pPr>
            <w:r>
              <w:rPr>
                <w:rFonts w:hint="eastAsia" w:ascii="宋体" w:hAnsi="宋体" w:cs="宋体"/>
                <w:b/>
                <w:bCs/>
                <w:kern w:val="0"/>
                <w:sz w:val="21"/>
                <w:szCs w:val="21"/>
                <w:highlight w:val="none"/>
              </w:rPr>
              <w:t>磋商保证金</w:t>
            </w:r>
          </w:p>
          <w:p>
            <w:pPr>
              <w:jc w:val="center"/>
              <w:rPr>
                <w:rFonts w:ascii="宋体" w:hAnsi="宋体" w:cs="宋体"/>
                <w:b/>
                <w:bCs/>
                <w:kern w:val="0"/>
                <w:sz w:val="21"/>
                <w:szCs w:val="21"/>
                <w:highlight w:val="none"/>
              </w:rPr>
            </w:pPr>
            <w:r>
              <w:rPr>
                <w:rFonts w:hint="eastAsia" w:ascii="宋体" w:hAnsi="宋体" w:cs="宋体"/>
                <w:b/>
                <w:bCs/>
                <w:kern w:val="0"/>
                <w:sz w:val="21"/>
                <w:szCs w:val="21"/>
                <w:highlight w:val="none"/>
              </w:rPr>
              <w:t>（万元）</w:t>
            </w:r>
          </w:p>
        </w:tc>
        <w:tc>
          <w:tcPr>
            <w:tcW w:w="1524" w:type="dxa"/>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1"/>
                <w:szCs w:val="21"/>
                <w:highlight w:val="none"/>
              </w:rPr>
            </w:pPr>
            <w:r>
              <w:rPr>
                <w:rFonts w:hint="eastAsia" w:ascii="宋体" w:hAnsi="宋体" w:cs="宋体"/>
                <w:b/>
                <w:bCs/>
                <w:kern w:val="0"/>
                <w:sz w:val="21"/>
                <w:szCs w:val="21"/>
                <w:highlight w:val="none"/>
              </w:rPr>
              <w:t>成交供应商数量（名）</w:t>
            </w:r>
          </w:p>
        </w:tc>
        <w:tc>
          <w:tcPr>
            <w:tcW w:w="2018" w:type="dxa"/>
            <w:tcBorders>
              <w:top w:val="single" w:color="auto" w:sz="4" w:space="0"/>
              <w:left w:val="single" w:color="auto" w:sz="4" w:space="0"/>
              <w:right w:val="single" w:color="auto" w:sz="4" w:space="0"/>
            </w:tcBorders>
            <w:vAlign w:val="center"/>
          </w:tcPr>
          <w:p>
            <w:pPr>
              <w:jc w:val="center"/>
              <w:rPr>
                <w:rFonts w:ascii="宋体" w:hAnsi="宋体" w:cs="宋体"/>
                <w:kern w:val="0"/>
                <w:sz w:val="21"/>
                <w:szCs w:val="21"/>
                <w:highlight w:val="none"/>
              </w:rPr>
            </w:pPr>
            <w:r>
              <w:rPr>
                <w:rFonts w:hint="eastAsia" w:ascii="宋体" w:hAnsi="宋体" w:cs="宋体"/>
                <w:b/>
                <w:bCs/>
                <w:kern w:val="0"/>
                <w:sz w:val="21"/>
                <w:szCs w:val="24"/>
                <w:highlight w:val="none"/>
              </w:rPr>
              <w:t>采购标的对应的中小企业划分标准所属行业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3802"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21"/>
                <w:szCs w:val="21"/>
                <w:highlight w:val="none"/>
              </w:rPr>
            </w:pPr>
            <w:bookmarkStart w:id="6" w:name="_Hlk344477914"/>
            <w:r>
              <w:rPr>
                <w:rFonts w:hint="eastAsia" w:ascii="宋体" w:hAnsi="宋体" w:cs="宋体"/>
                <w:kern w:val="0"/>
                <w:sz w:val="21"/>
                <w:szCs w:val="21"/>
                <w:highlight w:val="none"/>
              </w:rPr>
              <w:t>2024年重庆市无线电专用设备运维</w:t>
            </w:r>
          </w:p>
        </w:tc>
        <w:tc>
          <w:tcPr>
            <w:tcW w:w="1578" w:type="dxa"/>
            <w:tcBorders>
              <w:top w:val="single" w:color="auto" w:sz="4" w:space="0"/>
              <w:left w:val="single" w:color="auto" w:sz="4" w:space="0"/>
              <w:right w:val="single" w:color="auto" w:sz="4" w:space="0"/>
            </w:tcBorders>
            <w:vAlign w:val="center"/>
          </w:tcPr>
          <w:p>
            <w:pPr>
              <w:widowControl/>
              <w:jc w:val="center"/>
              <w:rPr>
                <w:rFonts w:hint="default" w:ascii="宋体" w:hAnsi="宋体" w:eastAsia="宋体" w:cs="宋体"/>
                <w:kern w:val="0"/>
                <w:sz w:val="21"/>
                <w:szCs w:val="21"/>
                <w:highlight w:val="none"/>
                <w:lang w:val="en-US" w:eastAsia="zh-CN"/>
              </w:rPr>
            </w:pPr>
            <w:r>
              <w:rPr>
                <w:rFonts w:hint="eastAsia" w:ascii="宋体" w:hAnsi="宋体" w:cs="宋体"/>
                <w:sz w:val="24"/>
                <w:szCs w:val="24"/>
                <w:lang w:val="en-US" w:eastAsia="zh-CN"/>
              </w:rPr>
              <w:t>47.7</w:t>
            </w:r>
          </w:p>
        </w:tc>
        <w:tc>
          <w:tcPr>
            <w:tcW w:w="1536" w:type="dxa"/>
            <w:tcBorders>
              <w:top w:val="single" w:color="auto" w:sz="4" w:space="0"/>
              <w:left w:val="single" w:color="auto" w:sz="4" w:space="0"/>
              <w:right w:val="single" w:color="auto" w:sz="4" w:space="0"/>
            </w:tcBorders>
            <w:vAlign w:val="center"/>
          </w:tcPr>
          <w:p>
            <w:pPr>
              <w:widowControl/>
              <w:jc w:val="center"/>
              <w:rPr>
                <w:rFonts w:hint="default" w:ascii="宋体" w:hAnsi="宋体" w:eastAsia="宋体" w:cs="宋体"/>
                <w:kern w:val="0"/>
                <w:sz w:val="21"/>
                <w:szCs w:val="21"/>
                <w:highlight w:val="none"/>
                <w:lang w:val="en-US" w:eastAsia="zh-CN"/>
              </w:rPr>
            </w:pPr>
            <w:r>
              <w:rPr>
                <w:rFonts w:hint="eastAsia" w:ascii="宋体" w:hAnsi="宋体" w:cs="宋体"/>
                <w:kern w:val="0"/>
                <w:sz w:val="21"/>
                <w:szCs w:val="21"/>
                <w:highlight w:val="none"/>
                <w:lang w:val="en-US" w:eastAsia="zh-CN"/>
              </w:rPr>
              <w:t>0.8</w:t>
            </w:r>
          </w:p>
        </w:tc>
        <w:tc>
          <w:tcPr>
            <w:tcW w:w="1524" w:type="dxa"/>
            <w:tcBorders>
              <w:top w:val="single" w:color="auto" w:sz="4" w:space="0"/>
              <w:left w:val="single" w:color="auto" w:sz="4" w:space="0"/>
              <w:right w:val="single" w:color="auto" w:sz="4" w:space="0"/>
            </w:tcBorders>
            <w:vAlign w:val="center"/>
          </w:tcPr>
          <w:p>
            <w:pPr>
              <w:widowControl/>
              <w:jc w:val="center"/>
              <w:rPr>
                <w:rFonts w:hint="eastAsia" w:ascii="宋体" w:hAnsi="宋体" w:eastAsia="宋体" w:cs="宋体"/>
                <w:kern w:val="0"/>
                <w:sz w:val="21"/>
                <w:szCs w:val="21"/>
                <w:highlight w:val="none"/>
                <w:lang w:val="en-US" w:eastAsia="zh-CN"/>
              </w:rPr>
            </w:pPr>
            <w:r>
              <w:rPr>
                <w:rFonts w:hint="eastAsia" w:ascii="宋体" w:hAnsi="宋体" w:cs="宋体"/>
                <w:kern w:val="0"/>
                <w:sz w:val="21"/>
                <w:szCs w:val="21"/>
                <w:highlight w:val="none"/>
                <w:lang w:val="en-US" w:eastAsia="zh-CN"/>
              </w:rPr>
              <w:t>1</w:t>
            </w:r>
          </w:p>
        </w:tc>
        <w:tc>
          <w:tcPr>
            <w:tcW w:w="2018" w:type="dxa"/>
            <w:tcBorders>
              <w:top w:val="single" w:color="auto" w:sz="4" w:space="0"/>
              <w:left w:val="single" w:color="auto" w:sz="4" w:space="0"/>
              <w:right w:val="single" w:color="auto" w:sz="4" w:space="0"/>
            </w:tcBorders>
            <w:vAlign w:val="center"/>
          </w:tcPr>
          <w:p>
            <w:pPr>
              <w:jc w:val="center"/>
              <w:rPr>
                <w:rFonts w:ascii="宋体" w:hAnsi="宋体" w:cs="宋体"/>
                <w:kern w:val="0"/>
                <w:sz w:val="21"/>
                <w:szCs w:val="21"/>
                <w:highlight w:val="none"/>
              </w:rPr>
            </w:pPr>
            <w:r>
              <w:rPr>
                <w:rFonts w:hint="eastAsia" w:ascii="宋体" w:hAnsi="宋体" w:cs="宋体"/>
                <w:kern w:val="0"/>
                <w:sz w:val="21"/>
                <w:szCs w:val="21"/>
                <w:highlight w:val="none"/>
              </w:rPr>
              <w:t>其他未列明行业</w:t>
            </w:r>
          </w:p>
        </w:tc>
      </w:tr>
      <w:bookmarkEnd w:id="6"/>
    </w:tbl>
    <w:p>
      <w:pPr>
        <w:pStyle w:val="5"/>
        <w:pageBreakBefore w:val="0"/>
        <w:widowControl w:val="0"/>
        <w:kinsoku/>
        <w:wordWrap/>
        <w:overflowPunct/>
        <w:topLinePunct w:val="0"/>
        <w:autoSpaceDE/>
        <w:autoSpaceDN/>
        <w:bidi w:val="0"/>
        <w:adjustRightInd/>
        <w:spacing w:before="0" w:after="0" w:line="540" w:lineRule="exact"/>
        <w:ind w:firstLine="482" w:firstLineChars="200"/>
        <w:textAlignment w:val="auto"/>
        <w:rPr>
          <w:rFonts w:ascii="宋体" w:hAnsi="宋体" w:cs="宋体"/>
          <w:sz w:val="24"/>
          <w:szCs w:val="24"/>
          <w:highlight w:val="none"/>
        </w:rPr>
      </w:pPr>
      <w:bookmarkStart w:id="7" w:name="_Toc20130531"/>
      <w:bookmarkStart w:id="8" w:name="_Toc373860293"/>
      <w:bookmarkStart w:id="9" w:name="_Toc317775178"/>
      <w:r>
        <w:rPr>
          <w:rFonts w:hint="eastAsia" w:ascii="宋体" w:hAnsi="宋体" w:cs="宋体"/>
          <w:sz w:val="24"/>
          <w:szCs w:val="24"/>
          <w:highlight w:val="none"/>
        </w:rPr>
        <w:t>二、资金来源</w:t>
      </w:r>
      <w:bookmarkEnd w:id="7"/>
    </w:p>
    <w:p>
      <w:pPr>
        <w:pageBreakBefore w:val="0"/>
        <w:widowControl w:val="0"/>
        <w:kinsoku/>
        <w:wordWrap/>
        <w:overflowPunct/>
        <w:topLinePunct w:val="0"/>
        <w:autoSpaceDE/>
        <w:autoSpaceDN/>
        <w:bidi w:val="0"/>
        <w:adjustRightInd/>
        <w:spacing w:line="540" w:lineRule="exact"/>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财政</w:t>
      </w:r>
      <w:r>
        <w:rPr>
          <w:rFonts w:hint="eastAsia" w:ascii="宋体" w:hAnsi="宋体" w:cs="宋体"/>
          <w:sz w:val="24"/>
          <w:szCs w:val="24"/>
          <w:highlight w:val="none"/>
        </w:rPr>
        <w:t>预算资金，预算金额为</w:t>
      </w:r>
      <w:r>
        <w:rPr>
          <w:rFonts w:hint="eastAsia" w:ascii="宋体" w:hAnsi="宋体" w:cs="宋体"/>
          <w:kern w:val="0"/>
          <w:sz w:val="21"/>
          <w:szCs w:val="21"/>
          <w:highlight w:val="none"/>
          <w:lang w:val="en-US" w:eastAsia="zh-CN"/>
        </w:rPr>
        <w:t>47.7</w:t>
      </w:r>
      <w:r>
        <w:rPr>
          <w:rFonts w:hint="eastAsia" w:ascii="宋体" w:hAnsi="宋体" w:cs="宋体"/>
          <w:sz w:val="24"/>
          <w:szCs w:val="24"/>
          <w:highlight w:val="none"/>
        </w:rPr>
        <w:t>万元。</w:t>
      </w:r>
    </w:p>
    <w:p>
      <w:pPr>
        <w:pStyle w:val="5"/>
        <w:pageBreakBefore w:val="0"/>
        <w:widowControl w:val="0"/>
        <w:kinsoku/>
        <w:wordWrap/>
        <w:overflowPunct/>
        <w:topLinePunct w:val="0"/>
        <w:autoSpaceDE/>
        <w:autoSpaceDN/>
        <w:bidi w:val="0"/>
        <w:adjustRightInd/>
        <w:spacing w:before="0" w:after="0" w:line="540" w:lineRule="exact"/>
        <w:ind w:firstLine="482" w:firstLineChars="200"/>
        <w:textAlignment w:val="auto"/>
        <w:rPr>
          <w:rFonts w:ascii="宋体" w:hAnsi="宋体" w:cs="宋体"/>
          <w:sz w:val="24"/>
          <w:szCs w:val="24"/>
        </w:rPr>
      </w:pPr>
      <w:bookmarkStart w:id="10" w:name="_Toc20130532"/>
      <w:r>
        <w:rPr>
          <w:rFonts w:hint="eastAsia" w:ascii="宋体" w:hAnsi="宋体" w:cs="宋体"/>
          <w:sz w:val="24"/>
          <w:szCs w:val="24"/>
        </w:rPr>
        <w:t>三、供应商资格条件</w:t>
      </w:r>
      <w:bookmarkEnd w:id="10"/>
    </w:p>
    <w:p>
      <w:pPr>
        <w:pageBreakBefore w:val="0"/>
        <w:widowControl w:val="0"/>
        <w:kinsoku/>
        <w:wordWrap/>
        <w:overflowPunct/>
        <w:topLinePunct w:val="0"/>
        <w:autoSpaceDE/>
        <w:autoSpaceDN/>
        <w:bidi w:val="0"/>
        <w:adjustRightInd/>
        <w:spacing w:line="540" w:lineRule="exact"/>
        <w:ind w:firstLine="480" w:firstLineChars="200"/>
        <w:textAlignment w:val="auto"/>
        <w:rPr>
          <w:rFonts w:ascii="宋体" w:hAnsi="宋体" w:cs="宋体"/>
          <w:sz w:val="24"/>
          <w:szCs w:val="24"/>
        </w:rPr>
      </w:pPr>
      <w:r>
        <w:rPr>
          <w:rFonts w:hint="eastAsia" w:ascii="宋体" w:hAnsi="宋体" w:cs="宋体"/>
          <w:sz w:val="24"/>
          <w:szCs w:val="24"/>
        </w:rPr>
        <w:t>（一）满足《中华人民共和国政府采购法》第二十二条规定；</w:t>
      </w:r>
    </w:p>
    <w:p>
      <w:pPr>
        <w:pageBreakBefore w:val="0"/>
        <w:widowControl w:val="0"/>
        <w:kinsoku/>
        <w:wordWrap/>
        <w:overflowPunct/>
        <w:topLinePunct w:val="0"/>
        <w:autoSpaceDE/>
        <w:autoSpaceDN/>
        <w:bidi w:val="0"/>
        <w:adjustRightInd/>
        <w:spacing w:line="540" w:lineRule="exact"/>
        <w:ind w:firstLine="480" w:firstLineChars="200"/>
        <w:textAlignment w:val="auto"/>
        <w:rPr>
          <w:rFonts w:ascii="宋体" w:hAnsi="宋体" w:cs="宋体"/>
          <w:sz w:val="24"/>
          <w:szCs w:val="24"/>
        </w:rPr>
      </w:pPr>
      <w:r>
        <w:rPr>
          <w:rFonts w:hint="eastAsia" w:ascii="宋体" w:hAnsi="宋体" w:cs="宋体"/>
          <w:sz w:val="24"/>
          <w:szCs w:val="24"/>
        </w:rPr>
        <w:t>（二）落实政府采购政策需满足的资格要求：无。</w:t>
      </w:r>
    </w:p>
    <w:p>
      <w:pPr>
        <w:pageBreakBefore w:val="0"/>
        <w:widowControl w:val="0"/>
        <w:kinsoku/>
        <w:wordWrap/>
        <w:overflowPunct/>
        <w:topLinePunct w:val="0"/>
        <w:autoSpaceDE/>
        <w:autoSpaceDN/>
        <w:bidi w:val="0"/>
        <w:adjustRightInd/>
        <w:spacing w:line="540" w:lineRule="exact"/>
        <w:ind w:firstLine="480" w:firstLineChars="200"/>
        <w:textAlignment w:val="auto"/>
        <w:rPr>
          <w:rFonts w:hint="eastAsia" w:ascii="宋体" w:hAnsi="宋体" w:cs="宋体"/>
          <w:sz w:val="24"/>
          <w:szCs w:val="24"/>
        </w:rPr>
      </w:pPr>
      <w:r>
        <w:rPr>
          <w:rFonts w:hint="eastAsia" w:ascii="宋体" w:hAnsi="宋体" w:cs="宋体"/>
          <w:sz w:val="24"/>
          <w:szCs w:val="24"/>
        </w:rPr>
        <w:t>（三）本项目的特定资格要求：</w:t>
      </w:r>
    </w:p>
    <w:p>
      <w:pPr>
        <w:pageBreakBefore w:val="0"/>
        <w:widowControl w:val="0"/>
        <w:kinsoku/>
        <w:wordWrap/>
        <w:overflowPunct/>
        <w:topLinePunct w:val="0"/>
        <w:autoSpaceDE/>
        <w:autoSpaceDN/>
        <w:bidi w:val="0"/>
        <w:adjustRightInd/>
        <w:spacing w:line="540" w:lineRule="exact"/>
        <w:ind w:firstLine="480" w:firstLineChars="200"/>
        <w:textAlignment w:val="auto"/>
        <w:rPr>
          <w:rFonts w:hint="default" w:ascii="宋体" w:hAnsi="宋体" w:cs="宋体"/>
          <w:sz w:val="24"/>
          <w:szCs w:val="24"/>
          <w:lang w:val="en-US" w:eastAsia="zh-CN"/>
        </w:rPr>
      </w:pPr>
      <w:r>
        <w:rPr>
          <w:rFonts w:hint="eastAsia" w:ascii="宋体" w:hAnsi="宋体" w:cs="宋体"/>
          <w:sz w:val="24"/>
          <w:szCs w:val="24"/>
          <w:lang w:val="en-US" w:eastAsia="zh-CN"/>
        </w:rPr>
        <w:t>供应商具有ITSS信息技术服务运行维护标准符合性证书成熟度三级及以上</w:t>
      </w:r>
    </w:p>
    <w:p>
      <w:pPr>
        <w:pStyle w:val="2"/>
        <w:rPr>
          <w:rFonts w:hint="default"/>
          <w:lang w:val="en-US" w:eastAsia="zh-CN"/>
        </w:rPr>
      </w:pPr>
    </w:p>
    <w:p>
      <w:pPr>
        <w:pStyle w:val="5"/>
        <w:pageBreakBefore w:val="0"/>
        <w:widowControl w:val="0"/>
        <w:kinsoku/>
        <w:wordWrap/>
        <w:overflowPunct/>
        <w:topLinePunct w:val="0"/>
        <w:autoSpaceDE/>
        <w:autoSpaceDN/>
        <w:bidi w:val="0"/>
        <w:adjustRightInd/>
        <w:spacing w:before="0" w:after="0" w:line="540" w:lineRule="exact"/>
        <w:ind w:firstLine="482" w:firstLineChars="200"/>
        <w:textAlignment w:val="auto"/>
        <w:rPr>
          <w:rFonts w:ascii="宋体" w:hAnsi="宋体" w:cs="宋体"/>
          <w:sz w:val="24"/>
          <w:szCs w:val="24"/>
        </w:rPr>
      </w:pPr>
      <w:bookmarkStart w:id="11" w:name="_Toc20130533"/>
      <w:r>
        <w:rPr>
          <w:rFonts w:hint="eastAsia" w:ascii="宋体" w:hAnsi="宋体" w:cs="宋体"/>
          <w:sz w:val="24"/>
          <w:szCs w:val="24"/>
        </w:rPr>
        <w:t>四、磋商有关说明</w:t>
      </w:r>
      <w:bookmarkEnd w:id="8"/>
      <w:bookmarkEnd w:id="11"/>
    </w:p>
    <w:p>
      <w:pPr>
        <w:pageBreakBefore w:val="0"/>
        <w:widowControl w:val="0"/>
        <w:kinsoku/>
        <w:wordWrap/>
        <w:overflowPunct/>
        <w:topLinePunct w:val="0"/>
        <w:autoSpaceDE/>
        <w:autoSpaceDN/>
        <w:bidi w:val="0"/>
        <w:adjustRightInd/>
        <w:spacing w:line="540" w:lineRule="exact"/>
        <w:ind w:firstLine="480" w:firstLineChars="200"/>
        <w:textAlignment w:val="auto"/>
        <w:rPr>
          <w:rFonts w:ascii="宋体" w:hAnsi="宋体" w:cs="宋体"/>
          <w:sz w:val="24"/>
          <w:szCs w:val="24"/>
        </w:rPr>
      </w:pPr>
      <w:r>
        <w:rPr>
          <w:rFonts w:hint="eastAsia" w:ascii="宋体" w:hAnsi="宋体" w:cs="宋体"/>
          <w:sz w:val="24"/>
          <w:szCs w:val="24"/>
        </w:rPr>
        <w:t>（一）凡有意参加磋商的供应商，请到“重庆市经济和信息化委员会网”（https://jjxxw.cq.gov.cn/）下载本项目磋商文件以及图纸、澄清等开标前公布的所有项目资料，无论供应商领取或下载与否，均视为已知晓所有招标内容。</w:t>
      </w:r>
    </w:p>
    <w:p>
      <w:pPr>
        <w:pageBreakBefore w:val="0"/>
        <w:widowControl w:val="0"/>
        <w:kinsoku/>
        <w:wordWrap/>
        <w:overflowPunct/>
        <w:topLinePunct w:val="0"/>
        <w:autoSpaceDE/>
        <w:autoSpaceDN/>
        <w:bidi w:val="0"/>
        <w:adjustRightInd/>
        <w:spacing w:line="540" w:lineRule="exact"/>
        <w:ind w:firstLine="480" w:firstLineChars="200"/>
        <w:textAlignment w:val="auto"/>
        <w:rPr>
          <w:rFonts w:ascii="宋体" w:hAnsi="宋体" w:cs="宋体"/>
          <w:sz w:val="24"/>
          <w:szCs w:val="24"/>
        </w:rPr>
      </w:pPr>
      <w:r>
        <w:rPr>
          <w:rFonts w:hint="eastAsia" w:ascii="宋体" w:hAnsi="宋体" w:cs="宋体"/>
          <w:sz w:val="24"/>
          <w:szCs w:val="24"/>
        </w:rPr>
        <w:t>（二）竞争性磋商公告期限：自采购公告发布之日起三个工作日。</w:t>
      </w:r>
    </w:p>
    <w:p>
      <w:pPr>
        <w:pageBreakBefore w:val="0"/>
        <w:widowControl w:val="0"/>
        <w:kinsoku/>
        <w:wordWrap/>
        <w:overflowPunct/>
        <w:topLinePunct w:val="0"/>
        <w:autoSpaceDE/>
        <w:autoSpaceDN/>
        <w:bidi w:val="0"/>
        <w:adjustRightInd/>
        <w:spacing w:line="540" w:lineRule="exact"/>
        <w:ind w:firstLine="480" w:firstLineChars="200"/>
        <w:textAlignment w:val="auto"/>
        <w:rPr>
          <w:rFonts w:ascii="宋体" w:hAnsi="宋体" w:cs="宋体"/>
          <w:sz w:val="24"/>
          <w:szCs w:val="24"/>
        </w:rPr>
      </w:pPr>
      <w:r>
        <w:rPr>
          <w:rFonts w:hint="eastAsia" w:ascii="宋体" w:hAnsi="宋体" w:cs="宋体"/>
          <w:sz w:val="24"/>
          <w:szCs w:val="24"/>
        </w:rPr>
        <w:t xml:space="preserve">（三）竞争性磋商文件发售期限： </w:t>
      </w:r>
    </w:p>
    <w:p>
      <w:pPr>
        <w:pageBreakBefore w:val="0"/>
        <w:widowControl w:val="0"/>
        <w:kinsoku/>
        <w:wordWrap/>
        <w:overflowPunct/>
        <w:topLinePunct w:val="0"/>
        <w:autoSpaceDE/>
        <w:autoSpaceDN/>
        <w:bidi w:val="0"/>
        <w:adjustRightInd/>
        <w:spacing w:line="540" w:lineRule="exact"/>
        <w:ind w:firstLine="480" w:firstLineChars="200"/>
        <w:textAlignment w:val="auto"/>
        <w:rPr>
          <w:rFonts w:ascii="宋体" w:hAnsi="宋体" w:cs="宋体"/>
          <w:sz w:val="24"/>
          <w:szCs w:val="24"/>
        </w:rPr>
      </w:pPr>
      <w:r>
        <w:rPr>
          <w:rFonts w:hint="eastAsia" w:ascii="宋体" w:hAnsi="宋体" w:cs="宋体"/>
          <w:sz w:val="24"/>
          <w:szCs w:val="24"/>
        </w:rPr>
        <w:t>1.竞争性磋商文件发售期：2024年</w:t>
      </w:r>
      <w:r>
        <w:rPr>
          <w:rFonts w:hint="eastAsia" w:ascii="宋体" w:hAnsi="宋体" w:cs="宋体"/>
          <w:sz w:val="24"/>
          <w:szCs w:val="24"/>
          <w:lang w:val="en-US" w:eastAsia="zh-CN"/>
        </w:rPr>
        <w:t>4</w:t>
      </w:r>
      <w:r>
        <w:rPr>
          <w:rFonts w:hint="eastAsia" w:ascii="宋体" w:hAnsi="宋体" w:cs="宋体"/>
          <w:sz w:val="24"/>
          <w:szCs w:val="24"/>
        </w:rPr>
        <w:t>月</w:t>
      </w:r>
      <w:r>
        <w:rPr>
          <w:rFonts w:hint="eastAsia" w:ascii="宋体" w:hAnsi="宋体" w:cs="宋体"/>
          <w:sz w:val="24"/>
          <w:szCs w:val="24"/>
          <w:lang w:val="en-US" w:eastAsia="zh-CN"/>
        </w:rPr>
        <w:t>15</w:t>
      </w:r>
      <w:r>
        <w:rPr>
          <w:rFonts w:hint="eastAsia" w:ascii="宋体" w:hAnsi="宋体" w:cs="宋体"/>
          <w:sz w:val="24"/>
          <w:szCs w:val="24"/>
        </w:rPr>
        <w:t>日至2024年</w:t>
      </w:r>
      <w:r>
        <w:rPr>
          <w:rFonts w:hint="eastAsia" w:ascii="宋体" w:hAnsi="宋体" w:cs="宋体"/>
          <w:sz w:val="24"/>
          <w:szCs w:val="24"/>
          <w:lang w:val="en-US" w:eastAsia="zh-CN"/>
        </w:rPr>
        <w:t>4</w:t>
      </w:r>
      <w:r>
        <w:rPr>
          <w:rFonts w:hint="eastAsia" w:ascii="宋体" w:hAnsi="宋体" w:cs="宋体"/>
          <w:sz w:val="24"/>
          <w:szCs w:val="24"/>
        </w:rPr>
        <w:t>月</w:t>
      </w:r>
      <w:r>
        <w:rPr>
          <w:rFonts w:hint="eastAsia" w:ascii="宋体" w:hAnsi="宋体" w:cs="宋体"/>
          <w:sz w:val="24"/>
          <w:szCs w:val="24"/>
          <w:lang w:val="en-US" w:eastAsia="zh-CN"/>
        </w:rPr>
        <w:t>22</w:t>
      </w:r>
      <w:r>
        <w:rPr>
          <w:rFonts w:hint="eastAsia" w:ascii="宋体" w:hAnsi="宋体" w:cs="宋体"/>
          <w:sz w:val="24"/>
          <w:szCs w:val="24"/>
        </w:rPr>
        <w:t>日。</w:t>
      </w:r>
    </w:p>
    <w:p>
      <w:pPr>
        <w:pageBreakBefore w:val="0"/>
        <w:widowControl w:val="0"/>
        <w:kinsoku/>
        <w:wordWrap/>
        <w:overflowPunct/>
        <w:topLinePunct w:val="0"/>
        <w:autoSpaceDE/>
        <w:autoSpaceDN/>
        <w:bidi w:val="0"/>
        <w:adjustRightInd/>
        <w:spacing w:line="540" w:lineRule="exact"/>
        <w:ind w:firstLine="480" w:firstLineChars="200"/>
        <w:textAlignment w:val="auto"/>
        <w:rPr>
          <w:rFonts w:ascii="宋体" w:hAnsi="宋体" w:cs="宋体"/>
          <w:sz w:val="24"/>
          <w:szCs w:val="24"/>
        </w:rPr>
      </w:pPr>
      <w:r>
        <w:rPr>
          <w:rFonts w:hint="eastAsia" w:ascii="宋体" w:hAnsi="宋体" w:cs="宋体"/>
          <w:sz w:val="24"/>
          <w:szCs w:val="24"/>
        </w:rPr>
        <w:t>2.报名方式：供应商在2024年</w:t>
      </w:r>
      <w:r>
        <w:rPr>
          <w:rFonts w:hint="eastAsia" w:ascii="宋体" w:hAnsi="宋体" w:cs="宋体"/>
          <w:sz w:val="24"/>
          <w:szCs w:val="24"/>
          <w:lang w:val="en-US" w:eastAsia="zh-CN"/>
        </w:rPr>
        <w:t>4</w:t>
      </w:r>
      <w:r>
        <w:rPr>
          <w:rFonts w:hint="eastAsia" w:ascii="宋体" w:hAnsi="宋体" w:cs="宋体"/>
          <w:sz w:val="24"/>
          <w:szCs w:val="24"/>
        </w:rPr>
        <w:t>月</w:t>
      </w:r>
      <w:r>
        <w:rPr>
          <w:rFonts w:hint="eastAsia" w:ascii="宋体" w:hAnsi="宋体" w:cs="宋体"/>
          <w:sz w:val="24"/>
          <w:szCs w:val="24"/>
          <w:lang w:val="en-US" w:eastAsia="zh-CN"/>
        </w:rPr>
        <w:t>22</w:t>
      </w:r>
      <w:r>
        <w:rPr>
          <w:rFonts w:hint="eastAsia" w:ascii="宋体" w:hAnsi="宋体" w:cs="宋体"/>
          <w:sz w:val="24"/>
          <w:szCs w:val="24"/>
        </w:rPr>
        <w:t>日17:00时前将《磋商文件发售登记表》（加盖供应商公章）扫描后发送至电子邮箱</w:t>
      </w:r>
      <w:r>
        <w:rPr>
          <w:rFonts w:hint="eastAsia" w:ascii="宋体" w:hAnsi="宋体" w:cs="宋体"/>
          <w:sz w:val="24"/>
          <w:szCs w:val="24"/>
          <w:lang w:eastAsia="zh-CN"/>
        </w:rPr>
        <w:t>273243138</w:t>
      </w:r>
      <w:r>
        <w:rPr>
          <w:rFonts w:hint="eastAsia" w:ascii="宋体" w:hAnsi="宋体" w:cs="宋体"/>
          <w:sz w:val="24"/>
          <w:szCs w:val="24"/>
        </w:rPr>
        <w:t>@qq.com ，视为具备报名资格，否则视为无效。</w:t>
      </w:r>
    </w:p>
    <w:p>
      <w:pPr>
        <w:pageBreakBefore w:val="0"/>
        <w:widowControl w:val="0"/>
        <w:kinsoku/>
        <w:wordWrap/>
        <w:overflowPunct/>
        <w:topLinePunct w:val="0"/>
        <w:autoSpaceDE/>
        <w:autoSpaceDN/>
        <w:bidi w:val="0"/>
        <w:adjustRightInd/>
        <w:spacing w:line="540" w:lineRule="exact"/>
        <w:ind w:firstLine="480" w:firstLineChars="200"/>
        <w:textAlignment w:val="auto"/>
        <w:rPr>
          <w:rFonts w:ascii="宋体" w:hAnsi="宋体" w:cs="宋体"/>
          <w:sz w:val="24"/>
          <w:szCs w:val="24"/>
        </w:rPr>
      </w:pPr>
      <w:r>
        <w:rPr>
          <w:rFonts w:hint="eastAsia" w:ascii="宋体" w:hAnsi="宋体" w:cs="宋体"/>
          <w:sz w:val="24"/>
          <w:szCs w:val="24"/>
        </w:rPr>
        <w:t>3.竞争性磋商文件售价：人民币300元/包（售后不退）。</w:t>
      </w:r>
    </w:p>
    <w:p>
      <w:pPr>
        <w:pageBreakBefore w:val="0"/>
        <w:widowControl w:val="0"/>
        <w:kinsoku/>
        <w:wordWrap/>
        <w:overflowPunct/>
        <w:topLinePunct w:val="0"/>
        <w:autoSpaceDE/>
        <w:autoSpaceDN/>
        <w:bidi w:val="0"/>
        <w:adjustRightInd/>
        <w:spacing w:line="540" w:lineRule="exact"/>
        <w:ind w:firstLine="480" w:firstLineChars="200"/>
        <w:textAlignment w:val="auto"/>
        <w:rPr>
          <w:rFonts w:ascii="宋体" w:hAnsi="宋体" w:cs="宋体"/>
          <w:sz w:val="24"/>
          <w:szCs w:val="24"/>
        </w:rPr>
      </w:pPr>
      <w:r>
        <w:rPr>
          <w:rFonts w:hint="eastAsia" w:ascii="宋体" w:hAnsi="宋体" w:cs="宋体"/>
          <w:sz w:val="24"/>
          <w:szCs w:val="24"/>
        </w:rPr>
        <w:t>4.磋商文件费缴纳方式：报名时缴纳。</w:t>
      </w:r>
    </w:p>
    <w:p>
      <w:pPr>
        <w:pageBreakBefore w:val="0"/>
        <w:widowControl w:val="0"/>
        <w:kinsoku/>
        <w:wordWrap/>
        <w:overflowPunct/>
        <w:topLinePunct w:val="0"/>
        <w:autoSpaceDE/>
        <w:autoSpaceDN/>
        <w:bidi w:val="0"/>
        <w:adjustRightInd/>
        <w:spacing w:line="540" w:lineRule="exact"/>
        <w:ind w:firstLine="480" w:firstLineChars="200"/>
        <w:textAlignment w:val="auto"/>
        <w:rPr>
          <w:rFonts w:ascii="宋体" w:hAnsi="宋体" w:cs="宋体"/>
          <w:sz w:val="24"/>
          <w:szCs w:val="24"/>
        </w:rPr>
      </w:pPr>
      <w:r>
        <w:rPr>
          <w:rFonts w:hint="eastAsia" w:ascii="宋体" w:hAnsi="宋体" w:cs="宋体"/>
          <w:sz w:val="24"/>
          <w:szCs w:val="24"/>
        </w:rPr>
        <w:t>（四）供应商须满足以下三种要件，其响应文件才被接受：</w:t>
      </w:r>
    </w:p>
    <w:p>
      <w:pPr>
        <w:pageBreakBefore w:val="0"/>
        <w:widowControl w:val="0"/>
        <w:kinsoku/>
        <w:wordWrap/>
        <w:overflowPunct/>
        <w:topLinePunct w:val="0"/>
        <w:autoSpaceDE/>
        <w:autoSpaceDN/>
        <w:bidi w:val="0"/>
        <w:adjustRightInd/>
        <w:spacing w:line="540" w:lineRule="exact"/>
        <w:ind w:firstLine="480" w:firstLineChars="200"/>
        <w:textAlignment w:val="auto"/>
        <w:rPr>
          <w:rFonts w:ascii="宋体" w:hAnsi="宋体" w:cs="宋体"/>
          <w:sz w:val="24"/>
          <w:szCs w:val="24"/>
        </w:rPr>
      </w:pPr>
      <w:r>
        <w:rPr>
          <w:rFonts w:hint="eastAsia" w:ascii="宋体" w:hAnsi="宋体" w:cs="宋体"/>
          <w:sz w:val="24"/>
          <w:szCs w:val="24"/>
        </w:rPr>
        <w:t>1.完成报名并按时缴纳了报名费；</w:t>
      </w:r>
    </w:p>
    <w:p>
      <w:pPr>
        <w:pageBreakBefore w:val="0"/>
        <w:widowControl w:val="0"/>
        <w:kinsoku/>
        <w:wordWrap/>
        <w:overflowPunct/>
        <w:topLinePunct w:val="0"/>
        <w:autoSpaceDE/>
        <w:autoSpaceDN/>
        <w:bidi w:val="0"/>
        <w:adjustRightInd/>
        <w:spacing w:line="540" w:lineRule="exact"/>
        <w:ind w:firstLine="480" w:firstLineChars="200"/>
        <w:textAlignment w:val="auto"/>
        <w:rPr>
          <w:rFonts w:ascii="宋体" w:hAnsi="宋体" w:cs="宋体"/>
          <w:sz w:val="24"/>
          <w:szCs w:val="24"/>
        </w:rPr>
      </w:pPr>
      <w:r>
        <w:rPr>
          <w:rFonts w:hint="eastAsia" w:ascii="宋体" w:hAnsi="宋体" w:cs="宋体"/>
          <w:sz w:val="24"/>
          <w:szCs w:val="24"/>
        </w:rPr>
        <w:t>2.按时递交了响应文件；</w:t>
      </w:r>
    </w:p>
    <w:p>
      <w:pPr>
        <w:pageBreakBefore w:val="0"/>
        <w:widowControl w:val="0"/>
        <w:kinsoku/>
        <w:wordWrap/>
        <w:overflowPunct/>
        <w:topLinePunct w:val="0"/>
        <w:autoSpaceDE/>
        <w:autoSpaceDN/>
        <w:bidi w:val="0"/>
        <w:adjustRightInd/>
        <w:spacing w:line="540" w:lineRule="exact"/>
        <w:ind w:firstLine="480" w:firstLineChars="200"/>
        <w:textAlignment w:val="auto"/>
        <w:rPr>
          <w:rFonts w:ascii="宋体" w:hAnsi="宋体" w:cs="宋体"/>
          <w:sz w:val="24"/>
          <w:szCs w:val="24"/>
        </w:rPr>
      </w:pPr>
      <w:r>
        <w:rPr>
          <w:rFonts w:hint="eastAsia" w:ascii="宋体" w:hAnsi="宋体" w:cs="宋体"/>
          <w:sz w:val="24"/>
          <w:szCs w:val="24"/>
        </w:rPr>
        <w:t>3.按时签到。</w:t>
      </w:r>
    </w:p>
    <w:p>
      <w:pPr>
        <w:pageBreakBefore w:val="0"/>
        <w:widowControl w:val="0"/>
        <w:kinsoku/>
        <w:wordWrap/>
        <w:overflowPunct/>
        <w:topLinePunct w:val="0"/>
        <w:autoSpaceDE/>
        <w:autoSpaceDN/>
        <w:bidi w:val="0"/>
        <w:adjustRightInd/>
        <w:spacing w:line="540" w:lineRule="exact"/>
        <w:ind w:firstLine="480" w:firstLineChars="200"/>
        <w:textAlignment w:val="auto"/>
        <w:rPr>
          <w:rFonts w:ascii="宋体" w:hAnsi="宋体" w:cs="宋体"/>
          <w:sz w:val="24"/>
          <w:szCs w:val="24"/>
        </w:rPr>
      </w:pPr>
      <w:r>
        <w:rPr>
          <w:rFonts w:hint="eastAsia" w:ascii="宋体" w:hAnsi="宋体" w:cs="宋体"/>
          <w:sz w:val="24"/>
          <w:szCs w:val="24"/>
        </w:rPr>
        <w:t>（五）递交响应文件地点：攀钢集团工科工程咨询有限公司会议室（重庆市渝北区青枫北路12号双子座B座13楼）</w:t>
      </w:r>
    </w:p>
    <w:p>
      <w:pPr>
        <w:pageBreakBefore w:val="0"/>
        <w:widowControl w:val="0"/>
        <w:kinsoku/>
        <w:wordWrap/>
        <w:overflowPunct/>
        <w:topLinePunct w:val="0"/>
        <w:autoSpaceDE/>
        <w:autoSpaceDN/>
        <w:bidi w:val="0"/>
        <w:adjustRightInd/>
        <w:spacing w:line="540" w:lineRule="exact"/>
        <w:ind w:firstLine="480" w:firstLineChars="200"/>
        <w:textAlignment w:val="auto"/>
        <w:rPr>
          <w:rFonts w:ascii="宋体" w:hAnsi="宋体" w:cs="宋体"/>
          <w:sz w:val="24"/>
          <w:szCs w:val="24"/>
        </w:rPr>
      </w:pPr>
      <w:r>
        <w:rPr>
          <w:rFonts w:hint="eastAsia" w:ascii="宋体" w:hAnsi="宋体" w:cs="宋体"/>
          <w:sz w:val="24"/>
          <w:szCs w:val="24"/>
        </w:rPr>
        <w:t>（六）响应文件递交截止时间：2024年</w:t>
      </w:r>
      <w:r>
        <w:rPr>
          <w:rFonts w:hint="eastAsia" w:ascii="宋体" w:hAnsi="宋体" w:cs="宋体"/>
          <w:sz w:val="24"/>
          <w:szCs w:val="24"/>
          <w:lang w:val="en-US" w:eastAsia="zh-CN"/>
        </w:rPr>
        <w:t>4</w:t>
      </w:r>
      <w:r>
        <w:rPr>
          <w:rFonts w:hint="eastAsia" w:ascii="宋体" w:hAnsi="宋体" w:cs="宋体"/>
          <w:sz w:val="24"/>
          <w:szCs w:val="24"/>
        </w:rPr>
        <w:t>月</w:t>
      </w:r>
      <w:r>
        <w:rPr>
          <w:rFonts w:hint="eastAsia" w:ascii="宋体" w:hAnsi="宋体" w:cs="宋体"/>
          <w:sz w:val="24"/>
          <w:szCs w:val="24"/>
          <w:lang w:val="en-US" w:eastAsia="zh-CN"/>
        </w:rPr>
        <w:t xml:space="preserve">25 </w:t>
      </w:r>
      <w:r>
        <w:rPr>
          <w:rFonts w:hint="eastAsia" w:ascii="宋体" w:hAnsi="宋体" w:cs="宋体"/>
          <w:sz w:val="24"/>
          <w:szCs w:val="24"/>
        </w:rPr>
        <w:t>日北京时间14:</w:t>
      </w:r>
      <w:r>
        <w:rPr>
          <w:rFonts w:hint="eastAsia" w:ascii="宋体" w:hAnsi="宋体" w:cs="宋体"/>
          <w:sz w:val="24"/>
          <w:szCs w:val="24"/>
          <w:lang w:val="en-US" w:eastAsia="zh-CN"/>
        </w:rPr>
        <w:t>3</w:t>
      </w:r>
      <w:r>
        <w:rPr>
          <w:rFonts w:hint="eastAsia" w:ascii="宋体" w:hAnsi="宋体" w:cs="宋体"/>
          <w:sz w:val="24"/>
          <w:szCs w:val="24"/>
        </w:rPr>
        <w:t>0</w:t>
      </w:r>
    </w:p>
    <w:p>
      <w:pPr>
        <w:pageBreakBefore w:val="0"/>
        <w:widowControl w:val="0"/>
        <w:kinsoku/>
        <w:wordWrap/>
        <w:overflowPunct/>
        <w:topLinePunct w:val="0"/>
        <w:autoSpaceDE/>
        <w:autoSpaceDN/>
        <w:bidi w:val="0"/>
        <w:adjustRightInd/>
        <w:spacing w:line="540" w:lineRule="exact"/>
        <w:ind w:firstLine="480" w:firstLineChars="200"/>
        <w:textAlignment w:val="auto"/>
        <w:rPr>
          <w:rFonts w:ascii="宋体" w:hAnsi="宋体" w:cs="宋体"/>
          <w:sz w:val="24"/>
          <w:szCs w:val="24"/>
        </w:rPr>
      </w:pPr>
      <w:r>
        <w:rPr>
          <w:rFonts w:hint="eastAsia" w:ascii="宋体" w:hAnsi="宋体" w:cs="宋体"/>
          <w:sz w:val="24"/>
          <w:szCs w:val="24"/>
        </w:rPr>
        <w:t>（七）磋商开始时间：2024年</w:t>
      </w:r>
      <w:r>
        <w:rPr>
          <w:rFonts w:hint="eastAsia" w:ascii="宋体" w:hAnsi="宋体" w:cs="宋体"/>
          <w:sz w:val="24"/>
          <w:szCs w:val="24"/>
          <w:lang w:val="en-US" w:eastAsia="zh-CN"/>
        </w:rPr>
        <w:t>4</w:t>
      </w:r>
      <w:r>
        <w:rPr>
          <w:rFonts w:hint="eastAsia" w:ascii="宋体" w:hAnsi="宋体" w:cs="宋体"/>
          <w:sz w:val="24"/>
          <w:szCs w:val="24"/>
        </w:rPr>
        <w:t>月</w:t>
      </w:r>
      <w:r>
        <w:rPr>
          <w:rFonts w:hint="eastAsia" w:ascii="宋体" w:hAnsi="宋体" w:cs="宋体"/>
          <w:sz w:val="24"/>
          <w:szCs w:val="24"/>
          <w:lang w:val="en-US" w:eastAsia="zh-CN"/>
        </w:rPr>
        <w:t>25</w:t>
      </w:r>
      <w:r>
        <w:rPr>
          <w:rFonts w:hint="eastAsia" w:ascii="宋体" w:hAnsi="宋体" w:cs="宋体"/>
          <w:sz w:val="24"/>
          <w:szCs w:val="24"/>
        </w:rPr>
        <w:t>日北京时间14:</w:t>
      </w:r>
      <w:r>
        <w:rPr>
          <w:rFonts w:hint="eastAsia" w:ascii="宋体" w:hAnsi="宋体" w:cs="宋体"/>
          <w:sz w:val="24"/>
          <w:szCs w:val="24"/>
          <w:lang w:val="en-US" w:eastAsia="zh-CN"/>
        </w:rPr>
        <w:t>3</w:t>
      </w:r>
      <w:r>
        <w:rPr>
          <w:rFonts w:hint="eastAsia" w:ascii="宋体" w:hAnsi="宋体" w:cs="宋体"/>
          <w:sz w:val="24"/>
          <w:szCs w:val="24"/>
        </w:rPr>
        <w:t>0</w:t>
      </w:r>
    </w:p>
    <w:p>
      <w:pPr>
        <w:pStyle w:val="5"/>
        <w:pageBreakBefore w:val="0"/>
        <w:widowControl w:val="0"/>
        <w:kinsoku/>
        <w:wordWrap/>
        <w:overflowPunct/>
        <w:topLinePunct w:val="0"/>
        <w:autoSpaceDE/>
        <w:autoSpaceDN/>
        <w:bidi w:val="0"/>
        <w:adjustRightInd/>
        <w:spacing w:before="0" w:after="0" w:line="540" w:lineRule="exact"/>
        <w:ind w:firstLine="482" w:firstLineChars="200"/>
        <w:textAlignment w:val="auto"/>
        <w:rPr>
          <w:rFonts w:ascii="宋体" w:hAnsi="宋体" w:cs="宋体"/>
          <w:sz w:val="24"/>
          <w:szCs w:val="24"/>
        </w:rPr>
      </w:pPr>
      <w:bookmarkStart w:id="12" w:name="_Toc373860294"/>
      <w:bookmarkStart w:id="13" w:name="_Toc20130534"/>
      <w:r>
        <w:rPr>
          <w:rFonts w:hint="eastAsia" w:ascii="宋体" w:hAnsi="宋体" w:cs="宋体"/>
          <w:sz w:val="24"/>
          <w:szCs w:val="24"/>
        </w:rPr>
        <w:t>五、磋商保证金</w:t>
      </w:r>
      <w:bookmarkEnd w:id="12"/>
      <w:bookmarkEnd w:id="13"/>
    </w:p>
    <w:p>
      <w:pPr>
        <w:pageBreakBefore w:val="0"/>
        <w:widowControl w:val="0"/>
        <w:kinsoku/>
        <w:wordWrap/>
        <w:overflowPunct/>
        <w:topLinePunct w:val="0"/>
        <w:autoSpaceDE/>
        <w:autoSpaceDN/>
        <w:bidi w:val="0"/>
        <w:adjustRightInd/>
        <w:spacing w:line="540" w:lineRule="exact"/>
        <w:ind w:firstLine="480" w:firstLineChars="200"/>
        <w:textAlignment w:val="auto"/>
        <w:rPr>
          <w:rFonts w:ascii="宋体" w:hAnsi="宋体" w:cs="宋体"/>
          <w:sz w:val="24"/>
          <w:szCs w:val="24"/>
        </w:rPr>
      </w:pPr>
      <w:bookmarkStart w:id="14" w:name="_Toc530038692"/>
      <w:bookmarkStart w:id="15" w:name="_Toc20130535"/>
      <w:r>
        <w:rPr>
          <w:rFonts w:hint="eastAsia" w:ascii="宋体" w:hAnsi="宋体" w:cs="宋体"/>
          <w:sz w:val="24"/>
          <w:szCs w:val="24"/>
        </w:rPr>
        <w:t>（一）磋商保证金递交</w:t>
      </w:r>
    </w:p>
    <w:p>
      <w:pPr>
        <w:pageBreakBefore w:val="0"/>
        <w:widowControl w:val="0"/>
        <w:kinsoku/>
        <w:wordWrap/>
        <w:overflowPunct/>
        <w:topLinePunct w:val="0"/>
        <w:autoSpaceDE/>
        <w:autoSpaceDN/>
        <w:bidi w:val="0"/>
        <w:adjustRightInd/>
        <w:spacing w:line="540" w:lineRule="exact"/>
        <w:ind w:firstLine="480" w:firstLineChars="200"/>
        <w:textAlignment w:val="auto"/>
        <w:rPr>
          <w:rFonts w:ascii="宋体" w:hAnsi="宋体" w:cs="宋体"/>
          <w:sz w:val="24"/>
          <w:szCs w:val="24"/>
        </w:rPr>
      </w:pPr>
      <w:r>
        <w:rPr>
          <w:rFonts w:hint="eastAsia" w:ascii="宋体" w:hAnsi="宋体" w:cs="宋体"/>
          <w:sz w:val="24"/>
          <w:szCs w:val="24"/>
        </w:rPr>
        <w:t>供应商须按本项目规定的磋商保证金金额进行缴纳（保证金金额详见本篇，一、竞争性磋商内容），由供应商从其单位账户将磋商保证金汇至以下账户，磋商保证金的到账截止时间为2024年</w:t>
      </w:r>
      <w:r>
        <w:rPr>
          <w:rFonts w:hint="eastAsia" w:ascii="宋体" w:hAnsi="宋体" w:cs="宋体"/>
          <w:sz w:val="24"/>
          <w:szCs w:val="24"/>
          <w:lang w:val="en-US" w:eastAsia="zh-CN"/>
        </w:rPr>
        <w:t>4</w:t>
      </w:r>
      <w:r>
        <w:rPr>
          <w:rFonts w:hint="eastAsia" w:ascii="宋体" w:hAnsi="宋体" w:cs="宋体"/>
          <w:sz w:val="24"/>
          <w:szCs w:val="24"/>
        </w:rPr>
        <w:t>月</w:t>
      </w:r>
      <w:r>
        <w:rPr>
          <w:rFonts w:hint="eastAsia" w:ascii="宋体" w:hAnsi="宋体" w:cs="宋体"/>
          <w:sz w:val="24"/>
          <w:szCs w:val="24"/>
          <w:lang w:val="en-US" w:eastAsia="zh-CN"/>
        </w:rPr>
        <w:t>25</w:t>
      </w:r>
      <w:r>
        <w:rPr>
          <w:rFonts w:hint="eastAsia" w:ascii="宋体" w:hAnsi="宋体" w:cs="宋体"/>
          <w:sz w:val="24"/>
          <w:szCs w:val="24"/>
        </w:rPr>
        <w:t>日</w:t>
      </w:r>
      <w:r>
        <w:rPr>
          <w:rFonts w:hint="eastAsia" w:ascii="宋体" w:hAnsi="宋体" w:cs="宋体"/>
          <w:sz w:val="24"/>
          <w:szCs w:val="24"/>
          <w:lang w:val="en-US" w:eastAsia="zh-CN"/>
        </w:rPr>
        <w:t>12</w:t>
      </w:r>
      <w:r>
        <w:rPr>
          <w:rFonts w:hint="eastAsia" w:ascii="宋体" w:hAnsi="宋体" w:cs="宋体"/>
          <w:sz w:val="24"/>
          <w:szCs w:val="24"/>
        </w:rPr>
        <w:t>:00。缴纳保证金时付款凭证备注栏必须备注项目名称（可简写）。</w:t>
      </w:r>
    </w:p>
    <w:p>
      <w:pPr>
        <w:pageBreakBefore w:val="0"/>
        <w:widowControl w:val="0"/>
        <w:kinsoku/>
        <w:wordWrap/>
        <w:overflowPunct/>
        <w:topLinePunct w:val="0"/>
        <w:autoSpaceDE/>
        <w:autoSpaceDN/>
        <w:bidi w:val="0"/>
        <w:adjustRightInd/>
        <w:spacing w:line="540" w:lineRule="exact"/>
        <w:ind w:firstLine="480" w:firstLineChars="200"/>
        <w:textAlignment w:val="auto"/>
        <w:rPr>
          <w:rFonts w:ascii="宋体" w:hAnsi="宋体" w:cs="宋体"/>
          <w:sz w:val="24"/>
          <w:szCs w:val="24"/>
        </w:rPr>
      </w:pPr>
      <w:r>
        <w:rPr>
          <w:rFonts w:hint="eastAsia" w:ascii="宋体" w:hAnsi="宋体" w:cs="宋体"/>
          <w:sz w:val="24"/>
          <w:szCs w:val="24"/>
        </w:rPr>
        <w:t>磋商保证金账户：</w:t>
      </w:r>
    </w:p>
    <w:p>
      <w:pPr>
        <w:pageBreakBefore w:val="0"/>
        <w:widowControl w:val="0"/>
        <w:kinsoku/>
        <w:wordWrap/>
        <w:overflowPunct/>
        <w:topLinePunct w:val="0"/>
        <w:autoSpaceDE/>
        <w:autoSpaceDN/>
        <w:bidi w:val="0"/>
        <w:adjustRightInd/>
        <w:spacing w:line="540" w:lineRule="exact"/>
        <w:ind w:firstLine="480" w:firstLineChars="200"/>
        <w:textAlignment w:val="auto"/>
        <w:rPr>
          <w:rFonts w:ascii="宋体" w:hAnsi="宋体" w:cs="宋体"/>
          <w:sz w:val="24"/>
          <w:szCs w:val="24"/>
        </w:rPr>
      </w:pPr>
      <w:r>
        <w:rPr>
          <w:rFonts w:hint="eastAsia" w:ascii="宋体" w:hAnsi="宋体" w:cs="宋体"/>
          <w:sz w:val="24"/>
          <w:szCs w:val="24"/>
        </w:rPr>
        <w:t>户  名：攀钢集团工科工程咨询有限公司重庆分公司</w:t>
      </w:r>
    </w:p>
    <w:p>
      <w:pPr>
        <w:pageBreakBefore w:val="0"/>
        <w:widowControl w:val="0"/>
        <w:kinsoku/>
        <w:wordWrap/>
        <w:overflowPunct/>
        <w:topLinePunct w:val="0"/>
        <w:autoSpaceDE/>
        <w:autoSpaceDN/>
        <w:bidi w:val="0"/>
        <w:adjustRightInd/>
        <w:spacing w:line="540" w:lineRule="exact"/>
        <w:ind w:firstLine="480" w:firstLineChars="200"/>
        <w:textAlignment w:val="auto"/>
        <w:rPr>
          <w:rFonts w:ascii="宋体" w:hAnsi="宋体" w:cs="宋体"/>
          <w:sz w:val="24"/>
          <w:szCs w:val="24"/>
        </w:rPr>
      </w:pPr>
      <w:r>
        <w:rPr>
          <w:rFonts w:hint="eastAsia" w:ascii="宋体" w:hAnsi="宋体" w:cs="宋体"/>
          <w:sz w:val="24"/>
          <w:szCs w:val="24"/>
        </w:rPr>
        <w:t>开户行：中国农业银行重庆巴南马王坪支行 </w:t>
      </w:r>
    </w:p>
    <w:p>
      <w:pPr>
        <w:pageBreakBefore w:val="0"/>
        <w:widowControl w:val="0"/>
        <w:kinsoku/>
        <w:wordWrap/>
        <w:overflowPunct/>
        <w:topLinePunct w:val="0"/>
        <w:autoSpaceDE/>
        <w:autoSpaceDN/>
        <w:bidi w:val="0"/>
        <w:adjustRightInd/>
        <w:spacing w:line="540" w:lineRule="exact"/>
        <w:ind w:firstLine="480" w:firstLineChars="200"/>
        <w:textAlignment w:val="auto"/>
        <w:rPr>
          <w:rFonts w:ascii="宋体" w:hAnsi="宋体" w:cs="宋体"/>
          <w:sz w:val="24"/>
          <w:szCs w:val="24"/>
        </w:rPr>
      </w:pPr>
      <w:r>
        <w:rPr>
          <w:rFonts w:hint="eastAsia" w:ascii="宋体" w:hAnsi="宋体" w:cs="宋体"/>
          <w:sz w:val="24"/>
          <w:szCs w:val="24"/>
        </w:rPr>
        <w:t>账  号：31101201040002679</w:t>
      </w:r>
    </w:p>
    <w:p>
      <w:pPr>
        <w:pageBreakBefore w:val="0"/>
        <w:widowControl w:val="0"/>
        <w:kinsoku/>
        <w:wordWrap/>
        <w:overflowPunct/>
        <w:topLinePunct w:val="0"/>
        <w:autoSpaceDE/>
        <w:autoSpaceDN/>
        <w:bidi w:val="0"/>
        <w:adjustRightInd/>
        <w:spacing w:line="540" w:lineRule="exact"/>
        <w:ind w:firstLine="480" w:firstLineChars="200"/>
        <w:textAlignment w:val="auto"/>
        <w:rPr>
          <w:rFonts w:ascii="宋体" w:hAnsi="宋体" w:cs="宋体"/>
          <w:sz w:val="24"/>
          <w:szCs w:val="24"/>
        </w:rPr>
      </w:pPr>
      <w:r>
        <w:rPr>
          <w:rFonts w:hint="eastAsia" w:ascii="宋体" w:hAnsi="宋体" w:cs="宋体"/>
          <w:sz w:val="24"/>
          <w:szCs w:val="24"/>
        </w:rPr>
        <w:t>（二）保证金退还方式</w:t>
      </w:r>
    </w:p>
    <w:p>
      <w:pPr>
        <w:pageBreakBefore w:val="0"/>
        <w:widowControl w:val="0"/>
        <w:kinsoku/>
        <w:wordWrap/>
        <w:overflowPunct/>
        <w:topLinePunct w:val="0"/>
        <w:autoSpaceDE/>
        <w:autoSpaceDN/>
        <w:bidi w:val="0"/>
        <w:adjustRightInd/>
        <w:spacing w:line="540" w:lineRule="exact"/>
        <w:ind w:firstLine="480" w:firstLineChars="200"/>
        <w:textAlignment w:val="auto"/>
        <w:rPr>
          <w:rFonts w:ascii="宋体" w:hAnsi="宋体" w:cs="宋体"/>
          <w:sz w:val="24"/>
          <w:szCs w:val="24"/>
        </w:rPr>
      </w:pPr>
      <w:r>
        <w:rPr>
          <w:rFonts w:hint="eastAsia" w:ascii="宋体" w:hAnsi="宋体" w:cs="宋体"/>
          <w:sz w:val="24"/>
          <w:szCs w:val="24"/>
        </w:rPr>
        <w:t>1.非成交供应商的保证金，在成交通知书发放后，由采购代理机构在五个工作日内按来款渠道直接退还。</w:t>
      </w:r>
    </w:p>
    <w:p>
      <w:pPr>
        <w:pageBreakBefore w:val="0"/>
        <w:widowControl w:val="0"/>
        <w:kinsoku/>
        <w:wordWrap/>
        <w:overflowPunct/>
        <w:topLinePunct w:val="0"/>
        <w:autoSpaceDE/>
        <w:autoSpaceDN/>
        <w:bidi w:val="0"/>
        <w:adjustRightInd/>
        <w:spacing w:line="540" w:lineRule="exact"/>
        <w:ind w:firstLine="480" w:firstLineChars="200"/>
        <w:textAlignment w:val="auto"/>
        <w:rPr>
          <w:rFonts w:ascii="宋体" w:hAnsi="宋体" w:cs="宋体"/>
          <w:sz w:val="24"/>
          <w:szCs w:val="24"/>
        </w:rPr>
      </w:pPr>
      <w:r>
        <w:rPr>
          <w:rFonts w:hint="eastAsia" w:ascii="宋体" w:hAnsi="宋体" w:cs="宋体"/>
          <w:sz w:val="24"/>
          <w:szCs w:val="24"/>
        </w:rPr>
        <w:t>2.成交供应商的投标保证金，在成交供应商与采购人签订合同后，由采购代理机构扣除中标服务费后在五个工作日内按资金来款渠道直接退还。</w:t>
      </w:r>
    </w:p>
    <w:p>
      <w:pPr>
        <w:pageBreakBefore w:val="0"/>
        <w:widowControl w:val="0"/>
        <w:kinsoku/>
        <w:wordWrap/>
        <w:overflowPunct/>
        <w:topLinePunct w:val="0"/>
        <w:autoSpaceDE/>
        <w:autoSpaceDN/>
        <w:bidi w:val="0"/>
        <w:adjustRightInd/>
        <w:spacing w:line="540" w:lineRule="exact"/>
        <w:ind w:firstLine="480" w:firstLineChars="200"/>
        <w:textAlignment w:val="auto"/>
        <w:rPr>
          <w:rFonts w:ascii="宋体" w:hAnsi="宋体" w:cs="宋体"/>
          <w:sz w:val="24"/>
          <w:szCs w:val="24"/>
        </w:rPr>
      </w:pPr>
      <w:r>
        <w:rPr>
          <w:rFonts w:hint="eastAsia" w:ascii="宋体" w:hAnsi="宋体" w:cs="宋体"/>
          <w:sz w:val="24"/>
          <w:szCs w:val="24"/>
        </w:rPr>
        <w:t>（二）保证金退还方式</w:t>
      </w:r>
    </w:p>
    <w:p>
      <w:pPr>
        <w:pageBreakBefore w:val="0"/>
        <w:widowControl w:val="0"/>
        <w:kinsoku/>
        <w:wordWrap/>
        <w:overflowPunct/>
        <w:topLinePunct w:val="0"/>
        <w:autoSpaceDE/>
        <w:autoSpaceDN/>
        <w:bidi w:val="0"/>
        <w:adjustRightInd/>
        <w:spacing w:line="540" w:lineRule="exact"/>
        <w:ind w:firstLine="480" w:firstLineChars="200"/>
        <w:textAlignment w:val="auto"/>
        <w:rPr>
          <w:rFonts w:ascii="宋体" w:hAnsi="宋体" w:cs="宋体"/>
          <w:sz w:val="24"/>
          <w:szCs w:val="24"/>
        </w:rPr>
      </w:pPr>
      <w:r>
        <w:rPr>
          <w:rFonts w:hint="eastAsia" w:ascii="宋体" w:hAnsi="宋体" w:cs="宋体"/>
          <w:sz w:val="24"/>
          <w:szCs w:val="24"/>
        </w:rPr>
        <w:t>1.未成交供应商的保证金，在成交通知书发放后，由采购代理机构在五个工作日内按来款渠道直接退还。</w:t>
      </w:r>
    </w:p>
    <w:p>
      <w:pPr>
        <w:pageBreakBefore w:val="0"/>
        <w:widowControl w:val="0"/>
        <w:kinsoku/>
        <w:wordWrap/>
        <w:overflowPunct/>
        <w:topLinePunct w:val="0"/>
        <w:autoSpaceDE/>
        <w:autoSpaceDN/>
        <w:bidi w:val="0"/>
        <w:adjustRightInd/>
        <w:spacing w:line="540" w:lineRule="exact"/>
        <w:ind w:firstLine="480" w:firstLineChars="200"/>
        <w:textAlignment w:val="auto"/>
        <w:rPr>
          <w:rFonts w:ascii="宋体" w:hAnsi="宋体" w:cs="宋体"/>
          <w:sz w:val="24"/>
          <w:szCs w:val="24"/>
        </w:rPr>
      </w:pPr>
      <w:r>
        <w:rPr>
          <w:rFonts w:hint="eastAsia" w:ascii="宋体" w:hAnsi="宋体" w:cs="宋体"/>
          <w:sz w:val="24"/>
          <w:szCs w:val="24"/>
        </w:rPr>
        <w:t>2. 成交供应商的磋商保证金，在成交供应商与采购人签订合同并将合同复印件递交采购代理机构后，由采购代理机构在五个工作日内按资金来款渠道直接退还。</w:t>
      </w:r>
    </w:p>
    <w:p>
      <w:pPr>
        <w:pStyle w:val="5"/>
        <w:pageBreakBefore w:val="0"/>
        <w:widowControl w:val="0"/>
        <w:kinsoku/>
        <w:wordWrap/>
        <w:overflowPunct/>
        <w:topLinePunct w:val="0"/>
        <w:autoSpaceDE/>
        <w:autoSpaceDN/>
        <w:bidi w:val="0"/>
        <w:adjustRightInd/>
        <w:spacing w:before="0" w:after="0" w:line="540" w:lineRule="exact"/>
        <w:ind w:firstLine="482" w:firstLineChars="200"/>
        <w:textAlignment w:val="auto"/>
        <w:rPr>
          <w:rFonts w:ascii="宋体" w:hAnsi="宋体" w:cs="宋体"/>
          <w:sz w:val="24"/>
          <w:szCs w:val="24"/>
        </w:rPr>
      </w:pPr>
      <w:r>
        <w:rPr>
          <w:rFonts w:hint="eastAsia" w:ascii="宋体" w:hAnsi="宋体" w:cs="宋体"/>
          <w:sz w:val="24"/>
          <w:szCs w:val="24"/>
        </w:rPr>
        <w:t>六、采购项目需落实的政府采购政策</w:t>
      </w:r>
      <w:bookmarkEnd w:id="14"/>
      <w:bookmarkEnd w:id="15"/>
    </w:p>
    <w:p>
      <w:pPr>
        <w:pageBreakBefore w:val="0"/>
        <w:widowControl w:val="0"/>
        <w:kinsoku/>
        <w:wordWrap/>
        <w:overflowPunct/>
        <w:topLinePunct w:val="0"/>
        <w:autoSpaceDE/>
        <w:autoSpaceDN/>
        <w:bidi w:val="0"/>
        <w:adjustRightInd/>
        <w:snapToGrid w:val="0"/>
        <w:spacing w:line="540" w:lineRule="exact"/>
        <w:ind w:firstLine="480" w:firstLineChars="200"/>
        <w:textAlignment w:val="auto"/>
        <w:rPr>
          <w:rFonts w:ascii="宋体" w:hAnsi="宋体" w:cs="宋体"/>
          <w:sz w:val="24"/>
          <w:szCs w:val="24"/>
        </w:rPr>
      </w:pPr>
      <w:r>
        <w:rPr>
          <w:rFonts w:hint="eastAsia" w:ascii="宋体" w:hAnsi="宋体" w:cs="宋体"/>
          <w:sz w:val="24"/>
          <w:szCs w:val="24"/>
        </w:rPr>
        <w:t>（一）按照《财政部 生态环境部关于印发环境标志产品政府采购品目清单的通知》（财库〔2019〕18号）和《财政部 发展改革委关于印发节能产品政府采购品目清单的通知》（财库〔2019〕19号）的规定，落实国家节能环保政策。</w:t>
      </w:r>
    </w:p>
    <w:p>
      <w:pPr>
        <w:pageBreakBefore w:val="0"/>
        <w:widowControl w:val="0"/>
        <w:kinsoku/>
        <w:wordWrap/>
        <w:overflowPunct/>
        <w:topLinePunct w:val="0"/>
        <w:autoSpaceDE/>
        <w:autoSpaceDN/>
        <w:bidi w:val="0"/>
        <w:adjustRightInd/>
        <w:snapToGrid w:val="0"/>
        <w:spacing w:line="540" w:lineRule="exact"/>
        <w:ind w:firstLine="480" w:firstLineChars="200"/>
        <w:textAlignment w:val="auto"/>
        <w:rPr>
          <w:rFonts w:ascii="宋体" w:hAnsi="宋体" w:cs="宋体"/>
          <w:sz w:val="24"/>
          <w:szCs w:val="24"/>
        </w:rPr>
      </w:pPr>
      <w:r>
        <w:rPr>
          <w:rFonts w:hint="eastAsia" w:ascii="宋体" w:hAnsi="宋体" w:cs="宋体"/>
          <w:sz w:val="24"/>
          <w:szCs w:val="24"/>
        </w:rPr>
        <w:t>（二）按照财政部、工业和信息化部关于印发《政府采购促进中小企业发展管理办法》的通知（财库〔2020〕46号）的规定，落实促进中小企业发展政策。</w:t>
      </w:r>
    </w:p>
    <w:p>
      <w:pPr>
        <w:pageBreakBefore w:val="0"/>
        <w:widowControl w:val="0"/>
        <w:kinsoku/>
        <w:wordWrap/>
        <w:overflowPunct/>
        <w:topLinePunct w:val="0"/>
        <w:autoSpaceDE/>
        <w:autoSpaceDN/>
        <w:bidi w:val="0"/>
        <w:adjustRightInd/>
        <w:snapToGrid w:val="0"/>
        <w:spacing w:line="540" w:lineRule="exact"/>
        <w:ind w:firstLine="480" w:firstLineChars="200"/>
        <w:textAlignment w:val="auto"/>
        <w:rPr>
          <w:rFonts w:ascii="宋体" w:hAnsi="宋体" w:cs="宋体"/>
          <w:sz w:val="24"/>
          <w:szCs w:val="24"/>
        </w:rPr>
      </w:pPr>
      <w:r>
        <w:rPr>
          <w:rFonts w:hint="eastAsia" w:ascii="宋体" w:hAnsi="宋体" w:cs="宋体"/>
          <w:sz w:val="24"/>
          <w:szCs w:val="24"/>
        </w:rPr>
        <w:t>（三）按照《财政部、司法部关于政府采购支持监狱企业发展有关问题的通知》（财库〔2014〕68号）的规定，落实支持监狱企业发展政策。</w:t>
      </w:r>
    </w:p>
    <w:p>
      <w:pPr>
        <w:pageBreakBefore w:val="0"/>
        <w:widowControl w:val="0"/>
        <w:kinsoku/>
        <w:wordWrap/>
        <w:overflowPunct/>
        <w:topLinePunct w:val="0"/>
        <w:autoSpaceDE/>
        <w:autoSpaceDN/>
        <w:bidi w:val="0"/>
        <w:adjustRightInd/>
        <w:snapToGrid w:val="0"/>
        <w:spacing w:line="540" w:lineRule="exact"/>
        <w:ind w:firstLine="480" w:firstLineChars="200"/>
        <w:textAlignment w:val="auto"/>
        <w:rPr>
          <w:rFonts w:ascii="宋体" w:hAnsi="宋体" w:cs="宋体"/>
          <w:sz w:val="24"/>
          <w:szCs w:val="24"/>
        </w:rPr>
      </w:pPr>
      <w:r>
        <w:rPr>
          <w:rFonts w:hint="eastAsia" w:ascii="宋体" w:hAnsi="宋体" w:cs="宋体"/>
          <w:sz w:val="24"/>
          <w:szCs w:val="24"/>
        </w:rPr>
        <w:t>（四）按照《三部门联合发布关于促进残疾人就业政府采购政策的通知》（财库〔2017〕 141号）的规定，落实支持残疾人福利性单位发展政策。</w:t>
      </w:r>
    </w:p>
    <w:p>
      <w:pPr>
        <w:pStyle w:val="5"/>
        <w:pageBreakBefore w:val="0"/>
        <w:widowControl w:val="0"/>
        <w:kinsoku/>
        <w:wordWrap/>
        <w:overflowPunct/>
        <w:topLinePunct w:val="0"/>
        <w:autoSpaceDE/>
        <w:autoSpaceDN/>
        <w:bidi w:val="0"/>
        <w:adjustRightInd/>
        <w:spacing w:before="0" w:after="0" w:line="540" w:lineRule="exact"/>
        <w:ind w:firstLine="482" w:firstLineChars="200"/>
        <w:textAlignment w:val="auto"/>
        <w:rPr>
          <w:rFonts w:ascii="宋体" w:hAnsi="宋体" w:cs="宋体"/>
          <w:sz w:val="24"/>
          <w:szCs w:val="24"/>
        </w:rPr>
      </w:pPr>
      <w:bookmarkStart w:id="16" w:name="_Toc20130536"/>
      <w:r>
        <w:rPr>
          <w:rFonts w:hint="eastAsia" w:ascii="宋体" w:hAnsi="宋体" w:cs="宋体"/>
          <w:sz w:val="24"/>
          <w:szCs w:val="24"/>
        </w:rPr>
        <w:t>七、</w:t>
      </w:r>
      <w:bookmarkEnd w:id="9"/>
      <w:r>
        <w:rPr>
          <w:rFonts w:hint="eastAsia" w:ascii="宋体" w:hAnsi="宋体" w:cs="宋体"/>
          <w:sz w:val="24"/>
          <w:szCs w:val="24"/>
        </w:rPr>
        <w:t>其它有关规定</w:t>
      </w:r>
      <w:bookmarkEnd w:id="16"/>
    </w:p>
    <w:p>
      <w:pPr>
        <w:pageBreakBefore w:val="0"/>
        <w:widowControl w:val="0"/>
        <w:kinsoku/>
        <w:wordWrap/>
        <w:overflowPunct/>
        <w:topLinePunct w:val="0"/>
        <w:autoSpaceDE/>
        <w:autoSpaceDN/>
        <w:bidi w:val="0"/>
        <w:adjustRightInd/>
        <w:snapToGrid w:val="0"/>
        <w:spacing w:line="540" w:lineRule="exact"/>
        <w:ind w:firstLine="480" w:firstLineChars="200"/>
        <w:textAlignment w:val="auto"/>
        <w:rPr>
          <w:rFonts w:ascii="宋体" w:hAnsi="宋体" w:cs="宋体"/>
          <w:sz w:val="24"/>
          <w:szCs w:val="24"/>
        </w:rPr>
      </w:pPr>
      <w:r>
        <w:rPr>
          <w:rFonts w:hint="eastAsia" w:ascii="宋体" w:hAnsi="宋体" w:cs="宋体"/>
          <w:sz w:val="24"/>
          <w:szCs w:val="24"/>
        </w:rPr>
        <w:t>（一）单位负责人为同一人或者存在直接控股、管理关系的不同供应商，不得参加同一合同项（包）下的政府采购活动，否则均为无效响应。</w:t>
      </w:r>
    </w:p>
    <w:p>
      <w:pPr>
        <w:pageBreakBefore w:val="0"/>
        <w:widowControl w:val="0"/>
        <w:kinsoku/>
        <w:wordWrap/>
        <w:overflowPunct/>
        <w:topLinePunct w:val="0"/>
        <w:autoSpaceDE/>
        <w:autoSpaceDN/>
        <w:bidi w:val="0"/>
        <w:adjustRightInd/>
        <w:snapToGrid w:val="0"/>
        <w:spacing w:line="540" w:lineRule="exact"/>
        <w:ind w:firstLine="480" w:firstLineChars="200"/>
        <w:textAlignment w:val="auto"/>
        <w:rPr>
          <w:rFonts w:ascii="宋体" w:hAnsi="宋体" w:cs="宋体"/>
          <w:sz w:val="24"/>
          <w:szCs w:val="24"/>
        </w:rPr>
      </w:pPr>
      <w:r>
        <w:rPr>
          <w:rFonts w:hint="eastAsia" w:ascii="宋体" w:hAnsi="宋体" w:cs="宋体"/>
          <w:sz w:val="24"/>
          <w:szCs w:val="24"/>
        </w:rPr>
        <w:t>（二）为采购项目提供整体设计、规范编制或者项目管理、监理、检测等服务的供应商，不得再参加该采购项目的其他采购活动。</w:t>
      </w:r>
    </w:p>
    <w:p>
      <w:pPr>
        <w:pageBreakBefore w:val="0"/>
        <w:widowControl w:val="0"/>
        <w:kinsoku/>
        <w:wordWrap/>
        <w:overflowPunct/>
        <w:topLinePunct w:val="0"/>
        <w:autoSpaceDE/>
        <w:autoSpaceDN/>
        <w:bidi w:val="0"/>
        <w:adjustRightInd/>
        <w:snapToGrid w:val="0"/>
        <w:spacing w:line="540" w:lineRule="exact"/>
        <w:ind w:firstLine="480" w:firstLineChars="200"/>
        <w:textAlignment w:val="auto"/>
        <w:rPr>
          <w:rFonts w:ascii="宋体" w:hAnsi="宋体" w:cs="宋体"/>
          <w:sz w:val="24"/>
          <w:szCs w:val="24"/>
        </w:rPr>
      </w:pPr>
      <w:r>
        <w:rPr>
          <w:rFonts w:hint="eastAsia" w:ascii="宋体" w:hAnsi="宋体" w:cs="宋体"/>
          <w:sz w:val="24"/>
          <w:szCs w:val="24"/>
        </w:rPr>
        <w:t>（三）本项目的澄清文件（如果有）一律在“重庆市经济和信息化委员会网”（https://jjxxw.cq.gov.cn/）上发布，请各供应商注意下载或到采购代理机构处领取；无论供应商下载或领取与否，均视同供应商已知晓本项目澄清文件（如果有）的内容。</w:t>
      </w:r>
    </w:p>
    <w:p>
      <w:pPr>
        <w:pageBreakBefore w:val="0"/>
        <w:widowControl w:val="0"/>
        <w:kinsoku/>
        <w:wordWrap/>
        <w:overflowPunct/>
        <w:topLinePunct w:val="0"/>
        <w:autoSpaceDE/>
        <w:autoSpaceDN/>
        <w:bidi w:val="0"/>
        <w:adjustRightInd/>
        <w:snapToGrid w:val="0"/>
        <w:spacing w:line="540" w:lineRule="exact"/>
        <w:ind w:firstLine="480" w:firstLineChars="200"/>
        <w:textAlignment w:val="auto"/>
        <w:rPr>
          <w:rFonts w:ascii="宋体" w:hAnsi="宋体" w:cs="宋体"/>
          <w:sz w:val="24"/>
          <w:szCs w:val="24"/>
        </w:rPr>
      </w:pPr>
      <w:r>
        <w:rPr>
          <w:rFonts w:hint="eastAsia" w:ascii="宋体" w:hAnsi="宋体" w:cs="宋体"/>
          <w:sz w:val="24"/>
          <w:szCs w:val="24"/>
        </w:rPr>
        <w:t>（四）超过响应文件截止时间递交的响应文件，恕不接收。</w:t>
      </w:r>
    </w:p>
    <w:p>
      <w:pPr>
        <w:pageBreakBefore w:val="0"/>
        <w:widowControl w:val="0"/>
        <w:kinsoku/>
        <w:wordWrap/>
        <w:overflowPunct/>
        <w:topLinePunct w:val="0"/>
        <w:autoSpaceDE/>
        <w:autoSpaceDN/>
        <w:bidi w:val="0"/>
        <w:adjustRightInd/>
        <w:snapToGrid w:val="0"/>
        <w:spacing w:line="540" w:lineRule="exact"/>
        <w:ind w:firstLine="480" w:firstLineChars="200"/>
        <w:textAlignment w:val="auto"/>
        <w:rPr>
          <w:rFonts w:ascii="宋体" w:hAnsi="宋体" w:cs="宋体"/>
          <w:sz w:val="24"/>
          <w:szCs w:val="24"/>
        </w:rPr>
      </w:pPr>
      <w:r>
        <w:rPr>
          <w:rFonts w:hint="eastAsia" w:ascii="宋体" w:hAnsi="宋体" w:cs="宋体"/>
          <w:sz w:val="24"/>
          <w:szCs w:val="24"/>
        </w:rPr>
        <w:t>（五）磋商费用：无论磋商结果如何，供应商参与本项目磋商的所有费用均应由供应商自行承担。</w:t>
      </w:r>
    </w:p>
    <w:p>
      <w:pPr>
        <w:pageBreakBefore w:val="0"/>
        <w:widowControl w:val="0"/>
        <w:kinsoku/>
        <w:wordWrap/>
        <w:overflowPunct/>
        <w:topLinePunct w:val="0"/>
        <w:autoSpaceDE/>
        <w:autoSpaceDN/>
        <w:bidi w:val="0"/>
        <w:adjustRightInd/>
        <w:snapToGrid w:val="0"/>
        <w:spacing w:line="540" w:lineRule="exact"/>
        <w:ind w:firstLine="482" w:firstLineChars="200"/>
        <w:textAlignment w:val="auto"/>
        <w:rPr>
          <w:rFonts w:ascii="宋体" w:hAnsi="宋体" w:cs="宋体"/>
          <w:b/>
          <w:bCs/>
          <w:sz w:val="24"/>
          <w:szCs w:val="24"/>
        </w:rPr>
      </w:pPr>
      <w:r>
        <w:rPr>
          <w:rFonts w:hint="eastAsia" w:ascii="宋体" w:hAnsi="宋体" w:cs="宋体"/>
          <w:b/>
          <w:bCs/>
          <w:sz w:val="24"/>
          <w:szCs w:val="24"/>
        </w:rPr>
        <w:t>（六）本项目不接受联合体参与磋商，否则按无效处理。</w:t>
      </w:r>
    </w:p>
    <w:p>
      <w:pPr>
        <w:pageBreakBefore w:val="0"/>
        <w:widowControl w:val="0"/>
        <w:kinsoku/>
        <w:wordWrap/>
        <w:overflowPunct/>
        <w:topLinePunct w:val="0"/>
        <w:autoSpaceDE/>
        <w:autoSpaceDN/>
        <w:bidi w:val="0"/>
        <w:adjustRightInd/>
        <w:snapToGrid w:val="0"/>
        <w:spacing w:line="540" w:lineRule="exact"/>
        <w:ind w:firstLine="482" w:firstLineChars="200"/>
        <w:textAlignment w:val="auto"/>
        <w:rPr>
          <w:rFonts w:ascii="宋体" w:hAnsi="宋体" w:cs="宋体"/>
          <w:b/>
          <w:bCs/>
          <w:sz w:val="24"/>
          <w:szCs w:val="24"/>
        </w:rPr>
      </w:pPr>
      <w:r>
        <w:rPr>
          <w:rFonts w:hint="eastAsia" w:ascii="宋体" w:hAnsi="宋体" w:cs="宋体"/>
          <w:b/>
          <w:bCs/>
          <w:sz w:val="24"/>
          <w:szCs w:val="24"/>
        </w:rPr>
        <w:t>（七）本项目不接受合同分包，否则按无效处理。</w:t>
      </w:r>
    </w:p>
    <w:p>
      <w:pPr>
        <w:pageBreakBefore w:val="0"/>
        <w:widowControl w:val="0"/>
        <w:kinsoku/>
        <w:wordWrap/>
        <w:overflowPunct/>
        <w:topLinePunct w:val="0"/>
        <w:autoSpaceDE/>
        <w:autoSpaceDN/>
        <w:bidi w:val="0"/>
        <w:adjustRightInd/>
        <w:snapToGrid w:val="0"/>
        <w:spacing w:line="540" w:lineRule="exact"/>
        <w:ind w:firstLine="480" w:firstLineChars="200"/>
        <w:textAlignment w:val="auto"/>
        <w:rPr>
          <w:rFonts w:ascii="宋体" w:hAnsi="宋体" w:cs="宋体"/>
          <w:sz w:val="24"/>
          <w:szCs w:val="24"/>
        </w:rPr>
      </w:pPr>
      <w:r>
        <w:rPr>
          <w:rFonts w:hint="eastAsia" w:ascii="宋体" w:hAnsi="宋体" w:cs="宋体"/>
          <w:sz w:val="24"/>
          <w:szCs w:val="24"/>
        </w:rPr>
        <w:t>（八）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p>
      <w:pPr>
        <w:pStyle w:val="5"/>
        <w:pageBreakBefore w:val="0"/>
        <w:widowControl w:val="0"/>
        <w:kinsoku/>
        <w:wordWrap/>
        <w:overflowPunct/>
        <w:topLinePunct w:val="0"/>
        <w:autoSpaceDE/>
        <w:autoSpaceDN/>
        <w:bidi w:val="0"/>
        <w:adjustRightInd/>
        <w:spacing w:before="0" w:after="0" w:line="540" w:lineRule="exact"/>
        <w:ind w:firstLine="482" w:firstLineChars="200"/>
        <w:textAlignment w:val="auto"/>
        <w:rPr>
          <w:rFonts w:ascii="宋体" w:hAnsi="宋体" w:cs="宋体"/>
          <w:sz w:val="24"/>
          <w:szCs w:val="24"/>
        </w:rPr>
      </w:pPr>
      <w:bookmarkStart w:id="17" w:name="_Toc20130537"/>
      <w:r>
        <w:rPr>
          <w:rFonts w:hint="eastAsia" w:ascii="宋体" w:hAnsi="宋体" w:cs="宋体"/>
          <w:sz w:val="24"/>
          <w:szCs w:val="24"/>
        </w:rPr>
        <w:t>八、联系方式</w:t>
      </w:r>
      <w:bookmarkEnd w:id="17"/>
    </w:p>
    <w:p>
      <w:pPr>
        <w:pageBreakBefore w:val="0"/>
        <w:widowControl w:val="0"/>
        <w:kinsoku/>
        <w:wordWrap/>
        <w:overflowPunct/>
        <w:topLinePunct w:val="0"/>
        <w:autoSpaceDE/>
        <w:autoSpaceDN/>
        <w:bidi w:val="0"/>
        <w:adjustRightInd/>
        <w:snapToGrid w:val="0"/>
        <w:spacing w:line="540" w:lineRule="exact"/>
        <w:ind w:firstLine="480" w:firstLineChars="200"/>
        <w:textAlignment w:val="auto"/>
        <w:outlineLvl w:val="2"/>
        <w:rPr>
          <w:rFonts w:ascii="宋体" w:hAnsi="宋体" w:cs="宋体"/>
          <w:sz w:val="24"/>
          <w:szCs w:val="24"/>
        </w:rPr>
      </w:pPr>
      <w:r>
        <w:rPr>
          <w:rFonts w:hint="eastAsia" w:ascii="宋体" w:hAnsi="宋体" w:cs="宋体"/>
          <w:sz w:val="24"/>
          <w:szCs w:val="24"/>
        </w:rPr>
        <w:t>（一）采购人：重庆市无线电监测站</w:t>
      </w:r>
    </w:p>
    <w:p>
      <w:pPr>
        <w:pageBreakBefore w:val="0"/>
        <w:widowControl w:val="0"/>
        <w:kinsoku/>
        <w:wordWrap/>
        <w:overflowPunct/>
        <w:topLinePunct w:val="0"/>
        <w:autoSpaceDE/>
        <w:autoSpaceDN/>
        <w:bidi w:val="0"/>
        <w:adjustRightInd/>
        <w:snapToGrid w:val="0"/>
        <w:spacing w:line="540" w:lineRule="exact"/>
        <w:ind w:firstLine="1200" w:firstLineChars="500"/>
        <w:textAlignment w:val="auto"/>
        <w:rPr>
          <w:rFonts w:ascii="宋体" w:hAnsi="宋体" w:cs="宋体"/>
          <w:sz w:val="24"/>
          <w:szCs w:val="24"/>
        </w:rPr>
      </w:pPr>
      <w:r>
        <w:rPr>
          <w:rFonts w:hint="eastAsia" w:ascii="宋体" w:hAnsi="宋体" w:cs="宋体"/>
          <w:sz w:val="24"/>
          <w:szCs w:val="24"/>
        </w:rPr>
        <w:t xml:space="preserve">联系人：罗老师 </w:t>
      </w:r>
    </w:p>
    <w:p>
      <w:pPr>
        <w:pageBreakBefore w:val="0"/>
        <w:widowControl w:val="0"/>
        <w:kinsoku/>
        <w:wordWrap/>
        <w:overflowPunct/>
        <w:topLinePunct w:val="0"/>
        <w:autoSpaceDE/>
        <w:autoSpaceDN/>
        <w:bidi w:val="0"/>
        <w:adjustRightInd/>
        <w:snapToGrid w:val="0"/>
        <w:spacing w:line="540" w:lineRule="exact"/>
        <w:ind w:firstLine="1200" w:firstLineChars="500"/>
        <w:textAlignment w:val="auto"/>
        <w:rPr>
          <w:rFonts w:ascii="宋体" w:hAnsi="宋体" w:cs="宋体"/>
          <w:sz w:val="24"/>
          <w:szCs w:val="24"/>
        </w:rPr>
      </w:pPr>
      <w:r>
        <w:rPr>
          <w:rFonts w:hint="eastAsia" w:ascii="宋体" w:hAnsi="宋体" w:cs="宋体"/>
          <w:sz w:val="24"/>
          <w:szCs w:val="24"/>
        </w:rPr>
        <w:t>电  话：023-67710873</w:t>
      </w:r>
    </w:p>
    <w:p>
      <w:pPr>
        <w:pageBreakBefore w:val="0"/>
        <w:widowControl w:val="0"/>
        <w:kinsoku/>
        <w:wordWrap/>
        <w:overflowPunct/>
        <w:topLinePunct w:val="0"/>
        <w:autoSpaceDE/>
        <w:autoSpaceDN/>
        <w:bidi w:val="0"/>
        <w:adjustRightInd/>
        <w:snapToGrid w:val="0"/>
        <w:spacing w:line="540" w:lineRule="exact"/>
        <w:ind w:firstLine="1200" w:firstLineChars="500"/>
        <w:textAlignment w:val="auto"/>
        <w:rPr>
          <w:rFonts w:ascii="宋体" w:hAnsi="宋体" w:cs="宋体"/>
          <w:sz w:val="24"/>
          <w:szCs w:val="24"/>
        </w:rPr>
      </w:pPr>
      <w:r>
        <w:rPr>
          <w:rFonts w:hint="eastAsia" w:ascii="宋体" w:hAnsi="宋体" w:cs="宋体"/>
          <w:sz w:val="24"/>
          <w:szCs w:val="24"/>
        </w:rPr>
        <w:t>地  址：重庆市江北区兴隆路26号数码大厦16楼</w:t>
      </w:r>
    </w:p>
    <w:p>
      <w:pPr>
        <w:pageBreakBefore w:val="0"/>
        <w:widowControl w:val="0"/>
        <w:kinsoku/>
        <w:wordWrap/>
        <w:overflowPunct/>
        <w:topLinePunct w:val="0"/>
        <w:autoSpaceDE/>
        <w:autoSpaceDN/>
        <w:bidi w:val="0"/>
        <w:adjustRightInd/>
        <w:snapToGrid w:val="0"/>
        <w:spacing w:line="540" w:lineRule="exact"/>
        <w:ind w:firstLine="1200" w:firstLineChars="500"/>
        <w:textAlignment w:val="auto"/>
        <w:rPr>
          <w:rFonts w:ascii="宋体" w:hAnsi="宋体" w:cs="宋体"/>
          <w:sz w:val="24"/>
          <w:szCs w:val="24"/>
        </w:rPr>
      </w:pPr>
    </w:p>
    <w:p>
      <w:pPr>
        <w:pageBreakBefore w:val="0"/>
        <w:widowControl w:val="0"/>
        <w:kinsoku/>
        <w:wordWrap/>
        <w:overflowPunct/>
        <w:topLinePunct w:val="0"/>
        <w:autoSpaceDE/>
        <w:autoSpaceDN/>
        <w:bidi w:val="0"/>
        <w:adjustRightInd/>
        <w:snapToGrid w:val="0"/>
        <w:spacing w:line="540" w:lineRule="exact"/>
        <w:ind w:firstLine="480" w:firstLineChars="200"/>
        <w:textAlignment w:val="auto"/>
        <w:outlineLvl w:val="2"/>
        <w:rPr>
          <w:rFonts w:ascii="宋体" w:hAnsi="宋体" w:cs="宋体"/>
          <w:sz w:val="24"/>
          <w:szCs w:val="24"/>
        </w:rPr>
      </w:pPr>
      <w:r>
        <w:rPr>
          <w:rFonts w:hint="eastAsia" w:ascii="宋体" w:hAnsi="宋体" w:cs="宋体"/>
          <w:sz w:val="24"/>
          <w:szCs w:val="24"/>
        </w:rPr>
        <w:t>（二）采购代理机构：攀钢集团工科工程咨询有限公司</w:t>
      </w:r>
    </w:p>
    <w:p>
      <w:pPr>
        <w:pageBreakBefore w:val="0"/>
        <w:widowControl w:val="0"/>
        <w:kinsoku/>
        <w:wordWrap/>
        <w:overflowPunct/>
        <w:topLinePunct w:val="0"/>
        <w:autoSpaceDE/>
        <w:autoSpaceDN/>
        <w:bidi w:val="0"/>
        <w:adjustRightInd/>
        <w:snapToGrid w:val="0"/>
        <w:spacing w:line="540" w:lineRule="exact"/>
        <w:ind w:firstLine="1200" w:firstLineChars="500"/>
        <w:textAlignment w:val="auto"/>
        <w:rPr>
          <w:rFonts w:ascii="宋体" w:hAnsi="宋体" w:cs="宋体"/>
          <w:sz w:val="24"/>
          <w:szCs w:val="24"/>
        </w:rPr>
      </w:pPr>
      <w:r>
        <w:rPr>
          <w:rFonts w:hint="eastAsia" w:ascii="宋体" w:hAnsi="宋体" w:cs="宋体"/>
          <w:sz w:val="24"/>
          <w:szCs w:val="24"/>
        </w:rPr>
        <w:t>联系人：</w:t>
      </w:r>
      <w:r>
        <w:rPr>
          <w:rFonts w:hint="eastAsia" w:ascii="宋体" w:hAnsi="宋体" w:cs="宋体"/>
          <w:sz w:val="24"/>
          <w:szCs w:val="24"/>
          <w:lang w:val="en-US" w:eastAsia="zh-CN"/>
        </w:rPr>
        <w:t>李老师</w:t>
      </w:r>
      <w:r>
        <w:rPr>
          <w:rFonts w:hint="eastAsia" w:ascii="宋体" w:hAnsi="宋体" w:cs="宋体"/>
          <w:sz w:val="24"/>
          <w:szCs w:val="24"/>
        </w:rPr>
        <w:t xml:space="preserve"> </w:t>
      </w:r>
    </w:p>
    <w:p>
      <w:pPr>
        <w:pageBreakBefore w:val="0"/>
        <w:widowControl w:val="0"/>
        <w:kinsoku/>
        <w:wordWrap/>
        <w:overflowPunct/>
        <w:topLinePunct w:val="0"/>
        <w:autoSpaceDE/>
        <w:autoSpaceDN/>
        <w:bidi w:val="0"/>
        <w:adjustRightInd/>
        <w:snapToGrid w:val="0"/>
        <w:spacing w:line="540" w:lineRule="exact"/>
        <w:ind w:firstLine="1200" w:firstLineChars="500"/>
        <w:textAlignment w:val="auto"/>
        <w:rPr>
          <w:rFonts w:hint="default" w:ascii="宋体" w:hAnsi="宋体" w:eastAsia="宋体" w:cs="宋体"/>
          <w:sz w:val="24"/>
          <w:szCs w:val="24"/>
          <w:lang w:val="en-US" w:eastAsia="zh-CN"/>
        </w:rPr>
      </w:pPr>
      <w:r>
        <w:rPr>
          <w:rFonts w:hint="eastAsia" w:ascii="宋体" w:hAnsi="宋体" w:cs="宋体"/>
          <w:sz w:val="24"/>
          <w:szCs w:val="24"/>
        </w:rPr>
        <w:t>电  话：</w:t>
      </w:r>
      <w:r>
        <w:rPr>
          <w:rFonts w:hint="eastAsia" w:ascii="宋体" w:hAnsi="宋体" w:cs="宋体"/>
          <w:sz w:val="24"/>
          <w:szCs w:val="24"/>
          <w:lang w:val="en-US" w:eastAsia="zh-CN"/>
        </w:rPr>
        <w:t>18502307440</w:t>
      </w:r>
    </w:p>
    <w:p>
      <w:pPr>
        <w:pageBreakBefore w:val="0"/>
        <w:widowControl w:val="0"/>
        <w:kinsoku/>
        <w:wordWrap/>
        <w:overflowPunct/>
        <w:topLinePunct w:val="0"/>
        <w:autoSpaceDE/>
        <w:autoSpaceDN/>
        <w:bidi w:val="0"/>
        <w:adjustRightInd/>
        <w:snapToGrid w:val="0"/>
        <w:spacing w:line="540" w:lineRule="exact"/>
        <w:ind w:firstLine="1200" w:firstLineChars="500"/>
        <w:textAlignment w:val="auto"/>
        <w:rPr>
          <w:rFonts w:ascii="宋体" w:hAnsi="宋体" w:cs="宋体"/>
          <w:sz w:val="24"/>
          <w:szCs w:val="24"/>
        </w:rPr>
      </w:pPr>
      <w:r>
        <w:rPr>
          <w:rFonts w:hint="eastAsia" w:ascii="宋体" w:hAnsi="宋体" w:cs="宋体"/>
          <w:sz w:val="24"/>
          <w:szCs w:val="24"/>
        </w:rPr>
        <w:t>地  址：重庆市渝北区青枫北路12号双子座B座13楼</w:t>
      </w:r>
    </w:p>
    <w:p>
      <w:pPr>
        <w:snapToGrid w:val="0"/>
        <w:spacing w:line="360" w:lineRule="auto"/>
        <w:ind w:firstLine="480" w:firstLineChars="200"/>
        <w:rPr>
          <w:rFonts w:ascii="宋体" w:hAnsi="宋体" w:cs="宋体"/>
          <w:sz w:val="24"/>
          <w:szCs w:val="24"/>
        </w:rPr>
      </w:pPr>
    </w:p>
    <w:p>
      <w:pPr>
        <w:pStyle w:val="3"/>
        <w:spacing w:line="360" w:lineRule="auto"/>
        <w:jc w:val="center"/>
        <w:rPr>
          <w:rFonts w:ascii="宋体" w:hAnsi="宋体" w:eastAsia="宋体" w:cs="宋体"/>
          <w:b w:val="0"/>
          <w:sz w:val="36"/>
          <w:szCs w:val="30"/>
        </w:rPr>
      </w:pPr>
      <w:r>
        <w:rPr>
          <w:rFonts w:hint="eastAsia" w:ascii="宋体" w:hAnsi="宋体" w:eastAsia="宋体" w:cs="宋体"/>
          <w:b w:val="0"/>
          <w:sz w:val="36"/>
          <w:szCs w:val="30"/>
        </w:rPr>
        <w:br w:type="page"/>
      </w:r>
      <w:bookmarkStart w:id="18" w:name="_Toc20130538"/>
      <w:r>
        <w:rPr>
          <w:rFonts w:hint="eastAsia" w:ascii="宋体" w:hAnsi="宋体" w:eastAsia="宋体" w:cs="宋体"/>
          <w:b w:val="0"/>
          <w:sz w:val="36"/>
          <w:szCs w:val="30"/>
        </w:rPr>
        <w:t>第二篇  项目技术需求</w:t>
      </w:r>
      <w:bookmarkEnd w:id="18"/>
    </w:p>
    <w:p>
      <w:pPr>
        <w:snapToGrid w:val="0"/>
        <w:spacing w:line="500" w:lineRule="exact"/>
        <w:rPr>
          <w:rFonts w:hint="eastAsia" w:ascii="宋体" w:hAnsi="宋体" w:cs="宋体"/>
          <w:b/>
          <w:sz w:val="21"/>
          <w:szCs w:val="21"/>
        </w:rPr>
      </w:pPr>
      <w:bookmarkStart w:id="19" w:name="_Toc5006885"/>
      <w:bookmarkStart w:id="20" w:name="_Toc6232092"/>
      <w:bookmarkStart w:id="21" w:name="_Toc12789058"/>
      <w:bookmarkStart w:id="22" w:name="_Toc20130542"/>
      <w:r>
        <w:rPr>
          <w:rFonts w:hint="eastAsia" w:ascii="宋体" w:hAnsi="宋体" w:cs="宋体"/>
          <w:b/>
          <w:sz w:val="21"/>
          <w:szCs w:val="21"/>
        </w:rPr>
        <w:t>“※”标注的要求为符合性审查中的实质性要求，响应文件若不满足按无效</w:t>
      </w:r>
      <w:r>
        <w:rPr>
          <w:rFonts w:hint="eastAsia" w:ascii="宋体" w:hAnsi="宋体" w:cs="宋体"/>
          <w:b/>
          <w:sz w:val="21"/>
          <w:szCs w:val="21"/>
          <w:lang w:val="en-US" w:eastAsia="zh-CN"/>
        </w:rPr>
        <w:t>响应</w:t>
      </w:r>
      <w:r>
        <w:rPr>
          <w:rFonts w:hint="eastAsia" w:ascii="宋体" w:hAnsi="宋体" w:cs="宋体"/>
          <w:b/>
          <w:sz w:val="21"/>
          <w:szCs w:val="21"/>
        </w:rPr>
        <w:t>处理。</w:t>
      </w:r>
    </w:p>
    <w:p>
      <w:pPr>
        <w:snapToGrid w:val="0"/>
        <w:spacing w:line="500" w:lineRule="exact"/>
        <w:rPr>
          <w:rFonts w:ascii="宋体" w:hAnsi="宋体" w:cs="宋体"/>
          <w:b/>
          <w:sz w:val="21"/>
          <w:szCs w:val="21"/>
        </w:rPr>
      </w:pPr>
      <w:r>
        <w:rPr>
          <w:rFonts w:hint="eastAsia" w:ascii="宋体" w:hAnsi="宋体" w:cs="宋体"/>
          <w:b/>
          <w:sz w:val="21"/>
          <w:szCs w:val="21"/>
        </w:rPr>
        <w:t>“★”标注的要求为重要技术需求，若不满足将按照评标因素中相关规定处理。</w:t>
      </w:r>
    </w:p>
    <w:bookmarkEnd w:id="19"/>
    <w:bookmarkEnd w:id="20"/>
    <w:p>
      <w:pPr>
        <w:pageBreakBefore w:val="0"/>
        <w:widowControl w:val="0"/>
        <w:kinsoku/>
        <w:wordWrap/>
        <w:overflowPunct/>
        <w:topLinePunct w:val="0"/>
        <w:autoSpaceDE/>
        <w:autoSpaceDN/>
        <w:bidi w:val="0"/>
        <w:adjustRightInd/>
        <w:snapToGrid w:val="0"/>
        <w:spacing w:line="500" w:lineRule="exact"/>
        <w:ind w:firstLine="482" w:firstLineChars="200"/>
        <w:textAlignment w:val="auto"/>
        <w:rPr>
          <w:rFonts w:hint="default" w:ascii="宋体"/>
          <w:b/>
          <w:bCs/>
          <w:sz w:val="24"/>
          <w:szCs w:val="24"/>
          <w:lang w:val="en-US" w:eastAsia="zh-CN"/>
        </w:rPr>
      </w:pPr>
      <w:bookmarkStart w:id="23" w:name="_Toc127262273"/>
      <w:bookmarkStart w:id="24" w:name="_Toc67990372"/>
      <w:bookmarkStart w:id="25" w:name="_Toc51854594"/>
      <w:bookmarkStart w:id="26" w:name="_Toc82422009"/>
      <w:bookmarkStart w:id="27" w:name="_Toc23843659"/>
      <w:bookmarkStart w:id="28" w:name="_Toc98855994"/>
      <w:r>
        <w:rPr>
          <w:rFonts w:hint="eastAsia" w:ascii="宋体"/>
          <w:b/>
          <w:bCs/>
          <w:sz w:val="24"/>
          <w:szCs w:val="24"/>
          <w:lang w:val="en-US" w:eastAsia="zh-CN"/>
        </w:rPr>
        <w:t>一、概述</w:t>
      </w:r>
    </w:p>
    <w:p>
      <w:pPr>
        <w:widowControl/>
        <w:snapToGrid w:val="0"/>
        <w:spacing w:line="360" w:lineRule="auto"/>
        <w:ind w:firstLine="480" w:firstLineChars="200"/>
        <w:rPr>
          <w:rFonts w:hint="eastAsia" w:ascii="宋体" w:hAnsi="宋体" w:eastAsia="宋体" w:cs="Times New Roman"/>
          <w:kern w:val="0"/>
          <w:sz w:val="24"/>
          <w:szCs w:val="24"/>
          <w:lang w:eastAsia="zh-CN"/>
        </w:rPr>
      </w:pPr>
      <w:r>
        <w:rPr>
          <w:rFonts w:hint="eastAsia" w:ascii="宋体" w:hAnsi="宋体" w:eastAsia="宋体" w:cs="Times New Roman"/>
          <w:kern w:val="0"/>
          <w:sz w:val="24"/>
          <w:szCs w:val="24"/>
        </w:rPr>
        <w:t>本项目</w:t>
      </w:r>
      <w:r>
        <w:rPr>
          <w:rFonts w:hint="eastAsia" w:ascii="宋体" w:hAnsi="宋体" w:eastAsia="宋体" w:cs="Times New Roman"/>
          <w:kern w:val="0"/>
          <w:sz w:val="24"/>
          <w:szCs w:val="24"/>
          <w:lang w:val="en-US" w:eastAsia="zh-CN"/>
        </w:rPr>
        <w:t>服务内容为基础运维服务和网络安全专项服务</w:t>
      </w:r>
      <w:r>
        <w:rPr>
          <w:rFonts w:hint="eastAsia" w:ascii="宋体" w:hAnsi="宋体" w:eastAsia="宋体" w:cs="Times New Roman"/>
          <w:kern w:val="0"/>
          <w:sz w:val="24"/>
          <w:szCs w:val="24"/>
          <w:lang w:eastAsia="zh-CN"/>
        </w:rPr>
        <w:t>。</w:t>
      </w:r>
    </w:p>
    <w:p>
      <w:pPr>
        <w:widowControl/>
        <w:snapToGrid w:val="0"/>
        <w:spacing w:line="360" w:lineRule="auto"/>
        <w:ind w:firstLine="422" w:firstLineChars="200"/>
        <w:rPr>
          <w:rFonts w:hint="eastAsia" w:ascii="宋体" w:hAnsi="宋体" w:eastAsia="宋体" w:cs="Times New Roman"/>
          <w:kern w:val="0"/>
          <w:sz w:val="24"/>
          <w:szCs w:val="24"/>
          <w:lang w:val="en-US" w:eastAsia="zh-CN"/>
        </w:rPr>
      </w:pPr>
      <w:r>
        <w:rPr>
          <w:rFonts w:hint="eastAsia" w:ascii="宋体" w:hAnsi="宋体" w:cs="宋体"/>
          <w:b/>
          <w:sz w:val="21"/>
          <w:szCs w:val="21"/>
        </w:rPr>
        <w:t>★</w:t>
      </w:r>
      <w:r>
        <w:rPr>
          <w:rFonts w:hint="eastAsia" w:ascii="宋体" w:hAnsi="宋体" w:eastAsia="宋体" w:cs="Times New Roman"/>
          <w:kern w:val="0"/>
          <w:sz w:val="24"/>
          <w:szCs w:val="24"/>
          <w:lang w:val="en-US" w:eastAsia="zh-CN"/>
        </w:rPr>
        <w:t>服务期限：12个月，2024年5月17日-2025年5月16日</w:t>
      </w:r>
    </w:p>
    <w:p>
      <w:pPr>
        <w:widowControl/>
        <w:snapToGrid w:val="0"/>
        <w:spacing w:line="360" w:lineRule="auto"/>
        <w:ind w:firstLine="422" w:firstLineChars="200"/>
        <w:rPr>
          <w:rFonts w:hint="default" w:ascii="宋体" w:hAnsi="宋体" w:eastAsia="宋体" w:cs="Times New Roman"/>
          <w:kern w:val="0"/>
          <w:sz w:val="24"/>
          <w:szCs w:val="24"/>
          <w:lang w:val="en-US" w:eastAsia="zh-CN"/>
        </w:rPr>
      </w:pPr>
      <w:r>
        <w:rPr>
          <w:rFonts w:hint="eastAsia" w:ascii="宋体" w:hAnsi="宋体" w:cs="宋体"/>
          <w:b/>
          <w:sz w:val="21"/>
          <w:szCs w:val="21"/>
        </w:rPr>
        <w:t>★</w:t>
      </w:r>
      <w:r>
        <w:rPr>
          <w:rFonts w:hint="eastAsia" w:ascii="宋体" w:hAnsi="宋体" w:eastAsia="宋体" w:cs="Times New Roman"/>
          <w:kern w:val="0"/>
          <w:sz w:val="24"/>
          <w:szCs w:val="24"/>
          <w:lang w:val="en-US" w:eastAsia="zh-CN"/>
        </w:rPr>
        <w:t>运维设施设备清单：附件1、附件2</w:t>
      </w:r>
    </w:p>
    <w:p>
      <w:pPr>
        <w:pageBreakBefore w:val="0"/>
        <w:widowControl w:val="0"/>
        <w:kinsoku/>
        <w:wordWrap/>
        <w:overflowPunct/>
        <w:topLinePunct w:val="0"/>
        <w:autoSpaceDE/>
        <w:autoSpaceDN/>
        <w:bidi w:val="0"/>
        <w:adjustRightInd/>
        <w:snapToGrid w:val="0"/>
        <w:spacing w:line="500" w:lineRule="exact"/>
        <w:ind w:firstLine="482" w:firstLineChars="200"/>
        <w:textAlignment w:val="auto"/>
        <w:rPr>
          <w:rFonts w:hint="eastAsia" w:ascii="宋体"/>
          <w:b/>
          <w:bCs/>
          <w:sz w:val="24"/>
          <w:szCs w:val="24"/>
          <w:lang w:val="en-US" w:eastAsia="zh-CN"/>
        </w:rPr>
      </w:pPr>
      <w:r>
        <w:rPr>
          <w:rFonts w:hint="eastAsia" w:ascii="宋体"/>
          <w:b/>
          <w:bCs/>
          <w:sz w:val="24"/>
          <w:szCs w:val="24"/>
          <w:lang w:val="en-US" w:eastAsia="zh-CN"/>
        </w:rPr>
        <w:t>二、基础运维服务</w:t>
      </w:r>
    </w:p>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1.设备维护。</w:t>
      </w:r>
      <w:r>
        <w:rPr>
          <w:rFonts w:hint="eastAsia" w:ascii="宋体" w:hAnsi="宋体" w:cs="宋体"/>
          <w:kern w:val="0"/>
          <w:sz w:val="24"/>
          <w:szCs w:val="24"/>
          <w:lang w:val="en-US" w:eastAsia="zh-CN"/>
        </w:rPr>
        <w:t>成交供应商</w:t>
      </w:r>
      <w:r>
        <w:rPr>
          <w:rFonts w:hint="eastAsia" w:ascii="宋体" w:hAnsi="宋体" w:eastAsia="宋体" w:cs="宋体"/>
          <w:kern w:val="0"/>
          <w:sz w:val="24"/>
          <w:szCs w:val="24"/>
        </w:rPr>
        <w:t>提供服务范围内所有设备的维护服务，包括故障诊断、故障处理、配件更换、系统参数调整、调试、联调、机房及设备清洁卫生等，确保系统设备正常运行</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进行网络及信息系统软硬升级、系统性能维护</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对于需要原厂制造商维修的设备，应配合设备</w:t>
      </w:r>
      <w:r>
        <w:rPr>
          <w:rFonts w:hint="eastAsia" w:ascii="宋体" w:hAnsi="宋体" w:eastAsia="宋体" w:cs="宋体"/>
          <w:kern w:val="0"/>
          <w:sz w:val="24"/>
          <w:szCs w:val="24"/>
          <w:lang w:val="en-US" w:eastAsia="zh-CN"/>
        </w:rPr>
        <w:t>搬迁</w:t>
      </w:r>
      <w:r>
        <w:rPr>
          <w:rFonts w:hint="eastAsia" w:ascii="宋体" w:hAnsi="宋体" w:eastAsia="宋体" w:cs="宋体"/>
          <w:kern w:val="0"/>
          <w:sz w:val="24"/>
          <w:szCs w:val="24"/>
        </w:rPr>
        <w:t>、上架、配置、调试等工作。</w:t>
      </w:r>
      <w:r>
        <w:rPr>
          <w:rFonts w:hint="eastAsia" w:ascii="宋体" w:hAnsi="宋体" w:eastAsia="宋体" w:cs="宋体"/>
          <w:kern w:val="0"/>
          <w:sz w:val="24"/>
          <w:szCs w:val="24"/>
          <w:lang w:eastAsia="zh-CN"/>
        </w:rPr>
        <w:t>采购人</w:t>
      </w:r>
      <w:r>
        <w:rPr>
          <w:rFonts w:hint="eastAsia" w:ascii="宋体" w:hAnsi="宋体" w:eastAsia="宋体" w:cs="宋体"/>
          <w:kern w:val="0"/>
          <w:sz w:val="24"/>
          <w:szCs w:val="24"/>
        </w:rPr>
        <w:t>采购了新设备或对原有设备进行调整时，应配合开展设备迁移、集成、配置等。</w:t>
      </w:r>
    </w:p>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2.设备管理。</w:t>
      </w:r>
      <w:r>
        <w:rPr>
          <w:rFonts w:hint="eastAsia" w:ascii="宋体" w:hAnsi="宋体" w:eastAsia="宋体" w:cs="宋体"/>
          <w:kern w:val="0"/>
          <w:sz w:val="24"/>
          <w:szCs w:val="24"/>
          <w:lang w:val="en-US" w:eastAsia="zh-CN"/>
        </w:rPr>
        <w:t>成交供应商应</w:t>
      </w:r>
      <w:r>
        <w:rPr>
          <w:rFonts w:hint="eastAsia" w:ascii="宋体" w:hAnsi="宋体" w:eastAsia="宋体" w:cs="宋体"/>
          <w:kern w:val="0"/>
          <w:sz w:val="24"/>
          <w:szCs w:val="24"/>
        </w:rPr>
        <w:t>对系统建设和运行情况有清楚全面的认识，明确硬件设备的位置、用途、功能、连线、标识、配置、操作、运行状况等全面情况。负责技术资料、图纸、技术文件的收集、整理等管理工作</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对各种运行记录、维护记录和技术文档等进行登记、编号和存档，向</w:t>
      </w:r>
      <w:r>
        <w:rPr>
          <w:rFonts w:hint="eastAsia" w:ascii="宋体" w:hAnsi="宋体" w:eastAsia="宋体" w:cs="宋体"/>
          <w:kern w:val="0"/>
          <w:sz w:val="24"/>
          <w:szCs w:val="24"/>
          <w:lang w:eastAsia="zh-CN"/>
        </w:rPr>
        <w:t>采购人</w:t>
      </w:r>
      <w:r>
        <w:rPr>
          <w:rFonts w:hint="eastAsia" w:ascii="宋体" w:hAnsi="宋体" w:eastAsia="宋体" w:cs="宋体"/>
          <w:kern w:val="0"/>
          <w:sz w:val="24"/>
          <w:szCs w:val="24"/>
        </w:rPr>
        <w:t>提交相关技术材料。</w:t>
      </w:r>
    </w:p>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3.网络维护。</w:t>
      </w:r>
      <w:r>
        <w:rPr>
          <w:rFonts w:hint="eastAsia" w:ascii="宋体" w:hAnsi="宋体" w:eastAsia="宋体" w:cs="宋体"/>
          <w:kern w:val="0"/>
          <w:sz w:val="24"/>
          <w:szCs w:val="24"/>
          <w:lang w:val="en-US" w:eastAsia="zh-CN"/>
        </w:rPr>
        <w:t>成交供应商对</w:t>
      </w:r>
      <w:r>
        <w:rPr>
          <w:rFonts w:hint="eastAsia" w:ascii="宋体" w:hAnsi="宋体" w:eastAsia="宋体" w:cs="宋体"/>
          <w:kern w:val="0"/>
          <w:sz w:val="24"/>
          <w:szCs w:val="24"/>
        </w:rPr>
        <w:t>各个终端节点到网络机房的链路状态运行监控和故障排除；对现有网络架构和使用情况进行梳理，优化现有网络结构；优化机房网络机柜布置。监控</w:t>
      </w:r>
      <w:r>
        <w:rPr>
          <w:rFonts w:hint="eastAsia" w:ascii="宋体" w:hAnsi="宋体" w:eastAsia="宋体" w:cs="宋体"/>
          <w:kern w:val="0"/>
          <w:sz w:val="24"/>
          <w:szCs w:val="24"/>
          <w:lang w:val="en-US" w:eastAsia="zh-CN"/>
        </w:rPr>
        <w:t>无线电专网</w:t>
      </w: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互联网</w:t>
      </w:r>
      <w:r>
        <w:rPr>
          <w:rFonts w:hint="eastAsia" w:ascii="宋体" w:hAnsi="宋体" w:eastAsia="宋体" w:cs="宋体"/>
          <w:kern w:val="0"/>
          <w:sz w:val="24"/>
          <w:szCs w:val="24"/>
        </w:rPr>
        <w:t>网络通断、</w:t>
      </w:r>
      <w:r>
        <w:rPr>
          <w:rFonts w:hint="eastAsia" w:ascii="宋体" w:hAnsi="宋体" w:eastAsia="宋体" w:cs="宋体"/>
          <w:kern w:val="0"/>
          <w:sz w:val="24"/>
          <w:szCs w:val="24"/>
          <w:lang w:val="en-US" w:eastAsia="zh-CN"/>
        </w:rPr>
        <w:t>网络</w:t>
      </w:r>
      <w:r>
        <w:rPr>
          <w:rFonts w:hint="eastAsia" w:ascii="宋体" w:hAnsi="宋体" w:eastAsia="宋体" w:cs="宋体"/>
          <w:kern w:val="0"/>
          <w:sz w:val="24"/>
          <w:szCs w:val="24"/>
        </w:rPr>
        <w:t>质量，出现问题报修。</w:t>
      </w:r>
    </w:p>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4.日常巡检。工作日每日对运维范围内的所有设备和系统进行日常巡检，</w:t>
      </w:r>
      <w:r>
        <w:rPr>
          <w:rFonts w:hint="eastAsia" w:ascii="宋体" w:hAnsi="宋体" w:eastAsia="宋体" w:cs="宋体"/>
          <w:kern w:val="0"/>
          <w:sz w:val="24"/>
          <w:szCs w:val="24"/>
          <w:lang w:val="en-US" w:eastAsia="zh-CN"/>
        </w:rPr>
        <w:t>应每日记录巡检情况，</w:t>
      </w:r>
      <w:r>
        <w:rPr>
          <w:rFonts w:hint="eastAsia" w:ascii="宋体" w:hAnsi="宋体" w:eastAsia="宋体" w:cs="宋体"/>
          <w:color w:val="auto"/>
          <w:kern w:val="0"/>
          <w:sz w:val="24"/>
          <w:szCs w:val="24"/>
          <w:lang w:val="en-US" w:eastAsia="zh-CN"/>
        </w:rPr>
        <w:t>每月汇总</w:t>
      </w:r>
      <w:r>
        <w:rPr>
          <w:rFonts w:hint="eastAsia" w:ascii="宋体" w:hAnsi="宋体" w:eastAsia="宋体" w:cs="宋体"/>
          <w:color w:val="auto"/>
          <w:kern w:val="0"/>
          <w:sz w:val="24"/>
          <w:szCs w:val="24"/>
        </w:rPr>
        <w:t>出具巡检报告。</w:t>
      </w:r>
      <w:r>
        <w:rPr>
          <w:rFonts w:hint="eastAsia" w:ascii="宋体" w:hAnsi="宋体" w:eastAsia="宋体" w:cs="宋体"/>
          <w:kern w:val="0"/>
          <w:sz w:val="24"/>
          <w:szCs w:val="24"/>
        </w:rPr>
        <w:t>发现故障，立即进行处理，提交故障处理报告。巡检要点应包括</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机房基础设施，空调、门禁、消防、温湿度、UPS状态等；硬件状态检查，设备电源状态、网络接口状态、设备所在物理环境状态等；性能负载检查，CPU、内存、日志、存储空间的使用情况等；检查日志功能的有效性，确保能正常生成日志；业务系统状态，监测业务系统的可访问性、安全性、完整性等。</w:t>
      </w:r>
    </w:p>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5.日志审计。要求按照国家有关标准规范收集、保存、备份各个信息系统和IT设备日志，包括服务器、存储、网络及安全设备的日志文件。采取人工与工具协同的审计方法对日志信息进行综合分析，并针对报告中提出的问题进行整改。</w:t>
      </w:r>
    </w:p>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6.终端服务。服务对象包含</w:t>
      </w:r>
      <w:r>
        <w:rPr>
          <w:rFonts w:hint="eastAsia" w:ascii="宋体" w:hAnsi="宋体" w:eastAsia="宋体" w:cs="宋体"/>
          <w:kern w:val="0"/>
          <w:sz w:val="24"/>
          <w:szCs w:val="24"/>
          <w:lang w:eastAsia="zh-CN"/>
        </w:rPr>
        <w:t>采购人</w:t>
      </w:r>
      <w:r>
        <w:rPr>
          <w:rFonts w:hint="eastAsia" w:ascii="宋体" w:hAnsi="宋体" w:eastAsia="宋体" w:cs="宋体"/>
          <w:kern w:val="0"/>
          <w:sz w:val="24"/>
          <w:szCs w:val="24"/>
        </w:rPr>
        <w:t>办公场所所有</w:t>
      </w:r>
      <w:r>
        <w:rPr>
          <w:rFonts w:hint="eastAsia" w:ascii="宋体" w:hAnsi="宋体" w:eastAsia="宋体" w:cs="宋体"/>
          <w:kern w:val="0"/>
          <w:sz w:val="24"/>
          <w:szCs w:val="24"/>
          <w:lang w:val="en-US" w:eastAsia="zh-CN"/>
        </w:rPr>
        <w:t>业务</w:t>
      </w:r>
      <w:r>
        <w:rPr>
          <w:rFonts w:hint="eastAsia" w:ascii="宋体" w:hAnsi="宋体" w:eastAsia="宋体" w:cs="宋体"/>
          <w:kern w:val="0"/>
          <w:sz w:val="24"/>
          <w:szCs w:val="24"/>
        </w:rPr>
        <w:t>终端、打印机、</w:t>
      </w:r>
      <w:r>
        <w:rPr>
          <w:rFonts w:hint="eastAsia" w:ascii="宋体" w:hAnsi="宋体" w:eastAsia="宋体" w:cs="宋体"/>
          <w:kern w:val="0"/>
          <w:sz w:val="24"/>
          <w:szCs w:val="24"/>
          <w:lang w:val="en-US" w:eastAsia="zh-CN"/>
        </w:rPr>
        <w:t>移动办公终端</w:t>
      </w:r>
      <w:r>
        <w:rPr>
          <w:rFonts w:hint="eastAsia" w:ascii="宋体" w:hAnsi="宋体" w:eastAsia="宋体" w:cs="宋体"/>
          <w:kern w:val="0"/>
          <w:sz w:val="24"/>
          <w:szCs w:val="24"/>
        </w:rPr>
        <w:t>、碎纸机等办公设备。成交供应商应对办公设备进行服务响应，开展故障诊断、分析及故障处理，</w:t>
      </w:r>
      <w:r>
        <w:rPr>
          <w:rFonts w:hint="eastAsia" w:ascii="宋体" w:hAnsi="宋体" w:eastAsia="宋体" w:cs="宋体"/>
          <w:kern w:val="0"/>
          <w:sz w:val="24"/>
          <w:szCs w:val="24"/>
          <w:lang w:val="en-US" w:eastAsia="zh-CN"/>
        </w:rPr>
        <w:t>及时</w:t>
      </w:r>
      <w:r>
        <w:rPr>
          <w:rFonts w:hint="eastAsia" w:ascii="宋体" w:hAnsi="宋体" w:eastAsia="宋体" w:cs="宋体"/>
          <w:kern w:val="0"/>
          <w:sz w:val="24"/>
          <w:szCs w:val="24"/>
        </w:rPr>
        <w:t>恢复设备的正常作业。</w:t>
      </w:r>
    </w:p>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7.数据服务。驻场服务工程师制定备份计划，定期</w:t>
      </w:r>
      <w:r>
        <w:rPr>
          <w:rFonts w:hint="eastAsia" w:ascii="宋体" w:hAnsi="宋体" w:eastAsia="宋体" w:cs="宋体"/>
          <w:kern w:val="0"/>
          <w:sz w:val="24"/>
          <w:szCs w:val="24"/>
          <w:lang w:val="en-US" w:eastAsia="zh-CN"/>
        </w:rPr>
        <w:t>完成</w:t>
      </w:r>
      <w:r>
        <w:rPr>
          <w:rFonts w:hint="eastAsia" w:ascii="宋体" w:hAnsi="宋体" w:eastAsia="宋体" w:cs="宋体"/>
          <w:kern w:val="0"/>
          <w:sz w:val="24"/>
          <w:szCs w:val="24"/>
        </w:rPr>
        <w:t>各信息系统数据</w:t>
      </w:r>
      <w:r>
        <w:rPr>
          <w:rFonts w:hint="eastAsia" w:ascii="宋体" w:hAnsi="宋体" w:eastAsia="宋体" w:cs="宋体"/>
          <w:kern w:val="0"/>
          <w:sz w:val="24"/>
          <w:szCs w:val="24"/>
          <w:lang w:eastAsia="zh-CN"/>
        </w:rPr>
        <w:t>的</w:t>
      </w:r>
      <w:r>
        <w:rPr>
          <w:rFonts w:hint="eastAsia" w:ascii="宋体" w:hAnsi="宋体" w:eastAsia="宋体" w:cs="宋体"/>
          <w:kern w:val="0"/>
          <w:sz w:val="24"/>
          <w:szCs w:val="24"/>
        </w:rPr>
        <w:t>备份。提供数据服务，包括数据迁移、数据库管理等，数据库管理包括数据库系统性能监控，数据库日志的分析和维护以及数据库的安全管理和故障排除。</w:t>
      </w:r>
    </w:p>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数据</w:t>
      </w:r>
      <w:r>
        <w:rPr>
          <w:rFonts w:hint="eastAsia" w:ascii="宋体" w:hAnsi="宋体" w:eastAsia="宋体" w:cs="宋体"/>
          <w:kern w:val="0"/>
          <w:sz w:val="24"/>
          <w:szCs w:val="24"/>
        </w:rPr>
        <w:t>恢复测试</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本项目服务期内，成交供应商应对备份数据进行数据恢复测试一次，</w:t>
      </w:r>
      <w:r>
        <w:rPr>
          <w:rFonts w:hint="eastAsia" w:ascii="宋体" w:hAnsi="宋体" w:eastAsia="宋体" w:cs="宋体"/>
          <w:kern w:val="0"/>
          <w:sz w:val="24"/>
          <w:szCs w:val="24"/>
        </w:rPr>
        <w:t>并出具《数据备份及恢复测试报告》</w:t>
      </w:r>
      <w:r>
        <w:rPr>
          <w:rFonts w:hint="eastAsia" w:ascii="宋体" w:hAnsi="宋体" w:eastAsia="宋体" w:cs="宋体"/>
          <w:kern w:val="0"/>
          <w:sz w:val="24"/>
          <w:szCs w:val="24"/>
          <w:lang w:eastAsia="zh-CN"/>
        </w:rPr>
        <w:t>。</w:t>
      </w:r>
    </w:p>
    <w:tbl>
      <w:tblPr>
        <w:tblStyle w:val="14"/>
        <w:tblW w:w="5339" w:type="dxa"/>
        <w:jc w:val="center"/>
        <w:tblLayout w:type="fixed"/>
        <w:tblCellMar>
          <w:top w:w="0" w:type="dxa"/>
          <w:left w:w="0" w:type="dxa"/>
          <w:bottom w:w="0" w:type="dxa"/>
          <w:right w:w="0" w:type="dxa"/>
        </w:tblCellMar>
      </w:tblPr>
      <w:tblGrid>
        <w:gridCol w:w="5339"/>
      </w:tblGrid>
      <w:tr>
        <w:tblPrEx>
          <w:tblCellMar>
            <w:top w:w="0" w:type="dxa"/>
            <w:left w:w="0" w:type="dxa"/>
            <w:bottom w:w="0" w:type="dxa"/>
            <w:right w:w="0" w:type="dxa"/>
          </w:tblCellMar>
        </w:tblPrEx>
        <w:trPr>
          <w:trHeight w:val="1101" w:hRule="atLeast"/>
          <w:jc w:val="center"/>
        </w:trPr>
        <w:tc>
          <w:tcPr>
            <w:tcW w:w="53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val="en-US" w:eastAsia="zh-CN" w:bidi="ar"/>
              </w:rPr>
              <w:t>备份数据恢复测试系统</w:t>
            </w:r>
            <w:r>
              <w:rPr>
                <w:rFonts w:hint="eastAsia" w:ascii="宋体" w:hAnsi="宋体" w:eastAsia="宋体" w:cs="宋体"/>
                <w:color w:val="000000"/>
                <w:kern w:val="0"/>
                <w:sz w:val="24"/>
                <w:szCs w:val="24"/>
                <w:lang w:bidi="ar"/>
              </w:rPr>
              <w:t>清单</w:t>
            </w:r>
          </w:p>
        </w:tc>
      </w:tr>
      <w:tr>
        <w:tblPrEx>
          <w:tblCellMar>
            <w:top w:w="0" w:type="dxa"/>
            <w:left w:w="0" w:type="dxa"/>
            <w:bottom w:w="0" w:type="dxa"/>
            <w:right w:w="0" w:type="dxa"/>
          </w:tblCellMar>
        </w:tblPrEx>
        <w:trPr>
          <w:trHeight w:val="563" w:hRule="atLeast"/>
          <w:jc w:val="center"/>
        </w:trPr>
        <w:tc>
          <w:tcPr>
            <w:tcW w:w="53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无线电管理一体化平台无线电频率台站智能化管理系统</w:t>
            </w:r>
          </w:p>
        </w:tc>
      </w:tr>
      <w:tr>
        <w:tblPrEx>
          <w:tblCellMar>
            <w:top w:w="0" w:type="dxa"/>
            <w:left w:w="0" w:type="dxa"/>
            <w:bottom w:w="0" w:type="dxa"/>
            <w:right w:w="0" w:type="dxa"/>
          </w:tblCellMar>
        </w:tblPrEx>
        <w:trPr>
          <w:trHeight w:val="563" w:hRule="atLeast"/>
          <w:jc w:val="center"/>
        </w:trPr>
        <w:tc>
          <w:tcPr>
            <w:tcW w:w="53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spacing w:line="360" w:lineRule="auto"/>
              <w:jc w:val="left"/>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bidi="ar"/>
              </w:rPr>
              <w:t>重点台站</w:t>
            </w:r>
            <w:r>
              <w:rPr>
                <w:rFonts w:hint="eastAsia" w:ascii="宋体" w:hAnsi="宋体" w:eastAsia="宋体" w:cs="宋体"/>
                <w:color w:val="000000"/>
                <w:kern w:val="0"/>
                <w:sz w:val="24"/>
                <w:szCs w:val="24"/>
                <w:lang w:val="en-US" w:eastAsia="zh-CN" w:bidi="ar"/>
              </w:rPr>
              <w:t>频率</w:t>
            </w:r>
            <w:r>
              <w:rPr>
                <w:rFonts w:hint="eastAsia" w:ascii="宋体" w:hAnsi="宋体" w:eastAsia="宋体" w:cs="宋体"/>
                <w:color w:val="000000"/>
                <w:kern w:val="0"/>
                <w:sz w:val="24"/>
                <w:szCs w:val="24"/>
                <w:lang w:bidi="ar"/>
              </w:rPr>
              <w:t>EMC分析</w:t>
            </w:r>
            <w:r>
              <w:rPr>
                <w:rFonts w:hint="eastAsia" w:ascii="宋体" w:hAnsi="宋体" w:eastAsia="宋体" w:cs="宋体"/>
                <w:color w:val="000000"/>
                <w:kern w:val="0"/>
                <w:sz w:val="24"/>
                <w:szCs w:val="24"/>
                <w:lang w:val="en-US" w:eastAsia="zh-CN" w:bidi="ar"/>
              </w:rPr>
              <w:t>平台</w:t>
            </w:r>
          </w:p>
        </w:tc>
      </w:tr>
      <w:tr>
        <w:tblPrEx>
          <w:tblCellMar>
            <w:top w:w="0" w:type="dxa"/>
            <w:left w:w="0" w:type="dxa"/>
            <w:bottom w:w="0" w:type="dxa"/>
            <w:right w:w="0" w:type="dxa"/>
          </w:tblCellMar>
        </w:tblPrEx>
        <w:trPr>
          <w:trHeight w:val="563" w:hRule="atLeast"/>
          <w:jc w:val="center"/>
        </w:trPr>
        <w:tc>
          <w:tcPr>
            <w:tcW w:w="53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无线电管理一体化平台</w:t>
            </w:r>
          </w:p>
        </w:tc>
      </w:tr>
      <w:tr>
        <w:tblPrEx>
          <w:tblCellMar>
            <w:top w:w="0" w:type="dxa"/>
            <w:left w:w="0" w:type="dxa"/>
            <w:bottom w:w="0" w:type="dxa"/>
            <w:right w:w="0" w:type="dxa"/>
          </w:tblCellMar>
        </w:tblPrEx>
        <w:trPr>
          <w:trHeight w:val="563" w:hRule="atLeast"/>
          <w:jc w:val="center"/>
        </w:trPr>
        <w:tc>
          <w:tcPr>
            <w:tcW w:w="53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基站数据电子交互系统</w:t>
            </w:r>
          </w:p>
        </w:tc>
      </w:tr>
      <w:tr>
        <w:tblPrEx>
          <w:tblCellMar>
            <w:top w:w="0" w:type="dxa"/>
            <w:left w:w="0" w:type="dxa"/>
            <w:bottom w:w="0" w:type="dxa"/>
            <w:right w:w="0" w:type="dxa"/>
          </w:tblCellMar>
        </w:tblPrEx>
        <w:trPr>
          <w:trHeight w:val="563" w:hRule="atLeast"/>
          <w:jc w:val="center"/>
        </w:trPr>
        <w:tc>
          <w:tcPr>
            <w:tcW w:w="53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spacing w:line="360" w:lineRule="auto"/>
              <w:jc w:val="left"/>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bidi="ar"/>
              </w:rPr>
              <w:t>固定资产管理系统</w:t>
            </w:r>
            <w:r>
              <w:rPr>
                <w:rFonts w:hint="eastAsia" w:ascii="宋体" w:hAnsi="宋体" w:eastAsia="宋体" w:cs="宋体"/>
                <w:color w:val="000000"/>
                <w:kern w:val="0"/>
                <w:sz w:val="24"/>
                <w:szCs w:val="24"/>
                <w:lang w:eastAsia="zh-CN" w:bidi="ar"/>
              </w:rPr>
              <w:t>（</w:t>
            </w:r>
            <w:r>
              <w:rPr>
                <w:rFonts w:hint="eastAsia" w:ascii="宋体" w:hAnsi="宋体" w:eastAsia="宋体" w:cs="宋体"/>
                <w:color w:val="000000"/>
                <w:kern w:val="0"/>
                <w:sz w:val="24"/>
                <w:szCs w:val="24"/>
                <w:lang w:val="en-US" w:eastAsia="zh-CN" w:bidi="ar"/>
              </w:rPr>
              <w:t>建设完成后</w:t>
            </w:r>
            <w:r>
              <w:rPr>
                <w:rFonts w:hint="eastAsia" w:ascii="宋体" w:hAnsi="宋体" w:eastAsia="宋体" w:cs="宋体"/>
                <w:color w:val="000000"/>
                <w:kern w:val="0"/>
                <w:sz w:val="24"/>
                <w:szCs w:val="24"/>
                <w:lang w:eastAsia="zh-CN" w:bidi="ar"/>
              </w:rPr>
              <w:t>）</w:t>
            </w:r>
          </w:p>
        </w:tc>
      </w:tr>
      <w:tr>
        <w:tblPrEx>
          <w:tblCellMar>
            <w:top w:w="0" w:type="dxa"/>
            <w:left w:w="0" w:type="dxa"/>
            <w:bottom w:w="0" w:type="dxa"/>
            <w:right w:w="0" w:type="dxa"/>
          </w:tblCellMar>
        </w:tblPrEx>
        <w:trPr>
          <w:trHeight w:val="563" w:hRule="atLeast"/>
          <w:jc w:val="center"/>
        </w:trPr>
        <w:tc>
          <w:tcPr>
            <w:tcW w:w="53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spacing w:line="360" w:lineRule="auto"/>
              <w:jc w:val="left"/>
              <w:textAlignment w:val="center"/>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泛微OA系统</w:t>
            </w:r>
          </w:p>
        </w:tc>
      </w:tr>
    </w:tbl>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lang w:val="en-US" w:eastAsia="zh-CN"/>
        </w:rPr>
      </w:pPr>
    </w:p>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8.应急服务。如有特殊故障或紧急情况，成交供应商应加派</w:t>
      </w:r>
      <w:r>
        <w:rPr>
          <w:rFonts w:hint="eastAsia" w:ascii="宋体" w:hAnsi="宋体" w:eastAsia="宋体" w:cs="宋体"/>
          <w:kern w:val="0"/>
          <w:sz w:val="24"/>
          <w:szCs w:val="24"/>
          <w:lang w:val="en-US" w:eastAsia="zh-CN"/>
        </w:rPr>
        <w:t>人员</w:t>
      </w:r>
      <w:r>
        <w:rPr>
          <w:rFonts w:hint="eastAsia" w:ascii="宋体" w:hAnsi="宋体" w:eastAsia="宋体" w:cs="宋体"/>
          <w:kern w:val="0"/>
          <w:sz w:val="24"/>
          <w:szCs w:val="24"/>
        </w:rPr>
        <w:t>解决问题。提供全年7×24小时的故障应急处置服务，30分钟内响应，1个小时到达现场，24小时内解决常见故障，48小时内完成严重故障处置和备用方案落实，确保故障的最短时间内解决，并且在故障解决后的3个工作日内提交详细的故障处置报告，作为故障处置的完整记录和总结。</w:t>
      </w:r>
    </w:p>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9.其他工作。包括但不限于：电话值班，负责用户故障申告、用户故障解答、应用系统管理、处理或提交服务单、故障跟踪等工作；配合</w:t>
      </w:r>
      <w:r>
        <w:rPr>
          <w:rFonts w:hint="eastAsia" w:ascii="宋体" w:hAnsi="宋体" w:eastAsia="宋体" w:cs="宋体"/>
          <w:kern w:val="0"/>
          <w:sz w:val="24"/>
          <w:szCs w:val="24"/>
          <w:lang w:eastAsia="zh-CN"/>
        </w:rPr>
        <w:t>采购人</w:t>
      </w:r>
      <w:r>
        <w:rPr>
          <w:rFonts w:hint="eastAsia" w:ascii="宋体" w:hAnsi="宋体" w:eastAsia="宋体" w:cs="宋体"/>
          <w:kern w:val="0"/>
          <w:sz w:val="24"/>
          <w:szCs w:val="24"/>
        </w:rPr>
        <w:t>制作有关信息系统检查材料，配合</w:t>
      </w:r>
      <w:r>
        <w:rPr>
          <w:rFonts w:hint="eastAsia" w:ascii="宋体" w:hAnsi="宋体" w:eastAsia="宋体" w:cs="宋体"/>
          <w:kern w:val="0"/>
          <w:sz w:val="24"/>
          <w:szCs w:val="24"/>
          <w:lang w:eastAsia="zh-CN"/>
        </w:rPr>
        <w:t>采购人</w:t>
      </w:r>
      <w:r>
        <w:rPr>
          <w:rFonts w:hint="eastAsia" w:ascii="宋体" w:hAnsi="宋体" w:eastAsia="宋体" w:cs="宋体"/>
          <w:kern w:val="0"/>
          <w:sz w:val="24"/>
          <w:szCs w:val="24"/>
        </w:rPr>
        <w:t>实施各项检查及迎检工作。提出信息化建设化建议</w:t>
      </w:r>
      <w:r>
        <w:rPr>
          <w:rFonts w:hint="eastAsia" w:ascii="宋体" w:hAnsi="宋体" w:eastAsia="宋体" w:cs="宋体"/>
          <w:kern w:val="0"/>
          <w:sz w:val="24"/>
          <w:szCs w:val="24"/>
          <w:lang w:val="en-US" w:eastAsia="zh-CN"/>
        </w:rPr>
        <w:t>等。</w:t>
      </w:r>
    </w:p>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10.万州、涪陵、黔江</w:t>
      </w:r>
      <w:r>
        <w:rPr>
          <w:rFonts w:hint="eastAsia" w:ascii="宋体" w:hAnsi="宋体" w:cs="宋体"/>
          <w:kern w:val="0"/>
          <w:sz w:val="24"/>
          <w:szCs w:val="24"/>
          <w:highlight w:val="none"/>
          <w:lang w:val="en-US" w:eastAsia="zh-CN"/>
        </w:rPr>
        <w:t>（监测二、三、四科）</w:t>
      </w:r>
      <w:r>
        <w:rPr>
          <w:rFonts w:hint="eastAsia" w:ascii="宋体" w:hAnsi="宋体" w:eastAsia="宋体" w:cs="宋体"/>
          <w:kern w:val="0"/>
          <w:sz w:val="24"/>
          <w:szCs w:val="24"/>
          <w:highlight w:val="none"/>
          <w:lang w:val="en-US" w:eastAsia="zh-CN"/>
        </w:rPr>
        <w:t>办公地网络和设备运维</w:t>
      </w:r>
    </w:p>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rPr>
        <w:t>成交供应商应</w:t>
      </w:r>
      <w:r>
        <w:rPr>
          <w:rFonts w:hint="eastAsia" w:ascii="宋体" w:hAnsi="宋体" w:eastAsia="宋体" w:cs="宋体"/>
          <w:kern w:val="0"/>
          <w:sz w:val="24"/>
          <w:szCs w:val="24"/>
          <w:highlight w:val="none"/>
          <w:lang w:val="en-US" w:eastAsia="zh-CN"/>
        </w:rPr>
        <w:t>负责采购人监测二、三、四科办公区域信息化服务</w:t>
      </w:r>
      <w:r>
        <w:rPr>
          <w:rFonts w:hint="eastAsia" w:ascii="宋体" w:hAnsi="宋体" w:eastAsia="宋体" w:cs="宋体"/>
          <w:kern w:val="0"/>
          <w:sz w:val="24"/>
          <w:szCs w:val="24"/>
          <w:highlight w:val="none"/>
        </w:rPr>
        <w:t>。</w:t>
      </w:r>
      <w:r>
        <w:rPr>
          <w:rFonts w:hint="eastAsia" w:ascii="宋体" w:hAnsi="宋体" w:eastAsia="宋体" w:cs="宋体"/>
          <w:kern w:val="0"/>
          <w:sz w:val="24"/>
          <w:szCs w:val="24"/>
          <w:highlight w:val="none"/>
          <w:lang w:val="en-US" w:eastAsia="zh-CN"/>
        </w:rPr>
        <w:t>当监测二、三、四科办公区域出现信息化设备故障，或需要开展信息化设备配置时，成交供应商应安排专业技术人员上门开展服务。</w:t>
      </w:r>
    </w:p>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11.质保服务</w:t>
      </w:r>
    </w:p>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 xml:space="preserve"> 服务期内，成交供应商应负责采购人15楼指挥大厅会议室大屏系统的质保和维修服务。</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kern w:val="0"/>
          <w:sz w:val="24"/>
          <w:szCs w:val="24"/>
          <w:lang w:val="en-US" w:eastAsia="zh-CN"/>
        </w:rPr>
      </w:pPr>
      <w:r>
        <w:rPr>
          <w:rFonts w:hint="eastAsia" w:ascii="宋体" w:hAnsi="宋体"/>
          <w:sz w:val="24"/>
          <w:szCs w:val="24"/>
        </w:rPr>
        <w:t>★</w:t>
      </w:r>
      <w:r>
        <w:rPr>
          <w:rFonts w:hint="eastAsia" w:ascii="宋体" w:hAnsi="宋体" w:eastAsia="宋体" w:cs="宋体"/>
          <w:kern w:val="0"/>
          <w:sz w:val="24"/>
          <w:szCs w:val="24"/>
          <w:lang w:val="en-US" w:eastAsia="zh-CN"/>
        </w:rPr>
        <w:t>12.</w:t>
      </w:r>
      <w:r>
        <w:rPr>
          <w:rFonts w:hint="eastAsia" w:ascii="宋体" w:hAnsi="宋体"/>
          <w:kern w:val="0"/>
          <w:sz w:val="24"/>
          <w:szCs w:val="24"/>
        </w:rPr>
        <w:t>驻场人员</w:t>
      </w:r>
      <w:r>
        <w:rPr>
          <w:rFonts w:hint="eastAsia" w:ascii="宋体" w:hAnsi="宋体"/>
          <w:kern w:val="0"/>
          <w:sz w:val="24"/>
          <w:szCs w:val="24"/>
          <w:lang w:val="en-US" w:eastAsia="zh-CN"/>
        </w:rPr>
        <w:t>数量</w:t>
      </w:r>
    </w:p>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lang w:val="en-US" w:eastAsia="zh-CN"/>
        </w:rPr>
      </w:pPr>
      <w:r>
        <w:rPr>
          <w:rFonts w:hint="eastAsia" w:ascii="宋体" w:hAnsi="宋体" w:eastAsia="宋体" w:cs="Times New Roman"/>
          <w:kern w:val="0"/>
          <w:sz w:val="24"/>
          <w:szCs w:val="24"/>
          <w:lang w:eastAsia="zh-CN"/>
        </w:rPr>
        <w:t>成交供应商</w:t>
      </w:r>
      <w:r>
        <w:rPr>
          <w:rFonts w:hint="eastAsia" w:ascii="宋体" w:hAnsi="宋体" w:eastAsia="宋体" w:cs="Times New Roman"/>
          <w:kern w:val="0"/>
          <w:sz w:val="24"/>
          <w:szCs w:val="24"/>
        </w:rPr>
        <w:t>安排</w:t>
      </w:r>
      <w:r>
        <w:rPr>
          <w:rFonts w:hint="eastAsia" w:ascii="宋体" w:hAnsi="宋体" w:eastAsia="宋体" w:cs="Times New Roman"/>
          <w:kern w:val="0"/>
          <w:sz w:val="24"/>
          <w:szCs w:val="24"/>
          <w:lang w:val="en-US" w:eastAsia="zh-CN"/>
        </w:rPr>
        <w:t>1</w:t>
      </w:r>
      <w:r>
        <w:rPr>
          <w:rFonts w:hint="eastAsia" w:ascii="宋体" w:hAnsi="宋体" w:eastAsia="宋体" w:cs="Times New Roman"/>
          <w:kern w:val="0"/>
          <w:sz w:val="24"/>
          <w:szCs w:val="24"/>
        </w:rPr>
        <w:t>名服务工程师驻场工作，工作时间为法定工作日，驻场地点由</w:t>
      </w:r>
      <w:r>
        <w:rPr>
          <w:rFonts w:hint="eastAsia" w:ascii="宋体" w:hAnsi="宋体" w:eastAsia="宋体" w:cs="Times New Roman"/>
          <w:kern w:val="0"/>
          <w:sz w:val="24"/>
          <w:szCs w:val="24"/>
          <w:lang w:eastAsia="zh-CN"/>
        </w:rPr>
        <w:t>采购人</w:t>
      </w:r>
      <w:r>
        <w:rPr>
          <w:rFonts w:hint="eastAsia" w:ascii="宋体" w:hAnsi="宋体" w:eastAsia="宋体" w:cs="Times New Roman"/>
          <w:kern w:val="0"/>
          <w:sz w:val="24"/>
          <w:szCs w:val="24"/>
        </w:rPr>
        <w:t>指定</w:t>
      </w: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lang w:val="en-US" w:eastAsia="zh-CN"/>
        </w:rPr>
        <w:t>期限为服务期内</w:t>
      </w:r>
      <w:r>
        <w:rPr>
          <w:rFonts w:hint="eastAsia" w:ascii="宋体" w:hAnsi="宋体" w:eastAsia="宋体" w:cs="Times New Roman"/>
          <w:kern w:val="0"/>
          <w:sz w:val="24"/>
          <w:szCs w:val="24"/>
        </w:rPr>
        <w:t>。</w:t>
      </w:r>
      <w:r>
        <w:rPr>
          <w:rFonts w:hint="eastAsia" w:ascii="宋体" w:hAnsi="宋体" w:eastAsia="宋体" w:cs="宋体"/>
          <w:kern w:val="0"/>
          <w:sz w:val="24"/>
          <w:szCs w:val="24"/>
          <w:lang w:val="en-US" w:eastAsia="zh-CN"/>
        </w:rPr>
        <w:t>项目服务期内，应保持项目服务人员相对稳定，不得随意更换项目服务人员。更换项目服务人员时，需以书面方式告知采购人并征得同意。</w:t>
      </w:r>
    </w:p>
    <w:p>
      <w:pPr>
        <w:pStyle w:val="2"/>
        <w:rPr>
          <w:rFonts w:hint="default"/>
          <w:lang w:val="en-US" w:eastAsia="zh-CN"/>
        </w:rPr>
      </w:pPr>
      <w:r>
        <w:rPr>
          <w:rFonts w:hint="eastAsia" w:hAnsi="宋体" w:cs="宋体"/>
          <w:kern w:val="0"/>
          <w:sz w:val="24"/>
          <w:szCs w:val="24"/>
          <w:lang w:val="en-US" w:eastAsia="zh-CN"/>
        </w:rPr>
        <w:t xml:space="preserve">    13.驻场人员要求</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Times New Roman"/>
          <w:kern w:val="0"/>
          <w:sz w:val="24"/>
          <w:szCs w:val="24"/>
        </w:rPr>
      </w:pPr>
      <w:r>
        <w:rPr>
          <w:rFonts w:hint="eastAsia" w:ascii="宋体" w:hAnsi="宋体" w:eastAsia="宋体" w:cs="Times New Roman"/>
          <w:kern w:val="0"/>
          <w:sz w:val="24"/>
          <w:szCs w:val="24"/>
        </w:rPr>
        <w:t>驻场服务工程师应具备IT运维或系统集成5年以上工作经验，具有一定的文字表达能力。具备个人计算机维修维护经验，掌握个人计算机和外设的维修维护技能，以及基本的网络、个人计算机和流行的防病毒软件操作。具备IT系统运行维护经验，熟悉计算机机房建设标准、规范，熟悉服务器和网络及安全设备配置，熟悉数据库</w:t>
      </w:r>
      <w:r>
        <w:rPr>
          <w:rFonts w:hint="eastAsia" w:ascii="宋体" w:hAnsi="宋体" w:eastAsia="宋体" w:cs="Times New Roman"/>
          <w:kern w:val="0"/>
          <w:sz w:val="24"/>
          <w:szCs w:val="24"/>
          <w:lang w:eastAsia="zh-CN"/>
        </w:rPr>
        <w:t>的</w:t>
      </w:r>
      <w:r>
        <w:rPr>
          <w:rFonts w:hint="eastAsia" w:ascii="宋体" w:hAnsi="宋体" w:eastAsia="宋体" w:cs="Times New Roman"/>
          <w:kern w:val="0"/>
          <w:sz w:val="24"/>
          <w:szCs w:val="24"/>
        </w:rPr>
        <w:t>备份、恢复和容错等工作，熟悉国内主流网络产品使用配置。驻场服务工程师的人选应经</w:t>
      </w:r>
      <w:r>
        <w:rPr>
          <w:rFonts w:hint="eastAsia" w:ascii="宋体" w:hAnsi="宋体" w:eastAsia="宋体" w:cs="Times New Roman"/>
          <w:kern w:val="0"/>
          <w:sz w:val="24"/>
          <w:szCs w:val="24"/>
          <w:lang w:eastAsia="zh-CN"/>
        </w:rPr>
        <w:t>采购人</w:t>
      </w:r>
      <w:r>
        <w:rPr>
          <w:rFonts w:hint="eastAsia" w:ascii="宋体" w:hAnsi="宋体" w:eastAsia="宋体" w:cs="Times New Roman"/>
          <w:kern w:val="0"/>
          <w:sz w:val="24"/>
          <w:szCs w:val="24"/>
        </w:rPr>
        <w:t>审核同意。</w:t>
      </w:r>
    </w:p>
    <w:p>
      <w:pPr>
        <w:widowControl w:val="0"/>
        <w:autoSpaceDE w:val="0"/>
        <w:autoSpaceDN w:val="0"/>
        <w:adjustRightInd w:val="0"/>
        <w:ind w:firstLine="480" w:firstLineChars="0"/>
        <w:rPr>
          <w:rFonts w:hint="default" w:ascii="黑体" w:hAnsi="Times New Roman" w:eastAsia="宋体" w:cs="黑体"/>
          <w:color w:val="000000"/>
          <w:sz w:val="24"/>
          <w:szCs w:val="24"/>
          <w:lang w:val="en-US" w:eastAsia="zh-CN" w:bidi="ar-SA"/>
        </w:rPr>
      </w:pPr>
      <w:r>
        <w:rPr>
          <w:rFonts w:hint="eastAsia" w:ascii="宋体" w:hAnsi="宋体" w:eastAsia="宋体" w:cs="Times New Roman"/>
          <w:color w:val="000000"/>
          <w:sz w:val="24"/>
          <w:szCs w:val="24"/>
          <w:lang w:val="en-US" w:eastAsia="zh-CN" w:bidi="ar-SA"/>
        </w:rPr>
        <w:t>1</w:t>
      </w:r>
      <w:r>
        <w:rPr>
          <w:rFonts w:hint="eastAsia" w:ascii="宋体" w:hAnsi="宋体" w:cs="Times New Roman"/>
          <w:color w:val="000000"/>
          <w:sz w:val="24"/>
          <w:szCs w:val="24"/>
          <w:lang w:val="en-US" w:eastAsia="zh-CN" w:bidi="ar-SA"/>
        </w:rPr>
        <w:t>4</w:t>
      </w:r>
      <w:r>
        <w:rPr>
          <w:rFonts w:hint="eastAsia" w:ascii="宋体" w:hAnsi="宋体" w:eastAsia="宋体" w:cs="Times New Roman"/>
          <w:color w:val="000000"/>
          <w:sz w:val="24"/>
          <w:szCs w:val="24"/>
          <w:lang w:val="en-US" w:eastAsia="zh-CN" w:bidi="ar-SA"/>
        </w:rPr>
        <w:t>.咨询服务</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eastAsia="宋体"/>
          <w:kern w:val="0"/>
          <w:sz w:val="21"/>
          <w:szCs w:val="21"/>
          <w:lang w:val="en-US" w:eastAsia="zh-CN"/>
        </w:rPr>
      </w:pPr>
      <w:r>
        <w:rPr>
          <w:rFonts w:hint="eastAsia" w:ascii="宋体" w:hAnsi="宋体" w:eastAsia="宋体" w:cs="Times New Roman"/>
          <w:kern w:val="0"/>
          <w:sz w:val="24"/>
          <w:szCs w:val="24"/>
        </w:rPr>
        <w:t>成交供应商还应安排支撑团队全方位开展技术支撑工作。</w:t>
      </w:r>
      <w:r>
        <w:rPr>
          <w:rFonts w:hint="eastAsia" w:ascii="宋体" w:hAnsi="宋体" w:eastAsia="宋体" w:cs="Times New Roman"/>
          <w:kern w:val="0"/>
          <w:sz w:val="24"/>
          <w:szCs w:val="24"/>
          <w:lang w:val="en-US" w:eastAsia="zh-CN"/>
        </w:rPr>
        <w:t>当采购人需要对信息化设施设备进行采购、升级或进行调整时，成交供应商应安排信息化专家提供咨询服务，并出具技术方案。</w:t>
      </w:r>
    </w:p>
    <w:p>
      <w:pPr>
        <w:pageBreakBefore w:val="0"/>
        <w:widowControl w:val="0"/>
        <w:kinsoku/>
        <w:wordWrap/>
        <w:overflowPunct/>
        <w:topLinePunct w:val="0"/>
        <w:autoSpaceDE/>
        <w:autoSpaceDN/>
        <w:bidi w:val="0"/>
        <w:adjustRightInd/>
        <w:snapToGrid w:val="0"/>
        <w:spacing w:line="500" w:lineRule="exact"/>
        <w:ind w:firstLine="482" w:firstLineChars="200"/>
        <w:textAlignment w:val="auto"/>
        <w:rPr>
          <w:rFonts w:hint="eastAsia" w:ascii="宋体"/>
          <w:b/>
          <w:bCs/>
          <w:sz w:val="24"/>
          <w:szCs w:val="24"/>
          <w:lang w:val="en-US" w:eastAsia="zh-CN"/>
        </w:rPr>
      </w:pPr>
      <w:r>
        <w:rPr>
          <w:rFonts w:hint="eastAsia" w:ascii="宋体"/>
          <w:b/>
          <w:bCs/>
          <w:sz w:val="24"/>
          <w:szCs w:val="24"/>
          <w:lang w:val="en-US" w:eastAsia="zh-CN"/>
        </w:rPr>
        <w:t>三、网络安全专项服务</w:t>
      </w:r>
    </w:p>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rPr>
        <w:t>漏洞扫描</w:t>
      </w:r>
    </w:p>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服务期内成交供应商应</w:t>
      </w:r>
      <w:r>
        <w:rPr>
          <w:rFonts w:hint="eastAsia" w:ascii="宋体" w:hAnsi="宋体" w:eastAsia="宋体" w:cs="宋体"/>
          <w:kern w:val="0"/>
          <w:sz w:val="24"/>
          <w:szCs w:val="24"/>
        </w:rPr>
        <w:t>开展至少</w:t>
      </w: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rPr>
        <w:t>次漏洞扫描，具体检测内容下包括应用程序漏洞、系统配置漏洞、身份鉴别漏洞、会话漏洞等。成交供应商应提供《漏洞扫描报告》，并对扫描出的问题应及时开展整改。成交供应商应自备漏洞扫描设备。漏洞扫描范围见下表。</w:t>
      </w:r>
    </w:p>
    <w:tbl>
      <w:tblPr>
        <w:tblStyle w:val="14"/>
        <w:tblW w:w="5339" w:type="dxa"/>
        <w:jc w:val="center"/>
        <w:tblLayout w:type="fixed"/>
        <w:tblCellMar>
          <w:top w:w="0" w:type="dxa"/>
          <w:left w:w="0" w:type="dxa"/>
          <w:bottom w:w="0" w:type="dxa"/>
          <w:right w:w="0" w:type="dxa"/>
        </w:tblCellMar>
      </w:tblPr>
      <w:tblGrid>
        <w:gridCol w:w="5339"/>
      </w:tblGrid>
      <w:tr>
        <w:tblPrEx>
          <w:tblCellMar>
            <w:top w:w="0" w:type="dxa"/>
            <w:left w:w="0" w:type="dxa"/>
            <w:bottom w:w="0" w:type="dxa"/>
            <w:right w:w="0" w:type="dxa"/>
          </w:tblCellMar>
        </w:tblPrEx>
        <w:trPr>
          <w:trHeight w:val="1101" w:hRule="atLeast"/>
          <w:jc w:val="center"/>
        </w:trPr>
        <w:tc>
          <w:tcPr>
            <w:tcW w:w="53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漏洞扫描清单</w:t>
            </w:r>
          </w:p>
        </w:tc>
      </w:tr>
      <w:tr>
        <w:tblPrEx>
          <w:tblCellMar>
            <w:top w:w="0" w:type="dxa"/>
            <w:left w:w="0" w:type="dxa"/>
            <w:bottom w:w="0" w:type="dxa"/>
            <w:right w:w="0" w:type="dxa"/>
          </w:tblCellMar>
        </w:tblPrEx>
        <w:trPr>
          <w:trHeight w:val="563" w:hRule="atLeast"/>
          <w:jc w:val="center"/>
        </w:trPr>
        <w:tc>
          <w:tcPr>
            <w:tcW w:w="53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无线电管理一体化平台无线电频率台站智能化管理系统</w:t>
            </w:r>
          </w:p>
        </w:tc>
      </w:tr>
      <w:tr>
        <w:tblPrEx>
          <w:tblCellMar>
            <w:top w:w="0" w:type="dxa"/>
            <w:left w:w="0" w:type="dxa"/>
            <w:bottom w:w="0" w:type="dxa"/>
            <w:right w:w="0" w:type="dxa"/>
          </w:tblCellMar>
        </w:tblPrEx>
        <w:trPr>
          <w:trHeight w:val="563" w:hRule="atLeast"/>
          <w:jc w:val="center"/>
        </w:trPr>
        <w:tc>
          <w:tcPr>
            <w:tcW w:w="53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spacing w:line="360" w:lineRule="auto"/>
              <w:jc w:val="left"/>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bidi="ar"/>
              </w:rPr>
              <w:t>重点台站</w:t>
            </w:r>
            <w:r>
              <w:rPr>
                <w:rFonts w:hint="eastAsia" w:ascii="宋体" w:hAnsi="宋体" w:eastAsia="宋体" w:cs="宋体"/>
                <w:color w:val="000000"/>
                <w:kern w:val="0"/>
                <w:sz w:val="24"/>
                <w:szCs w:val="24"/>
                <w:lang w:val="en-US" w:eastAsia="zh-CN" w:bidi="ar"/>
              </w:rPr>
              <w:t>频率</w:t>
            </w:r>
            <w:r>
              <w:rPr>
                <w:rFonts w:hint="eastAsia" w:ascii="宋体" w:hAnsi="宋体" w:eastAsia="宋体" w:cs="宋体"/>
                <w:color w:val="000000"/>
                <w:kern w:val="0"/>
                <w:sz w:val="24"/>
                <w:szCs w:val="24"/>
                <w:lang w:bidi="ar"/>
              </w:rPr>
              <w:t>EMC分析</w:t>
            </w:r>
            <w:r>
              <w:rPr>
                <w:rFonts w:hint="eastAsia" w:ascii="宋体" w:hAnsi="宋体" w:eastAsia="宋体" w:cs="宋体"/>
                <w:color w:val="000000"/>
                <w:kern w:val="0"/>
                <w:sz w:val="24"/>
                <w:szCs w:val="24"/>
                <w:lang w:val="en-US" w:eastAsia="zh-CN" w:bidi="ar"/>
              </w:rPr>
              <w:t>平台</w:t>
            </w:r>
          </w:p>
        </w:tc>
      </w:tr>
      <w:tr>
        <w:tblPrEx>
          <w:tblCellMar>
            <w:top w:w="0" w:type="dxa"/>
            <w:left w:w="0" w:type="dxa"/>
            <w:bottom w:w="0" w:type="dxa"/>
            <w:right w:w="0" w:type="dxa"/>
          </w:tblCellMar>
        </w:tblPrEx>
        <w:trPr>
          <w:trHeight w:val="563" w:hRule="atLeast"/>
          <w:jc w:val="center"/>
        </w:trPr>
        <w:tc>
          <w:tcPr>
            <w:tcW w:w="53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无线电管理一体化平台</w:t>
            </w:r>
          </w:p>
        </w:tc>
      </w:tr>
      <w:tr>
        <w:tblPrEx>
          <w:tblCellMar>
            <w:top w:w="0" w:type="dxa"/>
            <w:left w:w="0" w:type="dxa"/>
            <w:bottom w:w="0" w:type="dxa"/>
            <w:right w:w="0" w:type="dxa"/>
          </w:tblCellMar>
        </w:tblPrEx>
        <w:trPr>
          <w:trHeight w:val="563" w:hRule="atLeast"/>
          <w:jc w:val="center"/>
        </w:trPr>
        <w:tc>
          <w:tcPr>
            <w:tcW w:w="53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基站数据电子交互系统</w:t>
            </w:r>
          </w:p>
        </w:tc>
      </w:tr>
      <w:tr>
        <w:tblPrEx>
          <w:tblCellMar>
            <w:top w:w="0" w:type="dxa"/>
            <w:left w:w="0" w:type="dxa"/>
            <w:bottom w:w="0" w:type="dxa"/>
            <w:right w:w="0" w:type="dxa"/>
          </w:tblCellMar>
        </w:tblPrEx>
        <w:trPr>
          <w:trHeight w:val="563" w:hRule="atLeast"/>
          <w:jc w:val="center"/>
        </w:trPr>
        <w:tc>
          <w:tcPr>
            <w:tcW w:w="53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spacing w:line="360" w:lineRule="auto"/>
              <w:jc w:val="left"/>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bidi="ar"/>
              </w:rPr>
              <w:t>固定资产管理系统</w:t>
            </w:r>
            <w:r>
              <w:rPr>
                <w:rFonts w:hint="eastAsia" w:ascii="宋体" w:hAnsi="宋体" w:eastAsia="宋体" w:cs="宋体"/>
                <w:color w:val="000000"/>
                <w:kern w:val="0"/>
                <w:sz w:val="24"/>
                <w:szCs w:val="24"/>
                <w:lang w:eastAsia="zh-CN" w:bidi="ar"/>
              </w:rPr>
              <w:t>（</w:t>
            </w:r>
            <w:r>
              <w:rPr>
                <w:rFonts w:hint="eastAsia" w:ascii="宋体" w:hAnsi="宋体" w:eastAsia="宋体" w:cs="宋体"/>
                <w:color w:val="000000"/>
                <w:kern w:val="0"/>
                <w:sz w:val="24"/>
                <w:szCs w:val="24"/>
                <w:lang w:val="en-US" w:eastAsia="zh-CN" w:bidi="ar"/>
              </w:rPr>
              <w:t>建设完成后</w:t>
            </w:r>
            <w:r>
              <w:rPr>
                <w:rFonts w:hint="eastAsia" w:ascii="宋体" w:hAnsi="宋体" w:eastAsia="宋体" w:cs="宋体"/>
                <w:color w:val="000000"/>
                <w:kern w:val="0"/>
                <w:sz w:val="24"/>
                <w:szCs w:val="24"/>
                <w:lang w:eastAsia="zh-CN" w:bidi="ar"/>
              </w:rPr>
              <w:t>）</w:t>
            </w:r>
          </w:p>
        </w:tc>
      </w:tr>
      <w:tr>
        <w:tblPrEx>
          <w:tblCellMar>
            <w:top w:w="0" w:type="dxa"/>
            <w:left w:w="0" w:type="dxa"/>
            <w:bottom w:w="0" w:type="dxa"/>
            <w:right w:w="0" w:type="dxa"/>
          </w:tblCellMar>
        </w:tblPrEx>
        <w:trPr>
          <w:trHeight w:val="563" w:hRule="atLeast"/>
          <w:jc w:val="center"/>
        </w:trPr>
        <w:tc>
          <w:tcPr>
            <w:tcW w:w="53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无线电监测系统</w:t>
            </w:r>
          </w:p>
        </w:tc>
      </w:tr>
      <w:tr>
        <w:tblPrEx>
          <w:tblCellMar>
            <w:top w:w="0" w:type="dxa"/>
            <w:left w:w="0" w:type="dxa"/>
            <w:bottom w:w="0" w:type="dxa"/>
            <w:right w:w="0" w:type="dxa"/>
          </w:tblCellMar>
        </w:tblPrEx>
        <w:trPr>
          <w:trHeight w:val="563" w:hRule="atLeast"/>
          <w:jc w:val="center"/>
        </w:trPr>
        <w:tc>
          <w:tcPr>
            <w:tcW w:w="53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NOVA电磁环境精细化管理平台系统</w:t>
            </w:r>
          </w:p>
        </w:tc>
      </w:tr>
      <w:tr>
        <w:tblPrEx>
          <w:tblCellMar>
            <w:top w:w="0" w:type="dxa"/>
            <w:left w:w="0" w:type="dxa"/>
            <w:bottom w:w="0" w:type="dxa"/>
            <w:right w:w="0" w:type="dxa"/>
          </w:tblCellMar>
        </w:tblPrEx>
        <w:trPr>
          <w:trHeight w:val="563" w:hRule="atLeast"/>
          <w:jc w:val="center"/>
        </w:trPr>
        <w:tc>
          <w:tcPr>
            <w:tcW w:w="53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中星世通监测测向系统</w:t>
            </w:r>
          </w:p>
        </w:tc>
      </w:tr>
      <w:tr>
        <w:tblPrEx>
          <w:tblCellMar>
            <w:top w:w="0" w:type="dxa"/>
            <w:left w:w="0" w:type="dxa"/>
            <w:bottom w:w="0" w:type="dxa"/>
            <w:right w:w="0" w:type="dxa"/>
          </w:tblCellMar>
        </w:tblPrEx>
        <w:trPr>
          <w:trHeight w:val="563" w:hRule="atLeast"/>
          <w:jc w:val="center"/>
        </w:trPr>
        <w:tc>
          <w:tcPr>
            <w:tcW w:w="53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天凌网监测系统</w:t>
            </w:r>
          </w:p>
        </w:tc>
      </w:tr>
      <w:tr>
        <w:tblPrEx>
          <w:tblCellMar>
            <w:top w:w="0" w:type="dxa"/>
            <w:left w:w="0" w:type="dxa"/>
            <w:bottom w:w="0" w:type="dxa"/>
            <w:right w:w="0" w:type="dxa"/>
          </w:tblCellMar>
        </w:tblPrEx>
        <w:trPr>
          <w:trHeight w:val="563" w:hRule="atLeast"/>
          <w:jc w:val="center"/>
        </w:trPr>
        <w:tc>
          <w:tcPr>
            <w:tcW w:w="53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大公博创无线电综合管理平台</w:t>
            </w:r>
          </w:p>
        </w:tc>
      </w:tr>
      <w:tr>
        <w:tblPrEx>
          <w:tblCellMar>
            <w:top w:w="0" w:type="dxa"/>
            <w:left w:w="0" w:type="dxa"/>
            <w:bottom w:w="0" w:type="dxa"/>
            <w:right w:w="0" w:type="dxa"/>
          </w:tblCellMar>
        </w:tblPrEx>
        <w:trPr>
          <w:trHeight w:val="563" w:hRule="atLeast"/>
          <w:jc w:val="center"/>
        </w:trPr>
        <w:tc>
          <w:tcPr>
            <w:tcW w:w="53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华日无线电综合监测系统</w:t>
            </w:r>
          </w:p>
        </w:tc>
      </w:tr>
      <w:tr>
        <w:tblPrEx>
          <w:tblCellMar>
            <w:top w:w="0" w:type="dxa"/>
            <w:left w:w="0" w:type="dxa"/>
            <w:bottom w:w="0" w:type="dxa"/>
            <w:right w:w="0" w:type="dxa"/>
          </w:tblCellMar>
        </w:tblPrEx>
        <w:trPr>
          <w:trHeight w:val="563" w:hRule="atLeast"/>
          <w:jc w:val="center"/>
        </w:trPr>
        <w:tc>
          <w:tcPr>
            <w:tcW w:w="53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空间卫士监测测向系统</w:t>
            </w:r>
          </w:p>
        </w:tc>
      </w:tr>
      <w:tr>
        <w:tblPrEx>
          <w:tblCellMar>
            <w:top w:w="0" w:type="dxa"/>
            <w:left w:w="0" w:type="dxa"/>
            <w:bottom w:w="0" w:type="dxa"/>
            <w:right w:w="0" w:type="dxa"/>
          </w:tblCellMar>
        </w:tblPrEx>
        <w:trPr>
          <w:trHeight w:val="563" w:hRule="atLeast"/>
          <w:jc w:val="center"/>
        </w:trPr>
        <w:tc>
          <w:tcPr>
            <w:tcW w:w="53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重庆无线电监测网应用平台</w:t>
            </w:r>
          </w:p>
        </w:tc>
      </w:tr>
      <w:tr>
        <w:tblPrEx>
          <w:tblCellMar>
            <w:top w:w="0" w:type="dxa"/>
            <w:left w:w="0" w:type="dxa"/>
            <w:bottom w:w="0" w:type="dxa"/>
            <w:right w:w="0" w:type="dxa"/>
          </w:tblCellMar>
        </w:tblPrEx>
        <w:trPr>
          <w:trHeight w:val="563" w:hRule="atLeast"/>
          <w:jc w:val="center"/>
        </w:trPr>
        <w:tc>
          <w:tcPr>
            <w:tcW w:w="53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无线电管理一体化平台智能无线电监测系统一期</w:t>
            </w:r>
          </w:p>
        </w:tc>
      </w:tr>
    </w:tbl>
    <w:p>
      <w:pPr>
        <w:pageBreakBefore w:val="0"/>
        <w:widowControl/>
        <w:kinsoku/>
        <w:wordWrap/>
        <w:overflowPunct/>
        <w:topLinePunct w:val="0"/>
        <w:autoSpaceDE/>
        <w:autoSpaceDN/>
        <w:bidi w:val="0"/>
        <w:adjustRightInd w:val="0"/>
        <w:snapToGrid w:val="0"/>
        <w:spacing w:line="360" w:lineRule="auto"/>
        <w:rPr>
          <w:rFonts w:hint="eastAsia" w:ascii="宋体" w:hAnsi="宋体" w:eastAsia="宋体" w:cs="宋体"/>
          <w:kern w:val="0"/>
          <w:sz w:val="24"/>
          <w:szCs w:val="24"/>
        </w:rPr>
      </w:pPr>
    </w:p>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sz w:val="24"/>
          <w:szCs w:val="24"/>
        </w:rPr>
        <w:t>★</w:t>
      </w:r>
      <w:r>
        <w:rPr>
          <w:rFonts w:hint="eastAsia" w:ascii="宋体" w:hAnsi="宋体" w:eastAsia="宋体" w:cs="宋体"/>
          <w:kern w:val="0"/>
          <w:sz w:val="24"/>
          <w:szCs w:val="24"/>
          <w:lang w:val="en-US" w:eastAsia="zh-CN"/>
        </w:rPr>
        <w:t xml:space="preserve">2. </w:t>
      </w:r>
      <w:r>
        <w:rPr>
          <w:rFonts w:hint="eastAsia" w:ascii="宋体" w:hAnsi="宋体" w:eastAsia="宋体" w:cs="宋体"/>
          <w:kern w:val="0"/>
          <w:sz w:val="24"/>
          <w:szCs w:val="24"/>
        </w:rPr>
        <w:t>渗透测试</w:t>
      </w:r>
    </w:p>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服务期内，成交供应商至少开展1</w:t>
      </w:r>
      <w:r>
        <w:rPr>
          <w:rFonts w:hint="eastAsia" w:ascii="宋体" w:hAnsi="宋体" w:eastAsia="宋体" w:cs="宋体"/>
          <w:kern w:val="0"/>
          <w:sz w:val="24"/>
          <w:szCs w:val="24"/>
        </w:rPr>
        <w:t>次渗透测试</w:t>
      </w:r>
      <w:r>
        <w:rPr>
          <w:rFonts w:hint="eastAsia" w:ascii="宋体" w:hAnsi="宋体" w:eastAsia="宋体" w:cs="宋体"/>
          <w:kern w:val="0"/>
          <w:sz w:val="24"/>
          <w:szCs w:val="24"/>
          <w:lang w:val="en-US" w:eastAsia="zh-CN"/>
        </w:rPr>
        <w:t>，每次渗透测试服务含初测和整改后复测。</w:t>
      </w:r>
      <w:r>
        <w:rPr>
          <w:rFonts w:hint="eastAsia" w:ascii="宋体" w:hAnsi="宋体" w:eastAsia="宋体" w:cs="宋体"/>
          <w:kern w:val="0"/>
          <w:sz w:val="24"/>
          <w:szCs w:val="24"/>
        </w:rPr>
        <w:t>测试完成后提供《渗透测试报告》详述测试流程、问题点及修复建议。渗透测试范围详见下表。</w:t>
      </w:r>
    </w:p>
    <w:tbl>
      <w:tblPr>
        <w:tblStyle w:val="14"/>
        <w:tblW w:w="5339" w:type="dxa"/>
        <w:jc w:val="center"/>
        <w:tblLayout w:type="fixed"/>
        <w:tblCellMar>
          <w:top w:w="0" w:type="dxa"/>
          <w:left w:w="0" w:type="dxa"/>
          <w:bottom w:w="0" w:type="dxa"/>
          <w:right w:w="0" w:type="dxa"/>
        </w:tblCellMar>
      </w:tblPr>
      <w:tblGrid>
        <w:gridCol w:w="5339"/>
      </w:tblGrid>
      <w:tr>
        <w:tblPrEx>
          <w:tblCellMar>
            <w:top w:w="0" w:type="dxa"/>
            <w:left w:w="0" w:type="dxa"/>
            <w:bottom w:w="0" w:type="dxa"/>
            <w:right w:w="0" w:type="dxa"/>
          </w:tblCellMar>
        </w:tblPrEx>
        <w:trPr>
          <w:trHeight w:val="1101" w:hRule="atLeast"/>
          <w:jc w:val="center"/>
        </w:trPr>
        <w:tc>
          <w:tcPr>
            <w:tcW w:w="53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val="en-US" w:eastAsia="zh-CN" w:bidi="ar"/>
              </w:rPr>
              <w:t>渗透测试</w:t>
            </w:r>
            <w:r>
              <w:rPr>
                <w:rFonts w:hint="eastAsia" w:ascii="宋体" w:hAnsi="宋体" w:eastAsia="宋体" w:cs="宋体"/>
                <w:color w:val="000000"/>
                <w:kern w:val="0"/>
                <w:sz w:val="24"/>
                <w:szCs w:val="24"/>
                <w:lang w:bidi="ar"/>
              </w:rPr>
              <w:t>清单</w:t>
            </w:r>
          </w:p>
        </w:tc>
      </w:tr>
      <w:tr>
        <w:tblPrEx>
          <w:tblCellMar>
            <w:top w:w="0" w:type="dxa"/>
            <w:left w:w="0" w:type="dxa"/>
            <w:bottom w:w="0" w:type="dxa"/>
            <w:right w:w="0" w:type="dxa"/>
          </w:tblCellMar>
        </w:tblPrEx>
        <w:trPr>
          <w:trHeight w:val="563" w:hRule="atLeast"/>
          <w:jc w:val="center"/>
        </w:trPr>
        <w:tc>
          <w:tcPr>
            <w:tcW w:w="53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无线电管理一体化平台无线电频率台站智能化管理系统</w:t>
            </w:r>
          </w:p>
        </w:tc>
      </w:tr>
      <w:tr>
        <w:tblPrEx>
          <w:tblCellMar>
            <w:top w:w="0" w:type="dxa"/>
            <w:left w:w="0" w:type="dxa"/>
            <w:bottom w:w="0" w:type="dxa"/>
            <w:right w:w="0" w:type="dxa"/>
          </w:tblCellMar>
        </w:tblPrEx>
        <w:trPr>
          <w:trHeight w:val="563" w:hRule="atLeast"/>
          <w:jc w:val="center"/>
        </w:trPr>
        <w:tc>
          <w:tcPr>
            <w:tcW w:w="53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spacing w:line="360" w:lineRule="auto"/>
              <w:jc w:val="left"/>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bidi="ar"/>
              </w:rPr>
              <w:t>重点台站</w:t>
            </w:r>
            <w:r>
              <w:rPr>
                <w:rFonts w:hint="eastAsia" w:ascii="宋体" w:hAnsi="宋体" w:eastAsia="宋体" w:cs="宋体"/>
                <w:color w:val="000000"/>
                <w:kern w:val="0"/>
                <w:sz w:val="24"/>
                <w:szCs w:val="24"/>
                <w:lang w:val="en-US" w:eastAsia="zh-CN" w:bidi="ar"/>
              </w:rPr>
              <w:t>频率</w:t>
            </w:r>
            <w:r>
              <w:rPr>
                <w:rFonts w:hint="eastAsia" w:ascii="宋体" w:hAnsi="宋体" w:eastAsia="宋体" w:cs="宋体"/>
                <w:color w:val="000000"/>
                <w:kern w:val="0"/>
                <w:sz w:val="24"/>
                <w:szCs w:val="24"/>
                <w:lang w:bidi="ar"/>
              </w:rPr>
              <w:t>EMC分析</w:t>
            </w:r>
            <w:r>
              <w:rPr>
                <w:rFonts w:hint="eastAsia" w:ascii="宋体" w:hAnsi="宋体" w:eastAsia="宋体" w:cs="宋体"/>
                <w:color w:val="000000"/>
                <w:kern w:val="0"/>
                <w:sz w:val="24"/>
                <w:szCs w:val="24"/>
                <w:lang w:val="en-US" w:eastAsia="zh-CN" w:bidi="ar"/>
              </w:rPr>
              <w:t>平台</w:t>
            </w:r>
          </w:p>
        </w:tc>
      </w:tr>
      <w:tr>
        <w:tblPrEx>
          <w:tblCellMar>
            <w:top w:w="0" w:type="dxa"/>
            <w:left w:w="0" w:type="dxa"/>
            <w:bottom w:w="0" w:type="dxa"/>
            <w:right w:w="0" w:type="dxa"/>
          </w:tblCellMar>
        </w:tblPrEx>
        <w:trPr>
          <w:trHeight w:val="563" w:hRule="atLeast"/>
          <w:jc w:val="center"/>
        </w:trPr>
        <w:tc>
          <w:tcPr>
            <w:tcW w:w="53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无线电管理一体化平台</w:t>
            </w:r>
          </w:p>
        </w:tc>
      </w:tr>
      <w:tr>
        <w:tblPrEx>
          <w:tblCellMar>
            <w:top w:w="0" w:type="dxa"/>
            <w:left w:w="0" w:type="dxa"/>
            <w:bottom w:w="0" w:type="dxa"/>
            <w:right w:w="0" w:type="dxa"/>
          </w:tblCellMar>
        </w:tblPrEx>
        <w:trPr>
          <w:trHeight w:val="563" w:hRule="atLeast"/>
          <w:jc w:val="center"/>
        </w:trPr>
        <w:tc>
          <w:tcPr>
            <w:tcW w:w="53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基站数据电子交互系统</w:t>
            </w:r>
          </w:p>
        </w:tc>
      </w:tr>
      <w:tr>
        <w:tblPrEx>
          <w:tblCellMar>
            <w:top w:w="0" w:type="dxa"/>
            <w:left w:w="0" w:type="dxa"/>
            <w:bottom w:w="0" w:type="dxa"/>
            <w:right w:w="0" w:type="dxa"/>
          </w:tblCellMar>
        </w:tblPrEx>
        <w:trPr>
          <w:trHeight w:val="563" w:hRule="atLeast"/>
          <w:jc w:val="center"/>
        </w:trPr>
        <w:tc>
          <w:tcPr>
            <w:tcW w:w="53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spacing w:line="360" w:lineRule="auto"/>
              <w:jc w:val="left"/>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bidi="ar"/>
              </w:rPr>
              <w:t>固定资产管理系统</w:t>
            </w:r>
            <w:r>
              <w:rPr>
                <w:rFonts w:hint="eastAsia" w:ascii="宋体" w:hAnsi="宋体" w:eastAsia="宋体" w:cs="宋体"/>
                <w:color w:val="000000"/>
                <w:kern w:val="0"/>
                <w:sz w:val="24"/>
                <w:szCs w:val="24"/>
                <w:lang w:eastAsia="zh-CN" w:bidi="ar"/>
              </w:rPr>
              <w:t>（</w:t>
            </w:r>
            <w:r>
              <w:rPr>
                <w:rFonts w:hint="eastAsia" w:ascii="宋体" w:hAnsi="宋体" w:eastAsia="宋体" w:cs="宋体"/>
                <w:color w:val="000000"/>
                <w:kern w:val="0"/>
                <w:sz w:val="24"/>
                <w:szCs w:val="24"/>
                <w:lang w:val="en-US" w:eastAsia="zh-CN" w:bidi="ar"/>
              </w:rPr>
              <w:t>建设完成后</w:t>
            </w:r>
            <w:r>
              <w:rPr>
                <w:rFonts w:hint="eastAsia" w:ascii="宋体" w:hAnsi="宋体" w:eastAsia="宋体" w:cs="宋体"/>
                <w:color w:val="000000"/>
                <w:kern w:val="0"/>
                <w:sz w:val="24"/>
                <w:szCs w:val="24"/>
                <w:lang w:eastAsia="zh-CN" w:bidi="ar"/>
              </w:rPr>
              <w:t>）</w:t>
            </w:r>
          </w:p>
        </w:tc>
      </w:tr>
      <w:tr>
        <w:tblPrEx>
          <w:tblCellMar>
            <w:top w:w="0" w:type="dxa"/>
            <w:left w:w="0" w:type="dxa"/>
            <w:bottom w:w="0" w:type="dxa"/>
            <w:right w:w="0" w:type="dxa"/>
          </w:tblCellMar>
        </w:tblPrEx>
        <w:trPr>
          <w:trHeight w:val="563" w:hRule="atLeast"/>
          <w:jc w:val="center"/>
        </w:trPr>
        <w:tc>
          <w:tcPr>
            <w:tcW w:w="53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无线电监测系统</w:t>
            </w:r>
          </w:p>
        </w:tc>
      </w:tr>
      <w:tr>
        <w:tblPrEx>
          <w:tblCellMar>
            <w:top w:w="0" w:type="dxa"/>
            <w:left w:w="0" w:type="dxa"/>
            <w:bottom w:w="0" w:type="dxa"/>
            <w:right w:w="0" w:type="dxa"/>
          </w:tblCellMar>
        </w:tblPrEx>
        <w:trPr>
          <w:trHeight w:val="563" w:hRule="atLeast"/>
          <w:jc w:val="center"/>
        </w:trPr>
        <w:tc>
          <w:tcPr>
            <w:tcW w:w="53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NOVA电磁环境精细化管理平台系统</w:t>
            </w:r>
          </w:p>
        </w:tc>
      </w:tr>
      <w:tr>
        <w:tblPrEx>
          <w:tblCellMar>
            <w:top w:w="0" w:type="dxa"/>
            <w:left w:w="0" w:type="dxa"/>
            <w:bottom w:w="0" w:type="dxa"/>
            <w:right w:w="0" w:type="dxa"/>
          </w:tblCellMar>
        </w:tblPrEx>
        <w:trPr>
          <w:trHeight w:val="563" w:hRule="atLeast"/>
          <w:jc w:val="center"/>
        </w:trPr>
        <w:tc>
          <w:tcPr>
            <w:tcW w:w="53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中星世通监测测向系统</w:t>
            </w:r>
          </w:p>
        </w:tc>
      </w:tr>
      <w:tr>
        <w:tblPrEx>
          <w:tblCellMar>
            <w:top w:w="0" w:type="dxa"/>
            <w:left w:w="0" w:type="dxa"/>
            <w:bottom w:w="0" w:type="dxa"/>
            <w:right w:w="0" w:type="dxa"/>
          </w:tblCellMar>
        </w:tblPrEx>
        <w:trPr>
          <w:trHeight w:val="563" w:hRule="atLeast"/>
          <w:jc w:val="center"/>
        </w:trPr>
        <w:tc>
          <w:tcPr>
            <w:tcW w:w="53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天凌网监测系统</w:t>
            </w:r>
          </w:p>
        </w:tc>
      </w:tr>
      <w:tr>
        <w:tblPrEx>
          <w:tblCellMar>
            <w:top w:w="0" w:type="dxa"/>
            <w:left w:w="0" w:type="dxa"/>
            <w:bottom w:w="0" w:type="dxa"/>
            <w:right w:w="0" w:type="dxa"/>
          </w:tblCellMar>
        </w:tblPrEx>
        <w:trPr>
          <w:trHeight w:val="563" w:hRule="atLeast"/>
          <w:jc w:val="center"/>
        </w:trPr>
        <w:tc>
          <w:tcPr>
            <w:tcW w:w="53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大公博创无线电综合管理平台</w:t>
            </w:r>
          </w:p>
        </w:tc>
      </w:tr>
      <w:tr>
        <w:tblPrEx>
          <w:tblCellMar>
            <w:top w:w="0" w:type="dxa"/>
            <w:left w:w="0" w:type="dxa"/>
            <w:bottom w:w="0" w:type="dxa"/>
            <w:right w:w="0" w:type="dxa"/>
          </w:tblCellMar>
        </w:tblPrEx>
        <w:trPr>
          <w:trHeight w:val="563" w:hRule="atLeast"/>
          <w:jc w:val="center"/>
        </w:trPr>
        <w:tc>
          <w:tcPr>
            <w:tcW w:w="53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华日无线电综合监测系统</w:t>
            </w:r>
          </w:p>
        </w:tc>
      </w:tr>
      <w:tr>
        <w:tblPrEx>
          <w:tblCellMar>
            <w:top w:w="0" w:type="dxa"/>
            <w:left w:w="0" w:type="dxa"/>
            <w:bottom w:w="0" w:type="dxa"/>
            <w:right w:w="0" w:type="dxa"/>
          </w:tblCellMar>
        </w:tblPrEx>
        <w:trPr>
          <w:trHeight w:val="563" w:hRule="atLeast"/>
          <w:jc w:val="center"/>
        </w:trPr>
        <w:tc>
          <w:tcPr>
            <w:tcW w:w="53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空间卫士监测测向系统</w:t>
            </w:r>
          </w:p>
        </w:tc>
      </w:tr>
      <w:tr>
        <w:tblPrEx>
          <w:tblCellMar>
            <w:top w:w="0" w:type="dxa"/>
            <w:left w:w="0" w:type="dxa"/>
            <w:bottom w:w="0" w:type="dxa"/>
            <w:right w:w="0" w:type="dxa"/>
          </w:tblCellMar>
        </w:tblPrEx>
        <w:trPr>
          <w:trHeight w:val="563" w:hRule="atLeast"/>
          <w:jc w:val="center"/>
        </w:trPr>
        <w:tc>
          <w:tcPr>
            <w:tcW w:w="53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重庆无线电监测网应用平台</w:t>
            </w:r>
          </w:p>
        </w:tc>
      </w:tr>
      <w:tr>
        <w:tblPrEx>
          <w:tblCellMar>
            <w:top w:w="0" w:type="dxa"/>
            <w:left w:w="0" w:type="dxa"/>
            <w:bottom w:w="0" w:type="dxa"/>
            <w:right w:w="0" w:type="dxa"/>
          </w:tblCellMar>
        </w:tblPrEx>
        <w:trPr>
          <w:trHeight w:val="563" w:hRule="atLeast"/>
          <w:jc w:val="center"/>
        </w:trPr>
        <w:tc>
          <w:tcPr>
            <w:tcW w:w="53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spacing w:line="360" w:lineRule="auto"/>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无线电管理一体化平台智能无线电监测系统一期</w:t>
            </w:r>
          </w:p>
        </w:tc>
      </w:tr>
    </w:tbl>
    <w:p>
      <w:pPr>
        <w:pageBreakBefore w:val="0"/>
        <w:widowControl/>
        <w:kinsoku/>
        <w:wordWrap/>
        <w:overflowPunct/>
        <w:topLinePunct w:val="0"/>
        <w:autoSpaceDE/>
        <w:autoSpaceDN/>
        <w:bidi w:val="0"/>
        <w:adjustRightInd w:val="0"/>
        <w:snapToGrid w:val="0"/>
        <w:spacing w:line="360" w:lineRule="auto"/>
        <w:rPr>
          <w:rFonts w:hint="eastAsia" w:ascii="宋体" w:hAnsi="宋体" w:eastAsia="宋体" w:cs="宋体"/>
          <w:kern w:val="0"/>
          <w:sz w:val="24"/>
          <w:szCs w:val="24"/>
        </w:rPr>
      </w:pPr>
    </w:p>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rPr>
        <w:t>应急演练与攻防演练</w:t>
      </w:r>
      <w:r>
        <w:rPr>
          <w:rFonts w:hint="eastAsia" w:ascii="宋体" w:hAnsi="宋体" w:eastAsia="宋体" w:cs="宋体"/>
          <w:kern w:val="0"/>
          <w:sz w:val="24"/>
          <w:szCs w:val="24"/>
          <w:lang w:val="en-US" w:eastAsia="zh-CN"/>
        </w:rPr>
        <w:t>服务</w:t>
      </w:r>
    </w:p>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服务期内成交供应商应</w:t>
      </w:r>
      <w:r>
        <w:rPr>
          <w:rFonts w:hint="eastAsia" w:ascii="宋体" w:hAnsi="宋体" w:eastAsia="宋体" w:cs="宋体"/>
          <w:kern w:val="0"/>
          <w:sz w:val="24"/>
          <w:szCs w:val="24"/>
        </w:rPr>
        <w:t>开展1次应急演练、1次攻防演练。</w:t>
      </w:r>
    </w:p>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lang w:eastAsia="zh-CN"/>
        </w:rPr>
      </w:pPr>
      <w:r>
        <w:rPr>
          <w:rFonts w:hint="eastAsia" w:ascii="宋体" w:hAnsi="宋体" w:cs="宋体"/>
          <w:kern w:val="0"/>
          <w:sz w:val="24"/>
          <w:szCs w:val="24"/>
          <w:lang w:val="en-US" w:eastAsia="zh-CN"/>
        </w:rPr>
        <w:t>要求</w:t>
      </w:r>
      <w:r>
        <w:rPr>
          <w:rFonts w:hint="eastAsia" w:ascii="宋体" w:hAnsi="宋体" w:eastAsia="宋体" w:cs="宋体"/>
          <w:kern w:val="0"/>
          <w:sz w:val="24"/>
          <w:szCs w:val="24"/>
        </w:rPr>
        <w:t>检测网络安全薄弱环节，检验网络安全防护能力、应急处置能力，积累威胁发现和应急响应经验，健全网络安全积极防御、协同处置的体系，在实战中提升网络安全队伍攻防技术能力。演练团队根据实战标准。演练测试基于常规攻防演练标准，在不影响目标系统正常运行的前提下，远程模拟黑客真实攻击手段对目标系统进行渗透测试，旨在全面暴露目标系统安全隐患及攻击路径，为风险隐患整改和后期安全建设提供依据。演练将深入进行漏洞利用和以“以点带面”的方式，深层次、多角度、全方位地测试和发现目标存在的安全隐患，克服常规的攻防演练中只能暴露最为脆弱的攻击点和路径的局限性，达到最大化暴露安全隐患点的效果。演练完成后，网络安全服务单位应提供《应急演练报告》、《攻防演练报告》</w:t>
      </w:r>
      <w:r>
        <w:rPr>
          <w:rFonts w:hint="eastAsia" w:ascii="宋体" w:hAnsi="宋体" w:eastAsia="宋体" w:cs="宋体"/>
          <w:kern w:val="0"/>
          <w:sz w:val="24"/>
          <w:szCs w:val="24"/>
          <w:lang w:eastAsia="zh-CN"/>
        </w:rPr>
        <w:t>。</w:t>
      </w:r>
    </w:p>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rPr>
        <w:t xml:space="preserve">4. </w:t>
      </w:r>
      <w:r>
        <w:rPr>
          <w:rFonts w:hint="eastAsia" w:ascii="宋体" w:hAnsi="宋体" w:eastAsia="宋体" w:cs="宋体"/>
          <w:kern w:val="0"/>
          <w:sz w:val="24"/>
          <w:szCs w:val="24"/>
        </w:rPr>
        <w:t>网络安全</w:t>
      </w:r>
      <w:r>
        <w:rPr>
          <w:rFonts w:hint="eastAsia" w:ascii="宋体" w:hAnsi="宋体" w:eastAsia="宋体" w:cs="宋体"/>
          <w:kern w:val="0"/>
          <w:sz w:val="24"/>
          <w:szCs w:val="24"/>
          <w:lang w:val="en-US" w:eastAsia="zh-CN"/>
        </w:rPr>
        <w:t>支撑和应急响应</w:t>
      </w:r>
    </w:p>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4.1提供技术咨询。</w:t>
      </w:r>
      <w:r>
        <w:rPr>
          <w:rFonts w:hint="eastAsia" w:ascii="宋体" w:hAnsi="宋体" w:eastAsia="宋体" w:cs="宋体"/>
          <w:kern w:val="0"/>
          <w:sz w:val="24"/>
          <w:szCs w:val="24"/>
        </w:rPr>
        <w:t>协助</w:t>
      </w:r>
      <w:r>
        <w:rPr>
          <w:rFonts w:hint="eastAsia" w:ascii="宋体" w:hAnsi="宋体" w:eastAsia="宋体" w:cs="宋体"/>
          <w:kern w:val="0"/>
          <w:sz w:val="24"/>
          <w:szCs w:val="24"/>
          <w:lang w:eastAsia="zh-CN"/>
        </w:rPr>
        <w:t>采购人</w:t>
      </w:r>
      <w:r>
        <w:rPr>
          <w:rFonts w:hint="eastAsia" w:ascii="宋体" w:hAnsi="宋体" w:eastAsia="宋体" w:cs="宋体"/>
          <w:kern w:val="0"/>
          <w:sz w:val="24"/>
          <w:szCs w:val="24"/>
        </w:rPr>
        <w:t>建立健全网络安全管理体系，制定和完善相关制度。通过对</w:t>
      </w:r>
      <w:r>
        <w:rPr>
          <w:rFonts w:hint="eastAsia" w:ascii="宋体" w:hAnsi="宋体" w:eastAsia="宋体" w:cs="宋体"/>
          <w:kern w:val="0"/>
          <w:sz w:val="24"/>
          <w:szCs w:val="24"/>
          <w:lang w:eastAsia="zh-CN"/>
        </w:rPr>
        <w:t>采购人</w:t>
      </w:r>
      <w:r>
        <w:rPr>
          <w:rFonts w:hint="eastAsia" w:ascii="宋体" w:hAnsi="宋体" w:eastAsia="宋体" w:cs="宋体"/>
          <w:kern w:val="0"/>
          <w:sz w:val="24"/>
          <w:szCs w:val="24"/>
        </w:rPr>
        <w:t>信息系统调查摸底、访谈查阅、渗透扫描等工作，摸清系统在网络安全方面存在的各类问题，为</w:t>
      </w:r>
      <w:r>
        <w:rPr>
          <w:rFonts w:hint="eastAsia" w:ascii="宋体" w:hAnsi="宋体" w:eastAsia="宋体" w:cs="宋体"/>
          <w:kern w:val="0"/>
          <w:sz w:val="24"/>
          <w:szCs w:val="24"/>
          <w:lang w:eastAsia="zh-CN"/>
        </w:rPr>
        <w:t>采购人</w:t>
      </w:r>
      <w:r>
        <w:rPr>
          <w:rFonts w:hint="eastAsia" w:ascii="宋体" w:hAnsi="宋体" w:eastAsia="宋体" w:cs="宋体"/>
          <w:kern w:val="0"/>
          <w:sz w:val="24"/>
          <w:szCs w:val="24"/>
        </w:rPr>
        <w:t>现有系统提供网络安全整体解决方案，为</w:t>
      </w:r>
      <w:r>
        <w:rPr>
          <w:rFonts w:hint="eastAsia" w:ascii="宋体" w:hAnsi="宋体" w:eastAsia="宋体" w:cs="宋体"/>
          <w:kern w:val="0"/>
          <w:sz w:val="24"/>
          <w:szCs w:val="24"/>
          <w:lang w:eastAsia="zh-CN"/>
        </w:rPr>
        <w:t>采购人</w:t>
      </w:r>
      <w:r>
        <w:rPr>
          <w:rFonts w:hint="eastAsia" w:ascii="宋体" w:hAnsi="宋体" w:eastAsia="宋体" w:cs="宋体"/>
          <w:kern w:val="0"/>
          <w:sz w:val="24"/>
          <w:szCs w:val="24"/>
        </w:rPr>
        <w:t>新建系统提供网络安全方面的合理化建议</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检查、调整、优化网络设备、网络安全设备配置。</w:t>
      </w:r>
    </w:p>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rPr>
        <w:t>2.</w:t>
      </w:r>
      <w:r>
        <w:rPr>
          <w:rFonts w:hint="eastAsia" w:ascii="宋体" w:hAnsi="宋体" w:eastAsia="宋体" w:cs="宋体"/>
          <w:kern w:val="0"/>
          <w:sz w:val="24"/>
          <w:szCs w:val="24"/>
          <w:lang w:val="en-US" w:eastAsia="zh-CN"/>
        </w:rPr>
        <w:t>技术支撑和应急响应</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如遇网络安全问题时，供应商应及时安排技术专家提供技术指导和支撑，进行网络风险应急处置，以及</w:t>
      </w:r>
      <w:r>
        <w:rPr>
          <w:rFonts w:hint="eastAsia" w:ascii="宋体" w:hAnsi="宋体" w:eastAsia="宋体" w:cs="宋体"/>
          <w:kern w:val="0"/>
          <w:sz w:val="24"/>
          <w:szCs w:val="24"/>
          <w:lang w:eastAsia="zh-CN"/>
        </w:rPr>
        <w:t>事后</w:t>
      </w:r>
      <w:r>
        <w:rPr>
          <w:rFonts w:hint="eastAsia" w:ascii="宋体" w:hAnsi="宋体" w:eastAsia="宋体" w:cs="宋体"/>
          <w:kern w:val="0"/>
          <w:sz w:val="24"/>
          <w:szCs w:val="24"/>
          <w:lang w:val="en-US" w:eastAsia="zh-CN"/>
        </w:rPr>
        <w:t>的溯源和</w:t>
      </w:r>
      <w:r>
        <w:rPr>
          <w:rFonts w:hint="eastAsia" w:ascii="宋体" w:hAnsi="宋体" w:eastAsia="宋体" w:cs="宋体"/>
          <w:kern w:val="0"/>
          <w:sz w:val="24"/>
          <w:szCs w:val="24"/>
          <w:lang w:eastAsia="zh-CN"/>
        </w:rPr>
        <w:t>整改。并针对突发的安全事件提供应急响应与处置报告。</w:t>
      </w:r>
    </w:p>
    <w:p>
      <w:pPr>
        <w:pageBreakBefore w:val="0"/>
        <w:widowControl/>
        <w:kinsoku/>
        <w:wordWrap/>
        <w:overflowPunct/>
        <w:topLinePunct w:val="0"/>
        <w:autoSpaceDE/>
        <w:autoSpaceDN/>
        <w:bidi w:val="0"/>
        <w:adjustRightInd w:val="0"/>
        <w:snapToGrid w:val="0"/>
        <w:spacing w:line="360" w:lineRule="auto"/>
        <w:ind w:firstLine="480" w:firstLineChars="200"/>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4.3.</w:t>
      </w:r>
      <w:r>
        <w:rPr>
          <w:rFonts w:hint="eastAsia" w:ascii="宋体" w:hAnsi="宋体" w:eastAsia="宋体" w:cs="宋体"/>
          <w:kern w:val="0"/>
          <w:sz w:val="24"/>
          <w:szCs w:val="24"/>
        </w:rPr>
        <w:t>安全加固服务</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针对漏洞扫描、渗透测试、安全预警、第三方通报、网络安全事件等发现的网络安全问题对信息系统提出</w:t>
      </w:r>
      <w:r>
        <w:rPr>
          <w:rFonts w:hint="eastAsia" w:ascii="宋体" w:hAnsi="宋体" w:eastAsia="宋体" w:cs="宋体"/>
          <w:kern w:val="0"/>
          <w:sz w:val="24"/>
          <w:szCs w:val="24"/>
          <w:lang w:val="en-US" w:eastAsia="zh-CN"/>
        </w:rPr>
        <w:t>网络安全</w:t>
      </w:r>
      <w:r>
        <w:rPr>
          <w:rFonts w:hint="eastAsia" w:ascii="宋体" w:hAnsi="宋体" w:eastAsia="宋体" w:cs="宋体"/>
          <w:kern w:val="0"/>
          <w:sz w:val="24"/>
          <w:szCs w:val="24"/>
        </w:rPr>
        <w:t>加固方案和建议，对</w:t>
      </w:r>
      <w:r>
        <w:rPr>
          <w:rFonts w:hint="eastAsia" w:ascii="宋体" w:hAnsi="宋体" w:eastAsia="宋体" w:cs="宋体"/>
          <w:kern w:val="0"/>
          <w:sz w:val="24"/>
          <w:szCs w:val="24"/>
          <w:lang w:val="en-US" w:eastAsia="zh-CN"/>
        </w:rPr>
        <w:t>机房</w:t>
      </w:r>
      <w:r>
        <w:rPr>
          <w:rFonts w:hint="eastAsia" w:ascii="宋体" w:hAnsi="宋体" w:eastAsia="宋体" w:cs="宋体"/>
          <w:kern w:val="0"/>
          <w:sz w:val="24"/>
          <w:szCs w:val="24"/>
        </w:rPr>
        <w:t>信息系统安全类设备进行策略调整</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配合消除网络安全风险。</w:t>
      </w:r>
    </w:p>
    <w:p>
      <w:pPr>
        <w:pageBreakBefore w:val="0"/>
        <w:widowControl/>
        <w:numPr>
          <w:ilvl w:val="0"/>
          <w:numId w:val="0"/>
        </w:numPr>
        <w:kinsoku/>
        <w:wordWrap/>
        <w:overflowPunct/>
        <w:topLinePunct w:val="0"/>
        <w:autoSpaceDE/>
        <w:autoSpaceDN/>
        <w:bidi w:val="0"/>
        <w:adjustRightInd w:val="0"/>
        <w:snapToGrid w:val="0"/>
        <w:spacing w:line="360" w:lineRule="auto"/>
        <w:ind w:firstLine="480" w:firstLineChars="0"/>
        <w:rPr>
          <w:rFonts w:hint="eastAsia" w:ascii="宋体" w:hAnsi="宋体" w:eastAsia="宋体" w:cs="宋体"/>
          <w:kern w:val="0"/>
          <w:sz w:val="24"/>
          <w:szCs w:val="24"/>
        </w:rPr>
      </w:pPr>
      <w:r>
        <w:rPr>
          <w:rFonts w:hint="eastAsia" w:ascii="宋体" w:hAnsi="宋体"/>
          <w:sz w:val="24"/>
          <w:szCs w:val="24"/>
        </w:rPr>
        <w:t>★</w:t>
      </w:r>
      <w:r>
        <w:rPr>
          <w:rFonts w:hint="eastAsia" w:ascii="宋体" w:hAnsi="宋体" w:eastAsia="宋体" w:cs="宋体"/>
          <w:kern w:val="0"/>
          <w:sz w:val="24"/>
          <w:szCs w:val="24"/>
          <w:lang w:val="en-US" w:eastAsia="zh-CN"/>
        </w:rPr>
        <w:t>5. 网络安全值守</w:t>
      </w:r>
    </w:p>
    <w:p>
      <w:pPr>
        <w:pageBreakBefore w:val="0"/>
        <w:widowControl/>
        <w:kinsoku/>
        <w:wordWrap/>
        <w:overflowPunct/>
        <w:topLinePunct w:val="0"/>
        <w:autoSpaceDE/>
        <w:autoSpaceDN/>
        <w:bidi w:val="0"/>
        <w:adjustRightInd w:val="0"/>
        <w:snapToGrid w:val="0"/>
        <w:spacing w:line="360" w:lineRule="auto"/>
        <w:ind w:firstLine="480" w:firstLineChars="200"/>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5.1</w:t>
      </w: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网络安全</w:t>
      </w:r>
      <w:r>
        <w:rPr>
          <w:rFonts w:hint="eastAsia" w:ascii="宋体" w:hAnsi="宋体" w:eastAsia="宋体" w:cs="宋体"/>
          <w:kern w:val="0"/>
          <w:sz w:val="24"/>
          <w:szCs w:val="24"/>
        </w:rPr>
        <w:t>值守</w:t>
      </w:r>
      <w:r>
        <w:rPr>
          <w:rFonts w:hint="eastAsia" w:ascii="宋体" w:hAnsi="宋体" w:eastAsia="宋体" w:cs="宋体"/>
          <w:kern w:val="0"/>
          <w:sz w:val="24"/>
          <w:szCs w:val="24"/>
          <w:lang w:val="en-US" w:eastAsia="zh-CN"/>
        </w:rPr>
        <w:t>时间和方式</w:t>
      </w:r>
    </w:p>
    <w:p>
      <w:pPr>
        <w:pageBreakBefore w:val="0"/>
        <w:widowControl/>
        <w:kinsoku/>
        <w:wordWrap/>
        <w:overflowPunct/>
        <w:topLinePunct w:val="0"/>
        <w:autoSpaceDE/>
        <w:autoSpaceDN/>
        <w:bidi w:val="0"/>
        <w:adjustRightInd w:val="0"/>
        <w:snapToGrid w:val="0"/>
        <w:spacing w:line="360" w:lineRule="auto"/>
        <w:ind w:firstLine="480" w:firstLineChars="200"/>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服务期内，</w:t>
      </w:r>
      <w:r>
        <w:rPr>
          <w:rFonts w:hint="eastAsia" w:ascii="宋体" w:hAnsi="宋体" w:eastAsia="宋体" w:cs="宋体"/>
          <w:kern w:val="0"/>
          <w:sz w:val="24"/>
          <w:szCs w:val="24"/>
        </w:rPr>
        <w:t>成交供应商安排团队开展</w:t>
      </w:r>
      <w:r>
        <w:rPr>
          <w:rFonts w:hint="eastAsia" w:ascii="宋体" w:hAnsi="宋体" w:eastAsia="宋体" w:cs="宋体"/>
          <w:kern w:val="0"/>
          <w:sz w:val="24"/>
          <w:szCs w:val="24"/>
          <w:lang w:val="en-US" w:eastAsia="zh-CN"/>
        </w:rPr>
        <w:t>7*</w:t>
      </w:r>
      <w:r>
        <w:rPr>
          <w:rFonts w:hint="eastAsia" w:ascii="宋体" w:hAnsi="宋体" w:eastAsia="宋体" w:cs="宋体"/>
          <w:kern w:val="0"/>
          <w:sz w:val="24"/>
          <w:szCs w:val="24"/>
        </w:rPr>
        <w:t>24小时网络安全值守</w:t>
      </w:r>
      <w:r>
        <w:rPr>
          <w:rFonts w:hint="eastAsia" w:ascii="宋体" w:hAnsi="宋体" w:eastAsia="宋体" w:cs="宋体"/>
          <w:kern w:val="0"/>
          <w:sz w:val="24"/>
          <w:szCs w:val="24"/>
          <w:lang w:val="en-US" w:eastAsia="zh-CN"/>
        </w:rPr>
        <w:t>工作</w:t>
      </w:r>
      <w:r>
        <w:rPr>
          <w:rFonts w:hint="eastAsia" w:ascii="宋体" w:hAnsi="宋体" w:eastAsia="宋体" w:cs="宋体"/>
          <w:kern w:val="0"/>
          <w:sz w:val="24"/>
          <w:szCs w:val="24"/>
        </w:rPr>
        <w:t>。值守期间，</w:t>
      </w:r>
      <w:r>
        <w:rPr>
          <w:rFonts w:hint="eastAsia" w:ascii="宋体" w:hAnsi="宋体" w:eastAsia="宋体" w:cs="宋体"/>
          <w:kern w:val="0"/>
          <w:sz w:val="24"/>
          <w:szCs w:val="24"/>
          <w:lang w:val="en-US" w:eastAsia="zh-CN"/>
        </w:rPr>
        <w:t>成交供应商</w:t>
      </w:r>
      <w:r>
        <w:rPr>
          <w:rFonts w:hint="eastAsia" w:ascii="宋体" w:hAnsi="宋体" w:eastAsia="宋体" w:cs="宋体"/>
          <w:kern w:val="0"/>
          <w:sz w:val="24"/>
          <w:szCs w:val="24"/>
        </w:rPr>
        <w:t>技术团队</w:t>
      </w:r>
      <w:r>
        <w:rPr>
          <w:rFonts w:hint="eastAsia" w:ascii="宋体" w:hAnsi="宋体" w:eastAsia="宋体" w:cs="宋体"/>
          <w:kern w:val="0"/>
          <w:sz w:val="24"/>
          <w:szCs w:val="24"/>
          <w:lang w:val="en-US" w:eastAsia="zh-CN"/>
        </w:rPr>
        <w:t>可</w:t>
      </w:r>
      <w:r>
        <w:rPr>
          <w:rFonts w:hint="eastAsia" w:ascii="宋体" w:hAnsi="宋体" w:eastAsia="宋体" w:cs="宋体"/>
          <w:kern w:val="0"/>
          <w:sz w:val="24"/>
          <w:szCs w:val="24"/>
        </w:rPr>
        <w:t>通过远程</w:t>
      </w:r>
      <w:r>
        <w:rPr>
          <w:rFonts w:hint="eastAsia" w:ascii="宋体" w:hAnsi="宋体" w:eastAsia="宋体" w:cs="宋体"/>
          <w:kern w:val="0"/>
          <w:sz w:val="24"/>
          <w:szCs w:val="24"/>
          <w:lang w:val="en-US" w:eastAsia="zh-CN"/>
        </w:rPr>
        <w:t>接入的方式</w:t>
      </w:r>
      <w:r>
        <w:rPr>
          <w:rFonts w:hint="eastAsia" w:ascii="宋体" w:hAnsi="宋体" w:eastAsia="宋体" w:cs="宋体"/>
          <w:kern w:val="0"/>
          <w:sz w:val="24"/>
          <w:szCs w:val="24"/>
        </w:rPr>
        <w:t>开展值守</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成交供应商应负责远程值守过程中的网络费用</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如果节日或重大活动保障等期间，采购人上级部门明确要求现场值守，成交供应商应根据要求开展现场值守。</w:t>
      </w:r>
    </w:p>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5.2.网络安全</w:t>
      </w:r>
      <w:r>
        <w:rPr>
          <w:rFonts w:hint="eastAsia" w:ascii="宋体" w:hAnsi="宋体" w:eastAsia="宋体" w:cs="宋体"/>
          <w:kern w:val="0"/>
          <w:sz w:val="24"/>
          <w:szCs w:val="24"/>
        </w:rPr>
        <w:t>值守</w:t>
      </w:r>
      <w:r>
        <w:rPr>
          <w:rFonts w:hint="eastAsia" w:ascii="宋体" w:hAnsi="宋体" w:eastAsia="宋体" w:cs="宋体"/>
          <w:kern w:val="0"/>
          <w:sz w:val="24"/>
          <w:szCs w:val="24"/>
          <w:lang w:val="en-US" w:eastAsia="zh-CN"/>
        </w:rPr>
        <w:t>工作内容</w:t>
      </w:r>
    </w:p>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网络安全</w:t>
      </w:r>
      <w:r>
        <w:rPr>
          <w:rFonts w:hint="eastAsia" w:ascii="宋体" w:hAnsi="宋体" w:eastAsia="宋体" w:cs="宋体"/>
          <w:kern w:val="0"/>
          <w:sz w:val="24"/>
          <w:szCs w:val="24"/>
        </w:rPr>
        <w:t>值守</w:t>
      </w:r>
      <w:r>
        <w:rPr>
          <w:rFonts w:hint="eastAsia" w:ascii="宋体" w:hAnsi="宋体" w:eastAsia="宋体" w:cs="宋体"/>
          <w:kern w:val="0"/>
          <w:sz w:val="24"/>
          <w:szCs w:val="24"/>
          <w:lang w:val="en-US" w:eastAsia="zh-CN"/>
        </w:rPr>
        <w:t>工作</w:t>
      </w:r>
      <w:r>
        <w:rPr>
          <w:rFonts w:hint="eastAsia" w:ascii="宋体" w:hAnsi="宋体" w:eastAsia="宋体" w:cs="宋体"/>
          <w:kern w:val="0"/>
          <w:sz w:val="24"/>
          <w:szCs w:val="24"/>
        </w:rPr>
        <w:t>内容</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包括机房基础设施、网络设备、网络安全设备、业务系统、数据备份系统等。</w:t>
      </w:r>
      <w:r>
        <w:rPr>
          <w:rFonts w:hint="eastAsia" w:ascii="宋体" w:hAnsi="宋体" w:eastAsia="宋体" w:cs="宋体"/>
          <w:kern w:val="0"/>
          <w:sz w:val="24"/>
          <w:szCs w:val="24"/>
          <w:lang w:val="en-US" w:eastAsia="zh-CN"/>
        </w:rPr>
        <w:t>值守人员提供</w:t>
      </w:r>
      <w:r>
        <w:rPr>
          <w:rFonts w:hint="eastAsia" w:ascii="宋体" w:hAnsi="宋体" w:eastAsia="宋体" w:cs="宋体"/>
          <w:kern w:val="0"/>
          <w:sz w:val="24"/>
          <w:szCs w:val="24"/>
        </w:rPr>
        <w:t>对机房基础设施、</w:t>
      </w:r>
      <w:r>
        <w:rPr>
          <w:rFonts w:hint="eastAsia" w:ascii="宋体" w:hAnsi="宋体" w:eastAsia="宋体" w:cs="宋体"/>
          <w:kern w:val="0"/>
          <w:sz w:val="24"/>
          <w:szCs w:val="24"/>
          <w:lang w:val="en-US" w:eastAsia="zh-CN"/>
        </w:rPr>
        <w:t>态势感知系统、</w:t>
      </w:r>
      <w:r>
        <w:rPr>
          <w:rFonts w:hint="eastAsia" w:ascii="宋体" w:hAnsi="宋体" w:eastAsia="宋体" w:cs="宋体"/>
          <w:kern w:val="0"/>
          <w:sz w:val="24"/>
          <w:szCs w:val="24"/>
        </w:rPr>
        <w:t>网络设备、网络安全设备、业务系统、数据备份系统进行监控</w:t>
      </w:r>
      <w:r>
        <w:rPr>
          <w:rFonts w:hint="eastAsia" w:ascii="宋体" w:hAnsi="宋体" w:eastAsia="宋体" w:cs="宋体"/>
          <w:kern w:val="0"/>
          <w:sz w:val="24"/>
          <w:szCs w:val="24"/>
          <w:lang w:val="en-US" w:eastAsia="zh-CN"/>
        </w:rPr>
        <w:t>值守，及时处理网络故障、网络安全风险</w:t>
      </w:r>
      <w:r>
        <w:rPr>
          <w:rFonts w:hint="eastAsia" w:ascii="宋体" w:hAnsi="宋体" w:eastAsia="宋体" w:cs="宋体"/>
          <w:kern w:val="0"/>
          <w:sz w:val="24"/>
          <w:szCs w:val="24"/>
        </w:rPr>
        <w:t>。监控内容包括：UPS报警、动环监控报警、门禁报警、黑客攻击</w:t>
      </w:r>
      <w:r>
        <w:rPr>
          <w:rFonts w:hint="eastAsia" w:ascii="宋体" w:hAnsi="宋体" w:eastAsia="宋体" w:cs="宋体"/>
          <w:kern w:val="0"/>
          <w:sz w:val="24"/>
          <w:szCs w:val="24"/>
          <w:lang w:val="en-US" w:eastAsia="zh-CN"/>
        </w:rPr>
        <w:t>渗透</w:t>
      </w:r>
      <w:r>
        <w:rPr>
          <w:rFonts w:hint="eastAsia" w:ascii="宋体" w:hAnsi="宋体" w:eastAsia="宋体" w:cs="宋体"/>
          <w:kern w:val="0"/>
          <w:sz w:val="24"/>
          <w:szCs w:val="24"/>
        </w:rPr>
        <w:t>、流量异常、蠕虫攻击、网络病毒爆发，漏洞远程利用、恶意代码传递、网络阻塞、DDoS攻击问题、系统异常宕机、应用服务瘫痪问题等。值守人员还应对设备日志进行分析，及时发现网络安全隐患。遭遇网络安全突发事件时，值守人员应参照应急预案立即开展人工干预消除隐患，并通知相关人员。当值守人员无法独立开展处置时，供应商应安排技术专家协助处理。应急处置事后，</w:t>
      </w:r>
      <w:r>
        <w:rPr>
          <w:rFonts w:hint="eastAsia" w:ascii="宋体" w:hAnsi="宋体" w:eastAsia="宋体" w:cs="宋体"/>
          <w:kern w:val="0"/>
          <w:sz w:val="24"/>
          <w:szCs w:val="24"/>
          <w:lang w:val="en-US" w:eastAsia="zh-CN"/>
        </w:rPr>
        <w:t>分析和溯源</w:t>
      </w:r>
      <w:r>
        <w:rPr>
          <w:rFonts w:hint="eastAsia" w:ascii="宋体" w:hAnsi="宋体" w:eastAsia="宋体" w:cs="宋体"/>
          <w:kern w:val="0"/>
          <w:sz w:val="24"/>
          <w:szCs w:val="24"/>
        </w:rPr>
        <w:t>，提供总结报告</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并</w:t>
      </w:r>
      <w:r>
        <w:rPr>
          <w:rFonts w:hint="eastAsia" w:ascii="宋体" w:hAnsi="宋体" w:eastAsia="宋体" w:cs="宋体"/>
          <w:kern w:val="0"/>
          <w:sz w:val="24"/>
          <w:szCs w:val="24"/>
          <w:lang w:val="en-US" w:eastAsia="zh-CN"/>
        </w:rPr>
        <w:t>配合开展整改工作</w:t>
      </w:r>
      <w:r>
        <w:rPr>
          <w:rFonts w:hint="eastAsia" w:ascii="宋体" w:hAnsi="宋体" w:eastAsia="宋体" w:cs="宋体"/>
          <w:kern w:val="0"/>
          <w:sz w:val="24"/>
          <w:szCs w:val="24"/>
        </w:rPr>
        <w:t>。</w:t>
      </w:r>
    </w:p>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项目周期内，应保持项目服务人员相对稳定，不得随意更换项目服务人员。更换项目服务人员时，需以书面方式告知采购人同意。</w:t>
      </w:r>
    </w:p>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5.3</w:t>
      </w:r>
      <w:r>
        <w:rPr>
          <w:rFonts w:hint="eastAsia" w:ascii="宋体" w:hAnsi="宋体" w:eastAsia="宋体" w:cs="宋体"/>
          <w:kern w:val="0"/>
          <w:sz w:val="24"/>
          <w:szCs w:val="24"/>
        </w:rPr>
        <w:t>.值守范围</w:t>
      </w:r>
    </w:p>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lang w:eastAsia="zh-CN"/>
        </w:rPr>
      </w:pPr>
      <w:r>
        <w:rPr>
          <w:rFonts w:hint="eastAsia" w:ascii="宋体" w:hAnsi="宋体" w:eastAsia="宋体" w:cs="宋体"/>
          <w:kern w:val="0"/>
          <w:sz w:val="24"/>
          <w:szCs w:val="24"/>
        </w:rPr>
        <w:t>为附件1与附件2的总和</w:t>
      </w:r>
      <w:r>
        <w:rPr>
          <w:rFonts w:hint="eastAsia" w:ascii="宋体" w:hAnsi="宋体" w:eastAsia="宋体" w:cs="宋体"/>
          <w:kern w:val="0"/>
          <w:sz w:val="24"/>
          <w:szCs w:val="24"/>
          <w:lang w:eastAsia="zh-CN"/>
        </w:rPr>
        <w:t>。</w:t>
      </w:r>
    </w:p>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 xml:space="preserve">6 </w:t>
      </w:r>
      <w:r>
        <w:rPr>
          <w:rFonts w:hint="eastAsia" w:ascii="宋体" w:hAnsi="宋体" w:eastAsia="宋体" w:cs="宋体"/>
          <w:kern w:val="0"/>
          <w:sz w:val="24"/>
          <w:szCs w:val="24"/>
        </w:rPr>
        <w:t>培训</w:t>
      </w:r>
      <w:r>
        <w:rPr>
          <w:rFonts w:hint="eastAsia" w:ascii="宋体" w:hAnsi="宋体" w:eastAsia="宋体" w:cs="宋体"/>
          <w:kern w:val="0"/>
          <w:sz w:val="24"/>
          <w:szCs w:val="24"/>
          <w:lang w:val="en-US" w:eastAsia="zh-CN"/>
        </w:rPr>
        <w:t>服务</w:t>
      </w:r>
    </w:p>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服务期内</w:t>
      </w:r>
      <w:r>
        <w:rPr>
          <w:rFonts w:hint="eastAsia" w:ascii="宋体" w:hAnsi="宋体" w:eastAsia="宋体" w:cs="宋体"/>
          <w:kern w:val="0"/>
          <w:sz w:val="24"/>
          <w:szCs w:val="24"/>
        </w:rPr>
        <w:t>开展1次现场网络安全意识培训。</w:t>
      </w:r>
    </w:p>
    <w:p>
      <w:pPr>
        <w:pageBreakBefore w:val="0"/>
        <w:widowControl/>
        <w:kinsoku/>
        <w:wordWrap/>
        <w:overflowPunct/>
        <w:topLinePunct w:val="0"/>
        <w:autoSpaceDE/>
        <w:autoSpaceDN/>
        <w:bidi w:val="0"/>
        <w:adjustRightInd w:val="0"/>
        <w:snapToGrid w:val="0"/>
        <w:spacing w:line="360" w:lineRule="auto"/>
        <w:ind w:firstLine="480" w:firstLineChars="200"/>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服务期内开展1次网络设备和网络安全设备的原厂培训，要求由华三、网御星云、深信服原厂技术人员进行授课。培训内容包括设备原理、操作，并结合我单位实际情况进行讲解。培训时间</w:t>
      </w:r>
      <w:r>
        <w:rPr>
          <w:rFonts w:hint="eastAsia" w:ascii="宋体" w:hAnsi="宋体" w:cs="宋体"/>
          <w:kern w:val="0"/>
          <w:sz w:val="24"/>
          <w:szCs w:val="24"/>
          <w:highlight w:val="none"/>
          <w:lang w:val="en-US" w:eastAsia="zh-CN"/>
        </w:rPr>
        <w:t>5</w:t>
      </w:r>
      <w:r>
        <w:rPr>
          <w:rFonts w:hint="eastAsia" w:ascii="宋体" w:hAnsi="宋体" w:eastAsia="宋体" w:cs="宋体"/>
          <w:kern w:val="0"/>
          <w:sz w:val="24"/>
          <w:szCs w:val="24"/>
          <w:highlight w:val="none"/>
          <w:lang w:val="en-US" w:eastAsia="zh-CN"/>
        </w:rPr>
        <w:t>天，培训地点重庆。</w:t>
      </w:r>
    </w:p>
    <w:p>
      <w:pPr>
        <w:pageBreakBefore w:val="0"/>
        <w:widowControl/>
        <w:kinsoku/>
        <w:wordWrap/>
        <w:overflowPunct/>
        <w:topLinePunct w:val="0"/>
        <w:autoSpaceDE/>
        <w:autoSpaceDN/>
        <w:bidi w:val="0"/>
        <w:adjustRightInd w:val="0"/>
        <w:snapToGrid w:val="0"/>
        <w:spacing w:line="360" w:lineRule="auto"/>
        <w:ind w:firstLine="480" w:firstLineChars="200"/>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服务期内开展1次网络安全技术培训，培训内容包括web前后端开发、服务器部署、网络安全漏洞渗透、</w:t>
      </w:r>
      <w:r>
        <w:rPr>
          <w:rFonts w:hint="eastAsia" w:ascii="宋体" w:hAnsi="宋体" w:cs="宋体"/>
          <w:kern w:val="0"/>
          <w:sz w:val="24"/>
          <w:szCs w:val="24"/>
          <w:highlight w:val="none"/>
          <w:lang w:val="en-US" w:eastAsia="zh-CN"/>
        </w:rPr>
        <w:t>神经网络</w:t>
      </w:r>
      <w:r>
        <w:rPr>
          <w:rFonts w:hint="eastAsia" w:ascii="宋体" w:hAnsi="宋体" w:eastAsia="宋体" w:cs="宋体"/>
          <w:kern w:val="0"/>
          <w:sz w:val="24"/>
          <w:szCs w:val="24"/>
          <w:highlight w:val="none"/>
          <w:lang w:val="en-US" w:eastAsia="zh-CN"/>
        </w:rPr>
        <w:t>等。培训时间</w:t>
      </w:r>
      <w:r>
        <w:rPr>
          <w:rFonts w:hint="eastAsia" w:ascii="宋体" w:hAnsi="宋体" w:cs="宋体"/>
          <w:kern w:val="0"/>
          <w:sz w:val="24"/>
          <w:szCs w:val="24"/>
          <w:highlight w:val="none"/>
          <w:lang w:val="en-US" w:eastAsia="zh-CN"/>
        </w:rPr>
        <w:t>5</w:t>
      </w:r>
      <w:r>
        <w:rPr>
          <w:rFonts w:hint="eastAsia" w:ascii="宋体" w:hAnsi="宋体" w:eastAsia="宋体" w:cs="宋体"/>
          <w:kern w:val="0"/>
          <w:sz w:val="24"/>
          <w:szCs w:val="24"/>
          <w:highlight w:val="none"/>
          <w:lang w:val="en-US" w:eastAsia="zh-CN"/>
        </w:rPr>
        <w:t>天，培训地点重庆。</w:t>
      </w:r>
    </w:p>
    <w:p>
      <w:pPr>
        <w:pStyle w:val="2"/>
        <w:rPr>
          <w:rFonts w:hint="eastAsia" w:ascii="宋体" w:hAnsi="宋体" w:eastAsia="宋体" w:cs="宋体"/>
          <w:kern w:val="0"/>
          <w:sz w:val="24"/>
          <w:szCs w:val="24"/>
        </w:rPr>
      </w:pPr>
    </w:p>
    <w:p>
      <w:pPr>
        <w:pStyle w:val="2"/>
        <w:rPr>
          <w:rFonts w:hint="eastAsia" w:ascii="宋体" w:hAnsi="宋体" w:eastAsia="宋体" w:cs="宋体"/>
          <w:kern w:val="0"/>
          <w:sz w:val="24"/>
          <w:szCs w:val="24"/>
        </w:rPr>
      </w:pPr>
    </w:p>
    <w:p>
      <w:pPr>
        <w:pStyle w:val="2"/>
        <w:rPr>
          <w:rFonts w:hint="eastAsia" w:ascii="宋体" w:hAnsi="宋体" w:eastAsia="宋体" w:cs="宋体"/>
          <w:kern w:val="0"/>
          <w:sz w:val="24"/>
          <w:szCs w:val="24"/>
        </w:rPr>
      </w:pPr>
    </w:p>
    <w:p>
      <w:pPr>
        <w:pStyle w:val="2"/>
        <w:rPr>
          <w:rFonts w:hint="eastAsia" w:ascii="宋体" w:hAnsi="宋体" w:eastAsia="宋体" w:cs="宋体"/>
          <w:kern w:val="0"/>
          <w:sz w:val="24"/>
          <w:szCs w:val="24"/>
        </w:rPr>
      </w:pPr>
    </w:p>
    <w:p>
      <w:pPr>
        <w:pStyle w:val="2"/>
        <w:rPr>
          <w:rFonts w:hint="eastAsia" w:ascii="宋体" w:hAnsi="宋体" w:eastAsia="宋体" w:cs="宋体"/>
          <w:kern w:val="0"/>
          <w:sz w:val="24"/>
          <w:szCs w:val="24"/>
        </w:rPr>
      </w:pPr>
    </w:p>
    <w:p>
      <w:pPr>
        <w:pStyle w:val="2"/>
        <w:rPr>
          <w:rFonts w:hint="eastAsia" w:ascii="宋体" w:hAnsi="宋体" w:eastAsia="宋体" w:cs="宋体"/>
          <w:kern w:val="0"/>
          <w:sz w:val="24"/>
          <w:szCs w:val="24"/>
        </w:rPr>
      </w:pPr>
    </w:p>
    <w:p>
      <w:pPr>
        <w:pStyle w:val="2"/>
        <w:rPr>
          <w:rFonts w:hint="eastAsia" w:ascii="宋体" w:hAnsi="宋体" w:eastAsia="宋体" w:cs="宋体"/>
          <w:kern w:val="0"/>
          <w:sz w:val="24"/>
          <w:szCs w:val="24"/>
        </w:rPr>
      </w:pPr>
    </w:p>
    <w:p>
      <w:pPr>
        <w:pStyle w:val="2"/>
        <w:rPr>
          <w:rFonts w:hint="eastAsia" w:ascii="宋体" w:hAnsi="宋体" w:eastAsia="宋体" w:cs="宋体"/>
          <w:kern w:val="0"/>
          <w:sz w:val="24"/>
          <w:szCs w:val="24"/>
        </w:rPr>
      </w:pPr>
    </w:p>
    <w:p>
      <w:pPr>
        <w:pageBreakBefore w:val="0"/>
        <w:widowControl w:val="0"/>
        <w:kinsoku/>
        <w:wordWrap/>
        <w:overflowPunct/>
        <w:topLinePunct w:val="0"/>
        <w:autoSpaceDE/>
        <w:autoSpaceDN/>
        <w:bidi w:val="0"/>
        <w:adjustRightInd/>
        <w:snapToGrid w:val="0"/>
        <w:spacing w:line="500" w:lineRule="exact"/>
        <w:ind w:firstLine="482" w:firstLineChars="200"/>
        <w:textAlignment w:val="auto"/>
        <w:rPr>
          <w:rFonts w:hint="default" w:ascii="宋体"/>
          <w:b/>
          <w:bCs/>
          <w:sz w:val="24"/>
          <w:szCs w:val="24"/>
          <w:lang w:val="en-US" w:eastAsia="zh-CN"/>
        </w:rPr>
      </w:pPr>
      <w:r>
        <w:rPr>
          <w:rFonts w:hint="eastAsia" w:ascii="宋体"/>
          <w:b/>
          <w:bCs/>
          <w:sz w:val="24"/>
          <w:szCs w:val="24"/>
          <w:lang w:val="en-US" w:eastAsia="zh-CN"/>
        </w:rPr>
        <w:t>附件1： 数码大厦设备、业务系统、监测二三四科设备</w:t>
      </w:r>
    </w:p>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一</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数码大厦A座15楼信息机房基础设施</w:t>
      </w:r>
    </w:p>
    <w:tbl>
      <w:tblPr>
        <w:tblStyle w:val="14"/>
        <w:tblW w:w="8128" w:type="dxa"/>
        <w:jc w:val="center"/>
        <w:tblLayout w:type="fixed"/>
        <w:tblCellMar>
          <w:top w:w="0" w:type="dxa"/>
          <w:left w:w="0" w:type="dxa"/>
          <w:bottom w:w="0" w:type="dxa"/>
          <w:right w:w="0" w:type="dxa"/>
        </w:tblCellMar>
      </w:tblPr>
      <w:tblGrid>
        <w:gridCol w:w="2060"/>
        <w:gridCol w:w="1450"/>
        <w:gridCol w:w="2813"/>
        <w:gridCol w:w="1805"/>
      </w:tblGrid>
      <w:tr>
        <w:tblPrEx>
          <w:tblCellMar>
            <w:top w:w="0" w:type="dxa"/>
            <w:left w:w="0" w:type="dxa"/>
            <w:bottom w:w="0" w:type="dxa"/>
            <w:right w:w="0" w:type="dxa"/>
          </w:tblCellMar>
        </w:tblPrEx>
        <w:trPr>
          <w:trHeight w:val="270" w:hRule="atLeast"/>
          <w:jc w:val="center"/>
        </w:trPr>
        <w:tc>
          <w:tcPr>
            <w:tcW w:w="2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名称</w:t>
            </w: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品牌</w:t>
            </w:r>
          </w:p>
        </w:tc>
        <w:tc>
          <w:tcPr>
            <w:tcW w:w="2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型号</w:t>
            </w:r>
          </w:p>
        </w:tc>
        <w:tc>
          <w:tcPr>
            <w:tcW w:w="1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数量 (台)</w:t>
            </w:r>
          </w:p>
        </w:tc>
      </w:tr>
      <w:tr>
        <w:tblPrEx>
          <w:tblCellMar>
            <w:top w:w="0" w:type="dxa"/>
            <w:left w:w="0" w:type="dxa"/>
            <w:bottom w:w="0" w:type="dxa"/>
            <w:right w:w="0" w:type="dxa"/>
          </w:tblCellMar>
        </w:tblPrEx>
        <w:trPr>
          <w:trHeight w:val="270" w:hRule="atLeast"/>
          <w:jc w:val="center"/>
        </w:trPr>
        <w:tc>
          <w:tcPr>
            <w:tcW w:w="206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UPS（含电池）</w:t>
            </w: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apc</w:t>
            </w:r>
          </w:p>
        </w:tc>
        <w:tc>
          <w:tcPr>
            <w:tcW w:w="2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CellMar>
            <w:top w:w="0" w:type="dxa"/>
            <w:left w:w="0" w:type="dxa"/>
            <w:bottom w:w="0" w:type="dxa"/>
            <w:right w:w="0" w:type="dxa"/>
          </w:tblCellMar>
        </w:tblPrEx>
        <w:trPr>
          <w:trHeight w:val="270" w:hRule="atLeast"/>
          <w:jc w:val="center"/>
        </w:trPr>
        <w:tc>
          <w:tcPr>
            <w:tcW w:w="206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华为</w:t>
            </w:r>
          </w:p>
        </w:tc>
        <w:tc>
          <w:tcPr>
            <w:tcW w:w="2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CellMar>
            <w:top w:w="0" w:type="dxa"/>
            <w:left w:w="0" w:type="dxa"/>
            <w:bottom w:w="0" w:type="dxa"/>
            <w:right w:w="0" w:type="dxa"/>
          </w:tblCellMar>
        </w:tblPrEx>
        <w:trPr>
          <w:trHeight w:val="270" w:hRule="atLeast"/>
          <w:jc w:val="center"/>
        </w:trPr>
        <w:tc>
          <w:tcPr>
            <w:tcW w:w="2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温湿度监控器</w:t>
            </w: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展创电子</w:t>
            </w:r>
          </w:p>
        </w:tc>
        <w:tc>
          <w:tcPr>
            <w:tcW w:w="2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智能温湿度短信电话报警器</w:t>
            </w:r>
          </w:p>
        </w:tc>
        <w:tc>
          <w:tcPr>
            <w:tcW w:w="1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0" w:type="dxa"/>
            <w:bottom w:w="0" w:type="dxa"/>
            <w:right w:w="0" w:type="dxa"/>
          </w:tblCellMar>
        </w:tblPrEx>
        <w:trPr>
          <w:trHeight w:val="270" w:hRule="atLeast"/>
          <w:jc w:val="center"/>
        </w:trPr>
        <w:tc>
          <w:tcPr>
            <w:tcW w:w="206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空调</w:t>
            </w: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格力</w:t>
            </w:r>
          </w:p>
        </w:tc>
        <w:tc>
          <w:tcPr>
            <w:tcW w:w="2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KFR-72LW</w:t>
            </w:r>
          </w:p>
        </w:tc>
        <w:tc>
          <w:tcPr>
            <w:tcW w:w="1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0" w:type="dxa"/>
            <w:bottom w:w="0" w:type="dxa"/>
            <w:right w:w="0" w:type="dxa"/>
          </w:tblCellMar>
        </w:tblPrEx>
        <w:trPr>
          <w:trHeight w:val="270" w:hRule="atLeast"/>
          <w:jc w:val="center"/>
        </w:trPr>
        <w:tc>
          <w:tcPr>
            <w:tcW w:w="206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p>
        </w:tc>
        <w:tc>
          <w:tcPr>
            <w:tcW w:w="14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美的</w:t>
            </w:r>
          </w:p>
        </w:tc>
        <w:tc>
          <w:tcPr>
            <w:tcW w:w="28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KFR-72LW</w:t>
            </w:r>
          </w:p>
        </w:tc>
        <w:tc>
          <w:tcPr>
            <w:tcW w:w="1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w:t>
            </w:r>
          </w:p>
        </w:tc>
      </w:tr>
    </w:tbl>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p>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（二）数码大厦A座15楼信息机房网络设备</w:t>
      </w:r>
    </w:p>
    <w:tbl>
      <w:tblPr>
        <w:tblStyle w:val="14"/>
        <w:tblW w:w="8220" w:type="dxa"/>
        <w:jc w:val="center"/>
        <w:tblLayout w:type="fixed"/>
        <w:tblCellMar>
          <w:top w:w="0" w:type="dxa"/>
          <w:left w:w="0" w:type="dxa"/>
          <w:bottom w:w="0" w:type="dxa"/>
          <w:right w:w="0" w:type="dxa"/>
        </w:tblCellMar>
      </w:tblPr>
      <w:tblGrid>
        <w:gridCol w:w="1589"/>
        <w:gridCol w:w="2021"/>
        <w:gridCol w:w="2514"/>
        <w:gridCol w:w="2096"/>
      </w:tblGrid>
      <w:tr>
        <w:tblPrEx>
          <w:tblCellMar>
            <w:top w:w="0" w:type="dxa"/>
            <w:left w:w="0" w:type="dxa"/>
            <w:bottom w:w="0" w:type="dxa"/>
            <w:right w:w="0" w:type="dxa"/>
          </w:tblCellMar>
        </w:tblPrEx>
        <w:trPr>
          <w:trHeight w:val="569" w:hRule="atLeast"/>
          <w:jc w:val="center"/>
        </w:trPr>
        <w:tc>
          <w:tcPr>
            <w:tcW w:w="15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名称</w:t>
            </w:r>
          </w:p>
        </w:tc>
        <w:tc>
          <w:tcPr>
            <w:tcW w:w="20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品牌</w:t>
            </w:r>
          </w:p>
        </w:tc>
        <w:tc>
          <w:tcPr>
            <w:tcW w:w="25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型号</w:t>
            </w:r>
          </w:p>
        </w:tc>
        <w:tc>
          <w:tcPr>
            <w:tcW w:w="20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数量(台)</w:t>
            </w:r>
          </w:p>
        </w:tc>
      </w:tr>
      <w:tr>
        <w:tblPrEx>
          <w:tblCellMar>
            <w:top w:w="0" w:type="dxa"/>
            <w:left w:w="0" w:type="dxa"/>
            <w:bottom w:w="0" w:type="dxa"/>
            <w:right w:w="0" w:type="dxa"/>
          </w:tblCellMar>
        </w:tblPrEx>
        <w:trPr>
          <w:trHeight w:val="569" w:hRule="atLeast"/>
          <w:jc w:val="center"/>
        </w:trPr>
        <w:tc>
          <w:tcPr>
            <w:tcW w:w="15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核心交换机</w:t>
            </w:r>
          </w:p>
        </w:tc>
        <w:tc>
          <w:tcPr>
            <w:tcW w:w="20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H3C</w:t>
            </w:r>
          </w:p>
        </w:tc>
        <w:tc>
          <w:tcPr>
            <w:tcW w:w="25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S7006X</w:t>
            </w:r>
          </w:p>
        </w:tc>
        <w:tc>
          <w:tcPr>
            <w:tcW w:w="20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0" w:type="dxa"/>
            <w:bottom w:w="0" w:type="dxa"/>
            <w:right w:w="0" w:type="dxa"/>
          </w:tblCellMar>
        </w:tblPrEx>
        <w:trPr>
          <w:trHeight w:val="90" w:hRule="atLeast"/>
          <w:jc w:val="center"/>
        </w:trPr>
        <w:tc>
          <w:tcPr>
            <w:tcW w:w="15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交换机（楼层）</w:t>
            </w:r>
          </w:p>
        </w:tc>
        <w:tc>
          <w:tcPr>
            <w:tcW w:w="20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H3C</w:t>
            </w:r>
          </w:p>
        </w:tc>
        <w:tc>
          <w:tcPr>
            <w:tcW w:w="25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WS5820-52TP-WiNet</w:t>
            </w:r>
          </w:p>
        </w:tc>
        <w:tc>
          <w:tcPr>
            <w:tcW w:w="20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26</w:t>
            </w:r>
          </w:p>
        </w:tc>
      </w:tr>
      <w:tr>
        <w:tblPrEx>
          <w:tblCellMar>
            <w:top w:w="0" w:type="dxa"/>
            <w:left w:w="0" w:type="dxa"/>
            <w:bottom w:w="0" w:type="dxa"/>
            <w:right w:w="0" w:type="dxa"/>
          </w:tblCellMar>
        </w:tblPrEx>
        <w:trPr>
          <w:trHeight w:val="569" w:hRule="atLeast"/>
          <w:jc w:val="center"/>
        </w:trPr>
        <w:tc>
          <w:tcPr>
            <w:tcW w:w="15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外网核心</w:t>
            </w:r>
            <w:r>
              <w:rPr>
                <w:rFonts w:hint="eastAsia" w:ascii="宋体" w:hAnsi="宋体" w:eastAsia="宋体" w:cs="宋体"/>
                <w:kern w:val="0"/>
                <w:sz w:val="24"/>
                <w:szCs w:val="24"/>
              </w:rPr>
              <w:t>交换机</w:t>
            </w:r>
          </w:p>
        </w:tc>
        <w:tc>
          <w:tcPr>
            <w:tcW w:w="20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H3C</w:t>
            </w:r>
          </w:p>
        </w:tc>
        <w:tc>
          <w:tcPr>
            <w:tcW w:w="25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lang w:val="en-US" w:eastAsia="zh-CN"/>
              </w:rPr>
            </w:pPr>
            <w:bookmarkStart w:id="106" w:name="_GoBack"/>
            <w:bookmarkEnd w:id="106"/>
            <w:r>
              <w:rPr>
                <w:rFonts w:hint="eastAsia" w:ascii="宋体" w:hAnsi="宋体" w:eastAsia="宋体" w:cs="宋体"/>
                <w:kern w:val="0"/>
                <w:sz w:val="24"/>
                <w:szCs w:val="24"/>
                <w:lang w:val="en-US" w:eastAsia="zh-CN"/>
              </w:rPr>
              <w:t>WS5850-52X-WiNet</w:t>
            </w:r>
          </w:p>
        </w:tc>
        <w:tc>
          <w:tcPr>
            <w:tcW w:w="20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CellMar>
            <w:top w:w="0" w:type="dxa"/>
            <w:left w:w="0" w:type="dxa"/>
            <w:bottom w:w="0" w:type="dxa"/>
            <w:right w:w="0" w:type="dxa"/>
          </w:tblCellMar>
        </w:tblPrEx>
        <w:trPr>
          <w:trHeight w:val="569" w:hRule="atLeast"/>
          <w:jc w:val="center"/>
        </w:trPr>
        <w:tc>
          <w:tcPr>
            <w:tcW w:w="15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路由器</w:t>
            </w:r>
          </w:p>
        </w:tc>
        <w:tc>
          <w:tcPr>
            <w:tcW w:w="20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H3C</w:t>
            </w:r>
          </w:p>
        </w:tc>
        <w:tc>
          <w:tcPr>
            <w:tcW w:w="25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MSR36-20</w:t>
            </w:r>
          </w:p>
        </w:tc>
        <w:tc>
          <w:tcPr>
            <w:tcW w:w="20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CellMar>
            <w:top w:w="0" w:type="dxa"/>
            <w:left w:w="0" w:type="dxa"/>
            <w:bottom w:w="0" w:type="dxa"/>
            <w:right w:w="0" w:type="dxa"/>
          </w:tblCellMar>
        </w:tblPrEx>
        <w:trPr>
          <w:trHeight w:val="569" w:hRule="atLeast"/>
          <w:jc w:val="center"/>
        </w:trPr>
        <w:tc>
          <w:tcPr>
            <w:tcW w:w="15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路由器</w:t>
            </w:r>
          </w:p>
        </w:tc>
        <w:tc>
          <w:tcPr>
            <w:tcW w:w="20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CISCO</w:t>
            </w:r>
          </w:p>
        </w:tc>
        <w:tc>
          <w:tcPr>
            <w:tcW w:w="25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2611XM</w:t>
            </w:r>
          </w:p>
        </w:tc>
        <w:tc>
          <w:tcPr>
            <w:tcW w:w="20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CellMar>
            <w:top w:w="0" w:type="dxa"/>
            <w:left w:w="0" w:type="dxa"/>
            <w:bottom w:w="0" w:type="dxa"/>
            <w:right w:w="0" w:type="dxa"/>
          </w:tblCellMar>
        </w:tblPrEx>
        <w:trPr>
          <w:trHeight w:val="569" w:hRule="atLeast"/>
          <w:jc w:val="center"/>
        </w:trPr>
        <w:tc>
          <w:tcPr>
            <w:tcW w:w="15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路由器</w:t>
            </w:r>
          </w:p>
        </w:tc>
        <w:tc>
          <w:tcPr>
            <w:tcW w:w="20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华为</w:t>
            </w:r>
          </w:p>
        </w:tc>
        <w:tc>
          <w:tcPr>
            <w:tcW w:w="25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USG5150BSR</w:t>
            </w:r>
          </w:p>
        </w:tc>
        <w:tc>
          <w:tcPr>
            <w:tcW w:w="20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w:t>
            </w:r>
          </w:p>
        </w:tc>
      </w:tr>
    </w:tbl>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（三）数码大厦A座15楼信息机房网络安全设备</w:t>
      </w:r>
    </w:p>
    <w:tbl>
      <w:tblPr>
        <w:tblStyle w:val="14"/>
        <w:tblW w:w="8473" w:type="dxa"/>
        <w:jc w:val="center"/>
        <w:tblLayout w:type="fixed"/>
        <w:tblCellMar>
          <w:top w:w="0" w:type="dxa"/>
          <w:left w:w="0" w:type="dxa"/>
          <w:bottom w:w="0" w:type="dxa"/>
          <w:right w:w="0" w:type="dxa"/>
        </w:tblCellMar>
      </w:tblPr>
      <w:tblGrid>
        <w:gridCol w:w="1852"/>
        <w:gridCol w:w="1965"/>
        <w:gridCol w:w="2692"/>
        <w:gridCol w:w="1964"/>
      </w:tblGrid>
      <w:tr>
        <w:tblPrEx>
          <w:tblCellMar>
            <w:top w:w="0" w:type="dxa"/>
            <w:left w:w="0" w:type="dxa"/>
            <w:bottom w:w="0" w:type="dxa"/>
            <w:right w:w="0" w:type="dxa"/>
          </w:tblCellMar>
        </w:tblPrEx>
        <w:trPr>
          <w:trHeight w:val="270" w:hRule="atLeast"/>
          <w:jc w:val="center"/>
        </w:trPr>
        <w:tc>
          <w:tcPr>
            <w:tcW w:w="18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名称</w:t>
            </w:r>
          </w:p>
        </w:tc>
        <w:tc>
          <w:tcPr>
            <w:tcW w:w="1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品牌</w:t>
            </w:r>
          </w:p>
        </w:tc>
        <w:tc>
          <w:tcPr>
            <w:tcW w:w="26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型号</w:t>
            </w:r>
          </w:p>
        </w:tc>
        <w:tc>
          <w:tcPr>
            <w:tcW w:w="19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数量(台)</w:t>
            </w:r>
          </w:p>
        </w:tc>
      </w:tr>
      <w:tr>
        <w:tblPrEx>
          <w:tblCellMar>
            <w:top w:w="0" w:type="dxa"/>
            <w:left w:w="0" w:type="dxa"/>
            <w:bottom w:w="0" w:type="dxa"/>
            <w:right w:w="0" w:type="dxa"/>
          </w:tblCellMar>
        </w:tblPrEx>
        <w:trPr>
          <w:trHeight w:val="270" w:hRule="atLeast"/>
          <w:jc w:val="center"/>
        </w:trPr>
        <w:tc>
          <w:tcPr>
            <w:tcW w:w="18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上网行为管理</w:t>
            </w:r>
          </w:p>
        </w:tc>
        <w:tc>
          <w:tcPr>
            <w:tcW w:w="1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网康</w:t>
            </w:r>
          </w:p>
        </w:tc>
        <w:tc>
          <w:tcPr>
            <w:tcW w:w="26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NS-ICG3000-30</w:t>
            </w:r>
          </w:p>
        </w:tc>
        <w:tc>
          <w:tcPr>
            <w:tcW w:w="19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CellMar>
            <w:top w:w="0" w:type="dxa"/>
            <w:left w:w="0" w:type="dxa"/>
            <w:bottom w:w="0" w:type="dxa"/>
            <w:right w:w="0" w:type="dxa"/>
          </w:tblCellMar>
        </w:tblPrEx>
        <w:trPr>
          <w:trHeight w:val="270" w:hRule="atLeast"/>
          <w:jc w:val="center"/>
        </w:trPr>
        <w:tc>
          <w:tcPr>
            <w:tcW w:w="18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数据库审计</w:t>
            </w:r>
          </w:p>
        </w:tc>
        <w:tc>
          <w:tcPr>
            <w:tcW w:w="1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网御星云</w:t>
            </w:r>
          </w:p>
        </w:tc>
        <w:tc>
          <w:tcPr>
            <w:tcW w:w="26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LA-DT-1600BR</w:t>
            </w:r>
          </w:p>
        </w:tc>
        <w:tc>
          <w:tcPr>
            <w:tcW w:w="19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CellMar>
            <w:top w:w="0" w:type="dxa"/>
            <w:left w:w="0" w:type="dxa"/>
            <w:bottom w:w="0" w:type="dxa"/>
            <w:right w:w="0" w:type="dxa"/>
          </w:tblCellMar>
        </w:tblPrEx>
        <w:trPr>
          <w:trHeight w:val="270" w:hRule="atLeast"/>
          <w:jc w:val="center"/>
        </w:trPr>
        <w:tc>
          <w:tcPr>
            <w:tcW w:w="18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入侵防御</w:t>
            </w:r>
          </w:p>
        </w:tc>
        <w:tc>
          <w:tcPr>
            <w:tcW w:w="1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深信服</w:t>
            </w:r>
          </w:p>
        </w:tc>
        <w:tc>
          <w:tcPr>
            <w:tcW w:w="26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NIPS-2000-B2100</w:t>
            </w:r>
          </w:p>
        </w:tc>
        <w:tc>
          <w:tcPr>
            <w:tcW w:w="19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CellMar>
            <w:top w:w="0" w:type="dxa"/>
            <w:left w:w="0" w:type="dxa"/>
            <w:bottom w:w="0" w:type="dxa"/>
            <w:right w:w="0" w:type="dxa"/>
          </w:tblCellMar>
        </w:tblPrEx>
        <w:trPr>
          <w:trHeight w:val="270" w:hRule="atLeast"/>
          <w:jc w:val="center"/>
        </w:trPr>
        <w:tc>
          <w:tcPr>
            <w:tcW w:w="18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备份一体机</w:t>
            </w:r>
          </w:p>
        </w:tc>
        <w:tc>
          <w:tcPr>
            <w:tcW w:w="1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火星仓</w:t>
            </w:r>
          </w:p>
        </w:tc>
        <w:tc>
          <w:tcPr>
            <w:tcW w:w="26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E15SA-DPA-E16</w:t>
            </w:r>
          </w:p>
        </w:tc>
        <w:tc>
          <w:tcPr>
            <w:tcW w:w="19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CellMar>
            <w:top w:w="0" w:type="dxa"/>
            <w:left w:w="0" w:type="dxa"/>
            <w:bottom w:w="0" w:type="dxa"/>
            <w:right w:w="0" w:type="dxa"/>
          </w:tblCellMar>
        </w:tblPrEx>
        <w:trPr>
          <w:trHeight w:val="270" w:hRule="atLeast"/>
          <w:jc w:val="center"/>
        </w:trPr>
        <w:tc>
          <w:tcPr>
            <w:tcW w:w="18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入侵检测</w:t>
            </w:r>
          </w:p>
        </w:tc>
        <w:tc>
          <w:tcPr>
            <w:tcW w:w="1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华为</w:t>
            </w:r>
          </w:p>
        </w:tc>
        <w:tc>
          <w:tcPr>
            <w:tcW w:w="26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NIP2200D</w:t>
            </w:r>
          </w:p>
        </w:tc>
        <w:tc>
          <w:tcPr>
            <w:tcW w:w="19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CellMar>
            <w:top w:w="0" w:type="dxa"/>
            <w:left w:w="0" w:type="dxa"/>
            <w:bottom w:w="0" w:type="dxa"/>
            <w:right w:w="0" w:type="dxa"/>
          </w:tblCellMar>
        </w:tblPrEx>
        <w:trPr>
          <w:trHeight w:val="270" w:hRule="atLeast"/>
          <w:jc w:val="center"/>
        </w:trPr>
        <w:tc>
          <w:tcPr>
            <w:tcW w:w="18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外网</w:t>
            </w:r>
            <w:r>
              <w:rPr>
                <w:rFonts w:hint="eastAsia" w:ascii="宋体" w:hAnsi="宋体" w:eastAsia="宋体" w:cs="宋体"/>
                <w:kern w:val="0"/>
                <w:sz w:val="24"/>
                <w:szCs w:val="24"/>
              </w:rPr>
              <w:t>防火墙</w:t>
            </w:r>
          </w:p>
        </w:tc>
        <w:tc>
          <w:tcPr>
            <w:tcW w:w="1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深信服</w:t>
            </w:r>
          </w:p>
        </w:tc>
        <w:tc>
          <w:tcPr>
            <w:tcW w:w="26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FW-100BN120</w:t>
            </w:r>
          </w:p>
        </w:tc>
        <w:tc>
          <w:tcPr>
            <w:tcW w:w="19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CellMar>
            <w:top w:w="0" w:type="dxa"/>
            <w:left w:w="0" w:type="dxa"/>
            <w:bottom w:w="0" w:type="dxa"/>
            <w:right w:w="0" w:type="dxa"/>
          </w:tblCellMar>
        </w:tblPrEx>
        <w:trPr>
          <w:trHeight w:val="270" w:hRule="atLeast"/>
          <w:jc w:val="center"/>
        </w:trPr>
        <w:tc>
          <w:tcPr>
            <w:tcW w:w="18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防火墙</w:t>
            </w:r>
          </w:p>
        </w:tc>
        <w:tc>
          <w:tcPr>
            <w:tcW w:w="1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H3C</w:t>
            </w:r>
          </w:p>
        </w:tc>
        <w:tc>
          <w:tcPr>
            <w:tcW w:w="26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F1060</w:t>
            </w:r>
          </w:p>
        </w:tc>
        <w:tc>
          <w:tcPr>
            <w:tcW w:w="19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CellMar>
            <w:top w:w="0" w:type="dxa"/>
            <w:left w:w="0" w:type="dxa"/>
            <w:bottom w:w="0" w:type="dxa"/>
            <w:right w:w="0" w:type="dxa"/>
          </w:tblCellMar>
        </w:tblPrEx>
        <w:trPr>
          <w:trHeight w:val="270" w:hRule="atLeast"/>
          <w:jc w:val="center"/>
        </w:trPr>
        <w:tc>
          <w:tcPr>
            <w:tcW w:w="18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入侵防御</w:t>
            </w:r>
          </w:p>
        </w:tc>
        <w:tc>
          <w:tcPr>
            <w:tcW w:w="1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网御星云</w:t>
            </w:r>
          </w:p>
        </w:tc>
        <w:tc>
          <w:tcPr>
            <w:tcW w:w="26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NIPS-2000-B2100-L9</w:t>
            </w:r>
          </w:p>
        </w:tc>
        <w:tc>
          <w:tcPr>
            <w:tcW w:w="19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CellMar>
            <w:top w:w="0" w:type="dxa"/>
            <w:left w:w="0" w:type="dxa"/>
            <w:bottom w:w="0" w:type="dxa"/>
            <w:right w:w="0" w:type="dxa"/>
          </w:tblCellMar>
        </w:tblPrEx>
        <w:trPr>
          <w:trHeight w:val="270" w:hRule="atLeast"/>
          <w:jc w:val="center"/>
        </w:trPr>
        <w:tc>
          <w:tcPr>
            <w:tcW w:w="18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防病毒网关</w:t>
            </w:r>
          </w:p>
        </w:tc>
        <w:tc>
          <w:tcPr>
            <w:tcW w:w="1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深信服</w:t>
            </w:r>
          </w:p>
        </w:tc>
        <w:tc>
          <w:tcPr>
            <w:tcW w:w="26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AF-2000-B2180-A4</w:t>
            </w:r>
          </w:p>
        </w:tc>
        <w:tc>
          <w:tcPr>
            <w:tcW w:w="19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CellMar>
            <w:top w:w="0" w:type="dxa"/>
            <w:left w:w="0" w:type="dxa"/>
            <w:bottom w:w="0" w:type="dxa"/>
            <w:right w:w="0" w:type="dxa"/>
          </w:tblCellMar>
        </w:tblPrEx>
        <w:trPr>
          <w:trHeight w:val="270" w:hRule="atLeast"/>
          <w:jc w:val="center"/>
        </w:trPr>
        <w:tc>
          <w:tcPr>
            <w:tcW w:w="18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安全态势感知平台</w:t>
            </w:r>
          </w:p>
        </w:tc>
        <w:tc>
          <w:tcPr>
            <w:tcW w:w="1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深信服</w:t>
            </w:r>
          </w:p>
        </w:tc>
        <w:tc>
          <w:tcPr>
            <w:tcW w:w="26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SIP-1000-F600-QS</w:t>
            </w:r>
          </w:p>
        </w:tc>
        <w:tc>
          <w:tcPr>
            <w:tcW w:w="19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CellMar>
            <w:top w:w="0" w:type="dxa"/>
            <w:left w:w="0" w:type="dxa"/>
            <w:bottom w:w="0" w:type="dxa"/>
            <w:right w:w="0" w:type="dxa"/>
          </w:tblCellMar>
        </w:tblPrEx>
        <w:trPr>
          <w:trHeight w:val="270" w:hRule="atLeast"/>
          <w:jc w:val="center"/>
        </w:trPr>
        <w:tc>
          <w:tcPr>
            <w:tcW w:w="18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潜在威胁探针</w:t>
            </w:r>
          </w:p>
        </w:tc>
        <w:tc>
          <w:tcPr>
            <w:tcW w:w="1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深信服</w:t>
            </w:r>
          </w:p>
        </w:tc>
        <w:tc>
          <w:tcPr>
            <w:tcW w:w="26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STA-100-B2100-L9</w:t>
            </w:r>
          </w:p>
        </w:tc>
        <w:tc>
          <w:tcPr>
            <w:tcW w:w="19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CellMar>
            <w:top w:w="0" w:type="dxa"/>
            <w:left w:w="0" w:type="dxa"/>
            <w:bottom w:w="0" w:type="dxa"/>
            <w:right w:w="0" w:type="dxa"/>
          </w:tblCellMar>
        </w:tblPrEx>
        <w:trPr>
          <w:trHeight w:val="270" w:hRule="atLeast"/>
          <w:jc w:val="center"/>
        </w:trPr>
        <w:tc>
          <w:tcPr>
            <w:tcW w:w="18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日志审计系统</w:t>
            </w:r>
          </w:p>
        </w:tc>
        <w:tc>
          <w:tcPr>
            <w:tcW w:w="1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深信服</w:t>
            </w:r>
          </w:p>
        </w:tc>
        <w:tc>
          <w:tcPr>
            <w:tcW w:w="26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AC 2200</w:t>
            </w:r>
          </w:p>
        </w:tc>
        <w:tc>
          <w:tcPr>
            <w:tcW w:w="19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CellMar>
            <w:top w:w="0" w:type="dxa"/>
            <w:left w:w="0" w:type="dxa"/>
            <w:bottom w:w="0" w:type="dxa"/>
            <w:right w:w="0" w:type="dxa"/>
          </w:tblCellMar>
        </w:tblPrEx>
        <w:trPr>
          <w:trHeight w:val="270" w:hRule="atLeast"/>
          <w:jc w:val="center"/>
        </w:trPr>
        <w:tc>
          <w:tcPr>
            <w:tcW w:w="18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单向光闸</w:t>
            </w:r>
          </w:p>
        </w:tc>
        <w:tc>
          <w:tcPr>
            <w:tcW w:w="1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网御星云</w:t>
            </w:r>
          </w:p>
        </w:tc>
        <w:tc>
          <w:tcPr>
            <w:tcW w:w="26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p>
        </w:tc>
        <w:tc>
          <w:tcPr>
            <w:tcW w:w="19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w:t>
            </w:r>
          </w:p>
        </w:tc>
      </w:tr>
    </w:tbl>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（四）数码大厦A座15楼信息机房机柜、综合布线等</w:t>
      </w:r>
    </w:p>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以实际情况为准</w:t>
      </w:r>
    </w:p>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（五）数码大厦办公区域电脑终端、打印机等办公设备（含监测监控室电脑终端）</w:t>
      </w:r>
    </w:p>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以实际情况为准</w:t>
      </w:r>
    </w:p>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六</w:t>
      </w:r>
      <w:r>
        <w:rPr>
          <w:rFonts w:hint="eastAsia" w:ascii="宋体" w:hAnsi="宋体" w:eastAsia="宋体" w:cs="宋体"/>
          <w:kern w:val="0"/>
          <w:sz w:val="24"/>
          <w:szCs w:val="24"/>
        </w:rPr>
        <w:t>）</w:t>
      </w:r>
      <w:r>
        <w:rPr>
          <w:rFonts w:hint="eastAsia" w:ascii="宋体" w:hAnsi="宋体" w:cs="宋体"/>
          <w:kern w:val="0"/>
          <w:sz w:val="24"/>
          <w:szCs w:val="24"/>
          <w:lang w:val="en-US" w:eastAsia="zh-CN"/>
        </w:rPr>
        <w:t>监测二、三、四科</w:t>
      </w:r>
      <w:r>
        <w:rPr>
          <w:rFonts w:hint="eastAsia" w:ascii="宋体" w:hAnsi="宋体" w:eastAsia="宋体" w:cs="宋体"/>
          <w:kern w:val="0"/>
          <w:sz w:val="24"/>
          <w:szCs w:val="24"/>
        </w:rPr>
        <w:t>办公地点的机房设施、网络设备、电脑终端、打印机等</w:t>
      </w:r>
    </w:p>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以实际情况为准</w:t>
      </w:r>
    </w:p>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七</w:t>
      </w:r>
      <w:r>
        <w:rPr>
          <w:rFonts w:hint="eastAsia" w:ascii="宋体" w:hAnsi="宋体" w:eastAsia="宋体" w:cs="宋体"/>
          <w:kern w:val="0"/>
          <w:sz w:val="24"/>
          <w:szCs w:val="24"/>
        </w:rPr>
        <w:t>）业务系统（含数据库、中间件等）</w:t>
      </w:r>
    </w:p>
    <w:tbl>
      <w:tblPr>
        <w:tblStyle w:val="14"/>
        <w:tblW w:w="4633" w:type="dxa"/>
        <w:jc w:val="center"/>
        <w:tblLayout w:type="fixed"/>
        <w:tblCellMar>
          <w:top w:w="0" w:type="dxa"/>
          <w:left w:w="0" w:type="dxa"/>
          <w:bottom w:w="0" w:type="dxa"/>
          <w:right w:w="0" w:type="dxa"/>
        </w:tblCellMar>
      </w:tblPr>
      <w:tblGrid>
        <w:gridCol w:w="4633"/>
      </w:tblGrid>
      <w:tr>
        <w:tblPrEx>
          <w:tblCellMar>
            <w:top w:w="0" w:type="dxa"/>
            <w:left w:w="0" w:type="dxa"/>
            <w:bottom w:w="0" w:type="dxa"/>
            <w:right w:w="0" w:type="dxa"/>
          </w:tblCellMar>
        </w:tblPrEx>
        <w:trPr>
          <w:trHeight w:val="1101" w:hRule="atLeast"/>
          <w:jc w:val="center"/>
        </w:trPr>
        <w:tc>
          <w:tcPr>
            <w:tcW w:w="4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业务系统名称</w:t>
            </w:r>
          </w:p>
        </w:tc>
      </w:tr>
      <w:tr>
        <w:tblPrEx>
          <w:tblCellMar>
            <w:top w:w="0" w:type="dxa"/>
            <w:left w:w="0" w:type="dxa"/>
            <w:bottom w:w="0" w:type="dxa"/>
            <w:right w:w="0" w:type="dxa"/>
          </w:tblCellMar>
        </w:tblPrEx>
        <w:trPr>
          <w:trHeight w:val="563" w:hRule="atLeast"/>
          <w:jc w:val="center"/>
        </w:trPr>
        <w:tc>
          <w:tcPr>
            <w:tcW w:w="4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无线电管理一体化平台无线电频率台站智能化管理系统</w:t>
            </w:r>
          </w:p>
        </w:tc>
      </w:tr>
      <w:tr>
        <w:tblPrEx>
          <w:tblCellMar>
            <w:top w:w="0" w:type="dxa"/>
            <w:left w:w="0" w:type="dxa"/>
            <w:bottom w:w="0" w:type="dxa"/>
            <w:right w:w="0" w:type="dxa"/>
          </w:tblCellMar>
        </w:tblPrEx>
        <w:trPr>
          <w:trHeight w:val="563" w:hRule="atLeast"/>
          <w:jc w:val="center"/>
        </w:trPr>
        <w:tc>
          <w:tcPr>
            <w:tcW w:w="4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lang w:eastAsia="zh-CN"/>
              </w:rPr>
            </w:pPr>
            <w:r>
              <w:rPr>
                <w:rFonts w:hint="eastAsia" w:ascii="宋体" w:hAnsi="宋体" w:eastAsia="宋体" w:cs="宋体"/>
                <w:kern w:val="0"/>
                <w:sz w:val="24"/>
                <w:szCs w:val="24"/>
              </w:rPr>
              <w:t>重点台站</w:t>
            </w:r>
            <w:r>
              <w:rPr>
                <w:rFonts w:hint="eastAsia" w:ascii="宋体" w:hAnsi="宋体" w:eastAsia="宋体" w:cs="宋体"/>
                <w:kern w:val="0"/>
                <w:sz w:val="24"/>
                <w:szCs w:val="24"/>
                <w:lang w:val="en-US" w:eastAsia="zh-CN"/>
              </w:rPr>
              <w:t>频率</w:t>
            </w:r>
            <w:r>
              <w:rPr>
                <w:rFonts w:hint="eastAsia" w:ascii="宋体" w:hAnsi="宋体" w:eastAsia="宋体" w:cs="宋体"/>
                <w:kern w:val="0"/>
                <w:sz w:val="24"/>
                <w:szCs w:val="24"/>
              </w:rPr>
              <w:t>EMC分析</w:t>
            </w:r>
            <w:r>
              <w:rPr>
                <w:rFonts w:hint="eastAsia" w:ascii="宋体" w:hAnsi="宋体" w:eastAsia="宋体" w:cs="宋体"/>
                <w:kern w:val="0"/>
                <w:sz w:val="24"/>
                <w:szCs w:val="24"/>
                <w:lang w:val="en-US" w:eastAsia="zh-CN"/>
              </w:rPr>
              <w:t>平台</w:t>
            </w:r>
          </w:p>
        </w:tc>
      </w:tr>
      <w:tr>
        <w:tblPrEx>
          <w:tblCellMar>
            <w:top w:w="0" w:type="dxa"/>
            <w:left w:w="0" w:type="dxa"/>
            <w:bottom w:w="0" w:type="dxa"/>
            <w:right w:w="0" w:type="dxa"/>
          </w:tblCellMar>
        </w:tblPrEx>
        <w:trPr>
          <w:trHeight w:val="563" w:hRule="atLeast"/>
          <w:jc w:val="center"/>
        </w:trPr>
        <w:tc>
          <w:tcPr>
            <w:tcW w:w="4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业余无线电台站管理系统</w:t>
            </w:r>
          </w:p>
        </w:tc>
      </w:tr>
      <w:tr>
        <w:tblPrEx>
          <w:tblCellMar>
            <w:top w:w="0" w:type="dxa"/>
            <w:left w:w="0" w:type="dxa"/>
            <w:bottom w:w="0" w:type="dxa"/>
            <w:right w:w="0" w:type="dxa"/>
          </w:tblCellMar>
        </w:tblPrEx>
        <w:trPr>
          <w:trHeight w:val="563" w:hRule="atLeast"/>
          <w:jc w:val="center"/>
        </w:trPr>
        <w:tc>
          <w:tcPr>
            <w:tcW w:w="4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无线电管理一体化平台</w:t>
            </w:r>
          </w:p>
        </w:tc>
      </w:tr>
      <w:tr>
        <w:tblPrEx>
          <w:tblCellMar>
            <w:top w:w="0" w:type="dxa"/>
            <w:left w:w="0" w:type="dxa"/>
            <w:bottom w:w="0" w:type="dxa"/>
            <w:right w:w="0" w:type="dxa"/>
          </w:tblCellMar>
        </w:tblPrEx>
        <w:trPr>
          <w:trHeight w:val="563" w:hRule="atLeast"/>
          <w:jc w:val="center"/>
        </w:trPr>
        <w:tc>
          <w:tcPr>
            <w:tcW w:w="4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基站数据电子交互系统</w:t>
            </w:r>
          </w:p>
        </w:tc>
      </w:tr>
      <w:tr>
        <w:tblPrEx>
          <w:tblCellMar>
            <w:top w:w="0" w:type="dxa"/>
            <w:left w:w="0" w:type="dxa"/>
            <w:bottom w:w="0" w:type="dxa"/>
            <w:right w:w="0" w:type="dxa"/>
          </w:tblCellMar>
        </w:tblPrEx>
        <w:trPr>
          <w:trHeight w:val="563" w:hRule="atLeast"/>
          <w:jc w:val="center"/>
        </w:trPr>
        <w:tc>
          <w:tcPr>
            <w:tcW w:w="4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无线电管理行政执法系统</w:t>
            </w:r>
          </w:p>
        </w:tc>
      </w:tr>
      <w:tr>
        <w:tblPrEx>
          <w:tblCellMar>
            <w:top w:w="0" w:type="dxa"/>
            <w:left w:w="0" w:type="dxa"/>
            <w:bottom w:w="0" w:type="dxa"/>
            <w:right w:w="0" w:type="dxa"/>
          </w:tblCellMar>
        </w:tblPrEx>
        <w:trPr>
          <w:trHeight w:val="421" w:hRule="atLeast"/>
          <w:jc w:val="center"/>
        </w:trPr>
        <w:tc>
          <w:tcPr>
            <w:tcW w:w="4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无线电频率台站系统</w:t>
            </w:r>
          </w:p>
        </w:tc>
      </w:tr>
      <w:tr>
        <w:tblPrEx>
          <w:tblCellMar>
            <w:top w:w="0" w:type="dxa"/>
            <w:left w:w="0" w:type="dxa"/>
            <w:bottom w:w="0" w:type="dxa"/>
            <w:right w:w="0" w:type="dxa"/>
          </w:tblCellMar>
        </w:tblPrEx>
        <w:trPr>
          <w:trHeight w:val="563" w:hRule="atLeast"/>
          <w:jc w:val="center"/>
        </w:trPr>
        <w:tc>
          <w:tcPr>
            <w:tcW w:w="4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多可文档管理系统</w:t>
            </w:r>
          </w:p>
        </w:tc>
      </w:tr>
      <w:tr>
        <w:tblPrEx>
          <w:tblCellMar>
            <w:top w:w="0" w:type="dxa"/>
            <w:left w:w="0" w:type="dxa"/>
            <w:bottom w:w="0" w:type="dxa"/>
            <w:right w:w="0" w:type="dxa"/>
          </w:tblCellMar>
        </w:tblPrEx>
        <w:trPr>
          <w:trHeight w:val="563" w:hRule="atLeast"/>
          <w:jc w:val="center"/>
        </w:trPr>
        <w:tc>
          <w:tcPr>
            <w:tcW w:w="4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FTP文件管理系统</w:t>
            </w:r>
          </w:p>
        </w:tc>
      </w:tr>
      <w:tr>
        <w:tblPrEx>
          <w:tblCellMar>
            <w:top w:w="0" w:type="dxa"/>
            <w:left w:w="0" w:type="dxa"/>
            <w:bottom w:w="0" w:type="dxa"/>
            <w:right w:w="0" w:type="dxa"/>
          </w:tblCellMar>
        </w:tblPrEx>
        <w:trPr>
          <w:trHeight w:val="563" w:hRule="atLeast"/>
          <w:jc w:val="center"/>
        </w:trPr>
        <w:tc>
          <w:tcPr>
            <w:tcW w:w="4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泛微OA系统</w:t>
            </w:r>
          </w:p>
        </w:tc>
      </w:tr>
      <w:tr>
        <w:tblPrEx>
          <w:tblCellMar>
            <w:top w:w="0" w:type="dxa"/>
            <w:left w:w="0" w:type="dxa"/>
            <w:bottom w:w="0" w:type="dxa"/>
            <w:right w:w="0" w:type="dxa"/>
          </w:tblCellMar>
        </w:tblPrEx>
        <w:trPr>
          <w:trHeight w:val="563" w:hRule="atLeast"/>
          <w:jc w:val="center"/>
        </w:trPr>
        <w:tc>
          <w:tcPr>
            <w:tcW w:w="4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固定资产管理系统</w:t>
            </w:r>
          </w:p>
        </w:tc>
      </w:tr>
      <w:tr>
        <w:tblPrEx>
          <w:tblCellMar>
            <w:top w:w="0" w:type="dxa"/>
            <w:left w:w="0" w:type="dxa"/>
            <w:bottom w:w="0" w:type="dxa"/>
            <w:right w:w="0" w:type="dxa"/>
          </w:tblCellMar>
        </w:tblPrEx>
        <w:trPr>
          <w:trHeight w:val="563" w:hRule="atLeast"/>
          <w:jc w:val="center"/>
        </w:trPr>
        <w:tc>
          <w:tcPr>
            <w:tcW w:w="4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无线电监测系统</w:t>
            </w:r>
          </w:p>
        </w:tc>
      </w:tr>
      <w:tr>
        <w:tblPrEx>
          <w:tblCellMar>
            <w:top w:w="0" w:type="dxa"/>
            <w:left w:w="0" w:type="dxa"/>
            <w:bottom w:w="0" w:type="dxa"/>
            <w:right w:w="0" w:type="dxa"/>
          </w:tblCellMar>
        </w:tblPrEx>
        <w:trPr>
          <w:trHeight w:val="563" w:hRule="atLeast"/>
          <w:jc w:val="center"/>
        </w:trPr>
        <w:tc>
          <w:tcPr>
            <w:tcW w:w="4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NOVA电磁环境精细化管理平台系统</w:t>
            </w:r>
          </w:p>
        </w:tc>
      </w:tr>
      <w:tr>
        <w:tblPrEx>
          <w:tblCellMar>
            <w:top w:w="0" w:type="dxa"/>
            <w:left w:w="0" w:type="dxa"/>
            <w:bottom w:w="0" w:type="dxa"/>
            <w:right w:w="0" w:type="dxa"/>
          </w:tblCellMar>
        </w:tblPrEx>
        <w:trPr>
          <w:trHeight w:val="563" w:hRule="atLeast"/>
          <w:jc w:val="center"/>
        </w:trPr>
        <w:tc>
          <w:tcPr>
            <w:tcW w:w="4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中星世通监测测向系统</w:t>
            </w:r>
          </w:p>
        </w:tc>
      </w:tr>
      <w:tr>
        <w:tblPrEx>
          <w:tblCellMar>
            <w:top w:w="0" w:type="dxa"/>
            <w:left w:w="0" w:type="dxa"/>
            <w:bottom w:w="0" w:type="dxa"/>
            <w:right w:w="0" w:type="dxa"/>
          </w:tblCellMar>
        </w:tblPrEx>
        <w:trPr>
          <w:trHeight w:val="563" w:hRule="atLeast"/>
          <w:jc w:val="center"/>
        </w:trPr>
        <w:tc>
          <w:tcPr>
            <w:tcW w:w="4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天凌网监测系统</w:t>
            </w:r>
          </w:p>
        </w:tc>
      </w:tr>
      <w:tr>
        <w:tblPrEx>
          <w:tblCellMar>
            <w:top w:w="0" w:type="dxa"/>
            <w:left w:w="0" w:type="dxa"/>
            <w:bottom w:w="0" w:type="dxa"/>
            <w:right w:w="0" w:type="dxa"/>
          </w:tblCellMar>
        </w:tblPrEx>
        <w:trPr>
          <w:trHeight w:val="563" w:hRule="atLeast"/>
          <w:jc w:val="center"/>
        </w:trPr>
        <w:tc>
          <w:tcPr>
            <w:tcW w:w="4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大公博创无线电综合管理平台</w:t>
            </w:r>
          </w:p>
        </w:tc>
      </w:tr>
      <w:tr>
        <w:tblPrEx>
          <w:tblCellMar>
            <w:top w:w="0" w:type="dxa"/>
            <w:left w:w="0" w:type="dxa"/>
            <w:bottom w:w="0" w:type="dxa"/>
            <w:right w:w="0" w:type="dxa"/>
          </w:tblCellMar>
        </w:tblPrEx>
        <w:trPr>
          <w:trHeight w:val="765" w:hRule="atLeast"/>
          <w:jc w:val="center"/>
        </w:trPr>
        <w:tc>
          <w:tcPr>
            <w:tcW w:w="4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华日无线电综合监测系统</w:t>
            </w:r>
          </w:p>
        </w:tc>
      </w:tr>
      <w:tr>
        <w:tblPrEx>
          <w:tblCellMar>
            <w:top w:w="0" w:type="dxa"/>
            <w:left w:w="0" w:type="dxa"/>
            <w:bottom w:w="0" w:type="dxa"/>
            <w:right w:w="0" w:type="dxa"/>
          </w:tblCellMar>
        </w:tblPrEx>
        <w:trPr>
          <w:trHeight w:val="563" w:hRule="atLeast"/>
          <w:jc w:val="center"/>
        </w:trPr>
        <w:tc>
          <w:tcPr>
            <w:tcW w:w="4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空间卫士监测测向系统</w:t>
            </w:r>
          </w:p>
        </w:tc>
      </w:tr>
      <w:tr>
        <w:tblPrEx>
          <w:tblCellMar>
            <w:top w:w="0" w:type="dxa"/>
            <w:left w:w="0" w:type="dxa"/>
            <w:bottom w:w="0" w:type="dxa"/>
            <w:right w:w="0" w:type="dxa"/>
          </w:tblCellMar>
        </w:tblPrEx>
        <w:trPr>
          <w:trHeight w:val="563" w:hRule="atLeast"/>
          <w:jc w:val="center"/>
        </w:trPr>
        <w:tc>
          <w:tcPr>
            <w:tcW w:w="4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重庆无线电监测网应用平台</w:t>
            </w:r>
          </w:p>
        </w:tc>
      </w:tr>
      <w:tr>
        <w:tblPrEx>
          <w:tblCellMar>
            <w:top w:w="0" w:type="dxa"/>
            <w:left w:w="0" w:type="dxa"/>
            <w:bottom w:w="0" w:type="dxa"/>
            <w:right w:w="0" w:type="dxa"/>
          </w:tblCellMar>
        </w:tblPrEx>
        <w:trPr>
          <w:trHeight w:val="563" w:hRule="atLeast"/>
          <w:jc w:val="center"/>
        </w:trPr>
        <w:tc>
          <w:tcPr>
            <w:tcW w:w="4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无线电管理一体化平台智能无线电监测系统一期</w:t>
            </w:r>
          </w:p>
        </w:tc>
      </w:tr>
    </w:tbl>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八</w:t>
      </w:r>
      <w:r>
        <w:rPr>
          <w:rFonts w:hint="eastAsia" w:ascii="宋体" w:hAnsi="宋体" w:eastAsia="宋体" w:cs="宋体"/>
          <w:kern w:val="0"/>
          <w:sz w:val="24"/>
          <w:szCs w:val="24"/>
        </w:rPr>
        <w:t>）数码大厦A座15楼信息机房服务器、磁盘阵列</w:t>
      </w:r>
    </w:p>
    <w:tbl>
      <w:tblPr>
        <w:tblStyle w:val="14"/>
        <w:tblW w:w="8100" w:type="dxa"/>
        <w:jc w:val="center"/>
        <w:tblLayout w:type="fixed"/>
        <w:tblCellMar>
          <w:top w:w="0" w:type="dxa"/>
          <w:left w:w="0" w:type="dxa"/>
          <w:bottom w:w="0" w:type="dxa"/>
          <w:right w:w="0" w:type="dxa"/>
        </w:tblCellMar>
      </w:tblPr>
      <w:tblGrid>
        <w:gridCol w:w="1779"/>
        <w:gridCol w:w="2262"/>
        <w:gridCol w:w="2816"/>
        <w:gridCol w:w="1243"/>
      </w:tblGrid>
      <w:tr>
        <w:tblPrEx>
          <w:tblCellMar>
            <w:top w:w="0" w:type="dxa"/>
            <w:left w:w="0" w:type="dxa"/>
            <w:bottom w:w="0" w:type="dxa"/>
            <w:right w:w="0" w:type="dxa"/>
          </w:tblCellMar>
        </w:tblPrEx>
        <w:trPr>
          <w:trHeight w:val="1199" w:hRule="atLeast"/>
          <w:jc w:val="center"/>
        </w:trPr>
        <w:tc>
          <w:tcPr>
            <w:tcW w:w="1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名称</w:t>
            </w:r>
          </w:p>
        </w:tc>
        <w:tc>
          <w:tcPr>
            <w:tcW w:w="2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品牌</w:t>
            </w:r>
          </w:p>
        </w:tc>
        <w:tc>
          <w:tcPr>
            <w:tcW w:w="2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型号</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数量</w:t>
            </w:r>
          </w:p>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(台)</w:t>
            </w:r>
          </w:p>
        </w:tc>
      </w:tr>
      <w:tr>
        <w:tblPrEx>
          <w:tblCellMar>
            <w:top w:w="0" w:type="dxa"/>
            <w:left w:w="0" w:type="dxa"/>
            <w:bottom w:w="0" w:type="dxa"/>
            <w:right w:w="0" w:type="dxa"/>
          </w:tblCellMar>
        </w:tblPrEx>
        <w:trPr>
          <w:trHeight w:val="613" w:hRule="atLeast"/>
          <w:jc w:val="center"/>
        </w:trPr>
        <w:tc>
          <w:tcPr>
            <w:tcW w:w="1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备份一体机</w:t>
            </w:r>
          </w:p>
        </w:tc>
        <w:tc>
          <w:tcPr>
            <w:tcW w:w="2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火星仓</w:t>
            </w:r>
          </w:p>
        </w:tc>
        <w:tc>
          <w:tcPr>
            <w:tcW w:w="2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E15SA-DPA-E16</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CellMar>
            <w:top w:w="0" w:type="dxa"/>
            <w:left w:w="0" w:type="dxa"/>
            <w:bottom w:w="0" w:type="dxa"/>
            <w:right w:w="0" w:type="dxa"/>
          </w:tblCellMar>
        </w:tblPrEx>
        <w:trPr>
          <w:trHeight w:val="613" w:hRule="atLeast"/>
          <w:jc w:val="center"/>
        </w:trPr>
        <w:tc>
          <w:tcPr>
            <w:tcW w:w="1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存储</w:t>
            </w:r>
          </w:p>
        </w:tc>
        <w:tc>
          <w:tcPr>
            <w:tcW w:w="2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华为</w:t>
            </w:r>
          </w:p>
        </w:tc>
        <w:tc>
          <w:tcPr>
            <w:tcW w:w="2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S5600T</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0" w:type="dxa"/>
            <w:bottom w:w="0" w:type="dxa"/>
            <w:right w:w="0" w:type="dxa"/>
          </w:tblCellMar>
        </w:tblPrEx>
        <w:trPr>
          <w:trHeight w:val="624" w:hRule="atLeast"/>
          <w:jc w:val="center"/>
        </w:trPr>
        <w:tc>
          <w:tcPr>
            <w:tcW w:w="1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存储</w:t>
            </w:r>
          </w:p>
        </w:tc>
        <w:tc>
          <w:tcPr>
            <w:tcW w:w="2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IBM</w:t>
            </w:r>
          </w:p>
        </w:tc>
        <w:tc>
          <w:tcPr>
            <w:tcW w:w="2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DS4300</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0" w:type="dxa"/>
            <w:bottom w:w="0" w:type="dxa"/>
            <w:right w:w="0" w:type="dxa"/>
          </w:tblCellMar>
        </w:tblPrEx>
        <w:trPr>
          <w:trHeight w:val="624" w:hRule="atLeast"/>
          <w:jc w:val="center"/>
        </w:trPr>
        <w:tc>
          <w:tcPr>
            <w:tcW w:w="1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服务器</w:t>
            </w:r>
          </w:p>
        </w:tc>
        <w:tc>
          <w:tcPr>
            <w:tcW w:w="2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HP</w:t>
            </w:r>
          </w:p>
        </w:tc>
        <w:tc>
          <w:tcPr>
            <w:tcW w:w="2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RX8640</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0" w:type="dxa"/>
            <w:bottom w:w="0" w:type="dxa"/>
            <w:right w:w="0" w:type="dxa"/>
          </w:tblCellMar>
        </w:tblPrEx>
        <w:trPr>
          <w:trHeight w:val="624" w:hRule="atLeast"/>
          <w:jc w:val="center"/>
        </w:trPr>
        <w:tc>
          <w:tcPr>
            <w:tcW w:w="1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服务器</w:t>
            </w:r>
          </w:p>
        </w:tc>
        <w:tc>
          <w:tcPr>
            <w:tcW w:w="2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H3C</w:t>
            </w:r>
          </w:p>
        </w:tc>
        <w:tc>
          <w:tcPr>
            <w:tcW w:w="2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R4900 G2</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CellMar>
            <w:top w:w="0" w:type="dxa"/>
            <w:left w:w="0" w:type="dxa"/>
            <w:bottom w:w="0" w:type="dxa"/>
            <w:right w:w="0" w:type="dxa"/>
          </w:tblCellMar>
        </w:tblPrEx>
        <w:trPr>
          <w:trHeight w:val="624" w:hRule="atLeast"/>
          <w:jc w:val="center"/>
        </w:trPr>
        <w:tc>
          <w:tcPr>
            <w:tcW w:w="1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服务器</w:t>
            </w:r>
          </w:p>
        </w:tc>
        <w:tc>
          <w:tcPr>
            <w:tcW w:w="2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华为</w:t>
            </w:r>
          </w:p>
        </w:tc>
        <w:tc>
          <w:tcPr>
            <w:tcW w:w="2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VP9630</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CellMar>
            <w:top w:w="0" w:type="dxa"/>
            <w:left w:w="0" w:type="dxa"/>
            <w:bottom w:w="0" w:type="dxa"/>
            <w:right w:w="0" w:type="dxa"/>
          </w:tblCellMar>
        </w:tblPrEx>
        <w:trPr>
          <w:trHeight w:val="624" w:hRule="atLeast"/>
          <w:jc w:val="center"/>
        </w:trPr>
        <w:tc>
          <w:tcPr>
            <w:tcW w:w="1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服务器</w:t>
            </w:r>
          </w:p>
        </w:tc>
        <w:tc>
          <w:tcPr>
            <w:tcW w:w="2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华为</w:t>
            </w:r>
          </w:p>
        </w:tc>
        <w:tc>
          <w:tcPr>
            <w:tcW w:w="2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Rse6500</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CellMar>
            <w:top w:w="0" w:type="dxa"/>
            <w:left w:w="0" w:type="dxa"/>
            <w:bottom w:w="0" w:type="dxa"/>
            <w:right w:w="0" w:type="dxa"/>
          </w:tblCellMar>
        </w:tblPrEx>
        <w:trPr>
          <w:trHeight w:val="624" w:hRule="atLeast"/>
          <w:jc w:val="center"/>
        </w:trPr>
        <w:tc>
          <w:tcPr>
            <w:tcW w:w="1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服务器</w:t>
            </w:r>
          </w:p>
        </w:tc>
        <w:tc>
          <w:tcPr>
            <w:tcW w:w="2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华为</w:t>
            </w:r>
          </w:p>
        </w:tc>
        <w:tc>
          <w:tcPr>
            <w:tcW w:w="2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SMC2.0</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CellMar>
            <w:top w:w="0" w:type="dxa"/>
            <w:left w:w="0" w:type="dxa"/>
            <w:bottom w:w="0" w:type="dxa"/>
            <w:right w:w="0" w:type="dxa"/>
          </w:tblCellMar>
        </w:tblPrEx>
        <w:trPr>
          <w:trHeight w:val="624" w:hRule="atLeast"/>
          <w:jc w:val="center"/>
        </w:trPr>
        <w:tc>
          <w:tcPr>
            <w:tcW w:w="1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服务器</w:t>
            </w:r>
          </w:p>
        </w:tc>
        <w:tc>
          <w:tcPr>
            <w:tcW w:w="2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浪潮</w:t>
            </w:r>
          </w:p>
        </w:tc>
        <w:tc>
          <w:tcPr>
            <w:tcW w:w="2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NF5270M3</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CellMar>
            <w:top w:w="0" w:type="dxa"/>
            <w:left w:w="0" w:type="dxa"/>
            <w:bottom w:w="0" w:type="dxa"/>
            <w:right w:w="0" w:type="dxa"/>
          </w:tblCellMar>
        </w:tblPrEx>
        <w:trPr>
          <w:trHeight w:val="624" w:hRule="atLeast"/>
          <w:jc w:val="center"/>
        </w:trPr>
        <w:tc>
          <w:tcPr>
            <w:tcW w:w="1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服务器</w:t>
            </w:r>
          </w:p>
        </w:tc>
        <w:tc>
          <w:tcPr>
            <w:tcW w:w="2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浪潮</w:t>
            </w:r>
          </w:p>
        </w:tc>
        <w:tc>
          <w:tcPr>
            <w:tcW w:w="2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NF8560M2</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0" w:type="dxa"/>
            <w:bottom w:w="0" w:type="dxa"/>
            <w:right w:w="0" w:type="dxa"/>
          </w:tblCellMar>
        </w:tblPrEx>
        <w:trPr>
          <w:trHeight w:val="624" w:hRule="atLeast"/>
          <w:jc w:val="center"/>
        </w:trPr>
        <w:tc>
          <w:tcPr>
            <w:tcW w:w="1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服务器</w:t>
            </w:r>
          </w:p>
        </w:tc>
        <w:tc>
          <w:tcPr>
            <w:tcW w:w="2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华为</w:t>
            </w:r>
          </w:p>
        </w:tc>
        <w:tc>
          <w:tcPr>
            <w:tcW w:w="2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2288HV5</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CellMar>
            <w:top w:w="0" w:type="dxa"/>
            <w:left w:w="0" w:type="dxa"/>
            <w:bottom w:w="0" w:type="dxa"/>
            <w:right w:w="0" w:type="dxa"/>
          </w:tblCellMar>
        </w:tblPrEx>
        <w:trPr>
          <w:trHeight w:val="624" w:hRule="atLeast"/>
          <w:jc w:val="center"/>
        </w:trPr>
        <w:tc>
          <w:tcPr>
            <w:tcW w:w="1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服务器</w:t>
            </w:r>
          </w:p>
        </w:tc>
        <w:tc>
          <w:tcPr>
            <w:tcW w:w="2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H3C</w:t>
            </w:r>
          </w:p>
        </w:tc>
        <w:tc>
          <w:tcPr>
            <w:tcW w:w="2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H3C UniServer R4900 G3</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0" w:type="dxa"/>
            <w:bottom w:w="0" w:type="dxa"/>
            <w:right w:w="0" w:type="dxa"/>
          </w:tblCellMar>
        </w:tblPrEx>
        <w:trPr>
          <w:trHeight w:val="624" w:hRule="atLeast"/>
          <w:jc w:val="center"/>
        </w:trPr>
        <w:tc>
          <w:tcPr>
            <w:tcW w:w="1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虚拟化软件</w:t>
            </w:r>
          </w:p>
        </w:tc>
        <w:tc>
          <w:tcPr>
            <w:tcW w:w="2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浪潮</w:t>
            </w:r>
          </w:p>
        </w:tc>
        <w:tc>
          <w:tcPr>
            <w:tcW w:w="2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CellMar>
            <w:top w:w="0" w:type="dxa"/>
            <w:left w:w="0" w:type="dxa"/>
            <w:bottom w:w="0" w:type="dxa"/>
            <w:right w:w="0" w:type="dxa"/>
          </w:tblCellMar>
        </w:tblPrEx>
        <w:trPr>
          <w:trHeight w:val="624" w:hRule="atLeast"/>
          <w:jc w:val="center"/>
        </w:trPr>
        <w:tc>
          <w:tcPr>
            <w:tcW w:w="1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服务器</w:t>
            </w:r>
          </w:p>
        </w:tc>
        <w:tc>
          <w:tcPr>
            <w:tcW w:w="22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华为</w:t>
            </w:r>
          </w:p>
        </w:tc>
        <w:tc>
          <w:tcPr>
            <w:tcW w:w="2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RH2268</w:t>
            </w:r>
          </w:p>
        </w:tc>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bl>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lang w:val="en-US" w:eastAsia="zh-CN"/>
        </w:rPr>
      </w:pPr>
    </w:p>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（九）监测系统服务器</w:t>
      </w:r>
    </w:p>
    <w:tbl>
      <w:tblPr>
        <w:tblStyle w:val="14"/>
        <w:tblW w:w="8704" w:type="dxa"/>
        <w:jc w:val="center"/>
        <w:tblLayout w:type="fixed"/>
        <w:tblCellMar>
          <w:top w:w="0" w:type="dxa"/>
          <w:left w:w="0" w:type="dxa"/>
          <w:bottom w:w="0" w:type="dxa"/>
          <w:right w:w="0" w:type="dxa"/>
        </w:tblCellMar>
      </w:tblPr>
      <w:tblGrid>
        <w:gridCol w:w="1304"/>
        <w:gridCol w:w="1046"/>
        <w:gridCol w:w="3179"/>
        <w:gridCol w:w="3175"/>
      </w:tblGrid>
      <w:tr>
        <w:tblPrEx>
          <w:tblCellMar>
            <w:top w:w="0" w:type="dxa"/>
            <w:left w:w="0" w:type="dxa"/>
            <w:bottom w:w="0" w:type="dxa"/>
            <w:right w:w="0" w:type="dxa"/>
          </w:tblCellMar>
        </w:tblPrEx>
        <w:trPr>
          <w:trHeight w:val="270" w:hRule="atLeast"/>
          <w:jc w:val="center"/>
        </w:trPr>
        <w:tc>
          <w:tcPr>
            <w:tcW w:w="1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名称</w:t>
            </w:r>
          </w:p>
        </w:tc>
        <w:tc>
          <w:tcPr>
            <w:tcW w:w="10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品牌</w:t>
            </w:r>
          </w:p>
        </w:tc>
        <w:tc>
          <w:tcPr>
            <w:tcW w:w="31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型号</w:t>
            </w:r>
          </w:p>
        </w:tc>
        <w:tc>
          <w:tcPr>
            <w:tcW w:w="3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数量</w:t>
            </w:r>
          </w:p>
        </w:tc>
      </w:tr>
      <w:tr>
        <w:tblPrEx>
          <w:tblCellMar>
            <w:top w:w="0" w:type="dxa"/>
            <w:left w:w="0" w:type="dxa"/>
            <w:bottom w:w="0" w:type="dxa"/>
            <w:right w:w="0" w:type="dxa"/>
          </w:tblCellMar>
        </w:tblPrEx>
        <w:trPr>
          <w:trHeight w:val="270" w:hRule="atLeast"/>
          <w:jc w:val="center"/>
        </w:trPr>
        <w:tc>
          <w:tcPr>
            <w:tcW w:w="1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服务器</w:t>
            </w:r>
          </w:p>
        </w:tc>
        <w:tc>
          <w:tcPr>
            <w:tcW w:w="10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浪潮</w:t>
            </w:r>
          </w:p>
        </w:tc>
        <w:tc>
          <w:tcPr>
            <w:tcW w:w="31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NF5240M3</w:t>
            </w:r>
          </w:p>
        </w:tc>
        <w:tc>
          <w:tcPr>
            <w:tcW w:w="3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CellMar>
            <w:top w:w="0" w:type="dxa"/>
            <w:left w:w="0" w:type="dxa"/>
            <w:bottom w:w="0" w:type="dxa"/>
            <w:right w:w="0" w:type="dxa"/>
          </w:tblCellMar>
        </w:tblPrEx>
        <w:trPr>
          <w:trHeight w:val="270" w:hRule="atLeast"/>
          <w:jc w:val="center"/>
        </w:trPr>
        <w:tc>
          <w:tcPr>
            <w:tcW w:w="1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服务器</w:t>
            </w:r>
          </w:p>
        </w:tc>
        <w:tc>
          <w:tcPr>
            <w:tcW w:w="10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联想</w:t>
            </w:r>
          </w:p>
        </w:tc>
        <w:tc>
          <w:tcPr>
            <w:tcW w:w="31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SYStem X 3650 M5</w:t>
            </w:r>
          </w:p>
        </w:tc>
        <w:tc>
          <w:tcPr>
            <w:tcW w:w="3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CellMar>
            <w:top w:w="0" w:type="dxa"/>
            <w:left w:w="0" w:type="dxa"/>
            <w:bottom w:w="0" w:type="dxa"/>
            <w:right w:w="0" w:type="dxa"/>
          </w:tblCellMar>
        </w:tblPrEx>
        <w:trPr>
          <w:trHeight w:val="270" w:hRule="atLeast"/>
          <w:jc w:val="center"/>
        </w:trPr>
        <w:tc>
          <w:tcPr>
            <w:tcW w:w="1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服务器</w:t>
            </w:r>
          </w:p>
        </w:tc>
        <w:tc>
          <w:tcPr>
            <w:tcW w:w="10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联想</w:t>
            </w:r>
          </w:p>
        </w:tc>
        <w:tc>
          <w:tcPr>
            <w:tcW w:w="31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ThinkServer TD340</w:t>
            </w:r>
          </w:p>
        </w:tc>
        <w:tc>
          <w:tcPr>
            <w:tcW w:w="3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CellMar>
            <w:top w:w="0" w:type="dxa"/>
            <w:left w:w="0" w:type="dxa"/>
            <w:bottom w:w="0" w:type="dxa"/>
            <w:right w:w="0" w:type="dxa"/>
          </w:tblCellMar>
        </w:tblPrEx>
        <w:trPr>
          <w:trHeight w:val="270" w:hRule="atLeast"/>
          <w:jc w:val="center"/>
        </w:trPr>
        <w:tc>
          <w:tcPr>
            <w:tcW w:w="1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服务器</w:t>
            </w:r>
          </w:p>
        </w:tc>
        <w:tc>
          <w:tcPr>
            <w:tcW w:w="10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戴尔</w:t>
            </w:r>
          </w:p>
        </w:tc>
        <w:tc>
          <w:tcPr>
            <w:tcW w:w="31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PowerEdge R420</w:t>
            </w:r>
          </w:p>
        </w:tc>
        <w:tc>
          <w:tcPr>
            <w:tcW w:w="3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CellMar>
            <w:top w:w="0" w:type="dxa"/>
            <w:left w:w="0" w:type="dxa"/>
            <w:bottom w:w="0" w:type="dxa"/>
            <w:right w:w="0" w:type="dxa"/>
          </w:tblCellMar>
        </w:tblPrEx>
        <w:trPr>
          <w:trHeight w:val="270" w:hRule="atLeast"/>
          <w:jc w:val="center"/>
        </w:trPr>
        <w:tc>
          <w:tcPr>
            <w:tcW w:w="1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服务器</w:t>
            </w:r>
          </w:p>
        </w:tc>
        <w:tc>
          <w:tcPr>
            <w:tcW w:w="10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联想</w:t>
            </w:r>
          </w:p>
        </w:tc>
        <w:tc>
          <w:tcPr>
            <w:tcW w:w="31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ThinkServer RD650</w:t>
            </w:r>
          </w:p>
        </w:tc>
        <w:tc>
          <w:tcPr>
            <w:tcW w:w="3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4</w:t>
            </w:r>
          </w:p>
        </w:tc>
      </w:tr>
      <w:tr>
        <w:tblPrEx>
          <w:tblCellMar>
            <w:top w:w="0" w:type="dxa"/>
            <w:left w:w="0" w:type="dxa"/>
            <w:bottom w:w="0" w:type="dxa"/>
            <w:right w:w="0" w:type="dxa"/>
          </w:tblCellMar>
        </w:tblPrEx>
        <w:trPr>
          <w:trHeight w:val="270" w:hRule="atLeast"/>
          <w:jc w:val="center"/>
        </w:trPr>
        <w:tc>
          <w:tcPr>
            <w:tcW w:w="1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服务器</w:t>
            </w:r>
          </w:p>
        </w:tc>
        <w:tc>
          <w:tcPr>
            <w:tcW w:w="10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戴尔</w:t>
            </w:r>
          </w:p>
        </w:tc>
        <w:tc>
          <w:tcPr>
            <w:tcW w:w="31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E16S</w:t>
            </w:r>
          </w:p>
        </w:tc>
        <w:tc>
          <w:tcPr>
            <w:tcW w:w="3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0" w:type="dxa"/>
            <w:bottom w:w="0" w:type="dxa"/>
            <w:right w:w="0" w:type="dxa"/>
          </w:tblCellMar>
        </w:tblPrEx>
        <w:trPr>
          <w:trHeight w:val="270" w:hRule="atLeast"/>
          <w:jc w:val="center"/>
        </w:trPr>
        <w:tc>
          <w:tcPr>
            <w:tcW w:w="1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服务器</w:t>
            </w:r>
          </w:p>
        </w:tc>
        <w:tc>
          <w:tcPr>
            <w:tcW w:w="10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惠普</w:t>
            </w:r>
          </w:p>
        </w:tc>
        <w:tc>
          <w:tcPr>
            <w:tcW w:w="31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ProLiant DL580 Gent8</w:t>
            </w:r>
          </w:p>
        </w:tc>
        <w:tc>
          <w:tcPr>
            <w:tcW w:w="3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0" w:type="dxa"/>
            <w:bottom w:w="0" w:type="dxa"/>
            <w:right w:w="0" w:type="dxa"/>
          </w:tblCellMar>
        </w:tblPrEx>
        <w:trPr>
          <w:trHeight w:val="270" w:hRule="atLeast"/>
          <w:jc w:val="center"/>
        </w:trPr>
        <w:tc>
          <w:tcPr>
            <w:tcW w:w="1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服务器</w:t>
            </w:r>
          </w:p>
        </w:tc>
        <w:tc>
          <w:tcPr>
            <w:tcW w:w="10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戴尔</w:t>
            </w:r>
          </w:p>
        </w:tc>
        <w:tc>
          <w:tcPr>
            <w:tcW w:w="31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PowerEdge R730</w:t>
            </w:r>
          </w:p>
        </w:tc>
        <w:tc>
          <w:tcPr>
            <w:tcW w:w="3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0" w:type="dxa"/>
            <w:bottom w:w="0" w:type="dxa"/>
            <w:right w:w="0" w:type="dxa"/>
          </w:tblCellMar>
        </w:tblPrEx>
        <w:trPr>
          <w:trHeight w:val="270" w:hRule="atLeast"/>
          <w:jc w:val="center"/>
        </w:trPr>
        <w:tc>
          <w:tcPr>
            <w:tcW w:w="1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服务器</w:t>
            </w:r>
          </w:p>
        </w:tc>
        <w:tc>
          <w:tcPr>
            <w:tcW w:w="10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华为</w:t>
            </w:r>
          </w:p>
        </w:tc>
        <w:tc>
          <w:tcPr>
            <w:tcW w:w="31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Telcal RH 2488V2</w:t>
            </w:r>
          </w:p>
        </w:tc>
        <w:tc>
          <w:tcPr>
            <w:tcW w:w="3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4</w:t>
            </w:r>
          </w:p>
        </w:tc>
      </w:tr>
      <w:tr>
        <w:tblPrEx>
          <w:tblCellMar>
            <w:top w:w="0" w:type="dxa"/>
            <w:left w:w="0" w:type="dxa"/>
            <w:bottom w:w="0" w:type="dxa"/>
            <w:right w:w="0" w:type="dxa"/>
          </w:tblCellMar>
        </w:tblPrEx>
        <w:trPr>
          <w:trHeight w:val="270" w:hRule="atLeast"/>
          <w:jc w:val="center"/>
        </w:trPr>
        <w:tc>
          <w:tcPr>
            <w:tcW w:w="13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服务器</w:t>
            </w:r>
          </w:p>
        </w:tc>
        <w:tc>
          <w:tcPr>
            <w:tcW w:w="10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浪潮</w:t>
            </w:r>
          </w:p>
        </w:tc>
        <w:tc>
          <w:tcPr>
            <w:tcW w:w="31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 xml:space="preserve">NF5280M5 </w:t>
            </w:r>
          </w:p>
        </w:tc>
        <w:tc>
          <w:tcPr>
            <w:tcW w:w="31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5</w:t>
            </w:r>
          </w:p>
        </w:tc>
      </w:tr>
    </w:tbl>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十</w:t>
      </w:r>
      <w:r>
        <w:rPr>
          <w:rFonts w:hint="eastAsia" w:ascii="宋体" w:hAnsi="宋体" w:eastAsia="宋体" w:cs="宋体"/>
          <w:kern w:val="0"/>
          <w:sz w:val="24"/>
          <w:szCs w:val="24"/>
        </w:rPr>
        <w:t>）数码大厦A座15楼指挥大厅设备、会投影设备</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58"/>
        <w:gridCol w:w="1376"/>
        <w:gridCol w:w="2216"/>
        <w:gridCol w:w="1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8"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设备名称</w:t>
            </w:r>
          </w:p>
        </w:tc>
        <w:tc>
          <w:tcPr>
            <w:tcW w:w="1127"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品牌</w:t>
            </w:r>
          </w:p>
        </w:tc>
        <w:tc>
          <w:tcPr>
            <w:tcW w:w="1833"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型号</w:t>
            </w:r>
          </w:p>
        </w:tc>
        <w:tc>
          <w:tcPr>
            <w:tcW w:w="1402"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0" w:type="dxa"/>
            <w:gridSpan w:val="4"/>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A.指挥大厅视频会议设备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8"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多点资源中心（MCU）</w:t>
            </w:r>
          </w:p>
        </w:tc>
        <w:tc>
          <w:tcPr>
            <w:tcW w:w="1127"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华为</w:t>
            </w:r>
          </w:p>
        </w:tc>
        <w:tc>
          <w:tcPr>
            <w:tcW w:w="1833"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VP9630</w:t>
            </w:r>
          </w:p>
        </w:tc>
        <w:tc>
          <w:tcPr>
            <w:tcW w:w="1402"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8"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录播服务器</w:t>
            </w:r>
          </w:p>
        </w:tc>
        <w:tc>
          <w:tcPr>
            <w:tcW w:w="1127"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华为</w:t>
            </w:r>
          </w:p>
        </w:tc>
        <w:tc>
          <w:tcPr>
            <w:tcW w:w="1833"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Rse6500</w:t>
            </w:r>
          </w:p>
        </w:tc>
        <w:tc>
          <w:tcPr>
            <w:tcW w:w="1402"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8"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视频会议管理平台（含服务器和会管软件）</w:t>
            </w:r>
          </w:p>
        </w:tc>
        <w:tc>
          <w:tcPr>
            <w:tcW w:w="1127"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华为</w:t>
            </w:r>
          </w:p>
        </w:tc>
        <w:tc>
          <w:tcPr>
            <w:tcW w:w="1833"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SMC2.0</w:t>
            </w:r>
          </w:p>
        </w:tc>
        <w:tc>
          <w:tcPr>
            <w:tcW w:w="1402"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8"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视频会议分体终端</w:t>
            </w:r>
          </w:p>
        </w:tc>
        <w:tc>
          <w:tcPr>
            <w:tcW w:w="1127"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华为</w:t>
            </w:r>
          </w:p>
        </w:tc>
        <w:tc>
          <w:tcPr>
            <w:tcW w:w="1833"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TE60</w:t>
            </w:r>
          </w:p>
        </w:tc>
        <w:tc>
          <w:tcPr>
            <w:tcW w:w="1402"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8"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高清摄像机</w:t>
            </w:r>
          </w:p>
        </w:tc>
        <w:tc>
          <w:tcPr>
            <w:tcW w:w="1127"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华为</w:t>
            </w:r>
          </w:p>
        </w:tc>
        <w:tc>
          <w:tcPr>
            <w:tcW w:w="1833"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VPC620</w:t>
            </w:r>
          </w:p>
        </w:tc>
        <w:tc>
          <w:tcPr>
            <w:tcW w:w="1402"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8"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控制终端（含软件）</w:t>
            </w:r>
          </w:p>
        </w:tc>
        <w:tc>
          <w:tcPr>
            <w:tcW w:w="1127"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宏基</w:t>
            </w:r>
          </w:p>
        </w:tc>
        <w:tc>
          <w:tcPr>
            <w:tcW w:w="1833"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x3410</w:t>
            </w:r>
          </w:p>
        </w:tc>
        <w:tc>
          <w:tcPr>
            <w:tcW w:w="1402"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8" w:type="dxa"/>
            <w:gridSpan w:val="3"/>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B.指挥大厅大屏显示</w:t>
            </w:r>
          </w:p>
        </w:tc>
        <w:tc>
          <w:tcPr>
            <w:tcW w:w="1402"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8"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 xml:space="preserve">LED显示屏 </w:t>
            </w:r>
          </w:p>
        </w:tc>
        <w:tc>
          <w:tcPr>
            <w:tcW w:w="1127"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联建</w:t>
            </w:r>
          </w:p>
        </w:tc>
        <w:tc>
          <w:tcPr>
            <w:tcW w:w="1833"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VL1.2</w:t>
            </w:r>
          </w:p>
        </w:tc>
        <w:tc>
          <w:tcPr>
            <w:tcW w:w="1402"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8"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音视频拼接控制处理平台</w:t>
            </w:r>
          </w:p>
        </w:tc>
        <w:tc>
          <w:tcPr>
            <w:tcW w:w="1127"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创凯</w:t>
            </w:r>
          </w:p>
        </w:tc>
        <w:tc>
          <w:tcPr>
            <w:tcW w:w="1833"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CK5</w:t>
            </w:r>
          </w:p>
        </w:tc>
        <w:tc>
          <w:tcPr>
            <w:tcW w:w="1402"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8"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接收卡</w:t>
            </w:r>
          </w:p>
        </w:tc>
        <w:tc>
          <w:tcPr>
            <w:tcW w:w="1127"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联建</w:t>
            </w:r>
          </w:p>
        </w:tc>
        <w:tc>
          <w:tcPr>
            <w:tcW w:w="1833"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L7S</w:t>
            </w:r>
          </w:p>
        </w:tc>
        <w:tc>
          <w:tcPr>
            <w:tcW w:w="1402"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8"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独立发送器</w:t>
            </w:r>
          </w:p>
        </w:tc>
        <w:tc>
          <w:tcPr>
            <w:tcW w:w="1127"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联建</w:t>
            </w:r>
          </w:p>
        </w:tc>
        <w:tc>
          <w:tcPr>
            <w:tcW w:w="1833"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LCTRL600</w:t>
            </w:r>
          </w:p>
        </w:tc>
        <w:tc>
          <w:tcPr>
            <w:tcW w:w="1402"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8"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钢结构与装饰</w:t>
            </w:r>
          </w:p>
        </w:tc>
        <w:tc>
          <w:tcPr>
            <w:tcW w:w="1127"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国产</w:t>
            </w:r>
          </w:p>
        </w:tc>
        <w:tc>
          <w:tcPr>
            <w:tcW w:w="1833"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定制</w:t>
            </w:r>
          </w:p>
        </w:tc>
        <w:tc>
          <w:tcPr>
            <w:tcW w:w="1402"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8"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控制终端</w:t>
            </w:r>
          </w:p>
        </w:tc>
        <w:tc>
          <w:tcPr>
            <w:tcW w:w="1127"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宏碁</w:t>
            </w:r>
          </w:p>
        </w:tc>
        <w:tc>
          <w:tcPr>
            <w:tcW w:w="1833"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x3410</w:t>
            </w:r>
          </w:p>
        </w:tc>
        <w:tc>
          <w:tcPr>
            <w:tcW w:w="1402"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8" w:type="dxa"/>
            <w:gridSpan w:val="3"/>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C指挥大厅音频设备</w:t>
            </w:r>
          </w:p>
        </w:tc>
        <w:tc>
          <w:tcPr>
            <w:tcW w:w="1402"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8"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超薄壁挂音箱</w:t>
            </w:r>
          </w:p>
        </w:tc>
        <w:tc>
          <w:tcPr>
            <w:tcW w:w="1127"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itc</w:t>
            </w:r>
          </w:p>
        </w:tc>
        <w:tc>
          <w:tcPr>
            <w:tcW w:w="1833"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TS-608</w:t>
            </w:r>
          </w:p>
        </w:tc>
        <w:tc>
          <w:tcPr>
            <w:tcW w:w="1402"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8"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音箱壁挂架</w:t>
            </w:r>
          </w:p>
        </w:tc>
        <w:tc>
          <w:tcPr>
            <w:tcW w:w="1127"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itc</w:t>
            </w:r>
          </w:p>
        </w:tc>
        <w:tc>
          <w:tcPr>
            <w:tcW w:w="1833"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TS-02B</w:t>
            </w:r>
          </w:p>
        </w:tc>
        <w:tc>
          <w:tcPr>
            <w:tcW w:w="1402"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8"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数字功率放大器</w:t>
            </w:r>
          </w:p>
        </w:tc>
        <w:tc>
          <w:tcPr>
            <w:tcW w:w="1127"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itc</w:t>
            </w:r>
          </w:p>
        </w:tc>
        <w:tc>
          <w:tcPr>
            <w:tcW w:w="1833"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TS-350PI</w:t>
            </w:r>
          </w:p>
        </w:tc>
        <w:tc>
          <w:tcPr>
            <w:tcW w:w="1402"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8"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数字音频处理器</w:t>
            </w:r>
          </w:p>
        </w:tc>
        <w:tc>
          <w:tcPr>
            <w:tcW w:w="1127"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itc</w:t>
            </w:r>
          </w:p>
        </w:tc>
        <w:tc>
          <w:tcPr>
            <w:tcW w:w="1833"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TS-P1616</w:t>
            </w:r>
          </w:p>
        </w:tc>
        <w:tc>
          <w:tcPr>
            <w:tcW w:w="1402"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8"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数字会议主机</w:t>
            </w:r>
          </w:p>
        </w:tc>
        <w:tc>
          <w:tcPr>
            <w:tcW w:w="1127"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itc</w:t>
            </w:r>
          </w:p>
        </w:tc>
        <w:tc>
          <w:tcPr>
            <w:tcW w:w="1833"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TS-0200M</w:t>
            </w:r>
          </w:p>
        </w:tc>
        <w:tc>
          <w:tcPr>
            <w:tcW w:w="1402"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8"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无线话筒</w:t>
            </w:r>
          </w:p>
        </w:tc>
        <w:tc>
          <w:tcPr>
            <w:tcW w:w="1127"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itc</w:t>
            </w:r>
          </w:p>
        </w:tc>
        <w:tc>
          <w:tcPr>
            <w:tcW w:w="1833"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T-521UH</w:t>
            </w:r>
          </w:p>
        </w:tc>
        <w:tc>
          <w:tcPr>
            <w:tcW w:w="1402"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8"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鹅颈电容话筒</w:t>
            </w:r>
          </w:p>
        </w:tc>
        <w:tc>
          <w:tcPr>
            <w:tcW w:w="1127"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itc</w:t>
            </w:r>
          </w:p>
        </w:tc>
        <w:tc>
          <w:tcPr>
            <w:tcW w:w="1833"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TS-0202</w:t>
            </w:r>
          </w:p>
        </w:tc>
        <w:tc>
          <w:tcPr>
            <w:tcW w:w="1402"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8"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调音台</w:t>
            </w:r>
          </w:p>
        </w:tc>
        <w:tc>
          <w:tcPr>
            <w:tcW w:w="1127"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itc</w:t>
            </w:r>
          </w:p>
        </w:tc>
        <w:tc>
          <w:tcPr>
            <w:tcW w:w="1833"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TS-16P-4</w:t>
            </w:r>
          </w:p>
        </w:tc>
        <w:tc>
          <w:tcPr>
            <w:tcW w:w="1402"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8" w:type="dxa"/>
            <w:gridSpan w:val="3"/>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D.指挥大厅集中控制设备</w:t>
            </w:r>
          </w:p>
        </w:tc>
        <w:tc>
          <w:tcPr>
            <w:tcW w:w="1402"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8"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中控主机</w:t>
            </w:r>
          </w:p>
        </w:tc>
        <w:tc>
          <w:tcPr>
            <w:tcW w:w="1127"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itc</w:t>
            </w:r>
          </w:p>
        </w:tc>
        <w:tc>
          <w:tcPr>
            <w:tcW w:w="1833"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TS-9100D</w:t>
            </w:r>
          </w:p>
        </w:tc>
        <w:tc>
          <w:tcPr>
            <w:tcW w:w="1402"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8"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控制终端</w:t>
            </w:r>
          </w:p>
        </w:tc>
        <w:tc>
          <w:tcPr>
            <w:tcW w:w="1127"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APPLE</w:t>
            </w:r>
          </w:p>
        </w:tc>
        <w:tc>
          <w:tcPr>
            <w:tcW w:w="1833"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 xml:space="preserve">IPAD </w:t>
            </w:r>
          </w:p>
        </w:tc>
        <w:tc>
          <w:tcPr>
            <w:tcW w:w="1402"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8"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无线路由器</w:t>
            </w:r>
          </w:p>
        </w:tc>
        <w:tc>
          <w:tcPr>
            <w:tcW w:w="1127"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H3C</w:t>
            </w:r>
          </w:p>
        </w:tc>
        <w:tc>
          <w:tcPr>
            <w:tcW w:w="1833"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 xml:space="preserve"> Magic R200</w:t>
            </w:r>
          </w:p>
        </w:tc>
        <w:tc>
          <w:tcPr>
            <w:tcW w:w="1402"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8"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电源时序器</w:t>
            </w:r>
          </w:p>
        </w:tc>
        <w:tc>
          <w:tcPr>
            <w:tcW w:w="1127"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itc</w:t>
            </w:r>
          </w:p>
        </w:tc>
        <w:tc>
          <w:tcPr>
            <w:tcW w:w="1833"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TS-820</w:t>
            </w:r>
          </w:p>
        </w:tc>
        <w:tc>
          <w:tcPr>
            <w:tcW w:w="1402"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8"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E.指挥大厅操作设备</w:t>
            </w:r>
          </w:p>
        </w:tc>
        <w:tc>
          <w:tcPr>
            <w:tcW w:w="1127"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833"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402"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8"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屏幕可升降操作控制终端</w:t>
            </w:r>
          </w:p>
        </w:tc>
        <w:tc>
          <w:tcPr>
            <w:tcW w:w="1127" w:type="dxa"/>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和力宏碁</w:t>
            </w:r>
          </w:p>
        </w:tc>
        <w:tc>
          <w:tcPr>
            <w:tcW w:w="1833"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YB15-CF</w:t>
            </w:r>
            <w:r>
              <w:rPr>
                <w:rFonts w:hint="eastAsia" w:ascii="宋体" w:hAnsi="宋体" w:eastAsia="宋体" w:cs="宋体"/>
                <w:kern w:val="0"/>
                <w:sz w:val="24"/>
                <w:szCs w:val="24"/>
              </w:rPr>
              <w:br w:type="textWrapping"/>
            </w:r>
            <w:r>
              <w:rPr>
                <w:rFonts w:hint="eastAsia" w:ascii="宋体" w:hAnsi="宋体" w:eastAsia="宋体" w:cs="宋体"/>
                <w:kern w:val="0"/>
                <w:sz w:val="24"/>
                <w:szCs w:val="24"/>
              </w:rPr>
              <w:t>D650</w:t>
            </w:r>
          </w:p>
        </w:tc>
        <w:tc>
          <w:tcPr>
            <w:tcW w:w="1402"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8"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机动操作控制终端</w:t>
            </w:r>
          </w:p>
        </w:tc>
        <w:tc>
          <w:tcPr>
            <w:tcW w:w="1127" w:type="dxa"/>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宏碁</w:t>
            </w:r>
          </w:p>
        </w:tc>
        <w:tc>
          <w:tcPr>
            <w:tcW w:w="1833"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x3410</w:t>
            </w:r>
          </w:p>
        </w:tc>
        <w:tc>
          <w:tcPr>
            <w:tcW w:w="1402"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8" w:type="dxa"/>
            <w:gridSpan w:val="3"/>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F.指挥大厅辅助材料</w:t>
            </w:r>
          </w:p>
        </w:tc>
        <w:tc>
          <w:tcPr>
            <w:tcW w:w="1402"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8"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桌面信息抽线盒</w:t>
            </w:r>
          </w:p>
        </w:tc>
        <w:tc>
          <w:tcPr>
            <w:tcW w:w="1127" w:type="dxa"/>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国产</w:t>
            </w:r>
          </w:p>
        </w:tc>
        <w:tc>
          <w:tcPr>
            <w:tcW w:w="1833"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定制</w:t>
            </w:r>
          </w:p>
        </w:tc>
        <w:tc>
          <w:tcPr>
            <w:tcW w:w="1402"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8"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音箱线</w:t>
            </w:r>
          </w:p>
        </w:tc>
        <w:tc>
          <w:tcPr>
            <w:tcW w:w="1127" w:type="dxa"/>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国产</w:t>
            </w:r>
          </w:p>
        </w:tc>
        <w:tc>
          <w:tcPr>
            <w:tcW w:w="1833"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2*200</w:t>
            </w:r>
          </w:p>
        </w:tc>
        <w:tc>
          <w:tcPr>
            <w:tcW w:w="1402"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8"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音频线</w:t>
            </w:r>
          </w:p>
        </w:tc>
        <w:tc>
          <w:tcPr>
            <w:tcW w:w="1127" w:type="dxa"/>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国产</w:t>
            </w:r>
          </w:p>
        </w:tc>
        <w:tc>
          <w:tcPr>
            <w:tcW w:w="1833"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国产</w:t>
            </w:r>
          </w:p>
        </w:tc>
        <w:tc>
          <w:tcPr>
            <w:tcW w:w="1402"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8"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HDMI线</w:t>
            </w:r>
          </w:p>
        </w:tc>
        <w:tc>
          <w:tcPr>
            <w:tcW w:w="1127" w:type="dxa"/>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国产</w:t>
            </w:r>
          </w:p>
        </w:tc>
        <w:tc>
          <w:tcPr>
            <w:tcW w:w="1833"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20m</w:t>
            </w:r>
          </w:p>
        </w:tc>
        <w:tc>
          <w:tcPr>
            <w:tcW w:w="1402"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8"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HDMI线</w:t>
            </w:r>
          </w:p>
        </w:tc>
        <w:tc>
          <w:tcPr>
            <w:tcW w:w="1127" w:type="dxa"/>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国产</w:t>
            </w:r>
          </w:p>
        </w:tc>
        <w:tc>
          <w:tcPr>
            <w:tcW w:w="1833"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1m</w:t>
            </w:r>
          </w:p>
        </w:tc>
        <w:tc>
          <w:tcPr>
            <w:tcW w:w="1402"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8"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DVI线</w:t>
            </w:r>
          </w:p>
        </w:tc>
        <w:tc>
          <w:tcPr>
            <w:tcW w:w="1127" w:type="dxa"/>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国产</w:t>
            </w:r>
          </w:p>
        </w:tc>
        <w:tc>
          <w:tcPr>
            <w:tcW w:w="1833"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20m</w:t>
            </w:r>
          </w:p>
        </w:tc>
        <w:tc>
          <w:tcPr>
            <w:tcW w:w="1402"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8"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转接线</w:t>
            </w:r>
          </w:p>
        </w:tc>
        <w:tc>
          <w:tcPr>
            <w:tcW w:w="1127" w:type="dxa"/>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国产</w:t>
            </w:r>
          </w:p>
        </w:tc>
        <w:tc>
          <w:tcPr>
            <w:tcW w:w="1833"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1m</w:t>
            </w:r>
          </w:p>
        </w:tc>
        <w:tc>
          <w:tcPr>
            <w:tcW w:w="1402"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8"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电源线</w:t>
            </w:r>
          </w:p>
        </w:tc>
        <w:tc>
          <w:tcPr>
            <w:tcW w:w="1127" w:type="dxa"/>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国产</w:t>
            </w:r>
          </w:p>
        </w:tc>
        <w:tc>
          <w:tcPr>
            <w:tcW w:w="1833"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ZR-RVV3×1.5</w:t>
            </w:r>
          </w:p>
        </w:tc>
        <w:tc>
          <w:tcPr>
            <w:tcW w:w="1402"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8"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电源线</w:t>
            </w:r>
          </w:p>
        </w:tc>
        <w:tc>
          <w:tcPr>
            <w:tcW w:w="1127" w:type="dxa"/>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国产</w:t>
            </w:r>
          </w:p>
        </w:tc>
        <w:tc>
          <w:tcPr>
            <w:tcW w:w="1833"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RVV4*2.5</w:t>
            </w:r>
          </w:p>
        </w:tc>
        <w:tc>
          <w:tcPr>
            <w:tcW w:w="1402"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8"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六类网线</w:t>
            </w:r>
          </w:p>
        </w:tc>
        <w:tc>
          <w:tcPr>
            <w:tcW w:w="1127" w:type="dxa"/>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清华同方</w:t>
            </w:r>
          </w:p>
        </w:tc>
        <w:tc>
          <w:tcPr>
            <w:tcW w:w="1833"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CC72004</w:t>
            </w:r>
          </w:p>
        </w:tc>
        <w:tc>
          <w:tcPr>
            <w:tcW w:w="1402"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8"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PVC线管</w:t>
            </w:r>
          </w:p>
        </w:tc>
        <w:tc>
          <w:tcPr>
            <w:tcW w:w="1127" w:type="dxa"/>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国产</w:t>
            </w:r>
          </w:p>
        </w:tc>
        <w:tc>
          <w:tcPr>
            <w:tcW w:w="1833"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DN25</w:t>
            </w:r>
          </w:p>
        </w:tc>
        <w:tc>
          <w:tcPr>
            <w:tcW w:w="1402"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8"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PVC线管</w:t>
            </w:r>
          </w:p>
        </w:tc>
        <w:tc>
          <w:tcPr>
            <w:tcW w:w="1127" w:type="dxa"/>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国产</w:t>
            </w:r>
          </w:p>
        </w:tc>
        <w:tc>
          <w:tcPr>
            <w:tcW w:w="1833"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DN20</w:t>
            </w:r>
          </w:p>
        </w:tc>
        <w:tc>
          <w:tcPr>
            <w:tcW w:w="1402"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8"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辅助材料</w:t>
            </w:r>
          </w:p>
        </w:tc>
        <w:tc>
          <w:tcPr>
            <w:tcW w:w="1127" w:type="dxa"/>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国产</w:t>
            </w:r>
          </w:p>
        </w:tc>
        <w:tc>
          <w:tcPr>
            <w:tcW w:w="1833"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国产</w:t>
            </w:r>
          </w:p>
        </w:tc>
        <w:tc>
          <w:tcPr>
            <w:tcW w:w="1402"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8"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会商区投影设备</w:t>
            </w:r>
          </w:p>
        </w:tc>
        <w:tc>
          <w:tcPr>
            <w:tcW w:w="1127"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p>
        </w:tc>
        <w:tc>
          <w:tcPr>
            <w:tcW w:w="1833"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402"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8" w:type="dxa"/>
            <w:gridSpan w:val="3"/>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A.会商区投影设备</w:t>
            </w:r>
          </w:p>
        </w:tc>
        <w:tc>
          <w:tcPr>
            <w:tcW w:w="1402"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8"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投影仪</w:t>
            </w:r>
          </w:p>
        </w:tc>
        <w:tc>
          <w:tcPr>
            <w:tcW w:w="1127" w:type="dxa"/>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夏普</w:t>
            </w:r>
          </w:p>
        </w:tc>
        <w:tc>
          <w:tcPr>
            <w:tcW w:w="1833"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XG-KB530UA</w:t>
            </w:r>
          </w:p>
        </w:tc>
        <w:tc>
          <w:tcPr>
            <w:tcW w:w="1402"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8"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固定投影支架</w:t>
            </w:r>
          </w:p>
        </w:tc>
        <w:tc>
          <w:tcPr>
            <w:tcW w:w="1127" w:type="dxa"/>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国产</w:t>
            </w:r>
          </w:p>
        </w:tc>
        <w:tc>
          <w:tcPr>
            <w:tcW w:w="1833"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国产</w:t>
            </w:r>
          </w:p>
        </w:tc>
        <w:tc>
          <w:tcPr>
            <w:tcW w:w="1402"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8"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电动升降幕布</w:t>
            </w:r>
          </w:p>
        </w:tc>
        <w:tc>
          <w:tcPr>
            <w:tcW w:w="1127" w:type="dxa"/>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国产</w:t>
            </w:r>
          </w:p>
        </w:tc>
        <w:tc>
          <w:tcPr>
            <w:tcW w:w="1833"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国产</w:t>
            </w:r>
          </w:p>
        </w:tc>
        <w:tc>
          <w:tcPr>
            <w:tcW w:w="1402"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8"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遥控器</w:t>
            </w:r>
          </w:p>
        </w:tc>
        <w:tc>
          <w:tcPr>
            <w:tcW w:w="1127" w:type="dxa"/>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配套</w:t>
            </w:r>
          </w:p>
        </w:tc>
        <w:tc>
          <w:tcPr>
            <w:tcW w:w="1833"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配套</w:t>
            </w:r>
          </w:p>
        </w:tc>
        <w:tc>
          <w:tcPr>
            <w:tcW w:w="1402"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8" w:type="dxa"/>
            <w:gridSpan w:val="3"/>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B.会商区辅助材料</w:t>
            </w:r>
          </w:p>
        </w:tc>
        <w:tc>
          <w:tcPr>
            <w:tcW w:w="1402"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8"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多媒体面板</w:t>
            </w:r>
          </w:p>
        </w:tc>
        <w:tc>
          <w:tcPr>
            <w:tcW w:w="1127" w:type="dxa"/>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国产</w:t>
            </w:r>
          </w:p>
        </w:tc>
        <w:tc>
          <w:tcPr>
            <w:tcW w:w="1833"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402"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8"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HDMI线</w:t>
            </w:r>
          </w:p>
        </w:tc>
        <w:tc>
          <w:tcPr>
            <w:tcW w:w="1127" w:type="dxa"/>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国产</w:t>
            </w:r>
          </w:p>
        </w:tc>
        <w:tc>
          <w:tcPr>
            <w:tcW w:w="1833"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402"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8"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HDMI线</w:t>
            </w:r>
          </w:p>
        </w:tc>
        <w:tc>
          <w:tcPr>
            <w:tcW w:w="1127" w:type="dxa"/>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国产</w:t>
            </w:r>
          </w:p>
        </w:tc>
        <w:tc>
          <w:tcPr>
            <w:tcW w:w="1833"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402"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8"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电源线</w:t>
            </w:r>
          </w:p>
        </w:tc>
        <w:tc>
          <w:tcPr>
            <w:tcW w:w="1127" w:type="dxa"/>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配套</w:t>
            </w:r>
          </w:p>
        </w:tc>
        <w:tc>
          <w:tcPr>
            <w:tcW w:w="1833"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配套</w:t>
            </w:r>
          </w:p>
        </w:tc>
        <w:tc>
          <w:tcPr>
            <w:tcW w:w="1402"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8"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六类网线</w:t>
            </w:r>
          </w:p>
        </w:tc>
        <w:tc>
          <w:tcPr>
            <w:tcW w:w="1127" w:type="dxa"/>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清华同方</w:t>
            </w:r>
          </w:p>
        </w:tc>
        <w:tc>
          <w:tcPr>
            <w:tcW w:w="1833"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CC72004</w:t>
            </w:r>
          </w:p>
        </w:tc>
        <w:tc>
          <w:tcPr>
            <w:tcW w:w="1402"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100</w:t>
            </w:r>
          </w:p>
        </w:tc>
      </w:tr>
    </w:tbl>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十一</w:t>
      </w:r>
      <w:r>
        <w:rPr>
          <w:rFonts w:hint="eastAsia" w:ascii="宋体" w:hAnsi="宋体" w:eastAsia="宋体" w:cs="宋体"/>
          <w:kern w:val="0"/>
          <w:sz w:val="24"/>
          <w:szCs w:val="24"/>
        </w:rPr>
        <w:t>）数码大厦A座19楼监测监控室LCD屏系统</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46"/>
        <w:gridCol w:w="1418"/>
        <w:gridCol w:w="1610"/>
        <w:gridCol w:w="1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6"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设备名称</w:t>
            </w:r>
          </w:p>
        </w:tc>
        <w:tc>
          <w:tcPr>
            <w:tcW w:w="1418"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品牌</w:t>
            </w:r>
          </w:p>
        </w:tc>
        <w:tc>
          <w:tcPr>
            <w:tcW w:w="1610"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数量</w:t>
            </w:r>
          </w:p>
        </w:tc>
        <w:tc>
          <w:tcPr>
            <w:tcW w:w="1384"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6"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LCD显示屏</w:t>
            </w:r>
          </w:p>
        </w:tc>
        <w:tc>
          <w:tcPr>
            <w:tcW w:w="1418"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大华</w:t>
            </w:r>
          </w:p>
        </w:tc>
        <w:tc>
          <w:tcPr>
            <w:tcW w:w="1610"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DHL460UCM-EF</w:t>
            </w:r>
          </w:p>
        </w:tc>
        <w:tc>
          <w:tcPr>
            <w:tcW w:w="1384"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6"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落地或壁挂式液压前维护安装支架</w:t>
            </w:r>
          </w:p>
        </w:tc>
        <w:tc>
          <w:tcPr>
            <w:tcW w:w="1418"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国产</w:t>
            </w:r>
          </w:p>
        </w:tc>
        <w:tc>
          <w:tcPr>
            <w:tcW w:w="1610"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定制</w:t>
            </w:r>
          </w:p>
        </w:tc>
        <w:tc>
          <w:tcPr>
            <w:tcW w:w="1384"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6"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视频处理器</w:t>
            </w:r>
          </w:p>
        </w:tc>
        <w:tc>
          <w:tcPr>
            <w:tcW w:w="1418"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大华</w:t>
            </w:r>
          </w:p>
        </w:tc>
        <w:tc>
          <w:tcPr>
            <w:tcW w:w="1610"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DH-DSCON3000</w:t>
            </w:r>
          </w:p>
        </w:tc>
        <w:tc>
          <w:tcPr>
            <w:tcW w:w="1384"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6"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控制终端</w:t>
            </w:r>
          </w:p>
        </w:tc>
        <w:tc>
          <w:tcPr>
            <w:tcW w:w="1418"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宏碁</w:t>
            </w:r>
          </w:p>
        </w:tc>
        <w:tc>
          <w:tcPr>
            <w:tcW w:w="1610"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x3410</w:t>
            </w:r>
          </w:p>
        </w:tc>
        <w:tc>
          <w:tcPr>
            <w:tcW w:w="1384"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6"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线缆配套</w:t>
            </w:r>
          </w:p>
        </w:tc>
        <w:tc>
          <w:tcPr>
            <w:tcW w:w="1418"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国产</w:t>
            </w:r>
          </w:p>
        </w:tc>
        <w:tc>
          <w:tcPr>
            <w:tcW w:w="1610"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定制</w:t>
            </w:r>
          </w:p>
        </w:tc>
        <w:tc>
          <w:tcPr>
            <w:tcW w:w="1384"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46"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扩声系统</w:t>
            </w:r>
          </w:p>
        </w:tc>
        <w:tc>
          <w:tcPr>
            <w:tcW w:w="1418"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itc</w:t>
            </w:r>
          </w:p>
        </w:tc>
        <w:tc>
          <w:tcPr>
            <w:tcW w:w="1610"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p>
        </w:tc>
        <w:tc>
          <w:tcPr>
            <w:tcW w:w="1384"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r>
    </w:tbl>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p>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十二</w:t>
      </w:r>
      <w:r>
        <w:rPr>
          <w:rFonts w:hint="eastAsia" w:ascii="宋体" w:hAnsi="宋体" w:eastAsia="宋体" w:cs="宋体"/>
          <w:kern w:val="0"/>
          <w:sz w:val="24"/>
          <w:szCs w:val="24"/>
        </w:rPr>
        <w:t>）视频会议分会场系统（无管局、万州、涪陵、黔江分会场）</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32"/>
        <w:gridCol w:w="1276"/>
        <w:gridCol w:w="1582"/>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32"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设备名称</w:t>
            </w:r>
          </w:p>
        </w:tc>
        <w:tc>
          <w:tcPr>
            <w:tcW w:w="1276"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品牌</w:t>
            </w:r>
          </w:p>
        </w:tc>
        <w:tc>
          <w:tcPr>
            <w:tcW w:w="1582"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型号</w:t>
            </w:r>
          </w:p>
        </w:tc>
        <w:tc>
          <w:tcPr>
            <w:tcW w:w="1439"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32"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视频会议分体终端</w:t>
            </w:r>
          </w:p>
        </w:tc>
        <w:tc>
          <w:tcPr>
            <w:tcW w:w="1276"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华为</w:t>
            </w:r>
          </w:p>
        </w:tc>
        <w:tc>
          <w:tcPr>
            <w:tcW w:w="1582"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TE60</w:t>
            </w:r>
          </w:p>
        </w:tc>
        <w:tc>
          <w:tcPr>
            <w:tcW w:w="1439"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32"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高清摄像机</w:t>
            </w:r>
          </w:p>
        </w:tc>
        <w:tc>
          <w:tcPr>
            <w:tcW w:w="1276"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华为</w:t>
            </w:r>
          </w:p>
        </w:tc>
        <w:tc>
          <w:tcPr>
            <w:tcW w:w="1582"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VPC620</w:t>
            </w:r>
          </w:p>
        </w:tc>
        <w:tc>
          <w:tcPr>
            <w:tcW w:w="1439"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32"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全向麦克风</w:t>
            </w:r>
          </w:p>
        </w:tc>
        <w:tc>
          <w:tcPr>
            <w:tcW w:w="1276"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华为</w:t>
            </w:r>
          </w:p>
        </w:tc>
        <w:tc>
          <w:tcPr>
            <w:tcW w:w="1582"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VPM220</w:t>
            </w:r>
          </w:p>
        </w:tc>
        <w:tc>
          <w:tcPr>
            <w:tcW w:w="1439"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32"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70寸液晶显示屏</w:t>
            </w:r>
          </w:p>
        </w:tc>
        <w:tc>
          <w:tcPr>
            <w:tcW w:w="1276"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索尼</w:t>
            </w:r>
          </w:p>
        </w:tc>
        <w:tc>
          <w:tcPr>
            <w:tcW w:w="1582"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KD-70X8300F</w:t>
            </w:r>
          </w:p>
        </w:tc>
        <w:tc>
          <w:tcPr>
            <w:tcW w:w="1439"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32"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配套材料</w:t>
            </w:r>
          </w:p>
        </w:tc>
        <w:tc>
          <w:tcPr>
            <w:tcW w:w="1276"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国产</w:t>
            </w:r>
          </w:p>
        </w:tc>
        <w:tc>
          <w:tcPr>
            <w:tcW w:w="1582"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国产</w:t>
            </w:r>
          </w:p>
        </w:tc>
        <w:tc>
          <w:tcPr>
            <w:tcW w:w="1439"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4</w:t>
            </w:r>
          </w:p>
        </w:tc>
      </w:tr>
    </w:tbl>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十三</w:t>
      </w:r>
      <w:r>
        <w:rPr>
          <w:rFonts w:hint="eastAsia" w:ascii="宋体" w:hAnsi="宋体" w:eastAsia="宋体" w:cs="宋体"/>
          <w:kern w:val="0"/>
          <w:sz w:val="24"/>
          <w:szCs w:val="24"/>
        </w:rPr>
        <w:t>）数码大厦A座15-19楼视频监控系统</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7"/>
        <w:gridCol w:w="1154"/>
        <w:gridCol w:w="2541"/>
        <w:gridCol w:w="1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137"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设备名称</w:t>
            </w:r>
          </w:p>
        </w:tc>
        <w:tc>
          <w:tcPr>
            <w:tcW w:w="1154" w:type="dxa"/>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品牌</w:t>
            </w:r>
          </w:p>
        </w:tc>
        <w:tc>
          <w:tcPr>
            <w:tcW w:w="2541"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型号</w:t>
            </w:r>
          </w:p>
        </w:tc>
        <w:tc>
          <w:tcPr>
            <w:tcW w:w="1160" w:type="dxa"/>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92" w:type="dxa"/>
            <w:gridSpan w:val="4"/>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A、前端视频监控设备配置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137"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1080P室内日夜型网络半球摄像机</w:t>
            </w:r>
          </w:p>
        </w:tc>
        <w:tc>
          <w:tcPr>
            <w:tcW w:w="1154" w:type="dxa"/>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大华</w:t>
            </w:r>
          </w:p>
        </w:tc>
        <w:tc>
          <w:tcPr>
            <w:tcW w:w="2541"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DH-IPC-HDW3231C</w:t>
            </w:r>
          </w:p>
        </w:tc>
        <w:tc>
          <w:tcPr>
            <w:tcW w:w="1160"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32" w:type="dxa"/>
            <w:gridSpan w:val="3"/>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B、保安室设备配置</w:t>
            </w:r>
          </w:p>
        </w:tc>
        <w:tc>
          <w:tcPr>
            <w:tcW w:w="1160"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137"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16路网络硬盘录像机</w:t>
            </w:r>
          </w:p>
        </w:tc>
        <w:tc>
          <w:tcPr>
            <w:tcW w:w="1154" w:type="dxa"/>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大华</w:t>
            </w:r>
          </w:p>
        </w:tc>
        <w:tc>
          <w:tcPr>
            <w:tcW w:w="2541"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DH-NVR4832-4KS2</w:t>
            </w:r>
          </w:p>
        </w:tc>
        <w:tc>
          <w:tcPr>
            <w:tcW w:w="1160"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137"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硬盘</w:t>
            </w:r>
          </w:p>
        </w:tc>
        <w:tc>
          <w:tcPr>
            <w:tcW w:w="1154" w:type="dxa"/>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希捷</w:t>
            </w:r>
          </w:p>
        </w:tc>
        <w:tc>
          <w:tcPr>
            <w:tcW w:w="2541"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ST4000NM0035</w:t>
            </w:r>
          </w:p>
        </w:tc>
        <w:tc>
          <w:tcPr>
            <w:tcW w:w="1160"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137"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高清电视机</w:t>
            </w:r>
          </w:p>
        </w:tc>
        <w:tc>
          <w:tcPr>
            <w:tcW w:w="1154" w:type="dxa"/>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创维</w:t>
            </w:r>
          </w:p>
        </w:tc>
        <w:tc>
          <w:tcPr>
            <w:tcW w:w="2541"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50E382W</w:t>
            </w:r>
          </w:p>
        </w:tc>
        <w:tc>
          <w:tcPr>
            <w:tcW w:w="1160"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137"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千兆POE交换机</w:t>
            </w:r>
          </w:p>
        </w:tc>
        <w:tc>
          <w:tcPr>
            <w:tcW w:w="1154" w:type="dxa"/>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H3C</w:t>
            </w:r>
          </w:p>
        </w:tc>
        <w:tc>
          <w:tcPr>
            <w:tcW w:w="2541"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S5110-52P-PWR</w:t>
            </w:r>
          </w:p>
        </w:tc>
        <w:tc>
          <w:tcPr>
            <w:tcW w:w="1160"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137"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机柜</w:t>
            </w:r>
          </w:p>
        </w:tc>
        <w:tc>
          <w:tcPr>
            <w:tcW w:w="1154"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2541"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160"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137"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操作台</w:t>
            </w:r>
          </w:p>
        </w:tc>
        <w:tc>
          <w:tcPr>
            <w:tcW w:w="1154"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2541"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160"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137"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高清电视机</w:t>
            </w:r>
          </w:p>
        </w:tc>
        <w:tc>
          <w:tcPr>
            <w:tcW w:w="1154" w:type="dxa"/>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创维</w:t>
            </w:r>
          </w:p>
        </w:tc>
        <w:tc>
          <w:tcPr>
            <w:tcW w:w="2541"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32E381S</w:t>
            </w:r>
          </w:p>
        </w:tc>
        <w:tc>
          <w:tcPr>
            <w:tcW w:w="1160"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137"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操作终端</w:t>
            </w:r>
          </w:p>
        </w:tc>
        <w:tc>
          <w:tcPr>
            <w:tcW w:w="1154" w:type="dxa"/>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联想</w:t>
            </w:r>
          </w:p>
        </w:tc>
        <w:tc>
          <w:tcPr>
            <w:tcW w:w="2541"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启天M620-N000</w:t>
            </w:r>
          </w:p>
        </w:tc>
        <w:tc>
          <w:tcPr>
            <w:tcW w:w="1160"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r>
    </w:tbl>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十四</w:t>
      </w:r>
      <w:r>
        <w:rPr>
          <w:rFonts w:hint="eastAsia" w:ascii="宋体" w:hAnsi="宋体" w:eastAsia="宋体" w:cs="宋体"/>
          <w:kern w:val="0"/>
          <w:sz w:val="24"/>
          <w:szCs w:val="24"/>
        </w:rPr>
        <w:t xml:space="preserve">）数码大厦A座15-19楼广播系统  </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9"/>
        <w:gridCol w:w="1950"/>
        <w:gridCol w:w="1523"/>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49" w:type="dxa"/>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设备名称</w:t>
            </w:r>
          </w:p>
        </w:tc>
        <w:tc>
          <w:tcPr>
            <w:tcW w:w="1950" w:type="dxa"/>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品牌</w:t>
            </w:r>
          </w:p>
        </w:tc>
        <w:tc>
          <w:tcPr>
            <w:tcW w:w="1523" w:type="dxa"/>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型号</w:t>
            </w:r>
          </w:p>
        </w:tc>
        <w:tc>
          <w:tcPr>
            <w:tcW w:w="1740" w:type="dxa"/>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62" w:type="dxa"/>
            <w:gridSpan w:val="4"/>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A、保安室设备配置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49" w:type="dxa"/>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数字广播工控主机</w:t>
            </w:r>
          </w:p>
        </w:tc>
        <w:tc>
          <w:tcPr>
            <w:tcW w:w="1950" w:type="dxa"/>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ZABKZ</w:t>
            </w:r>
          </w:p>
        </w:tc>
        <w:tc>
          <w:tcPr>
            <w:tcW w:w="1523" w:type="dxa"/>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AXT8789II</w:t>
            </w:r>
          </w:p>
        </w:tc>
        <w:tc>
          <w:tcPr>
            <w:tcW w:w="1740"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49" w:type="dxa"/>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网络广播主控软件</w:t>
            </w:r>
          </w:p>
        </w:tc>
        <w:tc>
          <w:tcPr>
            <w:tcW w:w="1950" w:type="dxa"/>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ZABKZ</w:t>
            </w:r>
          </w:p>
        </w:tc>
        <w:tc>
          <w:tcPr>
            <w:tcW w:w="1523" w:type="dxa"/>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AXT8700</w:t>
            </w:r>
          </w:p>
        </w:tc>
        <w:tc>
          <w:tcPr>
            <w:tcW w:w="1740"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49" w:type="dxa"/>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电源时序器</w:t>
            </w:r>
          </w:p>
        </w:tc>
        <w:tc>
          <w:tcPr>
            <w:tcW w:w="1950" w:type="dxa"/>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ZABKZ</w:t>
            </w:r>
          </w:p>
        </w:tc>
        <w:tc>
          <w:tcPr>
            <w:tcW w:w="1523" w:type="dxa"/>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PA2190S</w:t>
            </w:r>
          </w:p>
        </w:tc>
        <w:tc>
          <w:tcPr>
            <w:tcW w:w="1740"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49" w:type="dxa"/>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报警矩阵</w:t>
            </w:r>
          </w:p>
        </w:tc>
        <w:tc>
          <w:tcPr>
            <w:tcW w:w="1950" w:type="dxa"/>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ZABKZ</w:t>
            </w:r>
          </w:p>
        </w:tc>
        <w:tc>
          <w:tcPr>
            <w:tcW w:w="1523" w:type="dxa"/>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AXT8716II</w:t>
            </w:r>
          </w:p>
        </w:tc>
        <w:tc>
          <w:tcPr>
            <w:tcW w:w="1740"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49" w:type="dxa"/>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主控数码调音台</w:t>
            </w:r>
          </w:p>
        </w:tc>
        <w:tc>
          <w:tcPr>
            <w:tcW w:w="1950" w:type="dxa"/>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SPIRIT</w:t>
            </w:r>
          </w:p>
        </w:tc>
        <w:tc>
          <w:tcPr>
            <w:tcW w:w="1523" w:type="dxa"/>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MP-902A</w:t>
            </w:r>
          </w:p>
        </w:tc>
        <w:tc>
          <w:tcPr>
            <w:tcW w:w="1740"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49" w:type="dxa"/>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广播话筒</w:t>
            </w:r>
          </w:p>
        </w:tc>
        <w:tc>
          <w:tcPr>
            <w:tcW w:w="1950" w:type="dxa"/>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ZABKZ</w:t>
            </w:r>
          </w:p>
        </w:tc>
        <w:tc>
          <w:tcPr>
            <w:tcW w:w="1523" w:type="dxa"/>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AM10</w:t>
            </w:r>
          </w:p>
        </w:tc>
        <w:tc>
          <w:tcPr>
            <w:tcW w:w="1740"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49"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数字调谐器</w:t>
            </w:r>
          </w:p>
        </w:tc>
        <w:tc>
          <w:tcPr>
            <w:tcW w:w="1950" w:type="dxa"/>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ZABKZ</w:t>
            </w:r>
          </w:p>
        </w:tc>
        <w:tc>
          <w:tcPr>
            <w:tcW w:w="1523" w:type="dxa"/>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PA2177R</w:t>
            </w:r>
          </w:p>
        </w:tc>
        <w:tc>
          <w:tcPr>
            <w:tcW w:w="1740"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22" w:type="dxa"/>
            <w:gridSpan w:val="3"/>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B、前端设备</w:t>
            </w:r>
          </w:p>
        </w:tc>
        <w:tc>
          <w:tcPr>
            <w:tcW w:w="1740"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49" w:type="dxa"/>
            <w:noWrap w:val="0"/>
            <w:vAlign w:val="center"/>
          </w:tcPr>
          <w:p>
            <w:pPr>
              <w:pageBreakBefore w:val="0"/>
              <w:widowControl/>
              <w:kinsoku/>
              <w:wordWrap/>
              <w:overflowPunct/>
              <w:topLinePunct w:val="0"/>
              <w:autoSpaceDE/>
              <w:autoSpaceDN/>
              <w:bidi w:val="0"/>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rPr>
              <w:t>网络解码终端</w:t>
            </w:r>
          </w:p>
        </w:tc>
        <w:tc>
          <w:tcPr>
            <w:tcW w:w="1950" w:type="dxa"/>
            <w:noWrap w:val="0"/>
            <w:vAlign w:val="center"/>
          </w:tcPr>
          <w:p>
            <w:pPr>
              <w:pageBreakBefore w:val="0"/>
              <w:widowControl/>
              <w:kinsoku/>
              <w:wordWrap/>
              <w:overflowPunct/>
              <w:topLinePunct w:val="0"/>
              <w:autoSpaceDE/>
              <w:autoSpaceDN/>
              <w:bidi w:val="0"/>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rPr>
              <w:t>ZABKZ</w:t>
            </w:r>
          </w:p>
        </w:tc>
        <w:tc>
          <w:tcPr>
            <w:tcW w:w="1523" w:type="dxa"/>
            <w:noWrap w:val="0"/>
            <w:vAlign w:val="center"/>
          </w:tcPr>
          <w:p>
            <w:pPr>
              <w:pageBreakBefore w:val="0"/>
              <w:widowControl/>
              <w:kinsoku/>
              <w:wordWrap/>
              <w:overflowPunct/>
              <w:topLinePunct w:val="0"/>
              <w:autoSpaceDE/>
              <w:autoSpaceDN/>
              <w:bidi w:val="0"/>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rPr>
              <w:t>AXT8708</w:t>
            </w:r>
          </w:p>
        </w:tc>
        <w:tc>
          <w:tcPr>
            <w:tcW w:w="1740"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49" w:type="dxa"/>
            <w:noWrap w:val="0"/>
            <w:vAlign w:val="center"/>
          </w:tcPr>
          <w:p>
            <w:pPr>
              <w:pageBreakBefore w:val="0"/>
              <w:widowControl/>
              <w:kinsoku/>
              <w:wordWrap/>
              <w:overflowPunct/>
              <w:topLinePunct w:val="0"/>
              <w:autoSpaceDE/>
              <w:autoSpaceDN/>
              <w:bidi w:val="0"/>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rPr>
              <w:t>功率放大器</w:t>
            </w:r>
          </w:p>
        </w:tc>
        <w:tc>
          <w:tcPr>
            <w:tcW w:w="1950" w:type="dxa"/>
            <w:noWrap w:val="0"/>
            <w:vAlign w:val="center"/>
          </w:tcPr>
          <w:p>
            <w:pPr>
              <w:pageBreakBefore w:val="0"/>
              <w:widowControl/>
              <w:kinsoku/>
              <w:wordWrap/>
              <w:overflowPunct/>
              <w:topLinePunct w:val="0"/>
              <w:autoSpaceDE/>
              <w:autoSpaceDN/>
              <w:bidi w:val="0"/>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rPr>
              <w:t>ZABKZ</w:t>
            </w:r>
          </w:p>
        </w:tc>
        <w:tc>
          <w:tcPr>
            <w:tcW w:w="1523" w:type="dxa"/>
            <w:noWrap w:val="0"/>
            <w:vAlign w:val="center"/>
          </w:tcPr>
          <w:p>
            <w:pPr>
              <w:pageBreakBefore w:val="0"/>
              <w:widowControl/>
              <w:kinsoku/>
              <w:wordWrap/>
              <w:overflowPunct/>
              <w:topLinePunct w:val="0"/>
              <w:autoSpaceDE/>
              <w:autoSpaceDN/>
              <w:bidi w:val="0"/>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rPr>
              <w:t>PA2006IV</w:t>
            </w:r>
          </w:p>
        </w:tc>
        <w:tc>
          <w:tcPr>
            <w:tcW w:w="1740"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49" w:type="dxa"/>
            <w:noWrap w:val="0"/>
            <w:vAlign w:val="center"/>
          </w:tcPr>
          <w:p>
            <w:pPr>
              <w:pageBreakBefore w:val="0"/>
              <w:widowControl/>
              <w:kinsoku/>
              <w:wordWrap/>
              <w:overflowPunct/>
              <w:topLinePunct w:val="0"/>
              <w:autoSpaceDE/>
              <w:autoSpaceDN/>
              <w:bidi w:val="0"/>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rPr>
              <w:t>吸顶音响</w:t>
            </w:r>
          </w:p>
        </w:tc>
        <w:tc>
          <w:tcPr>
            <w:tcW w:w="1950" w:type="dxa"/>
            <w:noWrap w:val="0"/>
            <w:vAlign w:val="center"/>
          </w:tcPr>
          <w:p>
            <w:pPr>
              <w:pageBreakBefore w:val="0"/>
              <w:widowControl/>
              <w:kinsoku/>
              <w:wordWrap/>
              <w:overflowPunct/>
              <w:topLinePunct w:val="0"/>
              <w:autoSpaceDE/>
              <w:autoSpaceDN/>
              <w:bidi w:val="0"/>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rPr>
              <w:t>ZABKZ</w:t>
            </w:r>
          </w:p>
        </w:tc>
        <w:tc>
          <w:tcPr>
            <w:tcW w:w="1523" w:type="dxa"/>
            <w:noWrap w:val="0"/>
            <w:vAlign w:val="center"/>
          </w:tcPr>
          <w:p>
            <w:pPr>
              <w:pageBreakBefore w:val="0"/>
              <w:widowControl/>
              <w:kinsoku/>
              <w:wordWrap/>
              <w:overflowPunct/>
              <w:topLinePunct w:val="0"/>
              <w:autoSpaceDE/>
              <w:autoSpaceDN/>
              <w:bidi w:val="0"/>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rPr>
              <w:t>WA221II</w:t>
            </w:r>
          </w:p>
        </w:tc>
        <w:tc>
          <w:tcPr>
            <w:tcW w:w="1740"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24</w:t>
            </w:r>
          </w:p>
        </w:tc>
      </w:tr>
    </w:tbl>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cs="宋体"/>
          <w:kern w:val="0"/>
          <w:sz w:val="24"/>
          <w:szCs w:val="24"/>
          <w:lang w:eastAsia="zh-CN"/>
        </w:rPr>
        <w:t>（</w:t>
      </w:r>
      <w:r>
        <w:rPr>
          <w:rFonts w:hint="eastAsia" w:ascii="宋体" w:hAnsi="宋体" w:cs="宋体"/>
          <w:kern w:val="0"/>
          <w:sz w:val="24"/>
          <w:szCs w:val="24"/>
          <w:lang w:val="en-US" w:eastAsia="zh-CN"/>
        </w:rPr>
        <w:t>十五</w:t>
      </w:r>
      <w:r>
        <w:rPr>
          <w:rFonts w:hint="eastAsia" w:ascii="宋体" w:hAnsi="宋体" w:cs="宋体"/>
          <w:kern w:val="0"/>
          <w:sz w:val="24"/>
          <w:szCs w:val="24"/>
          <w:lang w:eastAsia="zh-CN"/>
        </w:rPr>
        <w:t>）</w:t>
      </w:r>
      <w:r>
        <w:rPr>
          <w:rFonts w:hint="eastAsia" w:ascii="宋体" w:hAnsi="宋体" w:eastAsia="宋体" w:cs="宋体"/>
          <w:kern w:val="0"/>
          <w:sz w:val="24"/>
          <w:szCs w:val="24"/>
        </w:rPr>
        <w:t>数码大厦A座15-18楼门禁系统</w:t>
      </w:r>
    </w:p>
    <w:tbl>
      <w:tblPr>
        <w:tblStyle w:val="14"/>
        <w:tblW w:w="4996" w:type="pct"/>
        <w:jc w:val="center"/>
        <w:tblLayout w:type="fixed"/>
        <w:tblCellMar>
          <w:top w:w="0" w:type="dxa"/>
          <w:left w:w="108" w:type="dxa"/>
          <w:bottom w:w="0" w:type="dxa"/>
          <w:right w:w="108" w:type="dxa"/>
        </w:tblCellMar>
      </w:tblPr>
      <w:tblGrid>
        <w:gridCol w:w="766"/>
        <w:gridCol w:w="2014"/>
        <w:gridCol w:w="1672"/>
        <w:gridCol w:w="3371"/>
        <w:gridCol w:w="1015"/>
        <w:gridCol w:w="896"/>
      </w:tblGrid>
      <w:tr>
        <w:tblPrEx>
          <w:tblCellMar>
            <w:top w:w="0" w:type="dxa"/>
            <w:left w:w="108" w:type="dxa"/>
            <w:bottom w:w="0" w:type="dxa"/>
            <w:right w:w="108" w:type="dxa"/>
          </w:tblCellMar>
        </w:tblPrEx>
        <w:trPr>
          <w:trHeight w:val="766" w:hRule="atLeast"/>
          <w:jc w:val="center"/>
        </w:trPr>
        <w:tc>
          <w:tcPr>
            <w:tcW w:w="393" w:type="pct"/>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default" w:ascii="宋体" w:hAnsi="宋体" w:eastAsia="宋体" w:cs="宋体"/>
                <w:kern w:val="0"/>
                <w:sz w:val="24"/>
                <w:szCs w:val="24"/>
              </w:rPr>
              <w:t>序号</w:t>
            </w:r>
          </w:p>
        </w:tc>
        <w:tc>
          <w:tcPr>
            <w:tcW w:w="1034" w:type="pct"/>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default" w:ascii="宋体" w:hAnsi="宋体" w:eastAsia="宋体" w:cs="宋体"/>
                <w:kern w:val="0"/>
                <w:sz w:val="24"/>
                <w:szCs w:val="24"/>
              </w:rPr>
              <w:t>配件名称</w:t>
            </w:r>
          </w:p>
        </w:tc>
        <w:tc>
          <w:tcPr>
            <w:tcW w:w="858" w:type="pct"/>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default" w:ascii="宋体" w:hAnsi="宋体" w:eastAsia="宋体" w:cs="宋体"/>
                <w:kern w:val="0"/>
                <w:sz w:val="24"/>
                <w:szCs w:val="24"/>
              </w:rPr>
              <w:t>厂家</w:t>
            </w:r>
          </w:p>
        </w:tc>
        <w:tc>
          <w:tcPr>
            <w:tcW w:w="1731" w:type="pct"/>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default" w:ascii="宋体" w:hAnsi="宋体" w:eastAsia="宋体" w:cs="宋体"/>
                <w:kern w:val="0"/>
                <w:sz w:val="24"/>
                <w:szCs w:val="24"/>
              </w:rPr>
              <w:t>型号</w:t>
            </w:r>
          </w:p>
        </w:tc>
        <w:tc>
          <w:tcPr>
            <w:tcW w:w="521" w:type="pct"/>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default" w:ascii="宋体" w:hAnsi="宋体" w:eastAsia="宋体" w:cs="宋体"/>
                <w:kern w:val="0"/>
                <w:sz w:val="24"/>
                <w:szCs w:val="24"/>
              </w:rPr>
              <w:t>单位</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default" w:ascii="宋体" w:hAnsi="宋体" w:eastAsia="宋体" w:cs="宋体"/>
                <w:kern w:val="0"/>
                <w:sz w:val="24"/>
                <w:szCs w:val="24"/>
              </w:rPr>
              <w:t>数量</w:t>
            </w:r>
          </w:p>
        </w:tc>
      </w:tr>
      <w:tr>
        <w:tblPrEx>
          <w:tblCellMar>
            <w:top w:w="0" w:type="dxa"/>
            <w:left w:w="108" w:type="dxa"/>
            <w:bottom w:w="0" w:type="dxa"/>
            <w:right w:w="108" w:type="dxa"/>
          </w:tblCellMar>
        </w:tblPrEx>
        <w:trPr>
          <w:trHeight w:val="1004" w:hRule="atLeast"/>
          <w:jc w:val="center"/>
        </w:trPr>
        <w:tc>
          <w:tcPr>
            <w:tcW w:w="393" w:type="pct"/>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1034" w:type="pct"/>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default" w:ascii="宋体" w:hAnsi="宋体" w:eastAsia="宋体" w:cs="宋体"/>
                <w:kern w:val="0"/>
                <w:sz w:val="24"/>
                <w:szCs w:val="24"/>
              </w:rPr>
              <w:t>人脸门禁一体机</w:t>
            </w:r>
          </w:p>
        </w:tc>
        <w:tc>
          <w:tcPr>
            <w:tcW w:w="858" w:type="pct"/>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default" w:ascii="宋体" w:hAnsi="宋体" w:eastAsia="宋体" w:cs="宋体"/>
                <w:kern w:val="0"/>
                <w:sz w:val="24"/>
                <w:szCs w:val="24"/>
              </w:rPr>
              <w:t>海康威视</w:t>
            </w:r>
          </w:p>
        </w:tc>
        <w:tc>
          <w:tcPr>
            <w:tcW w:w="1731" w:type="pct"/>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default" w:ascii="宋体" w:hAnsi="宋体" w:eastAsia="宋体" w:cs="宋体"/>
                <w:kern w:val="0"/>
                <w:sz w:val="24"/>
                <w:szCs w:val="24"/>
              </w:rPr>
              <w:t>DS-K1T670MF</w:t>
            </w:r>
          </w:p>
        </w:tc>
        <w:tc>
          <w:tcPr>
            <w:tcW w:w="521" w:type="pct"/>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default" w:ascii="宋体" w:hAnsi="宋体" w:eastAsia="宋体" w:cs="宋体"/>
                <w:kern w:val="0"/>
                <w:sz w:val="24"/>
                <w:szCs w:val="24"/>
              </w:rPr>
              <w:t>台</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8</w:t>
            </w:r>
          </w:p>
        </w:tc>
      </w:tr>
      <w:tr>
        <w:tblPrEx>
          <w:tblCellMar>
            <w:top w:w="0" w:type="dxa"/>
            <w:left w:w="108" w:type="dxa"/>
            <w:bottom w:w="0" w:type="dxa"/>
            <w:right w:w="108" w:type="dxa"/>
          </w:tblCellMar>
        </w:tblPrEx>
        <w:trPr>
          <w:trHeight w:val="1016" w:hRule="atLeast"/>
          <w:jc w:val="center"/>
        </w:trPr>
        <w:tc>
          <w:tcPr>
            <w:tcW w:w="393" w:type="pct"/>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1034" w:type="pct"/>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default" w:ascii="宋体" w:hAnsi="宋体" w:eastAsia="宋体" w:cs="宋体"/>
                <w:kern w:val="0"/>
                <w:sz w:val="24"/>
                <w:szCs w:val="24"/>
              </w:rPr>
              <w:t>全数字室内机</w:t>
            </w:r>
          </w:p>
        </w:tc>
        <w:tc>
          <w:tcPr>
            <w:tcW w:w="858" w:type="pct"/>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default" w:ascii="宋体" w:hAnsi="宋体" w:eastAsia="宋体" w:cs="宋体"/>
                <w:kern w:val="0"/>
                <w:sz w:val="24"/>
                <w:szCs w:val="24"/>
              </w:rPr>
              <w:t>海康威视</w:t>
            </w:r>
          </w:p>
        </w:tc>
        <w:tc>
          <w:tcPr>
            <w:tcW w:w="1731" w:type="pct"/>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default" w:ascii="宋体" w:hAnsi="宋体" w:eastAsia="宋体" w:cs="宋体"/>
                <w:kern w:val="0"/>
                <w:sz w:val="24"/>
                <w:szCs w:val="24"/>
              </w:rPr>
              <w:t>DS-KH8540-C1</w:t>
            </w:r>
          </w:p>
        </w:tc>
        <w:tc>
          <w:tcPr>
            <w:tcW w:w="521" w:type="pct"/>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default" w:ascii="宋体" w:hAnsi="宋体" w:eastAsia="宋体" w:cs="宋体"/>
                <w:kern w:val="0"/>
                <w:sz w:val="24"/>
                <w:szCs w:val="24"/>
              </w:rPr>
              <w:t>台</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CellMar>
            <w:top w:w="0" w:type="dxa"/>
            <w:left w:w="108" w:type="dxa"/>
            <w:bottom w:w="0" w:type="dxa"/>
            <w:right w:w="108" w:type="dxa"/>
          </w:tblCellMar>
        </w:tblPrEx>
        <w:trPr>
          <w:trHeight w:val="1387" w:hRule="atLeast"/>
          <w:jc w:val="center"/>
        </w:trPr>
        <w:tc>
          <w:tcPr>
            <w:tcW w:w="393" w:type="pct"/>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1034" w:type="pct"/>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default" w:ascii="宋体" w:hAnsi="宋体" w:eastAsia="宋体" w:cs="宋体"/>
                <w:kern w:val="0"/>
                <w:sz w:val="24"/>
                <w:szCs w:val="24"/>
              </w:rPr>
              <w:t>卡片发卡器（含门禁卡100张）</w:t>
            </w:r>
          </w:p>
        </w:tc>
        <w:tc>
          <w:tcPr>
            <w:tcW w:w="858" w:type="pct"/>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default" w:ascii="宋体" w:hAnsi="宋体" w:eastAsia="宋体" w:cs="宋体"/>
                <w:kern w:val="0"/>
                <w:sz w:val="24"/>
                <w:szCs w:val="24"/>
              </w:rPr>
              <w:t>海康威视</w:t>
            </w:r>
          </w:p>
        </w:tc>
        <w:tc>
          <w:tcPr>
            <w:tcW w:w="1731" w:type="pct"/>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default" w:ascii="宋体" w:hAnsi="宋体" w:eastAsia="宋体" w:cs="宋体"/>
                <w:kern w:val="0"/>
                <w:sz w:val="24"/>
                <w:szCs w:val="24"/>
              </w:rPr>
              <w:t>DS-K1F100A-D8E</w:t>
            </w:r>
          </w:p>
        </w:tc>
        <w:tc>
          <w:tcPr>
            <w:tcW w:w="521" w:type="pct"/>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default" w:ascii="宋体" w:hAnsi="宋体" w:eastAsia="宋体" w:cs="宋体"/>
                <w:kern w:val="0"/>
                <w:sz w:val="24"/>
                <w:szCs w:val="24"/>
              </w:rPr>
              <w:t>台</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CellMar>
            <w:top w:w="0" w:type="dxa"/>
            <w:left w:w="108" w:type="dxa"/>
            <w:bottom w:w="0" w:type="dxa"/>
            <w:right w:w="108" w:type="dxa"/>
          </w:tblCellMar>
        </w:tblPrEx>
        <w:trPr>
          <w:trHeight w:val="743" w:hRule="atLeast"/>
          <w:jc w:val="center"/>
        </w:trPr>
        <w:tc>
          <w:tcPr>
            <w:tcW w:w="393" w:type="pct"/>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4</w:t>
            </w:r>
          </w:p>
        </w:tc>
        <w:tc>
          <w:tcPr>
            <w:tcW w:w="1034" w:type="pct"/>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default" w:ascii="宋体" w:hAnsi="宋体" w:eastAsia="宋体" w:cs="宋体"/>
                <w:kern w:val="0"/>
                <w:sz w:val="24"/>
                <w:szCs w:val="24"/>
              </w:rPr>
              <w:t>服务器</w:t>
            </w:r>
          </w:p>
        </w:tc>
        <w:tc>
          <w:tcPr>
            <w:tcW w:w="858" w:type="pct"/>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default" w:ascii="宋体" w:hAnsi="宋体" w:eastAsia="宋体" w:cs="宋体"/>
                <w:kern w:val="0"/>
                <w:sz w:val="24"/>
                <w:szCs w:val="24"/>
              </w:rPr>
              <w:t>戴尔</w:t>
            </w:r>
          </w:p>
        </w:tc>
        <w:tc>
          <w:tcPr>
            <w:tcW w:w="1731" w:type="pct"/>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default" w:ascii="宋体" w:hAnsi="宋体" w:eastAsia="宋体" w:cs="宋体"/>
                <w:kern w:val="0"/>
                <w:sz w:val="24"/>
                <w:szCs w:val="24"/>
              </w:rPr>
              <w:t>T40</w:t>
            </w:r>
          </w:p>
        </w:tc>
        <w:tc>
          <w:tcPr>
            <w:tcW w:w="521" w:type="pct"/>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default" w:ascii="宋体" w:hAnsi="宋体" w:eastAsia="宋体" w:cs="宋体"/>
                <w:kern w:val="0"/>
                <w:sz w:val="24"/>
                <w:szCs w:val="24"/>
              </w:rPr>
              <w:t>台</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CellMar>
            <w:top w:w="0" w:type="dxa"/>
            <w:left w:w="108" w:type="dxa"/>
            <w:bottom w:w="0" w:type="dxa"/>
            <w:right w:w="108" w:type="dxa"/>
          </w:tblCellMar>
        </w:tblPrEx>
        <w:trPr>
          <w:trHeight w:val="1483" w:hRule="atLeast"/>
          <w:jc w:val="center"/>
        </w:trPr>
        <w:tc>
          <w:tcPr>
            <w:tcW w:w="393" w:type="pct"/>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5</w:t>
            </w:r>
          </w:p>
        </w:tc>
        <w:tc>
          <w:tcPr>
            <w:tcW w:w="1034" w:type="pct"/>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default" w:ascii="宋体" w:hAnsi="宋体" w:eastAsia="宋体" w:cs="宋体"/>
                <w:kern w:val="0"/>
                <w:sz w:val="24"/>
                <w:szCs w:val="24"/>
              </w:rPr>
              <w:t>门禁系统软件</w:t>
            </w:r>
          </w:p>
        </w:tc>
        <w:tc>
          <w:tcPr>
            <w:tcW w:w="858" w:type="pct"/>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default" w:ascii="宋体" w:hAnsi="宋体" w:eastAsia="宋体" w:cs="宋体"/>
                <w:kern w:val="0"/>
                <w:sz w:val="24"/>
                <w:szCs w:val="24"/>
              </w:rPr>
              <w:t>重庆电子信息中小企业公共服务有限公司</w:t>
            </w:r>
          </w:p>
        </w:tc>
        <w:tc>
          <w:tcPr>
            <w:tcW w:w="1731" w:type="pct"/>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default" w:ascii="宋体" w:hAnsi="宋体" w:eastAsia="宋体" w:cs="宋体"/>
                <w:kern w:val="0"/>
                <w:sz w:val="24"/>
                <w:szCs w:val="24"/>
              </w:rPr>
              <w:t>定制</w:t>
            </w:r>
          </w:p>
        </w:tc>
        <w:tc>
          <w:tcPr>
            <w:tcW w:w="521" w:type="pct"/>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default" w:ascii="宋体" w:hAnsi="宋体" w:eastAsia="宋体" w:cs="宋体"/>
                <w:kern w:val="0"/>
                <w:sz w:val="24"/>
                <w:szCs w:val="24"/>
              </w:rPr>
              <w:t>台</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CellMar>
            <w:top w:w="0" w:type="dxa"/>
            <w:left w:w="108" w:type="dxa"/>
            <w:bottom w:w="0" w:type="dxa"/>
            <w:right w:w="108" w:type="dxa"/>
          </w:tblCellMar>
        </w:tblPrEx>
        <w:trPr>
          <w:trHeight w:val="814" w:hRule="atLeast"/>
          <w:jc w:val="center"/>
        </w:trPr>
        <w:tc>
          <w:tcPr>
            <w:tcW w:w="393" w:type="pct"/>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6</w:t>
            </w:r>
          </w:p>
        </w:tc>
        <w:tc>
          <w:tcPr>
            <w:tcW w:w="1034" w:type="pct"/>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default" w:ascii="宋体" w:hAnsi="宋体" w:eastAsia="宋体" w:cs="宋体"/>
                <w:kern w:val="0"/>
                <w:sz w:val="24"/>
                <w:szCs w:val="24"/>
              </w:rPr>
              <w:t>不锈钢包边</w:t>
            </w:r>
          </w:p>
        </w:tc>
        <w:tc>
          <w:tcPr>
            <w:tcW w:w="858" w:type="pct"/>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default" w:ascii="宋体" w:hAnsi="宋体" w:eastAsia="宋体" w:cs="宋体"/>
                <w:kern w:val="0"/>
                <w:sz w:val="24"/>
                <w:szCs w:val="24"/>
              </w:rPr>
              <w:t>定制</w:t>
            </w:r>
          </w:p>
        </w:tc>
        <w:tc>
          <w:tcPr>
            <w:tcW w:w="1731" w:type="pct"/>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default" w:ascii="宋体" w:hAnsi="宋体" w:eastAsia="宋体" w:cs="宋体"/>
                <w:kern w:val="0"/>
                <w:sz w:val="24"/>
                <w:szCs w:val="24"/>
              </w:rPr>
              <w:t>定制</w:t>
            </w:r>
          </w:p>
        </w:tc>
        <w:tc>
          <w:tcPr>
            <w:tcW w:w="521" w:type="pct"/>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default" w:ascii="宋体" w:hAnsi="宋体" w:eastAsia="宋体" w:cs="宋体"/>
                <w:kern w:val="0"/>
                <w:sz w:val="24"/>
                <w:szCs w:val="24"/>
              </w:rPr>
              <w:t>块</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8</w:t>
            </w:r>
          </w:p>
        </w:tc>
      </w:tr>
      <w:tr>
        <w:tblPrEx>
          <w:tblCellMar>
            <w:top w:w="0" w:type="dxa"/>
            <w:left w:w="108" w:type="dxa"/>
            <w:bottom w:w="0" w:type="dxa"/>
            <w:right w:w="108" w:type="dxa"/>
          </w:tblCellMar>
        </w:tblPrEx>
        <w:trPr>
          <w:trHeight w:val="551" w:hRule="atLeast"/>
          <w:jc w:val="center"/>
        </w:trPr>
        <w:tc>
          <w:tcPr>
            <w:tcW w:w="393" w:type="pct"/>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7</w:t>
            </w:r>
          </w:p>
        </w:tc>
        <w:tc>
          <w:tcPr>
            <w:tcW w:w="1034" w:type="pct"/>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default" w:ascii="宋体" w:hAnsi="宋体" w:eastAsia="宋体" w:cs="宋体"/>
                <w:kern w:val="0"/>
                <w:sz w:val="24"/>
                <w:szCs w:val="24"/>
              </w:rPr>
              <w:t>辅料费</w:t>
            </w:r>
          </w:p>
        </w:tc>
        <w:tc>
          <w:tcPr>
            <w:tcW w:w="858" w:type="pct"/>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default" w:ascii="宋体" w:hAnsi="宋体" w:eastAsia="宋体" w:cs="宋体"/>
                <w:kern w:val="0"/>
                <w:sz w:val="24"/>
                <w:szCs w:val="24"/>
              </w:rPr>
              <w:t>定制</w:t>
            </w:r>
          </w:p>
        </w:tc>
        <w:tc>
          <w:tcPr>
            <w:tcW w:w="1731" w:type="pct"/>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default" w:ascii="宋体" w:hAnsi="宋体" w:eastAsia="宋体" w:cs="宋体"/>
                <w:kern w:val="0"/>
                <w:sz w:val="24"/>
                <w:szCs w:val="24"/>
              </w:rPr>
              <w:t>定制</w:t>
            </w:r>
          </w:p>
        </w:tc>
        <w:tc>
          <w:tcPr>
            <w:tcW w:w="521" w:type="pct"/>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default" w:ascii="宋体" w:hAnsi="宋体" w:eastAsia="宋体" w:cs="宋体"/>
                <w:kern w:val="0"/>
                <w:sz w:val="24"/>
                <w:szCs w:val="24"/>
              </w:rPr>
              <w:t>批</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CellMar>
            <w:top w:w="0" w:type="dxa"/>
            <w:left w:w="108" w:type="dxa"/>
            <w:bottom w:w="0" w:type="dxa"/>
            <w:right w:w="108" w:type="dxa"/>
          </w:tblCellMar>
        </w:tblPrEx>
        <w:trPr>
          <w:trHeight w:val="558" w:hRule="atLeast"/>
          <w:jc w:val="center"/>
        </w:trPr>
        <w:tc>
          <w:tcPr>
            <w:tcW w:w="393" w:type="pct"/>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8</w:t>
            </w:r>
          </w:p>
        </w:tc>
        <w:tc>
          <w:tcPr>
            <w:tcW w:w="1034" w:type="pct"/>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施工费</w:t>
            </w:r>
          </w:p>
        </w:tc>
        <w:tc>
          <w:tcPr>
            <w:tcW w:w="858" w:type="pct"/>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default" w:ascii="宋体" w:hAnsi="宋体" w:eastAsia="宋体" w:cs="宋体"/>
                <w:kern w:val="0"/>
                <w:sz w:val="24"/>
                <w:szCs w:val="24"/>
              </w:rPr>
              <w:t>定制</w:t>
            </w:r>
          </w:p>
        </w:tc>
        <w:tc>
          <w:tcPr>
            <w:tcW w:w="1731" w:type="pct"/>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default" w:ascii="宋体" w:hAnsi="宋体" w:eastAsia="宋体" w:cs="宋体"/>
                <w:kern w:val="0"/>
                <w:sz w:val="24"/>
                <w:szCs w:val="24"/>
              </w:rPr>
              <w:t>定制</w:t>
            </w:r>
          </w:p>
        </w:tc>
        <w:tc>
          <w:tcPr>
            <w:tcW w:w="521" w:type="pct"/>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default" w:ascii="宋体" w:hAnsi="宋体" w:eastAsia="宋体" w:cs="宋体"/>
                <w:kern w:val="0"/>
                <w:sz w:val="24"/>
                <w:szCs w:val="24"/>
              </w:rPr>
              <w:t>批</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CellMar>
            <w:top w:w="0" w:type="dxa"/>
            <w:left w:w="108" w:type="dxa"/>
            <w:bottom w:w="0" w:type="dxa"/>
            <w:right w:w="108" w:type="dxa"/>
          </w:tblCellMar>
        </w:tblPrEx>
        <w:trPr>
          <w:trHeight w:val="558" w:hRule="atLeast"/>
          <w:jc w:val="center"/>
        </w:trPr>
        <w:tc>
          <w:tcPr>
            <w:tcW w:w="393" w:type="pct"/>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9</w:t>
            </w:r>
          </w:p>
        </w:tc>
        <w:tc>
          <w:tcPr>
            <w:tcW w:w="1034" w:type="pct"/>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税费（6%）</w:t>
            </w:r>
          </w:p>
        </w:tc>
        <w:tc>
          <w:tcPr>
            <w:tcW w:w="858" w:type="pct"/>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default" w:ascii="宋体" w:hAnsi="宋体" w:eastAsia="宋体" w:cs="宋体"/>
                <w:kern w:val="0"/>
                <w:sz w:val="24"/>
                <w:szCs w:val="24"/>
              </w:rPr>
            </w:pPr>
            <w:r>
              <w:rPr>
                <w:rFonts w:hint="default" w:ascii="宋体" w:hAnsi="宋体" w:eastAsia="宋体" w:cs="宋体"/>
                <w:kern w:val="0"/>
                <w:sz w:val="24"/>
                <w:szCs w:val="24"/>
              </w:rPr>
              <w:t>/</w:t>
            </w:r>
          </w:p>
        </w:tc>
        <w:tc>
          <w:tcPr>
            <w:tcW w:w="1731" w:type="pct"/>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default" w:ascii="宋体" w:hAnsi="宋体" w:eastAsia="宋体" w:cs="宋体"/>
                <w:kern w:val="0"/>
                <w:sz w:val="24"/>
                <w:szCs w:val="24"/>
              </w:rPr>
            </w:pPr>
            <w:r>
              <w:rPr>
                <w:rFonts w:hint="default" w:ascii="宋体" w:hAnsi="宋体" w:eastAsia="宋体" w:cs="宋体"/>
                <w:kern w:val="0"/>
                <w:sz w:val="24"/>
                <w:szCs w:val="24"/>
              </w:rPr>
              <w:t>/</w:t>
            </w:r>
          </w:p>
        </w:tc>
        <w:tc>
          <w:tcPr>
            <w:tcW w:w="521" w:type="pct"/>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default" w:ascii="宋体" w:hAnsi="宋体" w:eastAsia="宋体" w:cs="宋体"/>
                <w:kern w:val="0"/>
                <w:sz w:val="24"/>
                <w:szCs w:val="24"/>
              </w:rPr>
            </w:pPr>
            <w:r>
              <w:rPr>
                <w:rFonts w:hint="default" w:ascii="宋体" w:hAnsi="宋体" w:eastAsia="宋体" w:cs="宋体"/>
                <w:kern w:val="0"/>
                <w:sz w:val="24"/>
                <w:szCs w:val="24"/>
              </w:rPr>
              <w:t>项</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r>
    </w:tbl>
    <w:p>
      <w:pPr>
        <w:pageBreakBefore w:val="0"/>
        <w:widowControl/>
        <w:kinsoku/>
        <w:wordWrap/>
        <w:overflowPunct/>
        <w:topLinePunct w:val="0"/>
        <w:autoSpaceDE/>
        <w:autoSpaceDN/>
        <w:bidi w:val="0"/>
        <w:adjustRightInd w:val="0"/>
        <w:snapToGrid w:val="0"/>
        <w:spacing w:line="360" w:lineRule="auto"/>
        <w:ind w:firstLine="480" w:firstLineChars="200"/>
        <w:rPr>
          <w:rFonts w:hint="default" w:ascii="宋体" w:hAnsi="宋体" w:eastAsia="宋体" w:cs="宋体"/>
          <w:b/>
          <w:bCs/>
          <w:sz w:val="32"/>
          <w:szCs w:val="32"/>
          <w:lang w:val="en-US" w:eastAsia="zh-CN"/>
        </w:rPr>
      </w:pPr>
      <w:r>
        <w:rPr>
          <w:rFonts w:hint="eastAsia" w:ascii="宋体" w:hAnsi="宋体" w:eastAsia="宋体" w:cs="宋体"/>
          <w:kern w:val="0"/>
          <w:sz w:val="24"/>
          <w:szCs w:val="24"/>
        </w:rPr>
        <w:br w:type="page"/>
      </w:r>
      <w:r>
        <w:rPr>
          <w:rFonts w:hint="eastAsia" w:ascii="宋体" w:hAnsi="Times New Roman" w:eastAsia="宋体" w:cs="Times New Roman"/>
          <w:b/>
          <w:bCs/>
          <w:kern w:val="2"/>
          <w:sz w:val="24"/>
          <w:szCs w:val="24"/>
          <w:lang w:val="en-US" w:eastAsia="zh-CN" w:bidi="ar-SA"/>
        </w:rPr>
        <w:t>附件2: 仙桃机房设施设备</w:t>
      </w:r>
    </w:p>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lang w:eastAsia="zh-CN"/>
        </w:rPr>
      </w:pPr>
      <w:r>
        <w:rPr>
          <w:rFonts w:hint="eastAsia" w:ascii="宋体" w:hAnsi="宋体" w:eastAsia="宋体" w:cs="宋体"/>
          <w:kern w:val="0"/>
          <w:sz w:val="24"/>
          <w:szCs w:val="24"/>
        </w:rPr>
        <w:t>（一）仙桃机房电气设备（配电箱、电源、插座、照明灯等）</w:t>
      </w:r>
      <w:r>
        <w:rPr>
          <w:rFonts w:hint="eastAsia" w:ascii="宋体" w:hAnsi="宋体" w:eastAsia="宋体" w:cs="宋体"/>
          <w:kern w:val="0"/>
          <w:sz w:val="24"/>
          <w:szCs w:val="24"/>
          <w:lang w:eastAsia="zh-CN"/>
        </w:rPr>
        <w:t>。</w:t>
      </w:r>
    </w:p>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lang w:eastAsia="zh-CN"/>
        </w:rPr>
      </w:pPr>
      <w:r>
        <w:rPr>
          <w:rFonts w:hint="eastAsia" w:ascii="宋体" w:hAnsi="宋体" w:eastAsia="宋体" w:cs="宋体"/>
          <w:kern w:val="0"/>
          <w:sz w:val="24"/>
          <w:szCs w:val="24"/>
        </w:rPr>
        <w:t xml:space="preserve">    以实际情况为准</w:t>
      </w:r>
      <w:r>
        <w:rPr>
          <w:rFonts w:hint="eastAsia" w:ascii="宋体" w:hAnsi="宋体" w:eastAsia="宋体" w:cs="宋体"/>
          <w:kern w:val="0"/>
          <w:sz w:val="24"/>
          <w:szCs w:val="24"/>
          <w:lang w:eastAsia="zh-CN"/>
        </w:rPr>
        <w:t>。</w:t>
      </w:r>
    </w:p>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（二）仙桃机房空调系统</w:t>
      </w:r>
    </w:p>
    <w:tbl>
      <w:tblPr>
        <w:tblStyle w:val="14"/>
        <w:tblW w:w="0" w:type="auto"/>
        <w:jc w:val="center"/>
        <w:tblLayout w:type="autofit"/>
        <w:tblCellMar>
          <w:top w:w="0" w:type="dxa"/>
          <w:left w:w="108" w:type="dxa"/>
          <w:bottom w:w="0" w:type="dxa"/>
          <w:right w:w="108" w:type="dxa"/>
        </w:tblCellMar>
      </w:tblPr>
      <w:tblGrid>
        <w:gridCol w:w="2859"/>
        <w:gridCol w:w="2998"/>
        <w:gridCol w:w="1616"/>
        <w:gridCol w:w="1066"/>
      </w:tblGrid>
      <w:tr>
        <w:tblPrEx>
          <w:tblCellMar>
            <w:top w:w="0" w:type="dxa"/>
            <w:left w:w="108" w:type="dxa"/>
            <w:bottom w:w="0" w:type="dxa"/>
            <w:right w:w="108" w:type="dxa"/>
          </w:tblCellMar>
        </w:tblPrEx>
        <w:trPr>
          <w:trHeight w:val="290" w:hRule="atLeast"/>
          <w:jc w:val="center"/>
        </w:trPr>
        <w:tc>
          <w:tcPr>
            <w:tcW w:w="2859"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设备名称</w:t>
            </w:r>
          </w:p>
        </w:tc>
        <w:tc>
          <w:tcPr>
            <w:tcW w:w="2998" w:type="dxa"/>
            <w:tcBorders>
              <w:top w:val="single" w:color="auto" w:sz="8" w:space="0"/>
              <w:left w:val="nil"/>
              <w:bottom w:val="single" w:color="auto" w:sz="8" w:space="0"/>
              <w:right w:val="single" w:color="auto" w:sz="8" w:space="0"/>
            </w:tcBorders>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品牌</w:t>
            </w:r>
          </w:p>
        </w:tc>
        <w:tc>
          <w:tcPr>
            <w:tcW w:w="1608" w:type="dxa"/>
            <w:tcBorders>
              <w:top w:val="single" w:color="auto" w:sz="8" w:space="0"/>
              <w:left w:val="nil"/>
              <w:bottom w:val="single" w:color="auto" w:sz="8" w:space="0"/>
              <w:right w:val="single" w:color="auto" w:sz="8" w:space="0"/>
            </w:tcBorders>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型号</w:t>
            </w:r>
          </w:p>
        </w:tc>
        <w:tc>
          <w:tcPr>
            <w:tcW w:w="1066" w:type="dxa"/>
            <w:tcBorders>
              <w:top w:val="single" w:color="auto" w:sz="8" w:space="0"/>
              <w:left w:val="nil"/>
              <w:bottom w:val="single" w:color="auto" w:sz="8" w:space="0"/>
              <w:right w:val="single" w:color="auto" w:sz="8" w:space="0"/>
            </w:tcBorders>
            <w:noWrap w:val="0"/>
            <w:vAlign w:val="center"/>
          </w:tcPr>
          <w:p>
            <w:pPr>
              <w:pageBreakBefore w:val="0"/>
              <w:widowControl/>
              <w:kinsoku/>
              <w:wordWrap/>
              <w:overflowPunct/>
              <w:topLinePunct w:val="0"/>
              <w:autoSpaceDE/>
              <w:autoSpaceDN/>
              <w:bidi w:val="0"/>
              <w:adjustRightInd w:val="0"/>
              <w:snapToGrid w:val="0"/>
              <w:spacing w:line="360" w:lineRule="auto"/>
              <w:ind w:firstLine="240" w:firstLineChars="100"/>
              <w:jc w:val="both"/>
              <w:rPr>
                <w:rFonts w:hint="eastAsia" w:ascii="宋体" w:hAnsi="宋体" w:eastAsia="宋体" w:cs="宋体"/>
                <w:kern w:val="0"/>
                <w:sz w:val="24"/>
                <w:szCs w:val="24"/>
              </w:rPr>
            </w:pPr>
            <w:r>
              <w:rPr>
                <w:rFonts w:hint="eastAsia" w:ascii="宋体" w:hAnsi="宋体" w:eastAsia="宋体" w:cs="宋体"/>
                <w:kern w:val="0"/>
                <w:sz w:val="24"/>
                <w:szCs w:val="24"/>
              </w:rPr>
              <w:t>数量</w:t>
            </w:r>
          </w:p>
        </w:tc>
      </w:tr>
      <w:tr>
        <w:tblPrEx>
          <w:tblCellMar>
            <w:top w:w="0" w:type="dxa"/>
            <w:left w:w="108" w:type="dxa"/>
            <w:bottom w:w="0" w:type="dxa"/>
            <w:right w:w="108" w:type="dxa"/>
          </w:tblCellMar>
        </w:tblPrEx>
        <w:trPr>
          <w:trHeight w:val="307" w:hRule="atLeast"/>
          <w:jc w:val="center"/>
        </w:trPr>
        <w:tc>
          <w:tcPr>
            <w:tcW w:w="2859"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空调配电箱</w:t>
            </w:r>
          </w:p>
        </w:tc>
        <w:tc>
          <w:tcPr>
            <w:tcW w:w="299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国产</w:t>
            </w:r>
          </w:p>
        </w:tc>
        <w:tc>
          <w:tcPr>
            <w:tcW w:w="160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定制</w:t>
            </w:r>
          </w:p>
        </w:tc>
        <w:tc>
          <w:tcPr>
            <w:tcW w:w="106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CellMar>
            <w:top w:w="0" w:type="dxa"/>
            <w:left w:w="108" w:type="dxa"/>
            <w:bottom w:w="0" w:type="dxa"/>
            <w:right w:w="108" w:type="dxa"/>
          </w:tblCellMar>
        </w:tblPrEx>
        <w:trPr>
          <w:trHeight w:val="290" w:hRule="atLeast"/>
          <w:jc w:val="center"/>
        </w:trPr>
        <w:tc>
          <w:tcPr>
            <w:tcW w:w="2859"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精密空调</w:t>
            </w:r>
          </w:p>
        </w:tc>
        <w:tc>
          <w:tcPr>
            <w:tcW w:w="299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世图兹</w:t>
            </w:r>
          </w:p>
        </w:tc>
        <w:tc>
          <w:tcPr>
            <w:tcW w:w="160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ASD702A</w:t>
            </w:r>
          </w:p>
        </w:tc>
        <w:tc>
          <w:tcPr>
            <w:tcW w:w="106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108" w:type="dxa"/>
            <w:bottom w:w="0" w:type="dxa"/>
            <w:right w:w="108" w:type="dxa"/>
          </w:tblCellMar>
        </w:tblPrEx>
        <w:trPr>
          <w:trHeight w:val="290" w:hRule="atLeast"/>
          <w:jc w:val="center"/>
        </w:trPr>
        <w:tc>
          <w:tcPr>
            <w:tcW w:w="2859"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普通空调</w:t>
            </w:r>
          </w:p>
        </w:tc>
        <w:tc>
          <w:tcPr>
            <w:tcW w:w="299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美的</w:t>
            </w:r>
          </w:p>
        </w:tc>
        <w:tc>
          <w:tcPr>
            <w:tcW w:w="160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定制</w:t>
            </w:r>
          </w:p>
        </w:tc>
        <w:tc>
          <w:tcPr>
            <w:tcW w:w="106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CellMar>
            <w:top w:w="0" w:type="dxa"/>
            <w:left w:w="108" w:type="dxa"/>
            <w:bottom w:w="0" w:type="dxa"/>
            <w:right w:w="108" w:type="dxa"/>
          </w:tblCellMar>
        </w:tblPrEx>
        <w:trPr>
          <w:trHeight w:val="290" w:hRule="atLeast"/>
          <w:jc w:val="center"/>
        </w:trPr>
        <w:tc>
          <w:tcPr>
            <w:tcW w:w="2859"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普通空调</w:t>
            </w:r>
          </w:p>
        </w:tc>
        <w:tc>
          <w:tcPr>
            <w:tcW w:w="299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美的</w:t>
            </w:r>
          </w:p>
        </w:tc>
        <w:tc>
          <w:tcPr>
            <w:tcW w:w="160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定制</w:t>
            </w:r>
          </w:p>
        </w:tc>
        <w:tc>
          <w:tcPr>
            <w:tcW w:w="106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CellMar>
            <w:top w:w="0" w:type="dxa"/>
            <w:left w:w="108" w:type="dxa"/>
            <w:bottom w:w="0" w:type="dxa"/>
            <w:right w:w="108" w:type="dxa"/>
          </w:tblCellMar>
        </w:tblPrEx>
        <w:trPr>
          <w:trHeight w:val="290" w:hRule="atLeast"/>
          <w:jc w:val="center"/>
        </w:trPr>
        <w:tc>
          <w:tcPr>
            <w:tcW w:w="2859" w:type="dxa"/>
            <w:tcBorders>
              <w:top w:val="nil"/>
              <w:left w:val="single" w:color="auto" w:sz="8" w:space="0"/>
              <w:bottom w:val="single" w:color="auto" w:sz="8" w:space="0"/>
              <w:right w:val="single" w:color="auto" w:sz="8" w:space="0"/>
            </w:tcBorders>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新风设备</w:t>
            </w:r>
          </w:p>
        </w:tc>
        <w:tc>
          <w:tcPr>
            <w:tcW w:w="299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南洋</w:t>
            </w:r>
          </w:p>
        </w:tc>
        <w:tc>
          <w:tcPr>
            <w:tcW w:w="1608"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定制</w:t>
            </w:r>
          </w:p>
        </w:tc>
        <w:tc>
          <w:tcPr>
            <w:tcW w:w="1066" w:type="dxa"/>
            <w:tcBorders>
              <w:top w:val="nil"/>
              <w:left w:val="nil"/>
              <w:bottom w:val="single" w:color="auto" w:sz="8" w:space="0"/>
              <w:right w:val="single" w:color="auto" w:sz="8" w:space="0"/>
            </w:tcBorders>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r>
    </w:tbl>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三</w:t>
      </w:r>
      <w:r>
        <w:rPr>
          <w:rFonts w:hint="eastAsia" w:ascii="宋体" w:hAnsi="宋体" w:eastAsia="宋体" w:cs="宋体"/>
          <w:kern w:val="0"/>
          <w:sz w:val="24"/>
          <w:szCs w:val="24"/>
        </w:rPr>
        <w:t>）仙桃机房综合布线（含机柜、电线、网线、光纤等）</w:t>
      </w:r>
    </w:p>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lang w:eastAsia="zh-CN"/>
        </w:rPr>
      </w:pPr>
      <w:r>
        <w:rPr>
          <w:rFonts w:hint="eastAsia" w:ascii="宋体" w:hAnsi="宋体" w:eastAsia="宋体" w:cs="宋体"/>
          <w:kern w:val="0"/>
          <w:sz w:val="24"/>
          <w:szCs w:val="24"/>
        </w:rPr>
        <w:t>以实际情况为准</w:t>
      </w:r>
      <w:r>
        <w:rPr>
          <w:rFonts w:hint="eastAsia" w:ascii="宋体" w:hAnsi="宋体" w:eastAsia="宋体" w:cs="宋体"/>
          <w:kern w:val="0"/>
          <w:sz w:val="24"/>
          <w:szCs w:val="24"/>
          <w:lang w:eastAsia="zh-CN"/>
        </w:rPr>
        <w:t>。</w:t>
      </w:r>
    </w:p>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四</w:t>
      </w:r>
      <w:r>
        <w:rPr>
          <w:rFonts w:hint="eastAsia" w:ascii="宋体" w:hAnsi="宋体" w:eastAsia="宋体" w:cs="宋体"/>
          <w:kern w:val="0"/>
          <w:sz w:val="24"/>
          <w:szCs w:val="24"/>
        </w:rPr>
        <w:t>）仙桃机房网络监控系统、UPS、动环监控系统、门禁系统</w:t>
      </w:r>
    </w:p>
    <w:tbl>
      <w:tblPr>
        <w:tblStyle w:val="1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02"/>
        <w:gridCol w:w="1603"/>
        <w:gridCol w:w="2816"/>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8"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设备名称</w:t>
            </w:r>
          </w:p>
        </w:tc>
        <w:tc>
          <w:tcPr>
            <w:tcW w:w="843"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品牌</w:t>
            </w:r>
          </w:p>
        </w:tc>
        <w:tc>
          <w:tcPr>
            <w:tcW w:w="1385"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型号</w:t>
            </w:r>
          </w:p>
        </w:tc>
        <w:tc>
          <w:tcPr>
            <w:tcW w:w="592" w:type="pct"/>
            <w:noWrap w:val="0"/>
            <w:vAlign w:val="center"/>
          </w:tcPr>
          <w:p>
            <w:pPr>
              <w:pageBreakBefore w:val="0"/>
              <w:widowControl/>
              <w:kinsoku/>
              <w:wordWrap/>
              <w:overflowPunct/>
              <w:topLinePunct w:val="0"/>
              <w:autoSpaceDE/>
              <w:autoSpaceDN/>
              <w:bidi w:val="0"/>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4"/>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仙桃机房网络监控设备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4"/>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A.工作区部分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8"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信息设备及网络管理监控系统软件</w:t>
            </w:r>
          </w:p>
        </w:tc>
        <w:tc>
          <w:tcPr>
            <w:tcW w:w="843" w:type="pct"/>
            <w:noWrap w:val="0"/>
            <w:vAlign w:val="center"/>
          </w:tcPr>
          <w:p>
            <w:pPr>
              <w:pageBreakBefore w:val="0"/>
              <w:widowControl/>
              <w:kinsoku/>
              <w:wordWrap/>
              <w:overflowPunct/>
              <w:topLinePunct w:val="0"/>
              <w:autoSpaceDE/>
              <w:autoSpaceDN/>
              <w:bidi w:val="0"/>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rPr>
              <w:t>远臻</w:t>
            </w:r>
          </w:p>
        </w:tc>
        <w:tc>
          <w:tcPr>
            <w:tcW w:w="1385" w:type="pct"/>
            <w:noWrap w:val="0"/>
            <w:vAlign w:val="center"/>
          </w:tcPr>
          <w:p>
            <w:pPr>
              <w:pageBreakBefore w:val="0"/>
              <w:widowControl/>
              <w:kinsoku/>
              <w:wordWrap/>
              <w:overflowPunct/>
              <w:topLinePunct w:val="0"/>
              <w:autoSpaceDE/>
              <w:autoSpaceDN/>
              <w:bidi w:val="0"/>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rPr>
              <w:t>综合运维管理系统</w:t>
            </w:r>
          </w:p>
        </w:tc>
        <w:tc>
          <w:tcPr>
            <w:tcW w:w="592"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07" w:type="pct"/>
            <w:gridSpan w:val="3"/>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B、硬件设备</w:t>
            </w:r>
          </w:p>
        </w:tc>
        <w:tc>
          <w:tcPr>
            <w:tcW w:w="592"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8"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服务器</w:t>
            </w:r>
          </w:p>
        </w:tc>
        <w:tc>
          <w:tcPr>
            <w:tcW w:w="843" w:type="pct"/>
            <w:noWrap w:val="0"/>
            <w:vAlign w:val="center"/>
          </w:tcPr>
          <w:p>
            <w:pPr>
              <w:pageBreakBefore w:val="0"/>
              <w:widowControl/>
              <w:kinsoku/>
              <w:wordWrap/>
              <w:overflowPunct/>
              <w:topLinePunct w:val="0"/>
              <w:autoSpaceDE/>
              <w:autoSpaceDN/>
              <w:bidi w:val="0"/>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rPr>
              <w:t>浪潮</w:t>
            </w:r>
          </w:p>
        </w:tc>
        <w:tc>
          <w:tcPr>
            <w:tcW w:w="1385"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NF5270M4</w:t>
            </w:r>
          </w:p>
        </w:tc>
        <w:tc>
          <w:tcPr>
            <w:tcW w:w="592"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8"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终端控制设备</w:t>
            </w:r>
          </w:p>
        </w:tc>
        <w:tc>
          <w:tcPr>
            <w:tcW w:w="843" w:type="pct"/>
            <w:noWrap w:val="0"/>
            <w:vAlign w:val="center"/>
          </w:tcPr>
          <w:p>
            <w:pPr>
              <w:pageBreakBefore w:val="0"/>
              <w:widowControl/>
              <w:kinsoku/>
              <w:wordWrap/>
              <w:overflowPunct/>
              <w:topLinePunct w:val="0"/>
              <w:autoSpaceDE/>
              <w:autoSpaceDN/>
              <w:bidi w:val="0"/>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rPr>
              <w:t>宏碁</w:t>
            </w:r>
          </w:p>
        </w:tc>
        <w:tc>
          <w:tcPr>
            <w:tcW w:w="1385"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D650</w:t>
            </w:r>
          </w:p>
        </w:tc>
        <w:tc>
          <w:tcPr>
            <w:tcW w:w="592"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8"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电视机</w:t>
            </w:r>
          </w:p>
        </w:tc>
        <w:tc>
          <w:tcPr>
            <w:tcW w:w="843" w:type="pct"/>
            <w:noWrap w:val="0"/>
            <w:vAlign w:val="center"/>
          </w:tcPr>
          <w:p>
            <w:pPr>
              <w:pageBreakBefore w:val="0"/>
              <w:widowControl/>
              <w:kinsoku/>
              <w:wordWrap/>
              <w:overflowPunct/>
              <w:topLinePunct w:val="0"/>
              <w:autoSpaceDE/>
              <w:autoSpaceDN/>
              <w:bidi w:val="0"/>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rPr>
              <w:t>创维</w:t>
            </w:r>
          </w:p>
        </w:tc>
        <w:tc>
          <w:tcPr>
            <w:tcW w:w="1385"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55E388G</w:t>
            </w:r>
          </w:p>
        </w:tc>
        <w:tc>
          <w:tcPr>
            <w:tcW w:w="592"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07" w:type="pct"/>
            <w:gridSpan w:val="3"/>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C、安装辅材</w:t>
            </w:r>
          </w:p>
        </w:tc>
        <w:tc>
          <w:tcPr>
            <w:tcW w:w="592"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8"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材料</w:t>
            </w:r>
          </w:p>
        </w:tc>
        <w:tc>
          <w:tcPr>
            <w:tcW w:w="843" w:type="pct"/>
            <w:noWrap w:val="0"/>
            <w:vAlign w:val="center"/>
          </w:tcPr>
          <w:p>
            <w:pPr>
              <w:pageBreakBefore w:val="0"/>
              <w:widowControl/>
              <w:kinsoku/>
              <w:wordWrap/>
              <w:overflowPunct/>
              <w:topLinePunct w:val="0"/>
              <w:autoSpaceDE/>
              <w:autoSpaceDN/>
              <w:bidi w:val="0"/>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rPr>
              <w:t>国产</w:t>
            </w:r>
          </w:p>
        </w:tc>
        <w:tc>
          <w:tcPr>
            <w:tcW w:w="1385"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定制</w:t>
            </w:r>
          </w:p>
        </w:tc>
        <w:tc>
          <w:tcPr>
            <w:tcW w:w="592"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07" w:type="pct"/>
            <w:gridSpan w:val="3"/>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配套机房UPS电源设备</w:t>
            </w:r>
          </w:p>
        </w:tc>
        <w:tc>
          <w:tcPr>
            <w:tcW w:w="592"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8"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UPS输入箱</w:t>
            </w:r>
          </w:p>
        </w:tc>
        <w:tc>
          <w:tcPr>
            <w:tcW w:w="843" w:type="pct"/>
            <w:noWrap w:val="0"/>
            <w:vAlign w:val="center"/>
          </w:tcPr>
          <w:p>
            <w:pPr>
              <w:pageBreakBefore w:val="0"/>
              <w:widowControl/>
              <w:kinsoku/>
              <w:wordWrap/>
              <w:overflowPunct/>
              <w:topLinePunct w:val="0"/>
              <w:autoSpaceDE/>
              <w:autoSpaceDN/>
              <w:bidi w:val="0"/>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rPr>
              <w:t>施耐德</w:t>
            </w:r>
          </w:p>
        </w:tc>
        <w:tc>
          <w:tcPr>
            <w:tcW w:w="1385"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380V/200A</w:t>
            </w:r>
          </w:p>
        </w:tc>
        <w:tc>
          <w:tcPr>
            <w:tcW w:w="592"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8"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模块化UPS</w:t>
            </w:r>
          </w:p>
        </w:tc>
        <w:tc>
          <w:tcPr>
            <w:tcW w:w="843" w:type="pct"/>
            <w:noWrap w:val="0"/>
            <w:vAlign w:val="center"/>
          </w:tcPr>
          <w:p>
            <w:pPr>
              <w:pageBreakBefore w:val="0"/>
              <w:widowControl/>
              <w:kinsoku/>
              <w:wordWrap/>
              <w:overflowPunct/>
              <w:topLinePunct w:val="0"/>
              <w:autoSpaceDE/>
              <w:autoSpaceDN/>
              <w:bidi w:val="0"/>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rPr>
              <w:t>科华</w:t>
            </w:r>
          </w:p>
        </w:tc>
        <w:tc>
          <w:tcPr>
            <w:tcW w:w="1385"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MR33125</w:t>
            </w:r>
          </w:p>
        </w:tc>
        <w:tc>
          <w:tcPr>
            <w:tcW w:w="592"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8"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UPS输出屏</w:t>
            </w:r>
          </w:p>
        </w:tc>
        <w:tc>
          <w:tcPr>
            <w:tcW w:w="843" w:type="pct"/>
            <w:noWrap w:val="0"/>
            <w:vAlign w:val="center"/>
          </w:tcPr>
          <w:p>
            <w:pPr>
              <w:pageBreakBefore w:val="0"/>
              <w:widowControl/>
              <w:kinsoku/>
              <w:wordWrap/>
              <w:overflowPunct/>
              <w:topLinePunct w:val="0"/>
              <w:autoSpaceDE/>
              <w:autoSpaceDN/>
              <w:bidi w:val="0"/>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rPr>
              <w:t>施耐德</w:t>
            </w:r>
          </w:p>
        </w:tc>
        <w:tc>
          <w:tcPr>
            <w:tcW w:w="1385"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380V/160A</w:t>
            </w:r>
          </w:p>
        </w:tc>
        <w:tc>
          <w:tcPr>
            <w:tcW w:w="592"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8"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电池组</w:t>
            </w:r>
          </w:p>
        </w:tc>
        <w:tc>
          <w:tcPr>
            <w:tcW w:w="843" w:type="pct"/>
            <w:noWrap w:val="0"/>
            <w:vAlign w:val="center"/>
          </w:tcPr>
          <w:p>
            <w:pPr>
              <w:pageBreakBefore w:val="0"/>
              <w:widowControl/>
              <w:kinsoku/>
              <w:wordWrap/>
              <w:overflowPunct/>
              <w:topLinePunct w:val="0"/>
              <w:autoSpaceDE/>
              <w:autoSpaceDN/>
              <w:bidi w:val="0"/>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rPr>
              <w:t>科华</w:t>
            </w:r>
          </w:p>
        </w:tc>
        <w:tc>
          <w:tcPr>
            <w:tcW w:w="1385"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6-GFM-200-YT</w:t>
            </w:r>
          </w:p>
        </w:tc>
        <w:tc>
          <w:tcPr>
            <w:tcW w:w="592"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8"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电源专业材料费</w:t>
            </w:r>
          </w:p>
        </w:tc>
        <w:tc>
          <w:tcPr>
            <w:tcW w:w="843" w:type="pct"/>
            <w:noWrap w:val="0"/>
            <w:vAlign w:val="center"/>
          </w:tcPr>
          <w:p>
            <w:pPr>
              <w:pageBreakBefore w:val="0"/>
              <w:widowControl/>
              <w:kinsoku/>
              <w:wordWrap/>
              <w:overflowPunct/>
              <w:topLinePunct w:val="0"/>
              <w:autoSpaceDE/>
              <w:autoSpaceDN/>
              <w:bidi w:val="0"/>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rPr>
              <w:t>国产</w:t>
            </w:r>
          </w:p>
        </w:tc>
        <w:tc>
          <w:tcPr>
            <w:tcW w:w="1385"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国产</w:t>
            </w:r>
          </w:p>
        </w:tc>
        <w:tc>
          <w:tcPr>
            <w:tcW w:w="592"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07" w:type="pct"/>
            <w:gridSpan w:val="3"/>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仙桃机房动环监控系统</w:t>
            </w:r>
          </w:p>
        </w:tc>
        <w:tc>
          <w:tcPr>
            <w:tcW w:w="592"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8" w:type="pct"/>
            <w:noWrap w:val="0"/>
            <w:vAlign w:val="center"/>
          </w:tcPr>
          <w:p>
            <w:pPr>
              <w:pageBreakBefore w:val="0"/>
              <w:widowControl/>
              <w:kinsoku/>
              <w:wordWrap/>
              <w:overflowPunct/>
              <w:topLinePunct w:val="0"/>
              <w:autoSpaceDE/>
              <w:autoSpaceDN/>
              <w:bidi w:val="0"/>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rPr>
              <w:t>市电监测协议转换软件模块</w:t>
            </w:r>
          </w:p>
        </w:tc>
        <w:tc>
          <w:tcPr>
            <w:tcW w:w="843" w:type="pct"/>
            <w:noWrap w:val="0"/>
            <w:vAlign w:val="center"/>
          </w:tcPr>
          <w:p>
            <w:pPr>
              <w:pageBreakBefore w:val="0"/>
              <w:widowControl/>
              <w:kinsoku/>
              <w:wordWrap/>
              <w:overflowPunct/>
              <w:topLinePunct w:val="0"/>
              <w:autoSpaceDE/>
              <w:autoSpaceDN/>
              <w:bidi w:val="0"/>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rPr>
              <w:t>共济</w:t>
            </w:r>
          </w:p>
        </w:tc>
        <w:tc>
          <w:tcPr>
            <w:tcW w:w="1385"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GX-103</w:t>
            </w:r>
          </w:p>
        </w:tc>
        <w:tc>
          <w:tcPr>
            <w:tcW w:w="592"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8" w:type="pct"/>
            <w:noWrap w:val="0"/>
            <w:vAlign w:val="center"/>
          </w:tcPr>
          <w:p>
            <w:pPr>
              <w:pageBreakBefore w:val="0"/>
              <w:widowControl/>
              <w:kinsoku/>
              <w:wordWrap/>
              <w:overflowPunct/>
              <w:topLinePunct w:val="0"/>
              <w:autoSpaceDE/>
              <w:autoSpaceDN/>
              <w:bidi w:val="0"/>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rPr>
              <w:t>市电监测电流互感器</w:t>
            </w:r>
          </w:p>
        </w:tc>
        <w:tc>
          <w:tcPr>
            <w:tcW w:w="843" w:type="pct"/>
            <w:noWrap w:val="0"/>
            <w:vAlign w:val="center"/>
          </w:tcPr>
          <w:p>
            <w:pPr>
              <w:pageBreakBefore w:val="0"/>
              <w:widowControl/>
              <w:kinsoku/>
              <w:wordWrap/>
              <w:overflowPunct/>
              <w:topLinePunct w:val="0"/>
              <w:autoSpaceDE/>
              <w:autoSpaceDN/>
              <w:bidi w:val="0"/>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rPr>
              <w:t>国产</w:t>
            </w:r>
          </w:p>
        </w:tc>
        <w:tc>
          <w:tcPr>
            <w:tcW w:w="1385"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200/5</w:t>
            </w:r>
          </w:p>
        </w:tc>
        <w:tc>
          <w:tcPr>
            <w:tcW w:w="592"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8" w:type="pct"/>
            <w:noWrap w:val="0"/>
            <w:vAlign w:val="center"/>
          </w:tcPr>
          <w:p>
            <w:pPr>
              <w:pageBreakBefore w:val="0"/>
              <w:widowControl/>
              <w:kinsoku/>
              <w:wordWrap/>
              <w:overflowPunct/>
              <w:topLinePunct w:val="0"/>
              <w:autoSpaceDE/>
              <w:autoSpaceDN/>
              <w:bidi w:val="0"/>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rPr>
              <w:t>配电开关检测开关状态监测触点</w:t>
            </w:r>
          </w:p>
        </w:tc>
        <w:tc>
          <w:tcPr>
            <w:tcW w:w="843" w:type="pct"/>
            <w:noWrap w:val="0"/>
            <w:vAlign w:val="center"/>
          </w:tcPr>
          <w:p>
            <w:pPr>
              <w:pageBreakBefore w:val="0"/>
              <w:widowControl/>
              <w:kinsoku/>
              <w:wordWrap/>
              <w:overflowPunct/>
              <w:topLinePunct w:val="0"/>
              <w:autoSpaceDE/>
              <w:autoSpaceDN/>
              <w:bidi w:val="0"/>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rPr>
              <w:t>共济</w:t>
            </w:r>
          </w:p>
        </w:tc>
        <w:tc>
          <w:tcPr>
            <w:tcW w:w="1385"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DS-7052D-H</w:t>
            </w:r>
            <w:r>
              <w:rPr>
                <w:rFonts w:hint="eastAsia" w:ascii="宋体" w:hAnsi="宋体" w:eastAsia="宋体" w:cs="宋体"/>
                <w:kern w:val="0"/>
                <w:sz w:val="24"/>
                <w:szCs w:val="24"/>
              </w:rPr>
              <w:br w:type="textWrapping"/>
            </w:r>
            <w:r>
              <w:rPr>
                <w:rFonts w:hint="eastAsia" w:ascii="宋体" w:hAnsi="宋体" w:eastAsia="宋体" w:cs="宋体"/>
                <w:kern w:val="0"/>
                <w:sz w:val="24"/>
                <w:szCs w:val="24"/>
              </w:rPr>
              <w:t>DS-7052D</w:t>
            </w:r>
          </w:p>
        </w:tc>
        <w:tc>
          <w:tcPr>
            <w:tcW w:w="592"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8" w:type="pct"/>
            <w:noWrap w:val="0"/>
            <w:vAlign w:val="center"/>
          </w:tcPr>
          <w:p>
            <w:pPr>
              <w:pageBreakBefore w:val="0"/>
              <w:widowControl/>
              <w:kinsoku/>
              <w:wordWrap/>
              <w:overflowPunct/>
              <w:topLinePunct w:val="0"/>
              <w:autoSpaceDE/>
              <w:autoSpaceDN/>
              <w:bidi w:val="0"/>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rPr>
              <w:t>UPS监控通信模块</w:t>
            </w:r>
          </w:p>
        </w:tc>
        <w:tc>
          <w:tcPr>
            <w:tcW w:w="843" w:type="pct"/>
            <w:noWrap w:val="0"/>
            <w:vAlign w:val="center"/>
          </w:tcPr>
          <w:p>
            <w:pPr>
              <w:pageBreakBefore w:val="0"/>
              <w:widowControl/>
              <w:kinsoku/>
              <w:wordWrap/>
              <w:overflowPunct/>
              <w:topLinePunct w:val="0"/>
              <w:autoSpaceDE/>
              <w:autoSpaceDN/>
              <w:bidi w:val="0"/>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rPr>
              <w:t>共济</w:t>
            </w:r>
          </w:p>
        </w:tc>
        <w:tc>
          <w:tcPr>
            <w:tcW w:w="1385"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DS-7520</w:t>
            </w:r>
          </w:p>
        </w:tc>
        <w:tc>
          <w:tcPr>
            <w:tcW w:w="592"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8" w:type="pct"/>
            <w:noWrap w:val="0"/>
            <w:vAlign w:val="center"/>
          </w:tcPr>
          <w:p>
            <w:pPr>
              <w:pageBreakBefore w:val="0"/>
              <w:widowControl/>
              <w:kinsoku/>
              <w:wordWrap/>
              <w:overflowPunct/>
              <w:topLinePunct w:val="0"/>
              <w:autoSpaceDE/>
              <w:autoSpaceDN/>
              <w:bidi w:val="0"/>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rPr>
              <w:t>UPS监控协议转换软件模块</w:t>
            </w:r>
          </w:p>
        </w:tc>
        <w:tc>
          <w:tcPr>
            <w:tcW w:w="843" w:type="pct"/>
            <w:noWrap w:val="0"/>
            <w:vAlign w:val="center"/>
          </w:tcPr>
          <w:p>
            <w:pPr>
              <w:pageBreakBefore w:val="0"/>
              <w:widowControl/>
              <w:kinsoku/>
              <w:wordWrap/>
              <w:overflowPunct/>
              <w:topLinePunct w:val="0"/>
              <w:autoSpaceDE/>
              <w:autoSpaceDN/>
              <w:bidi w:val="0"/>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rPr>
              <w:t>共济</w:t>
            </w:r>
          </w:p>
        </w:tc>
        <w:tc>
          <w:tcPr>
            <w:tcW w:w="1385"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软件接口</w:t>
            </w:r>
          </w:p>
        </w:tc>
        <w:tc>
          <w:tcPr>
            <w:tcW w:w="592"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8" w:type="pct"/>
            <w:noWrap w:val="0"/>
            <w:vAlign w:val="center"/>
          </w:tcPr>
          <w:p>
            <w:pPr>
              <w:pageBreakBefore w:val="0"/>
              <w:widowControl/>
              <w:kinsoku/>
              <w:wordWrap/>
              <w:overflowPunct/>
              <w:topLinePunct w:val="0"/>
              <w:autoSpaceDE/>
              <w:autoSpaceDN/>
              <w:bidi w:val="0"/>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rPr>
              <w:t>温湿度协议转换软件模块</w:t>
            </w:r>
          </w:p>
        </w:tc>
        <w:tc>
          <w:tcPr>
            <w:tcW w:w="843" w:type="pct"/>
            <w:noWrap w:val="0"/>
            <w:vAlign w:val="center"/>
          </w:tcPr>
          <w:p>
            <w:pPr>
              <w:pageBreakBefore w:val="0"/>
              <w:widowControl/>
              <w:kinsoku/>
              <w:wordWrap/>
              <w:overflowPunct/>
              <w:topLinePunct w:val="0"/>
              <w:autoSpaceDE/>
              <w:autoSpaceDN/>
              <w:bidi w:val="0"/>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rPr>
              <w:t>共济</w:t>
            </w:r>
          </w:p>
        </w:tc>
        <w:tc>
          <w:tcPr>
            <w:tcW w:w="1385"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TH-03</w:t>
            </w:r>
          </w:p>
        </w:tc>
        <w:tc>
          <w:tcPr>
            <w:tcW w:w="592"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8" w:type="pct"/>
            <w:noWrap w:val="0"/>
            <w:vAlign w:val="center"/>
          </w:tcPr>
          <w:p>
            <w:pPr>
              <w:pageBreakBefore w:val="0"/>
              <w:widowControl/>
              <w:kinsoku/>
              <w:wordWrap/>
              <w:overflowPunct/>
              <w:topLinePunct w:val="0"/>
              <w:autoSpaceDE/>
              <w:autoSpaceDN/>
              <w:bidi w:val="0"/>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rPr>
              <w:t>精密空调监控通信模块</w:t>
            </w:r>
          </w:p>
        </w:tc>
        <w:tc>
          <w:tcPr>
            <w:tcW w:w="843" w:type="pct"/>
            <w:noWrap w:val="0"/>
            <w:vAlign w:val="center"/>
          </w:tcPr>
          <w:p>
            <w:pPr>
              <w:pageBreakBefore w:val="0"/>
              <w:widowControl/>
              <w:kinsoku/>
              <w:wordWrap/>
              <w:overflowPunct/>
              <w:topLinePunct w:val="0"/>
              <w:autoSpaceDE/>
              <w:autoSpaceDN/>
              <w:bidi w:val="0"/>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rPr>
              <w:t>共济</w:t>
            </w:r>
          </w:p>
        </w:tc>
        <w:tc>
          <w:tcPr>
            <w:tcW w:w="1385"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DS-7520</w:t>
            </w:r>
          </w:p>
        </w:tc>
        <w:tc>
          <w:tcPr>
            <w:tcW w:w="592"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8" w:type="pct"/>
            <w:noWrap w:val="0"/>
            <w:vAlign w:val="center"/>
          </w:tcPr>
          <w:p>
            <w:pPr>
              <w:pageBreakBefore w:val="0"/>
              <w:widowControl/>
              <w:kinsoku/>
              <w:wordWrap/>
              <w:overflowPunct/>
              <w:topLinePunct w:val="0"/>
              <w:autoSpaceDE/>
              <w:autoSpaceDN/>
              <w:bidi w:val="0"/>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rPr>
              <w:t>精密空调协议转换软件模块</w:t>
            </w:r>
          </w:p>
        </w:tc>
        <w:tc>
          <w:tcPr>
            <w:tcW w:w="843" w:type="pct"/>
            <w:noWrap w:val="0"/>
            <w:vAlign w:val="center"/>
          </w:tcPr>
          <w:p>
            <w:pPr>
              <w:pageBreakBefore w:val="0"/>
              <w:widowControl/>
              <w:kinsoku/>
              <w:wordWrap/>
              <w:overflowPunct/>
              <w:topLinePunct w:val="0"/>
              <w:autoSpaceDE/>
              <w:autoSpaceDN/>
              <w:bidi w:val="0"/>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rPr>
              <w:t>共济</w:t>
            </w:r>
          </w:p>
        </w:tc>
        <w:tc>
          <w:tcPr>
            <w:tcW w:w="1385"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软件接口</w:t>
            </w:r>
          </w:p>
        </w:tc>
        <w:tc>
          <w:tcPr>
            <w:tcW w:w="592"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8" w:type="pct"/>
            <w:noWrap w:val="0"/>
            <w:vAlign w:val="center"/>
          </w:tcPr>
          <w:p>
            <w:pPr>
              <w:pageBreakBefore w:val="0"/>
              <w:widowControl/>
              <w:kinsoku/>
              <w:wordWrap/>
              <w:overflowPunct/>
              <w:topLinePunct w:val="0"/>
              <w:autoSpaceDE/>
              <w:autoSpaceDN/>
              <w:bidi w:val="0"/>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rPr>
              <w:t>烟雾探测器烟感探头</w:t>
            </w:r>
          </w:p>
        </w:tc>
        <w:tc>
          <w:tcPr>
            <w:tcW w:w="843" w:type="pct"/>
            <w:noWrap w:val="0"/>
            <w:vAlign w:val="center"/>
          </w:tcPr>
          <w:p>
            <w:pPr>
              <w:pageBreakBefore w:val="0"/>
              <w:widowControl/>
              <w:kinsoku/>
              <w:wordWrap/>
              <w:overflowPunct/>
              <w:topLinePunct w:val="0"/>
              <w:autoSpaceDE/>
              <w:autoSpaceDN/>
              <w:bidi w:val="0"/>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rPr>
              <w:t>共济</w:t>
            </w:r>
          </w:p>
        </w:tc>
        <w:tc>
          <w:tcPr>
            <w:tcW w:w="1385"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LH-94(II)</w:t>
            </w:r>
          </w:p>
        </w:tc>
        <w:tc>
          <w:tcPr>
            <w:tcW w:w="592"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8" w:type="pct"/>
            <w:noWrap w:val="0"/>
            <w:vAlign w:val="center"/>
          </w:tcPr>
          <w:p>
            <w:pPr>
              <w:pageBreakBefore w:val="0"/>
              <w:widowControl/>
              <w:kinsoku/>
              <w:wordWrap/>
              <w:overflowPunct/>
              <w:topLinePunct w:val="0"/>
              <w:autoSpaceDE/>
              <w:autoSpaceDN/>
              <w:bidi w:val="0"/>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rPr>
              <w:t>烟雾探测器开关量采集模块</w:t>
            </w:r>
          </w:p>
        </w:tc>
        <w:tc>
          <w:tcPr>
            <w:tcW w:w="843" w:type="pct"/>
            <w:noWrap w:val="0"/>
            <w:vAlign w:val="center"/>
          </w:tcPr>
          <w:p>
            <w:pPr>
              <w:pageBreakBefore w:val="0"/>
              <w:widowControl/>
              <w:kinsoku/>
              <w:wordWrap/>
              <w:overflowPunct/>
              <w:topLinePunct w:val="0"/>
              <w:autoSpaceDE/>
              <w:autoSpaceDN/>
              <w:bidi w:val="0"/>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rPr>
              <w:t>共济</w:t>
            </w:r>
          </w:p>
        </w:tc>
        <w:tc>
          <w:tcPr>
            <w:tcW w:w="1385"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DS-7052D</w:t>
            </w:r>
          </w:p>
        </w:tc>
        <w:tc>
          <w:tcPr>
            <w:tcW w:w="592"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8" w:type="pct"/>
            <w:noWrap w:val="0"/>
            <w:vAlign w:val="center"/>
          </w:tcPr>
          <w:p>
            <w:pPr>
              <w:pageBreakBefore w:val="0"/>
              <w:widowControl/>
              <w:kinsoku/>
              <w:wordWrap/>
              <w:overflowPunct/>
              <w:topLinePunct w:val="0"/>
              <w:autoSpaceDE/>
              <w:autoSpaceDN/>
              <w:bidi w:val="0"/>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rPr>
              <w:t>视频监控系统控制模块</w:t>
            </w:r>
          </w:p>
        </w:tc>
        <w:tc>
          <w:tcPr>
            <w:tcW w:w="843" w:type="pct"/>
            <w:noWrap w:val="0"/>
            <w:vAlign w:val="center"/>
          </w:tcPr>
          <w:p>
            <w:pPr>
              <w:pageBreakBefore w:val="0"/>
              <w:widowControl/>
              <w:kinsoku/>
              <w:wordWrap/>
              <w:overflowPunct/>
              <w:topLinePunct w:val="0"/>
              <w:autoSpaceDE/>
              <w:autoSpaceDN/>
              <w:bidi w:val="0"/>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rPr>
              <w:t>国产</w:t>
            </w:r>
          </w:p>
        </w:tc>
        <w:tc>
          <w:tcPr>
            <w:tcW w:w="1385"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定制</w:t>
            </w:r>
          </w:p>
        </w:tc>
        <w:tc>
          <w:tcPr>
            <w:tcW w:w="592"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8" w:type="pct"/>
            <w:noWrap w:val="0"/>
            <w:vAlign w:val="center"/>
          </w:tcPr>
          <w:p>
            <w:pPr>
              <w:pageBreakBefore w:val="0"/>
              <w:widowControl/>
              <w:kinsoku/>
              <w:wordWrap/>
              <w:overflowPunct/>
              <w:topLinePunct w:val="0"/>
              <w:autoSpaceDE/>
              <w:autoSpaceDN/>
              <w:bidi w:val="0"/>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rPr>
              <w:t>视频监控系统摄像头</w:t>
            </w:r>
          </w:p>
        </w:tc>
        <w:tc>
          <w:tcPr>
            <w:tcW w:w="843" w:type="pct"/>
            <w:noWrap w:val="0"/>
            <w:vAlign w:val="center"/>
          </w:tcPr>
          <w:p>
            <w:pPr>
              <w:pageBreakBefore w:val="0"/>
              <w:widowControl/>
              <w:kinsoku/>
              <w:wordWrap/>
              <w:overflowPunct/>
              <w:topLinePunct w:val="0"/>
              <w:autoSpaceDE/>
              <w:autoSpaceDN/>
              <w:bidi w:val="0"/>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rPr>
              <w:t>海康</w:t>
            </w:r>
          </w:p>
        </w:tc>
        <w:tc>
          <w:tcPr>
            <w:tcW w:w="1385"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DS-2CD2325D-I</w:t>
            </w:r>
          </w:p>
        </w:tc>
        <w:tc>
          <w:tcPr>
            <w:tcW w:w="592"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8" w:type="pct"/>
            <w:noWrap w:val="0"/>
            <w:vAlign w:val="center"/>
          </w:tcPr>
          <w:p>
            <w:pPr>
              <w:pageBreakBefore w:val="0"/>
              <w:widowControl/>
              <w:kinsoku/>
              <w:wordWrap/>
              <w:overflowPunct/>
              <w:topLinePunct w:val="0"/>
              <w:autoSpaceDE/>
              <w:autoSpaceDN/>
              <w:bidi w:val="0"/>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rPr>
              <w:t>视频监控系统网络硬盘录像机</w:t>
            </w:r>
          </w:p>
        </w:tc>
        <w:tc>
          <w:tcPr>
            <w:tcW w:w="843" w:type="pct"/>
            <w:noWrap w:val="0"/>
            <w:vAlign w:val="center"/>
          </w:tcPr>
          <w:p>
            <w:pPr>
              <w:pageBreakBefore w:val="0"/>
              <w:widowControl/>
              <w:kinsoku/>
              <w:wordWrap/>
              <w:overflowPunct/>
              <w:topLinePunct w:val="0"/>
              <w:autoSpaceDE/>
              <w:autoSpaceDN/>
              <w:bidi w:val="0"/>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rPr>
              <w:t>海康</w:t>
            </w:r>
          </w:p>
        </w:tc>
        <w:tc>
          <w:tcPr>
            <w:tcW w:w="1385"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DS-8608N-K8</w:t>
            </w:r>
          </w:p>
        </w:tc>
        <w:tc>
          <w:tcPr>
            <w:tcW w:w="592"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8" w:type="pct"/>
            <w:noWrap w:val="0"/>
            <w:vAlign w:val="center"/>
          </w:tcPr>
          <w:p>
            <w:pPr>
              <w:pageBreakBefore w:val="0"/>
              <w:widowControl/>
              <w:kinsoku/>
              <w:wordWrap/>
              <w:overflowPunct/>
              <w:topLinePunct w:val="0"/>
              <w:autoSpaceDE/>
              <w:autoSpaceDN/>
              <w:bidi w:val="0"/>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rPr>
              <w:t>区域式漏水泄漏检测</w:t>
            </w:r>
          </w:p>
        </w:tc>
        <w:tc>
          <w:tcPr>
            <w:tcW w:w="843" w:type="pct"/>
            <w:noWrap w:val="0"/>
            <w:vAlign w:val="center"/>
          </w:tcPr>
          <w:p>
            <w:pPr>
              <w:pageBreakBefore w:val="0"/>
              <w:widowControl/>
              <w:kinsoku/>
              <w:wordWrap/>
              <w:overflowPunct/>
              <w:topLinePunct w:val="0"/>
              <w:autoSpaceDE/>
              <w:autoSpaceDN/>
              <w:bidi w:val="0"/>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rPr>
              <w:t>万慧通</w:t>
            </w:r>
          </w:p>
        </w:tc>
        <w:tc>
          <w:tcPr>
            <w:tcW w:w="1385"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WT-CON12</w:t>
            </w:r>
          </w:p>
        </w:tc>
        <w:tc>
          <w:tcPr>
            <w:tcW w:w="592"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8" w:type="pct"/>
            <w:noWrap w:val="0"/>
            <w:vAlign w:val="center"/>
          </w:tcPr>
          <w:p>
            <w:pPr>
              <w:pageBreakBefore w:val="0"/>
              <w:widowControl/>
              <w:kinsoku/>
              <w:wordWrap/>
              <w:overflowPunct/>
              <w:topLinePunct w:val="0"/>
              <w:autoSpaceDE/>
              <w:autoSpaceDN/>
              <w:bidi w:val="0"/>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rPr>
              <w:t>蓄电池监测蓄电池组监测仪</w:t>
            </w:r>
          </w:p>
        </w:tc>
        <w:tc>
          <w:tcPr>
            <w:tcW w:w="843" w:type="pct"/>
            <w:noWrap w:val="0"/>
            <w:vAlign w:val="center"/>
          </w:tcPr>
          <w:p>
            <w:pPr>
              <w:pageBreakBefore w:val="0"/>
              <w:widowControl/>
              <w:kinsoku/>
              <w:wordWrap/>
              <w:overflowPunct/>
              <w:topLinePunct w:val="0"/>
              <w:autoSpaceDE/>
              <w:autoSpaceDN/>
              <w:bidi w:val="0"/>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rPr>
              <w:t>共济</w:t>
            </w:r>
          </w:p>
        </w:tc>
        <w:tc>
          <w:tcPr>
            <w:tcW w:w="1385"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XDC-100-1240</w:t>
            </w:r>
          </w:p>
        </w:tc>
        <w:tc>
          <w:tcPr>
            <w:tcW w:w="592"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8" w:type="pct"/>
            <w:noWrap w:val="0"/>
            <w:vAlign w:val="center"/>
          </w:tcPr>
          <w:p>
            <w:pPr>
              <w:pageBreakBefore w:val="0"/>
              <w:widowControl/>
              <w:kinsoku/>
              <w:wordWrap/>
              <w:overflowPunct/>
              <w:topLinePunct w:val="0"/>
              <w:autoSpaceDE/>
              <w:autoSpaceDN/>
              <w:bidi w:val="0"/>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rPr>
              <w:t>蓄电池监测电池夹</w:t>
            </w:r>
          </w:p>
        </w:tc>
        <w:tc>
          <w:tcPr>
            <w:tcW w:w="843" w:type="pct"/>
            <w:noWrap w:val="0"/>
            <w:vAlign w:val="center"/>
          </w:tcPr>
          <w:p>
            <w:pPr>
              <w:pageBreakBefore w:val="0"/>
              <w:widowControl/>
              <w:kinsoku/>
              <w:wordWrap/>
              <w:overflowPunct/>
              <w:topLinePunct w:val="0"/>
              <w:autoSpaceDE/>
              <w:autoSpaceDN/>
              <w:bidi w:val="0"/>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rPr>
              <w:t>国产</w:t>
            </w:r>
          </w:p>
        </w:tc>
        <w:tc>
          <w:tcPr>
            <w:tcW w:w="1385"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U型电池夹</w:t>
            </w:r>
          </w:p>
        </w:tc>
        <w:tc>
          <w:tcPr>
            <w:tcW w:w="592"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8" w:type="pct"/>
            <w:noWrap w:val="0"/>
            <w:vAlign w:val="center"/>
          </w:tcPr>
          <w:p>
            <w:pPr>
              <w:pageBreakBefore w:val="0"/>
              <w:widowControl/>
              <w:kinsoku/>
              <w:wordWrap/>
              <w:overflowPunct/>
              <w:topLinePunct w:val="0"/>
              <w:autoSpaceDE/>
              <w:autoSpaceDN/>
              <w:bidi w:val="0"/>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rPr>
              <w:t>蓄电池监测电池表面温度传感器</w:t>
            </w:r>
          </w:p>
        </w:tc>
        <w:tc>
          <w:tcPr>
            <w:tcW w:w="843" w:type="pct"/>
            <w:noWrap w:val="0"/>
            <w:vAlign w:val="center"/>
          </w:tcPr>
          <w:p>
            <w:pPr>
              <w:pageBreakBefore w:val="0"/>
              <w:widowControl/>
              <w:kinsoku/>
              <w:wordWrap/>
              <w:overflowPunct/>
              <w:topLinePunct w:val="0"/>
              <w:autoSpaceDE/>
              <w:autoSpaceDN/>
              <w:bidi w:val="0"/>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rPr>
              <w:t>国产</w:t>
            </w:r>
          </w:p>
        </w:tc>
        <w:tc>
          <w:tcPr>
            <w:tcW w:w="1385"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TEM-100</w:t>
            </w:r>
          </w:p>
        </w:tc>
        <w:tc>
          <w:tcPr>
            <w:tcW w:w="592"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8" w:type="pct"/>
            <w:noWrap w:val="0"/>
            <w:vAlign w:val="center"/>
          </w:tcPr>
          <w:p>
            <w:pPr>
              <w:pageBreakBefore w:val="0"/>
              <w:widowControl/>
              <w:kinsoku/>
              <w:wordWrap/>
              <w:overflowPunct/>
              <w:topLinePunct w:val="0"/>
              <w:autoSpaceDE/>
              <w:autoSpaceDN/>
              <w:bidi w:val="0"/>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rPr>
              <w:t>蓄电池监测霍尔电流传感器</w:t>
            </w:r>
          </w:p>
        </w:tc>
        <w:tc>
          <w:tcPr>
            <w:tcW w:w="843" w:type="pct"/>
            <w:noWrap w:val="0"/>
            <w:vAlign w:val="center"/>
          </w:tcPr>
          <w:p>
            <w:pPr>
              <w:pageBreakBefore w:val="0"/>
              <w:widowControl/>
              <w:kinsoku/>
              <w:wordWrap/>
              <w:overflowPunct/>
              <w:topLinePunct w:val="0"/>
              <w:autoSpaceDE/>
              <w:autoSpaceDN/>
              <w:bidi w:val="0"/>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rPr>
              <w:t>国产</w:t>
            </w:r>
          </w:p>
        </w:tc>
        <w:tc>
          <w:tcPr>
            <w:tcW w:w="1385"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霍尔电流传感器</w:t>
            </w:r>
          </w:p>
        </w:tc>
        <w:tc>
          <w:tcPr>
            <w:tcW w:w="592"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8" w:type="pct"/>
            <w:noWrap w:val="0"/>
            <w:vAlign w:val="center"/>
          </w:tcPr>
          <w:p>
            <w:pPr>
              <w:pageBreakBefore w:val="0"/>
              <w:widowControl/>
              <w:kinsoku/>
              <w:wordWrap/>
              <w:overflowPunct/>
              <w:topLinePunct w:val="0"/>
              <w:autoSpaceDE/>
              <w:autoSpaceDN/>
              <w:bidi w:val="0"/>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rPr>
              <w:t>蓄电池监测协议转换软件模块</w:t>
            </w:r>
          </w:p>
        </w:tc>
        <w:tc>
          <w:tcPr>
            <w:tcW w:w="843" w:type="pct"/>
            <w:noWrap w:val="0"/>
            <w:vAlign w:val="center"/>
          </w:tcPr>
          <w:p>
            <w:pPr>
              <w:pageBreakBefore w:val="0"/>
              <w:widowControl/>
              <w:kinsoku/>
              <w:wordWrap/>
              <w:overflowPunct/>
              <w:topLinePunct w:val="0"/>
              <w:autoSpaceDE/>
              <w:autoSpaceDN/>
              <w:bidi w:val="0"/>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rPr>
              <w:t>共济</w:t>
            </w:r>
          </w:p>
        </w:tc>
        <w:tc>
          <w:tcPr>
            <w:tcW w:w="1385"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软件接口</w:t>
            </w:r>
          </w:p>
        </w:tc>
        <w:tc>
          <w:tcPr>
            <w:tcW w:w="592"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8" w:type="pct"/>
            <w:noWrap w:val="0"/>
            <w:vAlign w:val="center"/>
          </w:tcPr>
          <w:p>
            <w:pPr>
              <w:pageBreakBefore w:val="0"/>
              <w:widowControl/>
              <w:kinsoku/>
              <w:wordWrap/>
              <w:overflowPunct/>
              <w:topLinePunct w:val="0"/>
              <w:autoSpaceDE/>
              <w:autoSpaceDN/>
              <w:bidi w:val="0"/>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rPr>
              <w:t>中心控制硬件中心服务器</w:t>
            </w:r>
          </w:p>
        </w:tc>
        <w:tc>
          <w:tcPr>
            <w:tcW w:w="843" w:type="pct"/>
            <w:noWrap w:val="0"/>
            <w:vAlign w:val="center"/>
          </w:tcPr>
          <w:p>
            <w:pPr>
              <w:pageBreakBefore w:val="0"/>
              <w:widowControl/>
              <w:kinsoku/>
              <w:wordWrap/>
              <w:overflowPunct/>
              <w:topLinePunct w:val="0"/>
              <w:autoSpaceDE/>
              <w:autoSpaceDN/>
              <w:bidi w:val="0"/>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rPr>
              <w:t>共济</w:t>
            </w:r>
          </w:p>
        </w:tc>
        <w:tc>
          <w:tcPr>
            <w:tcW w:w="1385"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CM-DESK-Lserver</w:t>
            </w:r>
          </w:p>
        </w:tc>
        <w:tc>
          <w:tcPr>
            <w:tcW w:w="592"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8" w:type="pct"/>
            <w:noWrap w:val="0"/>
            <w:vAlign w:val="center"/>
          </w:tcPr>
          <w:p>
            <w:pPr>
              <w:pageBreakBefore w:val="0"/>
              <w:widowControl/>
              <w:kinsoku/>
              <w:wordWrap/>
              <w:overflowPunct/>
              <w:topLinePunct w:val="0"/>
              <w:autoSpaceDE/>
              <w:autoSpaceDN/>
              <w:bidi w:val="0"/>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rPr>
              <w:t>中心控制硬件串口网络服务器</w:t>
            </w:r>
          </w:p>
        </w:tc>
        <w:tc>
          <w:tcPr>
            <w:tcW w:w="843" w:type="pct"/>
            <w:noWrap w:val="0"/>
            <w:vAlign w:val="center"/>
          </w:tcPr>
          <w:p>
            <w:pPr>
              <w:pageBreakBefore w:val="0"/>
              <w:widowControl/>
              <w:kinsoku/>
              <w:wordWrap/>
              <w:overflowPunct/>
              <w:topLinePunct w:val="0"/>
              <w:autoSpaceDE/>
              <w:autoSpaceDN/>
              <w:bidi w:val="0"/>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rPr>
              <w:t>康耐德</w:t>
            </w:r>
          </w:p>
        </w:tc>
        <w:tc>
          <w:tcPr>
            <w:tcW w:w="1385"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C2000 N380</w:t>
            </w:r>
          </w:p>
        </w:tc>
        <w:tc>
          <w:tcPr>
            <w:tcW w:w="592"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8" w:type="pct"/>
            <w:noWrap w:val="0"/>
            <w:vAlign w:val="center"/>
          </w:tcPr>
          <w:p>
            <w:pPr>
              <w:pageBreakBefore w:val="0"/>
              <w:widowControl/>
              <w:kinsoku/>
              <w:wordWrap/>
              <w:overflowPunct/>
              <w:topLinePunct w:val="0"/>
              <w:autoSpaceDE/>
              <w:autoSpaceDN/>
              <w:bidi w:val="0"/>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rPr>
              <w:t>中心控制硬件控制终端</w:t>
            </w:r>
          </w:p>
        </w:tc>
        <w:tc>
          <w:tcPr>
            <w:tcW w:w="843" w:type="pct"/>
            <w:noWrap w:val="0"/>
            <w:vAlign w:val="center"/>
          </w:tcPr>
          <w:p>
            <w:pPr>
              <w:pageBreakBefore w:val="0"/>
              <w:widowControl/>
              <w:kinsoku/>
              <w:wordWrap/>
              <w:overflowPunct/>
              <w:topLinePunct w:val="0"/>
              <w:autoSpaceDE/>
              <w:autoSpaceDN/>
              <w:bidi w:val="0"/>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rPr>
              <w:t>联想</w:t>
            </w:r>
          </w:p>
        </w:tc>
        <w:tc>
          <w:tcPr>
            <w:tcW w:w="1385"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启天M620-N000</w:t>
            </w:r>
          </w:p>
        </w:tc>
        <w:tc>
          <w:tcPr>
            <w:tcW w:w="592"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108" w:type="dxa"/>
            <w:bottom w:w="0" w:type="dxa"/>
            <w:right w:w="108" w:type="dxa"/>
          </w:tblCellMar>
        </w:tblPrEx>
        <w:trPr>
          <w:jc w:val="center"/>
        </w:trPr>
        <w:tc>
          <w:tcPr>
            <w:tcW w:w="2178" w:type="pct"/>
            <w:noWrap w:val="0"/>
            <w:vAlign w:val="center"/>
          </w:tcPr>
          <w:p>
            <w:pPr>
              <w:pageBreakBefore w:val="0"/>
              <w:widowControl/>
              <w:kinsoku/>
              <w:wordWrap/>
              <w:overflowPunct/>
              <w:topLinePunct w:val="0"/>
              <w:autoSpaceDE/>
              <w:autoSpaceDN/>
              <w:bidi w:val="0"/>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rPr>
              <w:t>平台软件</w:t>
            </w:r>
          </w:p>
        </w:tc>
        <w:tc>
          <w:tcPr>
            <w:tcW w:w="843" w:type="pct"/>
            <w:noWrap w:val="0"/>
            <w:vAlign w:val="center"/>
          </w:tcPr>
          <w:p>
            <w:pPr>
              <w:pageBreakBefore w:val="0"/>
              <w:widowControl/>
              <w:kinsoku/>
              <w:wordWrap/>
              <w:overflowPunct/>
              <w:topLinePunct w:val="0"/>
              <w:autoSpaceDE/>
              <w:autoSpaceDN/>
              <w:bidi w:val="0"/>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rPr>
              <w:t>共济</w:t>
            </w:r>
          </w:p>
        </w:tc>
        <w:tc>
          <w:tcPr>
            <w:tcW w:w="1385"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CM-DESK-SE</w:t>
            </w:r>
          </w:p>
        </w:tc>
        <w:tc>
          <w:tcPr>
            <w:tcW w:w="592"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8" w:type="pct"/>
            <w:noWrap w:val="0"/>
            <w:vAlign w:val="center"/>
          </w:tcPr>
          <w:p>
            <w:pPr>
              <w:pageBreakBefore w:val="0"/>
              <w:widowControl/>
              <w:kinsoku/>
              <w:wordWrap/>
              <w:overflowPunct/>
              <w:topLinePunct w:val="0"/>
              <w:autoSpaceDE/>
              <w:autoSpaceDN/>
              <w:bidi w:val="0"/>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rPr>
              <w:t>辅助材料</w:t>
            </w:r>
          </w:p>
        </w:tc>
        <w:tc>
          <w:tcPr>
            <w:tcW w:w="843" w:type="pct"/>
            <w:noWrap w:val="0"/>
            <w:vAlign w:val="center"/>
          </w:tcPr>
          <w:p>
            <w:pPr>
              <w:pageBreakBefore w:val="0"/>
              <w:widowControl/>
              <w:kinsoku/>
              <w:wordWrap/>
              <w:overflowPunct/>
              <w:topLinePunct w:val="0"/>
              <w:autoSpaceDE/>
              <w:autoSpaceDN/>
              <w:bidi w:val="0"/>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rPr>
              <w:t>国产</w:t>
            </w:r>
          </w:p>
        </w:tc>
        <w:tc>
          <w:tcPr>
            <w:tcW w:w="1385"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国产</w:t>
            </w:r>
          </w:p>
        </w:tc>
        <w:tc>
          <w:tcPr>
            <w:tcW w:w="592"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8" w:type="pct"/>
            <w:noWrap w:val="0"/>
            <w:vAlign w:val="center"/>
          </w:tcPr>
          <w:p>
            <w:pPr>
              <w:pageBreakBefore w:val="0"/>
              <w:widowControl/>
              <w:kinsoku/>
              <w:wordWrap/>
              <w:overflowPunct/>
              <w:topLinePunct w:val="0"/>
              <w:autoSpaceDE/>
              <w:autoSpaceDN/>
              <w:bidi w:val="0"/>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rPr>
              <w:t>网线</w:t>
            </w:r>
          </w:p>
        </w:tc>
        <w:tc>
          <w:tcPr>
            <w:tcW w:w="843" w:type="pct"/>
            <w:noWrap w:val="0"/>
            <w:vAlign w:val="center"/>
          </w:tcPr>
          <w:p>
            <w:pPr>
              <w:pageBreakBefore w:val="0"/>
              <w:widowControl/>
              <w:kinsoku/>
              <w:wordWrap/>
              <w:overflowPunct/>
              <w:topLinePunct w:val="0"/>
              <w:autoSpaceDE/>
              <w:autoSpaceDN/>
              <w:bidi w:val="0"/>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rPr>
              <w:t>清华同方</w:t>
            </w:r>
          </w:p>
        </w:tc>
        <w:tc>
          <w:tcPr>
            <w:tcW w:w="1385"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CC72004</w:t>
            </w:r>
          </w:p>
        </w:tc>
        <w:tc>
          <w:tcPr>
            <w:tcW w:w="592"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8" w:type="pct"/>
            <w:noWrap w:val="0"/>
            <w:vAlign w:val="center"/>
          </w:tcPr>
          <w:p>
            <w:pPr>
              <w:pageBreakBefore w:val="0"/>
              <w:widowControl/>
              <w:kinsoku/>
              <w:wordWrap/>
              <w:overflowPunct/>
              <w:topLinePunct w:val="0"/>
              <w:autoSpaceDE/>
              <w:autoSpaceDN/>
              <w:bidi w:val="0"/>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rPr>
              <w:t>接入交换机</w:t>
            </w:r>
          </w:p>
        </w:tc>
        <w:tc>
          <w:tcPr>
            <w:tcW w:w="843" w:type="pct"/>
            <w:noWrap w:val="0"/>
            <w:vAlign w:val="center"/>
          </w:tcPr>
          <w:p>
            <w:pPr>
              <w:pageBreakBefore w:val="0"/>
              <w:widowControl/>
              <w:kinsoku/>
              <w:wordWrap/>
              <w:overflowPunct/>
              <w:topLinePunct w:val="0"/>
              <w:autoSpaceDE/>
              <w:autoSpaceDN/>
              <w:bidi w:val="0"/>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rPr>
              <w:t>H3C</w:t>
            </w:r>
          </w:p>
        </w:tc>
        <w:tc>
          <w:tcPr>
            <w:tcW w:w="1385"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S5130S-20P-PWR-EI</w:t>
            </w:r>
          </w:p>
        </w:tc>
        <w:tc>
          <w:tcPr>
            <w:tcW w:w="592"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8" w:type="pct"/>
            <w:noWrap w:val="0"/>
            <w:vAlign w:val="center"/>
          </w:tcPr>
          <w:p>
            <w:pPr>
              <w:pageBreakBefore w:val="0"/>
              <w:widowControl/>
              <w:kinsoku/>
              <w:wordWrap/>
              <w:overflowPunct/>
              <w:topLinePunct w:val="0"/>
              <w:autoSpaceDE/>
              <w:autoSpaceDN/>
              <w:bidi w:val="0"/>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rPr>
              <w:t>电视机</w:t>
            </w:r>
          </w:p>
        </w:tc>
        <w:tc>
          <w:tcPr>
            <w:tcW w:w="843" w:type="pct"/>
            <w:noWrap w:val="0"/>
            <w:vAlign w:val="center"/>
          </w:tcPr>
          <w:p>
            <w:pPr>
              <w:pageBreakBefore w:val="0"/>
              <w:widowControl/>
              <w:kinsoku/>
              <w:wordWrap/>
              <w:overflowPunct/>
              <w:topLinePunct w:val="0"/>
              <w:autoSpaceDE/>
              <w:autoSpaceDN/>
              <w:bidi w:val="0"/>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rPr>
              <w:t>创维</w:t>
            </w:r>
          </w:p>
        </w:tc>
        <w:tc>
          <w:tcPr>
            <w:tcW w:w="1385"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55E388G</w:t>
            </w:r>
          </w:p>
        </w:tc>
        <w:tc>
          <w:tcPr>
            <w:tcW w:w="592"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07" w:type="pct"/>
            <w:gridSpan w:val="3"/>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仙桃机房门禁系统</w:t>
            </w:r>
          </w:p>
        </w:tc>
        <w:tc>
          <w:tcPr>
            <w:tcW w:w="592"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8"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门禁控制主机</w:t>
            </w:r>
          </w:p>
        </w:tc>
        <w:tc>
          <w:tcPr>
            <w:tcW w:w="843"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大华</w:t>
            </w:r>
          </w:p>
        </w:tc>
        <w:tc>
          <w:tcPr>
            <w:tcW w:w="1385"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DH-ASC1204C-S</w:t>
            </w:r>
          </w:p>
        </w:tc>
        <w:tc>
          <w:tcPr>
            <w:tcW w:w="592"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8"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读卡器</w:t>
            </w:r>
          </w:p>
        </w:tc>
        <w:tc>
          <w:tcPr>
            <w:tcW w:w="843"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大华</w:t>
            </w:r>
          </w:p>
        </w:tc>
        <w:tc>
          <w:tcPr>
            <w:tcW w:w="1385"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DH-ASR1101A</w:t>
            </w:r>
          </w:p>
        </w:tc>
        <w:tc>
          <w:tcPr>
            <w:tcW w:w="592"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8"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ID卡</w:t>
            </w:r>
          </w:p>
        </w:tc>
        <w:tc>
          <w:tcPr>
            <w:tcW w:w="843"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大华</w:t>
            </w:r>
          </w:p>
        </w:tc>
        <w:tc>
          <w:tcPr>
            <w:tcW w:w="1385"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IC</w:t>
            </w:r>
          </w:p>
        </w:tc>
        <w:tc>
          <w:tcPr>
            <w:tcW w:w="592"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8"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电磁锁</w:t>
            </w:r>
          </w:p>
        </w:tc>
        <w:tc>
          <w:tcPr>
            <w:tcW w:w="843"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大华</w:t>
            </w:r>
          </w:p>
        </w:tc>
        <w:tc>
          <w:tcPr>
            <w:tcW w:w="1385"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DH-ASF280A</w:t>
            </w:r>
          </w:p>
        </w:tc>
        <w:tc>
          <w:tcPr>
            <w:tcW w:w="592"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8"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出门按钮</w:t>
            </w:r>
          </w:p>
        </w:tc>
        <w:tc>
          <w:tcPr>
            <w:tcW w:w="843"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大华</w:t>
            </w:r>
          </w:p>
        </w:tc>
        <w:tc>
          <w:tcPr>
            <w:tcW w:w="1385"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DH-ASF900</w:t>
            </w:r>
          </w:p>
        </w:tc>
        <w:tc>
          <w:tcPr>
            <w:tcW w:w="592"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8"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工业电源</w:t>
            </w:r>
          </w:p>
        </w:tc>
        <w:tc>
          <w:tcPr>
            <w:tcW w:w="843"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大华</w:t>
            </w:r>
          </w:p>
        </w:tc>
        <w:tc>
          <w:tcPr>
            <w:tcW w:w="1385"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DH-PFM320</w:t>
            </w:r>
          </w:p>
        </w:tc>
        <w:tc>
          <w:tcPr>
            <w:tcW w:w="592"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8"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消防联动控制模块</w:t>
            </w:r>
          </w:p>
        </w:tc>
        <w:tc>
          <w:tcPr>
            <w:tcW w:w="843"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国产</w:t>
            </w:r>
          </w:p>
        </w:tc>
        <w:tc>
          <w:tcPr>
            <w:tcW w:w="1385"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定制</w:t>
            </w:r>
          </w:p>
        </w:tc>
        <w:tc>
          <w:tcPr>
            <w:tcW w:w="592"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8"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协议转换软件模块</w:t>
            </w:r>
          </w:p>
        </w:tc>
        <w:tc>
          <w:tcPr>
            <w:tcW w:w="843"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国产</w:t>
            </w:r>
          </w:p>
        </w:tc>
        <w:tc>
          <w:tcPr>
            <w:tcW w:w="1385"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定制</w:t>
            </w:r>
          </w:p>
        </w:tc>
        <w:tc>
          <w:tcPr>
            <w:tcW w:w="592"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78"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控制终端</w:t>
            </w:r>
          </w:p>
        </w:tc>
        <w:tc>
          <w:tcPr>
            <w:tcW w:w="843"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联想</w:t>
            </w:r>
          </w:p>
        </w:tc>
        <w:tc>
          <w:tcPr>
            <w:tcW w:w="1385"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ThinkCentre</w:t>
            </w:r>
            <w:r>
              <w:rPr>
                <w:rFonts w:hint="eastAsia" w:ascii="宋体" w:hAnsi="宋体" w:eastAsia="宋体" w:cs="宋体"/>
                <w:kern w:val="0"/>
                <w:sz w:val="24"/>
                <w:szCs w:val="24"/>
              </w:rPr>
              <w:br w:type="textWrapping"/>
            </w:r>
            <w:r>
              <w:rPr>
                <w:rFonts w:hint="eastAsia" w:ascii="宋体" w:hAnsi="宋体" w:eastAsia="宋体" w:cs="宋体"/>
                <w:kern w:val="0"/>
                <w:sz w:val="24"/>
                <w:szCs w:val="24"/>
              </w:rPr>
              <w:t>M920-N000</w:t>
            </w:r>
          </w:p>
        </w:tc>
        <w:tc>
          <w:tcPr>
            <w:tcW w:w="592" w:type="pct"/>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r>
    </w:tbl>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五</w:t>
      </w:r>
      <w:r>
        <w:rPr>
          <w:rFonts w:hint="eastAsia" w:ascii="宋体" w:hAnsi="宋体" w:eastAsia="宋体" w:cs="宋体"/>
          <w:kern w:val="0"/>
          <w:sz w:val="24"/>
          <w:szCs w:val="24"/>
        </w:rPr>
        <w:t>）仙桃机房网络设备、H3C防火墙、超融合一体机、部分服务器</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8"/>
        <w:gridCol w:w="1307"/>
        <w:gridCol w:w="5060"/>
        <w:gridCol w:w="1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设备名称</w:t>
            </w:r>
          </w:p>
        </w:tc>
        <w:tc>
          <w:tcPr>
            <w:tcW w:w="1307" w:type="dxa"/>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品牌</w:t>
            </w:r>
          </w:p>
        </w:tc>
        <w:tc>
          <w:tcPr>
            <w:tcW w:w="5060"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型号</w:t>
            </w:r>
          </w:p>
        </w:tc>
        <w:tc>
          <w:tcPr>
            <w:tcW w:w="0" w:type="auto"/>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超融合一体机</w:t>
            </w:r>
          </w:p>
        </w:tc>
        <w:tc>
          <w:tcPr>
            <w:tcW w:w="1307" w:type="dxa"/>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深信服</w:t>
            </w:r>
          </w:p>
        </w:tc>
        <w:tc>
          <w:tcPr>
            <w:tcW w:w="5060"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aServer-2105</w:t>
            </w:r>
          </w:p>
        </w:tc>
        <w:tc>
          <w:tcPr>
            <w:tcW w:w="0" w:type="auto"/>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配套超融合系统管理软件和分布式存储软件</w:t>
            </w:r>
          </w:p>
        </w:tc>
        <w:tc>
          <w:tcPr>
            <w:tcW w:w="1307" w:type="dxa"/>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深信服</w:t>
            </w:r>
          </w:p>
        </w:tc>
        <w:tc>
          <w:tcPr>
            <w:tcW w:w="5060"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深信服云计算管理软件/深信服虚拟存储软件/深信服网络虚拟化软件/深信服vAD-800/深信服vAF-1600</w:t>
            </w:r>
          </w:p>
        </w:tc>
        <w:tc>
          <w:tcPr>
            <w:tcW w:w="0" w:type="auto"/>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配套云计算虚拟化软件及相关安装环境</w:t>
            </w:r>
          </w:p>
        </w:tc>
        <w:tc>
          <w:tcPr>
            <w:tcW w:w="1307" w:type="dxa"/>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深信服</w:t>
            </w:r>
          </w:p>
        </w:tc>
        <w:tc>
          <w:tcPr>
            <w:tcW w:w="5060"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计算服务器虚拟化软件</w:t>
            </w:r>
          </w:p>
        </w:tc>
        <w:tc>
          <w:tcPr>
            <w:tcW w:w="0" w:type="auto"/>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数据库服务器</w:t>
            </w:r>
          </w:p>
        </w:tc>
        <w:tc>
          <w:tcPr>
            <w:tcW w:w="1307" w:type="dxa"/>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H3C</w:t>
            </w:r>
          </w:p>
        </w:tc>
        <w:tc>
          <w:tcPr>
            <w:tcW w:w="5060"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UIS-Cell-6000-G3</w:t>
            </w:r>
          </w:p>
        </w:tc>
        <w:tc>
          <w:tcPr>
            <w:tcW w:w="0" w:type="auto"/>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备份一体机</w:t>
            </w:r>
          </w:p>
        </w:tc>
        <w:tc>
          <w:tcPr>
            <w:tcW w:w="1307" w:type="dxa"/>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火星舱</w:t>
            </w:r>
          </w:p>
        </w:tc>
        <w:tc>
          <w:tcPr>
            <w:tcW w:w="5060"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MSA-SSA-S16</w:t>
            </w:r>
          </w:p>
        </w:tc>
        <w:tc>
          <w:tcPr>
            <w:tcW w:w="0" w:type="auto"/>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KVM</w:t>
            </w:r>
          </w:p>
        </w:tc>
        <w:tc>
          <w:tcPr>
            <w:tcW w:w="1307" w:type="dxa"/>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宏正</w:t>
            </w:r>
          </w:p>
        </w:tc>
        <w:tc>
          <w:tcPr>
            <w:tcW w:w="5060"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KN1132V</w:t>
            </w:r>
          </w:p>
        </w:tc>
        <w:tc>
          <w:tcPr>
            <w:tcW w:w="0" w:type="auto"/>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接入路由器</w:t>
            </w:r>
          </w:p>
        </w:tc>
        <w:tc>
          <w:tcPr>
            <w:tcW w:w="1307" w:type="dxa"/>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H3C</w:t>
            </w:r>
          </w:p>
        </w:tc>
        <w:tc>
          <w:tcPr>
            <w:tcW w:w="5060"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RT-MSR3640</w:t>
            </w:r>
          </w:p>
        </w:tc>
        <w:tc>
          <w:tcPr>
            <w:tcW w:w="0" w:type="auto"/>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汇聚交换机</w:t>
            </w:r>
          </w:p>
        </w:tc>
        <w:tc>
          <w:tcPr>
            <w:tcW w:w="1307" w:type="dxa"/>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H3C</w:t>
            </w:r>
          </w:p>
        </w:tc>
        <w:tc>
          <w:tcPr>
            <w:tcW w:w="5060"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LS-5130-30C-HI</w:t>
            </w:r>
          </w:p>
        </w:tc>
        <w:tc>
          <w:tcPr>
            <w:tcW w:w="0" w:type="auto"/>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核心交换机</w:t>
            </w:r>
          </w:p>
        </w:tc>
        <w:tc>
          <w:tcPr>
            <w:tcW w:w="1307" w:type="dxa"/>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H3C</w:t>
            </w:r>
          </w:p>
        </w:tc>
        <w:tc>
          <w:tcPr>
            <w:tcW w:w="5060"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LS-Z+M-18</w:t>
            </w:r>
          </w:p>
        </w:tc>
        <w:tc>
          <w:tcPr>
            <w:tcW w:w="0" w:type="auto"/>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机柜</w:t>
            </w:r>
          </w:p>
        </w:tc>
        <w:tc>
          <w:tcPr>
            <w:tcW w:w="1307" w:type="dxa"/>
            <w:noWrap w:val="0"/>
            <w:vAlign w:val="center"/>
          </w:tcPr>
          <w:p>
            <w:pPr>
              <w:pageBreakBefore w:val="0"/>
              <w:widowControl/>
              <w:kinsoku/>
              <w:wordWrap/>
              <w:overflowPunct/>
              <w:topLinePunct w:val="0"/>
              <w:autoSpaceDE/>
              <w:autoSpaceDN/>
              <w:bidi w:val="0"/>
              <w:adjustRightInd w:val="0"/>
              <w:snapToGri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国产</w:t>
            </w:r>
          </w:p>
        </w:tc>
        <w:tc>
          <w:tcPr>
            <w:tcW w:w="5060"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国产</w:t>
            </w:r>
          </w:p>
        </w:tc>
        <w:tc>
          <w:tcPr>
            <w:tcW w:w="0" w:type="auto"/>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监测科服务器</w:t>
            </w:r>
          </w:p>
        </w:tc>
        <w:tc>
          <w:tcPr>
            <w:tcW w:w="1307"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p>
        </w:tc>
        <w:tc>
          <w:tcPr>
            <w:tcW w:w="5060"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p>
        </w:tc>
        <w:tc>
          <w:tcPr>
            <w:tcW w:w="0" w:type="auto"/>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监测科存储</w:t>
            </w:r>
          </w:p>
        </w:tc>
        <w:tc>
          <w:tcPr>
            <w:tcW w:w="1307"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p>
        </w:tc>
        <w:tc>
          <w:tcPr>
            <w:tcW w:w="5060" w:type="dxa"/>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p>
        </w:tc>
        <w:tc>
          <w:tcPr>
            <w:tcW w:w="0" w:type="auto"/>
            <w:noWrap w:val="0"/>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bl>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六</w:t>
      </w:r>
      <w:r>
        <w:rPr>
          <w:rFonts w:hint="eastAsia" w:ascii="宋体" w:hAnsi="宋体" w:eastAsia="宋体" w:cs="宋体"/>
          <w:kern w:val="0"/>
          <w:sz w:val="24"/>
          <w:szCs w:val="24"/>
        </w:rPr>
        <w:t>）仙桃机房服务器及配套虚拟化软件</w:t>
      </w:r>
    </w:p>
    <w:tbl>
      <w:tblPr>
        <w:tblStyle w:val="14"/>
        <w:tblW w:w="0" w:type="auto"/>
        <w:jc w:val="center"/>
        <w:tblLayout w:type="autofit"/>
        <w:tblCellMar>
          <w:top w:w="0" w:type="dxa"/>
          <w:left w:w="0" w:type="dxa"/>
          <w:bottom w:w="0" w:type="dxa"/>
          <w:right w:w="0" w:type="dxa"/>
        </w:tblCellMar>
      </w:tblPr>
      <w:tblGrid>
        <w:gridCol w:w="2270"/>
        <w:gridCol w:w="1070"/>
        <w:gridCol w:w="3230"/>
        <w:gridCol w:w="1070"/>
      </w:tblGrid>
      <w:tr>
        <w:tblPrEx>
          <w:tblCellMar>
            <w:top w:w="0" w:type="dxa"/>
            <w:left w:w="0" w:type="dxa"/>
            <w:bottom w:w="0" w:type="dxa"/>
            <w:right w:w="0" w:type="dxa"/>
          </w:tblCellMar>
        </w:tblPrEx>
        <w:trPr>
          <w:trHeight w:val="564" w:hRule="atLeast"/>
          <w:jc w:val="center"/>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名称</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品牌</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型号</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数量</w:t>
            </w:r>
          </w:p>
        </w:tc>
      </w:tr>
      <w:tr>
        <w:tblPrEx>
          <w:tblCellMar>
            <w:top w:w="0" w:type="dxa"/>
            <w:left w:w="0" w:type="dxa"/>
            <w:bottom w:w="0" w:type="dxa"/>
            <w:right w:w="0" w:type="dxa"/>
          </w:tblCellMar>
        </w:tblPrEx>
        <w:trPr>
          <w:trHeight w:val="610" w:hRule="atLeast"/>
          <w:jc w:val="center"/>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虚拟化管理软件</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H3C</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H3C CAS</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1套</w:t>
            </w:r>
          </w:p>
        </w:tc>
      </w:tr>
      <w:tr>
        <w:tblPrEx>
          <w:tblCellMar>
            <w:top w:w="0" w:type="dxa"/>
            <w:left w:w="0" w:type="dxa"/>
            <w:bottom w:w="0" w:type="dxa"/>
            <w:right w:w="0" w:type="dxa"/>
          </w:tblCellMar>
        </w:tblPrEx>
        <w:trPr>
          <w:trHeight w:val="575" w:hRule="atLeast"/>
          <w:jc w:val="center"/>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服务器</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H3C</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H3C UniServer R4900 G3</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4台</w:t>
            </w:r>
          </w:p>
        </w:tc>
      </w:tr>
    </w:tbl>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p>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七</w:t>
      </w:r>
      <w:r>
        <w:rPr>
          <w:rFonts w:hint="eastAsia" w:ascii="宋体" w:hAnsi="宋体" w:eastAsia="宋体" w:cs="宋体"/>
          <w:kern w:val="0"/>
          <w:sz w:val="24"/>
          <w:szCs w:val="24"/>
        </w:rPr>
        <w:t>）仙桃机房网络安全设备</w:t>
      </w:r>
    </w:p>
    <w:tbl>
      <w:tblPr>
        <w:tblStyle w:val="14"/>
        <w:tblW w:w="0" w:type="auto"/>
        <w:jc w:val="center"/>
        <w:tblLayout w:type="autofit"/>
        <w:tblCellMar>
          <w:top w:w="0" w:type="dxa"/>
          <w:left w:w="0" w:type="dxa"/>
          <w:bottom w:w="0" w:type="dxa"/>
          <w:right w:w="0" w:type="dxa"/>
        </w:tblCellMar>
      </w:tblPr>
      <w:tblGrid>
        <w:gridCol w:w="2510"/>
        <w:gridCol w:w="1550"/>
        <w:gridCol w:w="3350"/>
        <w:gridCol w:w="1070"/>
      </w:tblGrid>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名称</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品牌</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型号</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数量</w:t>
            </w:r>
          </w:p>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(台)</w:t>
            </w:r>
          </w:p>
        </w:tc>
      </w:tr>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日志审计</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网御星云</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Leadsec-RS-300-RP-A</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数据库审计</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网御星云</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LA-DAP-1100-U-A</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漏洞扫描</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网御星云</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TS-SC-E1010-A</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CellMar>
            <w:top w:w="0" w:type="dxa"/>
            <w:left w:w="0" w:type="dxa"/>
            <w:bottom w:w="0" w:type="dxa"/>
            <w:right w:w="0"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堡垒机</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网御星云</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LA-OS-6600-SA</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基线核查</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网御星云</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Leadsec-CVS1400-A</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潜在威胁探针</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网御星云</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TD3000-FS-HD-A</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APT高级威胁检测</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网御星云</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APT3000-TD-LA</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DDOS设备</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网御星云</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TAM-GUARD-G7800N-A</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入侵检测</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网御星云</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Leadsec-6000IPS-5801E-A</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安全态势感知平台</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网御星云</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Leadsec-CSA-NTA-CDB-A</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防病毒网关</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网御星云</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PowerV6000-U3510E-A</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入侵防御</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深信服</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NIPS-2000-B2100-L9</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汇聚交换机</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H3C</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H3C 5048PV5-EI</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w:t>
            </w:r>
          </w:p>
        </w:tc>
      </w:tr>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灵创智恒安全网关</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灵创</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CIST-GW V4.0</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0" w:type="dxa"/>
            <w:bottom w:w="0" w:type="dxa"/>
            <w:right w:w="0" w:type="dxa"/>
          </w:tblCellMar>
        </w:tblPrEx>
        <w:trPr>
          <w:trHeight w:val="567" w:hRule="atLeast"/>
          <w:jc w:val="center"/>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防火墙</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H3C</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bl>
    <w:p>
      <w:pPr>
        <w:pStyle w:val="2"/>
        <w:rPr>
          <w:rFonts w:hint="eastAsia" w:ascii="宋体" w:hAnsi="宋体" w:eastAsia="宋体" w:cs="宋体"/>
          <w:kern w:val="0"/>
          <w:sz w:val="24"/>
          <w:szCs w:val="24"/>
        </w:rPr>
      </w:pPr>
    </w:p>
    <w:bookmarkEnd w:id="23"/>
    <w:bookmarkEnd w:id="24"/>
    <w:bookmarkEnd w:id="25"/>
    <w:bookmarkEnd w:id="26"/>
    <w:bookmarkEnd w:id="27"/>
    <w:bookmarkEnd w:id="28"/>
    <w:p>
      <w:pPr>
        <w:pStyle w:val="3"/>
        <w:pageBreakBefore/>
        <w:spacing w:line="360" w:lineRule="auto"/>
        <w:jc w:val="center"/>
        <w:rPr>
          <w:rFonts w:ascii="宋体" w:hAnsi="宋体" w:eastAsia="宋体" w:cs="宋体"/>
          <w:b w:val="0"/>
          <w:sz w:val="36"/>
          <w:szCs w:val="30"/>
        </w:rPr>
      </w:pPr>
      <w:r>
        <w:rPr>
          <w:rFonts w:hint="eastAsia" w:ascii="宋体" w:hAnsi="宋体" w:eastAsia="宋体" w:cs="宋体"/>
          <w:b w:val="0"/>
          <w:sz w:val="36"/>
          <w:szCs w:val="30"/>
        </w:rPr>
        <w:t>第三篇  项目商务需求</w:t>
      </w:r>
      <w:bookmarkEnd w:id="21"/>
      <w:bookmarkEnd w:id="22"/>
    </w:p>
    <w:p>
      <w:pPr>
        <w:pageBreakBefore w:val="0"/>
        <w:widowControl w:val="0"/>
        <w:kinsoku/>
        <w:wordWrap/>
        <w:overflowPunct/>
        <w:topLinePunct w:val="0"/>
        <w:autoSpaceDE/>
        <w:autoSpaceDN/>
        <w:bidi w:val="0"/>
        <w:adjustRightInd/>
        <w:spacing w:line="500" w:lineRule="exact"/>
        <w:ind w:firstLine="422" w:firstLineChars="200"/>
        <w:textAlignment w:val="auto"/>
        <w:rPr>
          <w:rFonts w:ascii="宋体" w:hAnsi="宋体" w:cs="宋体"/>
          <w:sz w:val="24"/>
          <w:szCs w:val="24"/>
        </w:rPr>
      </w:pPr>
      <w:bookmarkStart w:id="29" w:name="_Toc344475120"/>
      <w:r>
        <w:rPr>
          <w:rFonts w:hint="eastAsia" w:ascii="宋体" w:hAnsi="宋体" w:cs="宋体"/>
          <w:b/>
          <w:sz w:val="21"/>
          <w:szCs w:val="21"/>
        </w:rPr>
        <w:t>“※”标注的要求为符合性审查中的实质性要求，响应文件若不满足按无效响应处理。</w:t>
      </w:r>
    </w:p>
    <w:bookmarkEnd w:id="29"/>
    <w:p>
      <w:pPr>
        <w:pStyle w:val="5"/>
        <w:pageBreakBefore w:val="0"/>
        <w:widowControl w:val="0"/>
        <w:kinsoku/>
        <w:wordWrap/>
        <w:overflowPunct/>
        <w:topLinePunct w:val="0"/>
        <w:autoSpaceDE/>
        <w:autoSpaceDN/>
        <w:bidi w:val="0"/>
        <w:adjustRightInd/>
        <w:spacing w:before="0" w:after="0" w:line="500" w:lineRule="exact"/>
        <w:ind w:firstLine="482" w:firstLineChars="200"/>
        <w:textAlignment w:val="auto"/>
        <w:rPr>
          <w:rFonts w:ascii="宋体" w:hAnsi="宋体" w:cs="宋体"/>
          <w:sz w:val="24"/>
          <w:szCs w:val="24"/>
        </w:rPr>
      </w:pPr>
      <w:bookmarkStart w:id="30" w:name="_Toc377042757"/>
      <w:bookmarkStart w:id="31" w:name="_Toc20130543"/>
      <w:bookmarkStart w:id="32" w:name="_Toc17407344"/>
      <w:bookmarkStart w:id="33" w:name="_Toc267320049"/>
      <w:r>
        <w:rPr>
          <w:rFonts w:hint="eastAsia" w:ascii="宋体" w:hAnsi="宋体" w:cs="宋体"/>
          <w:sz w:val="24"/>
          <w:szCs w:val="24"/>
        </w:rPr>
        <w:t>※一、服务期、地点、验收方式</w:t>
      </w:r>
      <w:bookmarkEnd w:id="30"/>
      <w:bookmarkEnd w:id="31"/>
      <w:bookmarkEnd w:id="32"/>
      <w:bookmarkEnd w:id="33"/>
      <w:r>
        <w:rPr>
          <w:rFonts w:hint="eastAsia" w:ascii="宋体" w:hAnsi="宋体" w:cs="宋体"/>
          <w:sz w:val="24"/>
          <w:szCs w:val="24"/>
        </w:rPr>
        <w:t>及标准</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ascii="宋体" w:hAnsi="宋体" w:cs="宋体"/>
          <w:sz w:val="24"/>
          <w:szCs w:val="24"/>
        </w:rPr>
      </w:pPr>
      <w:r>
        <w:rPr>
          <w:rFonts w:hint="eastAsia" w:ascii="宋体" w:hAnsi="宋体" w:cs="宋体"/>
          <w:sz w:val="24"/>
          <w:szCs w:val="24"/>
        </w:rPr>
        <w:t>（一）服务期</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cs="宋体"/>
          <w:sz w:val="24"/>
          <w:szCs w:val="24"/>
          <w:highlight w:val="none"/>
        </w:rPr>
        <w:t>12个月，2024年5月17日-2025年5月16日</w:t>
      </w:r>
      <w:r>
        <w:rPr>
          <w:rFonts w:hint="eastAsia" w:ascii="宋体" w:hAnsi="宋体" w:cs="宋体"/>
          <w:sz w:val="24"/>
          <w:szCs w:val="24"/>
          <w:highlight w:val="none"/>
          <w:lang w:eastAsia="zh-CN"/>
        </w:rPr>
        <w:t>。</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ascii="宋体" w:hAnsi="宋体" w:cs="宋体"/>
          <w:sz w:val="24"/>
          <w:szCs w:val="24"/>
        </w:rPr>
      </w:pPr>
      <w:r>
        <w:rPr>
          <w:rFonts w:hint="eastAsia" w:ascii="宋体" w:hAnsi="宋体" w:cs="宋体"/>
          <w:sz w:val="24"/>
          <w:szCs w:val="24"/>
        </w:rPr>
        <w:t>（二）服务地点</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ascii="宋体" w:hAnsi="宋体" w:cs="宋体"/>
          <w:sz w:val="24"/>
          <w:szCs w:val="24"/>
        </w:rPr>
      </w:pPr>
      <w:r>
        <w:rPr>
          <w:rFonts w:hint="eastAsia" w:ascii="宋体" w:hAnsi="宋体" w:cs="宋体"/>
          <w:sz w:val="24"/>
          <w:szCs w:val="24"/>
          <w:lang w:val="en-US" w:eastAsia="zh-CN"/>
        </w:rPr>
        <w:t>采购人办公地点及机房等</w:t>
      </w:r>
      <w:r>
        <w:rPr>
          <w:rFonts w:hint="eastAsia" w:ascii="宋体" w:hAnsi="宋体" w:cs="宋体"/>
          <w:sz w:val="24"/>
          <w:szCs w:val="24"/>
        </w:rPr>
        <w:t>。</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ascii="宋体" w:hAnsi="宋体" w:cs="宋体"/>
          <w:sz w:val="24"/>
          <w:szCs w:val="24"/>
        </w:rPr>
      </w:pPr>
      <w:bookmarkStart w:id="34" w:name="_Toc377042758"/>
      <w:bookmarkStart w:id="35" w:name="_Toc267320050"/>
      <w:r>
        <w:rPr>
          <w:rFonts w:hint="eastAsia" w:ascii="宋体" w:hAnsi="宋体" w:cs="宋体"/>
          <w:sz w:val="24"/>
          <w:szCs w:val="24"/>
        </w:rPr>
        <w:t>（三）验收方式及标准</w:t>
      </w:r>
    </w:p>
    <w:p>
      <w:pPr>
        <w:pStyle w:val="5"/>
        <w:pageBreakBefore w:val="0"/>
        <w:widowControl w:val="0"/>
        <w:kinsoku/>
        <w:wordWrap/>
        <w:overflowPunct/>
        <w:topLinePunct w:val="0"/>
        <w:autoSpaceDE/>
        <w:autoSpaceDN/>
        <w:bidi w:val="0"/>
        <w:adjustRightInd/>
        <w:spacing w:before="0" w:after="0" w:line="500" w:lineRule="exact"/>
        <w:ind w:firstLine="480" w:firstLineChars="200"/>
        <w:textAlignment w:val="auto"/>
        <w:rPr>
          <w:rFonts w:hint="eastAsia" w:ascii="宋体" w:hAnsi="宋体" w:cs="宋体"/>
          <w:b w:val="0"/>
          <w:bCs/>
          <w:sz w:val="24"/>
          <w:szCs w:val="24"/>
        </w:rPr>
      </w:pPr>
      <w:bookmarkStart w:id="36" w:name="_Toc17407345"/>
      <w:bookmarkStart w:id="37" w:name="_Toc20130544"/>
      <w:r>
        <w:rPr>
          <w:rFonts w:hint="eastAsia" w:ascii="宋体" w:hAnsi="宋体" w:cs="宋体"/>
          <w:b w:val="0"/>
          <w:bCs/>
          <w:sz w:val="24"/>
          <w:szCs w:val="24"/>
        </w:rPr>
        <w:t>1. 验收单位：重庆市无线电监测站。</w:t>
      </w:r>
    </w:p>
    <w:p>
      <w:pPr>
        <w:pStyle w:val="5"/>
        <w:pageBreakBefore w:val="0"/>
        <w:widowControl w:val="0"/>
        <w:kinsoku/>
        <w:wordWrap/>
        <w:overflowPunct/>
        <w:topLinePunct w:val="0"/>
        <w:autoSpaceDE/>
        <w:autoSpaceDN/>
        <w:bidi w:val="0"/>
        <w:adjustRightInd/>
        <w:spacing w:before="0" w:after="0" w:line="500" w:lineRule="exact"/>
        <w:ind w:firstLine="480" w:firstLineChars="200"/>
        <w:textAlignment w:val="auto"/>
        <w:rPr>
          <w:rFonts w:hint="eastAsia" w:ascii="宋体" w:hAnsi="宋体" w:cs="宋体"/>
          <w:b w:val="0"/>
          <w:bCs/>
          <w:sz w:val="24"/>
          <w:szCs w:val="24"/>
        </w:rPr>
      </w:pPr>
      <w:r>
        <w:rPr>
          <w:rFonts w:hint="eastAsia" w:ascii="宋体" w:hAnsi="宋体" w:cs="宋体"/>
          <w:b w:val="0"/>
          <w:bCs/>
          <w:sz w:val="24"/>
          <w:szCs w:val="24"/>
        </w:rPr>
        <w:t>2. 验收标准：成交供应商完成全部项目内容后，</w:t>
      </w:r>
      <w:r>
        <w:rPr>
          <w:rFonts w:hint="eastAsia" w:ascii="宋体" w:hAnsi="宋体" w:cs="宋体"/>
          <w:b w:val="0"/>
          <w:bCs/>
          <w:sz w:val="24"/>
          <w:szCs w:val="24"/>
          <w:lang w:val="en-US" w:eastAsia="zh-CN"/>
        </w:rPr>
        <w:t>采购</w:t>
      </w:r>
      <w:r>
        <w:rPr>
          <w:rFonts w:hint="eastAsia" w:ascii="宋体" w:hAnsi="宋体" w:cs="宋体"/>
          <w:b w:val="0"/>
          <w:bCs/>
          <w:sz w:val="24"/>
          <w:szCs w:val="24"/>
        </w:rPr>
        <w:t>人组织开展项目验收</w:t>
      </w:r>
    </w:p>
    <w:p>
      <w:pPr>
        <w:pStyle w:val="5"/>
        <w:pageBreakBefore w:val="0"/>
        <w:widowControl w:val="0"/>
        <w:kinsoku/>
        <w:wordWrap/>
        <w:overflowPunct/>
        <w:topLinePunct w:val="0"/>
        <w:autoSpaceDE/>
        <w:autoSpaceDN/>
        <w:bidi w:val="0"/>
        <w:adjustRightInd/>
        <w:spacing w:before="0" w:after="0" w:line="500" w:lineRule="exact"/>
        <w:ind w:firstLine="482" w:firstLineChars="200"/>
        <w:textAlignment w:val="auto"/>
        <w:rPr>
          <w:rFonts w:ascii="宋体" w:hAnsi="宋体" w:cs="宋体"/>
          <w:sz w:val="24"/>
          <w:szCs w:val="24"/>
        </w:rPr>
      </w:pPr>
      <w:r>
        <w:rPr>
          <w:rFonts w:hint="eastAsia" w:ascii="宋体" w:hAnsi="宋体" w:cs="宋体"/>
          <w:sz w:val="24"/>
          <w:szCs w:val="24"/>
        </w:rPr>
        <w:t>※二、报价要求</w:t>
      </w:r>
      <w:bookmarkEnd w:id="34"/>
      <w:bookmarkEnd w:id="36"/>
      <w:bookmarkEnd w:id="37"/>
    </w:p>
    <w:bookmarkEnd w:id="35"/>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宋体" w:hAnsi="宋体" w:cs="宋体"/>
          <w:sz w:val="24"/>
          <w:szCs w:val="24"/>
        </w:rPr>
      </w:pPr>
      <w:bookmarkStart w:id="38" w:name="_Toc20130545"/>
      <w:bookmarkStart w:id="39" w:name="_Toc377042760"/>
      <w:bookmarkStart w:id="40" w:name="_Toc267320051"/>
      <w:bookmarkStart w:id="41" w:name="_Toc17407347"/>
      <w:r>
        <w:rPr>
          <w:rFonts w:hint="eastAsia" w:ascii="宋体" w:hAnsi="宋体" w:cs="宋体"/>
          <w:sz w:val="24"/>
          <w:szCs w:val="24"/>
        </w:rPr>
        <w:t>（一）报价包括完成本项目所需的包括（但不限于）技术服务费、差旅费、交通费、税费及其它与本项目相关的一切费用。因成交供应商自身原因造成漏报、少报皆由其自行承担责任，采购人不再补偿。</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ascii="宋体" w:hAnsi="宋体" w:cs="宋体"/>
          <w:sz w:val="24"/>
          <w:szCs w:val="24"/>
        </w:rPr>
      </w:pPr>
      <w:r>
        <w:rPr>
          <w:rFonts w:hint="eastAsia" w:ascii="宋体" w:hAnsi="宋体" w:cs="宋体"/>
          <w:sz w:val="24"/>
          <w:szCs w:val="24"/>
        </w:rPr>
        <w:t>（二）本项目设有总价最高限价</w:t>
      </w:r>
      <w:r>
        <w:rPr>
          <w:rFonts w:hint="eastAsia" w:ascii="宋体" w:hAnsi="宋体" w:cs="宋体"/>
          <w:sz w:val="24"/>
          <w:szCs w:val="24"/>
          <w:lang w:val="en-US" w:eastAsia="zh-CN"/>
        </w:rPr>
        <w:t>47.7</w:t>
      </w:r>
      <w:r>
        <w:rPr>
          <w:rFonts w:hint="eastAsia" w:ascii="宋体" w:hAnsi="宋体" w:cs="宋体"/>
          <w:sz w:val="24"/>
          <w:szCs w:val="24"/>
        </w:rPr>
        <w:t>万元，供应商的响应报价不得高于总价最高限价，否则按无效响应处理。</w:t>
      </w:r>
    </w:p>
    <w:p>
      <w:pPr>
        <w:pStyle w:val="5"/>
        <w:pageBreakBefore w:val="0"/>
        <w:widowControl w:val="0"/>
        <w:kinsoku/>
        <w:wordWrap/>
        <w:overflowPunct/>
        <w:topLinePunct w:val="0"/>
        <w:autoSpaceDE/>
        <w:autoSpaceDN/>
        <w:bidi w:val="0"/>
        <w:adjustRightInd/>
        <w:spacing w:before="0" w:after="0" w:line="500" w:lineRule="exact"/>
        <w:ind w:firstLine="482" w:firstLineChars="200"/>
        <w:textAlignment w:val="auto"/>
        <w:rPr>
          <w:rFonts w:ascii="宋体" w:hAnsi="宋体" w:cs="宋体"/>
          <w:sz w:val="24"/>
          <w:szCs w:val="24"/>
        </w:rPr>
      </w:pPr>
      <w:r>
        <w:rPr>
          <w:rFonts w:hint="eastAsia" w:ascii="宋体" w:hAnsi="宋体" w:cs="宋体"/>
          <w:sz w:val="24"/>
          <w:szCs w:val="24"/>
        </w:rPr>
        <w:t>※三、付款方式</w:t>
      </w:r>
      <w:bookmarkEnd w:id="38"/>
      <w:bookmarkEnd w:id="39"/>
      <w:bookmarkEnd w:id="40"/>
      <w:bookmarkEnd w:id="41"/>
      <w:r>
        <w:rPr>
          <w:rFonts w:hint="eastAsia" w:ascii="宋体" w:hAnsi="宋体" w:cs="宋体"/>
          <w:sz w:val="24"/>
          <w:szCs w:val="24"/>
        </w:rPr>
        <w:t xml:space="preserve"> </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宋体" w:hAnsi="宋体" w:cs="宋体"/>
          <w:sz w:val="24"/>
          <w:szCs w:val="24"/>
          <w:lang w:val="en-US" w:eastAsia="zh-CN"/>
        </w:rPr>
      </w:pPr>
      <w:bookmarkStart w:id="42" w:name="_Toc377042761"/>
      <w:bookmarkStart w:id="43" w:name="_Toc267320052"/>
      <w:r>
        <w:rPr>
          <w:rFonts w:hint="eastAsia" w:ascii="宋体" w:hAnsi="宋体" w:cs="宋体"/>
          <w:sz w:val="24"/>
          <w:szCs w:val="24"/>
        </w:rPr>
        <w:t>（一）</w:t>
      </w:r>
      <w:r>
        <w:rPr>
          <w:rFonts w:hint="eastAsia" w:ascii="宋体" w:hAnsi="宋体" w:cs="宋体"/>
          <w:sz w:val="24"/>
          <w:szCs w:val="24"/>
          <w:lang w:val="en-US" w:eastAsia="zh-CN"/>
        </w:rPr>
        <w:t>签订合同前，</w:t>
      </w:r>
      <w:r>
        <w:rPr>
          <w:rFonts w:hint="eastAsia" w:ascii="宋体" w:hAnsi="宋体" w:cs="宋体"/>
          <w:sz w:val="24"/>
          <w:szCs w:val="24"/>
        </w:rPr>
        <w:t>成交供应商</w:t>
      </w:r>
      <w:r>
        <w:rPr>
          <w:rFonts w:hint="eastAsia" w:ascii="宋体" w:hAnsi="宋体" w:cs="宋体"/>
          <w:sz w:val="24"/>
          <w:szCs w:val="24"/>
          <w:lang w:val="en-US" w:eastAsia="zh-CN"/>
        </w:rPr>
        <w:t>向采购人账户</w:t>
      </w:r>
      <w:r>
        <w:rPr>
          <w:rFonts w:hint="eastAsia" w:ascii="宋体" w:hAnsi="宋体" w:cs="宋体"/>
          <w:sz w:val="24"/>
          <w:szCs w:val="24"/>
        </w:rPr>
        <w:t>汇入合同总金额5%的履约保证金。</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二</w:t>
      </w:r>
      <w:r>
        <w:rPr>
          <w:rFonts w:hint="eastAsia" w:ascii="宋体" w:hAnsi="宋体" w:cs="宋体"/>
          <w:sz w:val="24"/>
          <w:szCs w:val="24"/>
          <w:lang w:eastAsia="zh-CN"/>
        </w:rPr>
        <w:t>）</w:t>
      </w:r>
      <w:r>
        <w:rPr>
          <w:rFonts w:hint="eastAsia" w:ascii="宋体" w:hAnsi="宋体" w:cs="宋体"/>
          <w:sz w:val="24"/>
          <w:szCs w:val="24"/>
        </w:rPr>
        <w:t>签订合同后，采购人向成交供应商支付合同总金额</w:t>
      </w:r>
      <w:r>
        <w:rPr>
          <w:rFonts w:hint="eastAsia" w:ascii="宋体" w:hAnsi="宋体" w:cs="宋体"/>
          <w:sz w:val="24"/>
          <w:szCs w:val="24"/>
          <w:lang w:val="en-US" w:eastAsia="zh-CN"/>
        </w:rPr>
        <w:t>5</w:t>
      </w:r>
      <w:r>
        <w:rPr>
          <w:rFonts w:hint="eastAsia" w:ascii="宋体" w:hAnsi="宋体" w:cs="宋体"/>
          <w:sz w:val="24"/>
          <w:szCs w:val="24"/>
        </w:rPr>
        <w:t>0%的预付款。</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三</w:t>
      </w:r>
      <w:r>
        <w:rPr>
          <w:rFonts w:hint="eastAsia" w:ascii="宋体" w:hAnsi="宋体" w:cs="宋体"/>
          <w:sz w:val="24"/>
          <w:szCs w:val="24"/>
        </w:rPr>
        <w:t>）成交供应商完成全部合同约定内容，且项目通过验收后，采购人支付剩余合同金额。</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default" w:ascii="宋体" w:hAnsi="宋体" w:cs="宋体"/>
          <w:sz w:val="24"/>
          <w:szCs w:val="24"/>
          <w:lang w:val="en-US" w:eastAsia="zh-CN"/>
        </w:rPr>
      </w:pPr>
      <w:r>
        <w:rPr>
          <w:rFonts w:hint="eastAsia" w:ascii="宋体" w:hAnsi="宋体" w:cs="宋体"/>
          <w:sz w:val="24"/>
          <w:szCs w:val="24"/>
          <w:lang w:eastAsia="zh-CN"/>
        </w:rPr>
        <w:t>（</w:t>
      </w:r>
      <w:r>
        <w:rPr>
          <w:rFonts w:hint="eastAsia" w:ascii="宋体" w:hAnsi="宋体" w:cs="宋体"/>
          <w:sz w:val="24"/>
          <w:szCs w:val="24"/>
          <w:lang w:val="en-US" w:eastAsia="zh-CN"/>
        </w:rPr>
        <w:t>四</w:t>
      </w:r>
      <w:r>
        <w:rPr>
          <w:rFonts w:hint="eastAsia" w:ascii="宋体" w:hAnsi="宋体" w:cs="宋体"/>
          <w:sz w:val="24"/>
          <w:szCs w:val="24"/>
          <w:lang w:eastAsia="zh-CN"/>
        </w:rPr>
        <w:t>）</w:t>
      </w:r>
      <w:r>
        <w:rPr>
          <w:rFonts w:hint="eastAsia" w:ascii="宋体" w:hAnsi="宋体" w:cs="宋体"/>
          <w:sz w:val="24"/>
          <w:szCs w:val="24"/>
          <w:lang w:val="en-US" w:eastAsia="zh-CN"/>
        </w:rPr>
        <w:t>项目通过验收后，采购人</w:t>
      </w:r>
      <w:r>
        <w:rPr>
          <w:rFonts w:hint="eastAsia" w:ascii="宋体" w:hAnsi="宋体" w:cs="宋体"/>
          <w:sz w:val="24"/>
          <w:szCs w:val="24"/>
        </w:rPr>
        <w:t>一次性无息退还所有</w:t>
      </w:r>
      <w:r>
        <w:rPr>
          <w:rFonts w:hint="eastAsia" w:ascii="宋体" w:hAnsi="宋体" w:cs="宋体"/>
          <w:sz w:val="24"/>
          <w:szCs w:val="24"/>
          <w:lang w:val="en-US" w:eastAsia="zh-CN"/>
        </w:rPr>
        <w:t>履约保证金。</w:t>
      </w:r>
    </w:p>
    <w:bookmarkEnd w:id="42"/>
    <w:bookmarkEnd w:id="43"/>
    <w:p>
      <w:pPr>
        <w:pageBreakBefore w:val="0"/>
        <w:widowControl w:val="0"/>
        <w:kinsoku/>
        <w:wordWrap/>
        <w:overflowPunct/>
        <w:topLinePunct w:val="0"/>
        <w:autoSpaceDE/>
        <w:autoSpaceDN/>
        <w:bidi w:val="0"/>
        <w:adjustRightInd/>
        <w:snapToGrid w:val="0"/>
        <w:spacing w:line="500" w:lineRule="exact"/>
        <w:ind w:firstLine="482" w:firstLineChars="200"/>
        <w:textAlignment w:val="auto"/>
        <w:outlineLvl w:val="0"/>
        <w:rPr>
          <w:rFonts w:ascii="宋体" w:hAnsi="宋体" w:cs="宋体"/>
          <w:b/>
          <w:bCs/>
          <w:sz w:val="24"/>
          <w:szCs w:val="24"/>
        </w:rPr>
      </w:pPr>
      <w:r>
        <w:rPr>
          <w:rFonts w:hint="eastAsia" w:ascii="宋体" w:hAnsi="宋体" w:cs="宋体"/>
          <w:b/>
          <w:bCs/>
          <w:sz w:val="24"/>
          <w:szCs w:val="24"/>
        </w:rPr>
        <w:t>四、知识产权</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ascii="宋体" w:hAnsi="宋体" w:cs="宋体"/>
          <w:sz w:val="24"/>
          <w:szCs w:val="24"/>
        </w:rPr>
      </w:pPr>
      <w:r>
        <w:rPr>
          <w:rFonts w:hint="eastAsia" w:ascii="宋体" w:hAnsi="宋体" w:cs="宋体"/>
          <w:sz w:val="24"/>
          <w:szCs w:val="24"/>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outlineLvl w:val="0"/>
        <w:rPr>
          <w:rFonts w:hint="eastAsia" w:ascii="宋体" w:hAnsi="宋体" w:eastAsia="宋体" w:cs="宋体"/>
          <w:b/>
          <w:bCs/>
          <w:sz w:val="24"/>
          <w:szCs w:val="24"/>
          <w:lang w:val="en-US" w:eastAsia="zh-CN"/>
        </w:rPr>
      </w:pPr>
      <w:r>
        <w:rPr>
          <w:rFonts w:hint="eastAsia"/>
          <w:sz w:val="24"/>
          <w:szCs w:val="24"/>
        </w:rPr>
        <w:t>※</w:t>
      </w:r>
      <w:r>
        <w:rPr>
          <w:rFonts w:hint="eastAsia" w:ascii="宋体" w:hAnsi="宋体" w:cs="宋体"/>
          <w:b/>
          <w:bCs/>
          <w:sz w:val="24"/>
          <w:szCs w:val="24"/>
        </w:rPr>
        <w:t>五、</w:t>
      </w:r>
      <w:r>
        <w:rPr>
          <w:rFonts w:hint="eastAsia" w:ascii="宋体" w:hAnsi="宋体" w:cs="宋体"/>
          <w:b/>
          <w:bCs/>
          <w:sz w:val="24"/>
          <w:szCs w:val="24"/>
          <w:lang w:val="en-US" w:eastAsia="zh-CN"/>
        </w:rPr>
        <w:t>保密</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outlineLvl w:val="0"/>
        <w:rPr>
          <w:rFonts w:hint="eastAsia"/>
          <w:sz w:val="24"/>
          <w:szCs w:val="24"/>
        </w:rPr>
      </w:pPr>
      <w:r>
        <w:rPr>
          <w:rFonts w:hint="eastAsia"/>
          <w:sz w:val="24"/>
          <w:szCs w:val="24"/>
        </w:rPr>
        <w:t>成交供应商及其员工不得泄露本项目及采购人单位秘密，否则应承担相应法律责任。</w:t>
      </w:r>
    </w:p>
    <w:p>
      <w:pPr>
        <w:pageBreakBefore w:val="0"/>
        <w:widowControl w:val="0"/>
        <w:kinsoku/>
        <w:wordWrap/>
        <w:overflowPunct/>
        <w:topLinePunct w:val="0"/>
        <w:autoSpaceDE/>
        <w:autoSpaceDN/>
        <w:bidi w:val="0"/>
        <w:adjustRightInd/>
        <w:snapToGrid w:val="0"/>
        <w:spacing w:line="500" w:lineRule="exact"/>
        <w:ind w:firstLine="482" w:firstLineChars="200"/>
        <w:textAlignment w:val="auto"/>
        <w:outlineLvl w:val="0"/>
        <w:rPr>
          <w:rFonts w:hint="eastAsia" w:ascii="宋体" w:hAnsi="宋体" w:eastAsia="宋体" w:cs="宋体"/>
          <w:b/>
          <w:bCs/>
          <w:sz w:val="24"/>
          <w:szCs w:val="24"/>
          <w:lang w:val="en-US" w:eastAsia="zh-CN"/>
        </w:rPr>
      </w:pPr>
      <w:r>
        <w:rPr>
          <w:rFonts w:hint="eastAsia" w:ascii="宋体" w:hAnsi="宋体" w:cs="宋体"/>
          <w:b/>
          <w:bCs/>
          <w:sz w:val="24"/>
          <w:szCs w:val="24"/>
          <w:lang w:val="en-US" w:eastAsia="zh-CN"/>
        </w:rPr>
        <w:t>六</w:t>
      </w:r>
      <w:r>
        <w:rPr>
          <w:rFonts w:hint="eastAsia" w:ascii="宋体" w:hAnsi="宋体" w:eastAsia="宋体" w:cs="宋体"/>
          <w:b/>
          <w:bCs/>
          <w:sz w:val="24"/>
          <w:szCs w:val="24"/>
          <w:lang w:val="en-US" w:eastAsia="zh-CN"/>
        </w:rPr>
        <w:t>、成交供应商责任</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outlineLvl w:val="0"/>
        <w:rPr>
          <w:rFonts w:hint="eastAsia"/>
        </w:rPr>
      </w:pPr>
      <w:r>
        <w:rPr>
          <w:rFonts w:hint="eastAsia" w:ascii="宋体" w:hAnsi="宋体" w:eastAsia="宋体" w:cs="宋体"/>
          <w:kern w:val="0"/>
          <w:sz w:val="24"/>
          <w:szCs w:val="24"/>
        </w:rPr>
        <w:t>若因成交供应商原因造成数据丢失、数据泄露、重大活动保障期间信息系统崩溃等重大责任事故，</w:t>
      </w:r>
      <w:r>
        <w:rPr>
          <w:rFonts w:hint="eastAsia" w:ascii="宋体" w:hAnsi="宋体" w:eastAsia="宋体" w:cs="宋体"/>
          <w:kern w:val="0"/>
          <w:sz w:val="24"/>
          <w:szCs w:val="24"/>
          <w:lang w:eastAsia="zh-CN"/>
        </w:rPr>
        <w:t>成交供应商</w:t>
      </w:r>
      <w:r>
        <w:rPr>
          <w:rFonts w:hint="eastAsia" w:ascii="宋体" w:hAnsi="宋体" w:eastAsia="宋体" w:cs="宋体"/>
          <w:kern w:val="0"/>
          <w:sz w:val="24"/>
          <w:szCs w:val="24"/>
        </w:rPr>
        <w:t>应承担相应责任。</w:t>
      </w:r>
    </w:p>
    <w:p>
      <w:pPr>
        <w:pageBreakBefore w:val="0"/>
        <w:widowControl w:val="0"/>
        <w:kinsoku/>
        <w:wordWrap/>
        <w:overflowPunct/>
        <w:topLinePunct w:val="0"/>
        <w:autoSpaceDE/>
        <w:autoSpaceDN/>
        <w:bidi w:val="0"/>
        <w:adjustRightInd/>
        <w:snapToGrid w:val="0"/>
        <w:spacing w:line="500" w:lineRule="exact"/>
        <w:ind w:firstLine="482" w:firstLineChars="200"/>
        <w:textAlignment w:val="auto"/>
        <w:outlineLvl w:val="0"/>
        <w:rPr>
          <w:rFonts w:ascii="宋体" w:hAnsi="宋体" w:cs="宋体"/>
          <w:b/>
          <w:bCs/>
          <w:sz w:val="24"/>
          <w:szCs w:val="24"/>
        </w:rPr>
      </w:pPr>
      <w:r>
        <w:rPr>
          <w:rFonts w:hint="eastAsia" w:ascii="宋体" w:hAnsi="宋体" w:cs="宋体"/>
          <w:b/>
          <w:bCs/>
          <w:sz w:val="24"/>
          <w:szCs w:val="24"/>
          <w:lang w:val="en-US" w:eastAsia="zh-CN"/>
        </w:rPr>
        <w:t>七、</w:t>
      </w:r>
      <w:r>
        <w:rPr>
          <w:rFonts w:hint="eastAsia" w:ascii="宋体" w:hAnsi="宋体" w:cs="宋体"/>
          <w:b/>
          <w:bCs/>
          <w:sz w:val="24"/>
          <w:szCs w:val="24"/>
        </w:rPr>
        <w:t>其他</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outlineLvl w:val="0"/>
        <w:rPr>
          <w:rFonts w:ascii="宋体" w:hAnsi="宋体" w:cs="宋体"/>
          <w:sz w:val="24"/>
          <w:szCs w:val="24"/>
        </w:rPr>
      </w:pPr>
      <w:r>
        <w:rPr>
          <w:rFonts w:hint="eastAsia" w:ascii="宋体" w:hAnsi="宋体" w:cs="宋体"/>
          <w:sz w:val="24"/>
          <w:szCs w:val="24"/>
        </w:rPr>
        <w:t>（一）供应商必须在响应文件中对以上条款和服务承诺明确列出，承诺内容必须达到本篇及竞争性磋商文件其他条款的要求。</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outlineLvl w:val="0"/>
        <w:rPr>
          <w:rFonts w:ascii="宋体" w:hAnsi="宋体" w:cs="宋体"/>
          <w:sz w:val="36"/>
          <w:szCs w:val="30"/>
        </w:rPr>
      </w:pPr>
      <w:r>
        <w:rPr>
          <w:rFonts w:hint="eastAsia" w:ascii="宋体" w:hAnsi="宋体" w:cs="宋体"/>
          <w:sz w:val="24"/>
          <w:szCs w:val="24"/>
        </w:rPr>
        <w:t>（二）其他未尽事宜由供需双方在采购合同中详细约定。</w:t>
      </w:r>
      <w:r>
        <w:rPr>
          <w:rFonts w:hint="eastAsia" w:ascii="宋体" w:hAnsi="宋体" w:cs="宋体"/>
        </w:rPr>
        <w:br w:type="page"/>
      </w:r>
      <w:r>
        <w:rPr>
          <w:rFonts w:hint="eastAsia" w:ascii="宋体" w:hAnsi="宋体" w:cs="宋体"/>
          <w:sz w:val="36"/>
          <w:szCs w:val="30"/>
        </w:rPr>
        <w:t>第四篇  磋商程序及方法、评审标准、无效响应和采购终止</w:t>
      </w:r>
    </w:p>
    <w:p>
      <w:pPr>
        <w:pStyle w:val="5"/>
        <w:spacing w:before="0" w:after="0" w:line="500" w:lineRule="exact"/>
        <w:ind w:firstLine="482" w:firstLineChars="200"/>
        <w:rPr>
          <w:rFonts w:ascii="宋体" w:hAnsi="宋体" w:cs="宋体"/>
          <w:sz w:val="24"/>
          <w:szCs w:val="24"/>
        </w:rPr>
      </w:pPr>
      <w:bookmarkStart w:id="44" w:name="_Toc20130548"/>
      <w:r>
        <w:rPr>
          <w:rFonts w:hint="eastAsia" w:ascii="宋体" w:hAnsi="宋体" w:cs="宋体"/>
          <w:sz w:val="24"/>
          <w:szCs w:val="24"/>
        </w:rPr>
        <w:t>一、磋商程序及方法</w:t>
      </w:r>
      <w:bookmarkEnd w:id="44"/>
    </w:p>
    <w:p>
      <w:pPr>
        <w:spacing w:line="500" w:lineRule="exact"/>
        <w:ind w:firstLine="480" w:firstLineChars="200"/>
        <w:rPr>
          <w:rFonts w:ascii="宋体" w:hAnsi="宋体" w:cs="宋体"/>
          <w:sz w:val="24"/>
          <w:szCs w:val="24"/>
        </w:rPr>
      </w:pPr>
      <w:r>
        <w:rPr>
          <w:rFonts w:hint="eastAsia" w:ascii="宋体" w:hAnsi="宋体" w:cs="宋体"/>
          <w:sz w:val="24"/>
          <w:szCs w:val="24"/>
        </w:rPr>
        <w:t>（一）磋商按竞争性磋商文件规定的时间和地点进行，供应商须有法定代表人（或其授权代表）或自然人参加并签到。竞争性磋商以抽签的形式确定磋商顺序，由本项目依法组建的竞争性磋商小组（以下简称磋商小组）分别与各供应商进行磋商。</w:t>
      </w:r>
    </w:p>
    <w:p>
      <w:pPr>
        <w:spacing w:line="500" w:lineRule="exact"/>
        <w:ind w:firstLine="480" w:firstLineChars="200"/>
        <w:rPr>
          <w:rFonts w:ascii="宋体" w:hAnsi="宋体" w:cs="宋体"/>
          <w:sz w:val="24"/>
          <w:szCs w:val="24"/>
        </w:rPr>
      </w:pPr>
      <w:r>
        <w:rPr>
          <w:rFonts w:hint="eastAsia" w:ascii="宋体" w:hAnsi="宋体" w:cs="宋体"/>
          <w:sz w:val="24"/>
          <w:szCs w:val="24"/>
        </w:rPr>
        <w:t>（二）磋商小组对各供应商的资格条件、响应文件的有效性、完整性和响应程度进行审查。各供应商只有在完全符合要求的前提下，才能参与正式磋商。</w:t>
      </w:r>
    </w:p>
    <w:p>
      <w:pPr>
        <w:spacing w:line="500" w:lineRule="exact"/>
        <w:ind w:firstLine="480" w:firstLineChars="200"/>
        <w:rPr>
          <w:rFonts w:ascii="宋体" w:hAnsi="宋体" w:cs="宋体"/>
          <w:sz w:val="24"/>
          <w:szCs w:val="24"/>
        </w:rPr>
      </w:pPr>
      <w:r>
        <w:rPr>
          <w:rFonts w:hint="eastAsia" w:ascii="宋体" w:hAnsi="宋体" w:cs="宋体"/>
          <w:sz w:val="24"/>
          <w:szCs w:val="24"/>
        </w:rPr>
        <w:t>1.资格性审查。依据法律法规和竞争性磋商文件的规定，对响应文件中的资格证明、等进行审查，以确定供应商是否具备磋商资格。资格性审查资料表如下：</w:t>
      </w:r>
    </w:p>
    <w:tbl>
      <w:tblPr>
        <w:tblStyle w:val="14"/>
        <w:tblW w:w="97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9"/>
        <w:gridCol w:w="2960"/>
        <w:gridCol w:w="5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kern w:val="0"/>
                <w:sz w:val="21"/>
                <w:szCs w:val="21"/>
              </w:rPr>
            </w:pPr>
            <w:r>
              <w:rPr>
                <w:rFonts w:hint="eastAsia" w:ascii="宋体" w:hAnsi="宋体" w:cs="宋体"/>
                <w:b/>
                <w:kern w:val="0"/>
                <w:sz w:val="21"/>
                <w:szCs w:val="21"/>
              </w:rPr>
              <w:t>序号</w:t>
            </w:r>
          </w:p>
        </w:tc>
        <w:tc>
          <w:tcPr>
            <w:tcW w:w="366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kern w:val="0"/>
                <w:sz w:val="21"/>
                <w:szCs w:val="21"/>
              </w:rPr>
            </w:pPr>
            <w:r>
              <w:rPr>
                <w:rFonts w:hint="eastAsia" w:ascii="宋体" w:hAnsi="宋体" w:cs="宋体"/>
                <w:b/>
                <w:kern w:val="0"/>
                <w:sz w:val="21"/>
                <w:szCs w:val="21"/>
              </w:rPr>
              <w:t>检查因素</w:t>
            </w:r>
          </w:p>
        </w:tc>
        <w:tc>
          <w:tcPr>
            <w:tcW w:w="52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kern w:val="0"/>
                <w:sz w:val="21"/>
                <w:szCs w:val="21"/>
              </w:rPr>
            </w:pPr>
            <w:r>
              <w:rPr>
                <w:rFonts w:hint="eastAsia" w:ascii="宋体" w:hAnsi="宋体" w:cs="宋体"/>
                <w:b/>
                <w:kern w:val="0"/>
                <w:sz w:val="21"/>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jc w:val="center"/>
              <w:rPr>
                <w:rFonts w:ascii="宋体" w:hAnsi="宋体" w:cs="宋体"/>
                <w:sz w:val="21"/>
                <w:szCs w:val="21"/>
              </w:rPr>
            </w:pPr>
            <w:r>
              <w:rPr>
                <w:rFonts w:hint="eastAsia" w:ascii="宋体" w:hAnsi="宋体" w:cs="宋体"/>
                <w:sz w:val="21"/>
                <w:szCs w:val="21"/>
              </w:rPr>
              <w:t>（一）</w:t>
            </w:r>
          </w:p>
        </w:tc>
        <w:tc>
          <w:tcPr>
            <w:tcW w:w="709" w:type="dxa"/>
            <w:vMerge w:val="restart"/>
            <w:vAlign w:val="center"/>
          </w:tcPr>
          <w:p>
            <w:pPr>
              <w:rPr>
                <w:rFonts w:ascii="宋体" w:hAnsi="宋体" w:cs="宋体"/>
                <w:sz w:val="21"/>
                <w:szCs w:val="21"/>
                <w:lang w:val="zh-CN"/>
              </w:rPr>
            </w:pPr>
            <w:r>
              <w:rPr>
                <w:rFonts w:hint="eastAsia" w:ascii="宋体" w:hAnsi="宋体" w:cs="宋体"/>
                <w:sz w:val="21"/>
                <w:szCs w:val="21"/>
                <w:lang w:val="zh-CN"/>
              </w:rPr>
              <w:t>《中华人民共和国政府采购法》第二十二条规定</w:t>
            </w:r>
          </w:p>
        </w:tc>
        <w:tc>
          <w:tcPr>
            <w:tcW w:w="2960" w:type="dxa"/>
            <w:vAlign w:val="center"/>
          </w:tcPr>
          <w:p>
            <w:pPr>
              <w:rPr>
                <w:rFonts w:ascii="宋体" w:hAnsi="宋体" w:cs="宋体"/>
                <w:sz w:val="21"/>
                <w:szCs w:val="21"/>
              </w:rPr>
            </w:pPr>
            <w:r>
              <w:rPr>
                <w:rFonts w:hint="eastAsia" w:ascii="宋体" w:hAnsi="宋体" w:cs="宋体"/>
                <w:sz w:val="21"/>
                <w:szCs w:val="21"/>
              </w:rPr>
              <w:t>1.具有独立承担民事责任的能力</w:t>
            </w:r>
          </w:p>
        </w:tc>
        <w:tc>
          <w:tcPr>
            <w:tcW w:w="5283" w:type="dxa"/>
            <w:vAlign w:val="center"/>
          </w:tcPr>
          <w:p>
            <w:pPr>
              <w:rPr>
                <w:rFonts w:ascii="宋体" w:hAnsi="宋体" w:cs="宋体"/>
                <w:sz w:val="21"/>
                <w:szCs w:val="21"/>
              </w:rPr>
            </w:pPr>
            <w:r>
              <w:rPr>
                <w:rFonts w:hint="eastAsia" w:ascii="宋体" w:hAnsi="宋体" w:cs="宋体"/>
                <w:sz w:val="21"/>
                <w:szCs w:val="21"/>
              </w:rPr>
              <w:t xml:space="preserve">1.供应商法人营业执照（副本）或事业单位法人证书（副本）或个体工商户营业执照或有效的自然人身份证明或社会团体法人登记证书（提供复印件）。 </w:t>
            </w:r>
          </w:p>
          <w:p>
            <w:pPr>
              <w:rPr>
                <w:rFonts w:ascii="宋体" w:hAnsi="宋体" w:cs="宋体"/>
                <w:sz w:val="21"/>
                <w:szCs w:val="21"/>
              </w:rPr>
            </w:pPr>
            <w:r>
              <w:rPr>
                <w:rFonts w:hint="eastAsia" w:ascii="宋体" w:hAnsi="宋体" w:cs="宋体"/>
                <w:sz w:val="21"/>
                <w:szCs w:val="21"/>
              </w:rPr>
              <w:t>2.供应商法定代表人身份证明和法定代表人授权代表委托书。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jc w:val="center"/>
              <w:rPr>
                <w:rFonts w:ascii="宋体" w:hAnsi="宋体" w:cs="宋体"/>
                <w:sz w:val="21"/>
                <w:szCs w:val="21"/>
              </w:rPr>
            </w:pPr>
          </w:p>
        </w:tc>
        <w:tc>
          <w:tcPr>
            <w:tcW w:w="709" w:type="dxa"/>
            <w:vMerge w:val="continue"/>
            <w:vAlign w:val="center"/>
          </w:tcPr>
          <w:p>
            <w:pPr>
              <w:rPr>
                <w:rFonts w:ascii="宋体" w:hAnsi="宋体" w:cs="宋体"/>
                <w:sz w:val="21"/>
                <w:szCs w:val="21"/>
                <w:lang w:val="zh-CN"/>
              </w:rPr>
            </w:pPr>
          </w:p>
        </w:tc>
        <w:tc>
          <w:tcPr>
            <w:tcW w:w="2960" w:type="dxa"/>
            <w:vAlign w:val="center"/>
          </w:tcPr>
          <w:p>
            <w:pPr>
              <w:rPr>
                <w:rFonts w:ascii="宋体" w:hAnsi="宋体" w:cs="宋体"/>
                <w:sz w:val="21"/>
                <w:szCs w:val="21"/>
              </w:rPr>
            </w:pPr>
            <w:r>
              <w:rPr>
                <w:rFonts w:hint="eastAsia" w:ascii="宋体" w:hAnsi="宋体" w:cs="宋体"/>
                <w:sz w:val="21"/>
                <w:szCs w:val="21"/>
                <w:lang w:val="zh-CN"/>
              </w:rPr>
              <w:t>2.</w:t>
            </w:r>
            <w:r>
              <w:rPr>
                <w:rFonts w:hint="eastAsia" w:ascii="宋体" w:hAnsi="宋体" w:cs="宋体"/>
                <w:sz w:val="21"/>
                <w:szCs w:val="21"/>
              </w:rPr>
              <w:t>具有良好的商业信誉和健全的财务会计制度</w:t>
            </w:r>
          </w:p>
        </w:tc>
        <w:tc>
          <w:tcPr>
            <w:tcW w:w="5283" w:type="dxa"/>
            <w:vMerge w:val="restart"/>
            <w:vAlign w:val="center"/>
          </w:tcPr>
          <w:p>
            <w:pPr>
              <w:rPr>
                <w:rFonts w:ascii="宋体" w:hAnsi="宋体" w:cs="宋体"/>
                <w:b/>
                <w:sz w:val="21"/>
                <w:szCs w:val="21"/>
              </w:rPr>
            </w:pPr>
            <w:r>
              <w:rPr>
                <w:rFonts w:hint="eastAsia" w:ascii="宋体" w:hAnsi="宋体" w:cs="宋体"/>
                <w:sz w:val="21"/>
                <w:szCs w:val="21"/>
              </w:rPr>
              <w:t>供应商提供“基本资格条件承诺函”（格式详见第七篇）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jc w:val="center"/>
              <w:rPr>
                <w:rFonts w:ascii="宋体" w:hAnsi="宋体" w:cs="宋体"/>
                <w:sz w:val="21"/>
                <w:szCs w:val="21"/>
              </w:rPr>
            </w:pPr>
          </w:p>
        </w:tc>
        <w:tc>
          <w:tcPr>
            <w:tcW w:w="709" w:type="dxa"/>
            <w:vMerge w:val="continue"/>
            <w:vAlign w:val="center"/>
          </w:tcPr>
          <w:p>
            <w:pPr>
              <w:rPr>
                <w:rFonts w:ascii="宋体" w:hAnsi="宋体" w:cs="宋体"/>
                <w:sz w:val="21"/>
                <w:szCs w:val="21"/>
                <w:lang w:val="zh-CN"/>
              </w:rPr>
            </w:pPr>
          </w:p>
        </w:tc>
        <w:tc>
          <w:tcPr>
            <w:tcW w:w="2960" w:type="dxa"/>
            <w:vAlign w:val="center"/>
          </w:tcPr>
          <w:p>
            <w:pPr>
              <w:rPr>
                <w:rFonts w:ascii="宋体" w:hAnsi="宋体" w:cs="宋体"/>
                <w:sz w:val="21"/>
                <w:szCs w:val="21"/>
                <w:lang w:val="zh-CN"/>
              </w:rPr>
            </w:pPr>
            <w:r>
              <w:rPr>
                <w:rFonts w:hint="eastAsia" w:ascii="宋体" w:hAnsi="宋体" w:cs="宋体"/>
                <w:sz w:val="21"/>
                <w:szCs w:val="21"/>
                <w:lang w:val="zh-CN"/>
              </w:rPr>
              <w:t>3.具有履行合同所必需的设备和专业技术能力</w:t>
            </w:r>
          </w:p>
        </w:tc>
        <w:tc>
          <w:tcPr>
            <w:tcW w:w="5283" w:type="dxa"/>
            <w:vMerge w:val="continue"/>
            <w:vAlign w:val="center"/>
          </w:tcPr>
          <w:p>
            <w:pP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jc w:val="center"/>
              <w:rPr>
                <w:rFonts w:ascii="宋体" w:hAnsi="宋体" w:cs="宋体"/>
                <w:sz w:val="21"/>
                <w:szCs w:val="21"/>
              </w:rPr>
            </w:pPr>
          </w:p>
        </w:tc>
        <w:tc>
          <w:tcPr>
            <w:tcW w:w="709" w:type="dxa"/>
            <w:vMerge w:val="continue"/>
            <w:vAlign w:val="center"/>
          </w:tcPr>
          <w:p>
            <w:pPr>
              <w:rPr>
                <w:rFonts w:ascii="宋体" w:hAnsi="宋体" w:cs="宋体"/>
                <w:sz w:val="21"/>
                <w:szCs w:val="21"/>
                <w:lang w:val="zh-CN"/>
              </w:rPr>
            </w:pPr>
          </w:p>
        </w:tc>
        <w:tc>
          <w:tcPr>
            <w:tcW w:w="2960" w:type="dxa"/>
            <w:vAlign w:val="center"/>
          </w:tcPr>
          <w:p>
            <w:pPr>
              <w:rPr>
                <w:rFonts w:ascii="宋体" w:hAnsi="宋体" w:cs="宋体"/>
                <w:sz w:val="21"/>
                <w:szCs w:val="21"/>
                <w:lang w:val="zh-CN"/>
              </w:rPr>
            </w:pPr>
            <w:r>
              <w:rPr>
                <w:rFonts w:hint="eastAsia" w:ascii="宋体" w:hAnsi="宋体" w:cs="宋体"/>
                <w:sz w:val="21"/>
                <w:szCs w:val="21"/>
                <w:lang w:val="zh-CN"/>
              </w:rPr>
              <w:t>4.有依法缴纳税收和社会保障金的良好记录</w:t>
            </w:r>
          </w:p>
        </w:tc>
        <w:tc>
          <w:tcPr>
            <w:tcW w:w="5283" w:type="dxa"/>
            <w:vMerge w:val="continue"/>
            <w:vAlign w:val="center"/>
          </w:tcPr>
          <w:p>
            <w:pP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jc w:val="center"/>
              <w:rPr>
                <w:rFonts w:ascii="宋体" w:hAnsi="宋体" w:cs="宋体"/>
                <w:sz w:val="21"/>
                <w:szCs w:val="21"/>
              </w:rPr>
            </w:pPr>
          </w:p>
        </w:tc>
        <w:tc>
          <w:tcPr>
            <w:tcW w:w="709" w:type="dxa"/>
            <w:vMerge w:val="continue"/>
            <w:vAlign w:val="center"/>
          </w:tcPr>
          <w:p>
            <w:pPr>
              <w:rPr>
                <w:rFonts w:ascii="宋体" w:hAnsi="宋体" w:cs="宋体"/>
                <w:sz w:val="21"/>
                <w:szCs w:val="21"/>
                <w:lang w:val="zh-CN"/>
              </w:rPr>
            </w:pPr>
          </w:p>
        </w:tc>
        <w:tc>
          <w:tcPr>
            <w:tcW w:w="2960" w:type="dxa"/>
            <w:vAlign w:val="center"/>
          </w:tcPr>
          <w:p>
            <w:pPr>
              <w:rPr>
                <w:rFonts w:ascii="宋体" w:hAnsi="宋体" w:cs="宋体"/>
                <w:sz w:val="21"/>
                <w:szCs w:val="21"/>
                <w:lang w:val="zh-CN"/>
              </w:rPr>
            </w:pPr>
            <w:r>
              <w:rPr>
                <w:rFonts w:hint="eastAsia" w:ascii="宋体" w:hAnsi="宋体" w:cs="宋体"/>
                <w:sz w:val="21"/>
                <w:szCs w:val="21"/>
              </w:rPr>
              <w:t>5.参加政府采购活动前三年内，在经营活动中没有重大违法记录</w:t>
            </w:r>
          </w:p>
        </w:tc>
        <w:tc>
          <w:tcPr>
            <w:tcW w:w="5283" w:type="dxa"/>
            <w:vMerge w:val="continue"/>
            <w:vAlign w:val="center"/>
          </w:tcPr>
          <w:p>
            <w:pPr>
              <w:rPr>
                <w:rFonts w:ascii="宋体"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17" w:type="dxa"/>
            <w:vMerge w:val="continue"/>
            <w:vAlign w:val="center"/>
          </w:tcPr>
          <w:p>
            <w:pPr>
              <w:jc w:val="center"/>
              <w:rPr>
                <w:rFonts w:ascii="宋体" w:hAnsi="宋体" w:cs="宋体"/>
                <w:sz w:val="21"/>
                <w:szCs w:val="21"/>
              </w:rPr>
            </w:pPr>
          </w:p>
        </w:tc>
        <w:tc>
          <w:tcPr>
            <w:tcW w:w="709" w:type="dxa"/>
            <w:vMerge w:val="continue"/>
            <w:vAlign w:val="center"/>
          </w:tcPr>
          <w:p>
            <w:pPr>
              <w:rPr>
                <w:rFonts w:ascii="宋体" w:hAnsi="宋体" w:cs="宋体"/>
                <w:sz w:val="21"/>
                <w:szCs w:val="21"/>
              </w:rPr>
            </w:pPr>
          </w:p>
        </w:tc>
        <w:tc>
          <w:tcPr>
            <w:tcW w:w="2960" w:type="dxa"/>
            <w:vAlign w:val="center"/>
          </w:tcPr>
          <w:p>
            <w:pPr>
              <w:rPr>
                <w:rFonts w:ascii="宋体" w:hAnsi="宋体" w:cs="宋体"/>
                <w:sz w:val="21"/>
                <w:szCs w:val="21"/>
              </w:rPr>
            </w:pPr>
            <w:r>
              <w:rPr>
                <w:rFonts w:hint="eastAsia" w:ascii="宋体" w:hAnsi="宋体" w:cs="宋体"/>
                <w:sz w:val="21"/>
                <w:szCs w:val="21"/>
              </w:rPr>
              <w:t>6.法律、行政法规规定的其他条件</w:t>
            </w:r>
          </w:p>
        </w:tc>
        <w:tc>
          <w:tcPr>
            <w:tcW w:w="5283" w:type="dxa"/>
            <w:vAlign w:val="center"/>
          </w:tcPr>
          <w:p>
            <w:pP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17" w:type="dxa"/>
            <w:vMerge w:val="continue"/>
            <w:vAlign w:val="center"/>
          </w:tcPr>
          <w:p>
            <w:pPr>
              <w:jc w:val="center"/>
              <w:rPr>
                <w:rFonts w:ascii="宋体" w:hAnsi="宋体" w:cs="宋体"/>
                <w:sz w:val="21"/>
                <w:szCs w:val="21"/>
              </w:rPr>
            </w:pPr>
          </w:p>
        </w:tc>
        <w:tc>
          <w:tcPr>
            <w:tcW w:w="709" w:type="dxa"/>
            <w:vMerge w:val="continue"/>
            <w:vAlign w:val="center"/>
          </w:tcPr>
          <w:p>
            <w:pPr>
              <w:rPr>
                <w:rFonts w:ascii="宋体" w:hAnsi="宋体" w:cs="宋体"/>
                <w:sz w:val="21"/>
                <w:szCs w:val="21"/>
              </w:rPr>
            </w:pPr>
          </w:p>
        </w:tc>
        <w:tc>
          <w:tcPr>
            <w:tcW w:w="2960" w:type="dxa"/>
            <w:vAlign w:val="center"/>
          </w:tcPr>
          <w:p>
            <w:pPr>
              <w:rPr>
                <w:rFonts w:ascii="宋体" w:hAnsi="宋体" w:cs="宋体"/>
                <w:sz w:val="21"/>
                <w:szCs w:val="21"/>
              </w:rPr>
            </w:pPr>
            <w:r>
              <w:rPr>
                <w:rFonts w:hint="eastAsia" w:ascii="宋体" w:hAnsi="宋体" w:cs="宋体"/>
                <w:sz w:val="21"/>
                <w:szCs w:val="21"/>
              </w:rPr>
              <w:t>7.本项目的特定资格要求</w:t>
            </w:r>
          </w:p>
        </w:tc>
        <w:tc>
          <w:tcPr>
            <w:tcW w:w="5283" w:type="dxa"/>
            <w:vAlign w:val="center"/>
          </w:tcPr>
          <w:p>
            <w:pPr>
              <w:rPr>
                <w:rFonts w:ascii="宋体" w:hAnsi="宋体" w:cs="宋体"/>
                <w:sz w:val="21"/>
                <w:szCs w:val="21"/>
              </w:rPr>
            </w:pPr>
            <w:r>
              <w:rPr>
                <w:rFonts w:hint="eastAsia" w:ascii="宋体" w:hAnsi="宋体" w:cs="宋体"/>
                <w:sz w:val="21"/>
                <w:szCs w:val="21"/>
              </w:rPr>
              <w:t>按“第一篇三、供应商资格要求（三）本项目的特定资格要求”的要求提交（如果有）。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817" w:type="dxa"/>
            <w:vAlign w:val="center"/>
          </w:tcPr>
          <w:p>
            <w:pPr>
              <w:jc w:val="center"/>
              <w:rPr>
                <w:rFonts w:ascii="宋体" w:hAnsi="宋体" w:cs="宋体"/>
                <w:sz w:val="21"/>
                <w:szCs w:val="21"/>
              </w:rPr>
            </w:pPr>
            <w:r>
              <w:rPr>
                <w:rFonts w:hint="eastAsia" w:ascii="宋体" w:hAnsi="宋体" w:cs="宋体"/>
                <w:sz w:val="21"/>
                <w:szCs w:val="21"/>
              </w:rPr>
              <w:t>（二）</w:t>
            </w:r>
          </w:p>
        </w:tc>
        <w:tc>
          <w:tcPr>
            <w:tcW w:w="3669" w:type="dxa"/>
            <w:gridSpan w:val="2"/>
            <w:vAlign w:val="center"/>
          </w:tcPr>
          <w:p>
            <w:pPr>
              <w:rPr>
                <w:rFonts w:ascii="宋体" w:hAnsi="宋体" w:cs="宋体"/>
                <w:sz w:val="21"/>
                <w:szCs w:val="21"/>
              </w:rPr>
            </w:pPr>
            <w:r>
              <w:rPr>
                <w:rFonts w:hint="eastAsia" w:ascii="宋体" w:hAnsi="宋体" w:cs="宋体"/>
                <w:sz w:val="21"/>
                <w:szCs w:val="21"/>
              </w:rPr>
              <w:t>落实政府采购政策需满足的资格要求</w:t>
            </w:r>
          </w:p>
        </w:tc>
        <w:tc>
          <w:tcPr>
            <w:tcW w:w="5283" w:type="dxa"/>
            <w:vAlign w:val="center"/>
          </w:tcPr>
          <w:p>
            <w:pPr>
              <w:rPr>
                <w:rFonts w:ascii="宋体" w:hAnsi="宋体" w:cs="宋体"/>
                <w:sz w:val="21"/>
                <w:szCs w:val="21"/>
              </w:rPr>
            </w:pPr>
            <w:r>
              <w:rPr>
                <w:rFonts w:hint="eastAsia" w:ascii="宋体" w:hAnsi="宋体" w:cs="宋体"/>
                <w:sz w:val="21"/>
                <w:szCs w:val="21"/>
              </w:rPr>
              <w:t>按“第一篇三、供应商资格要求（二）落实政府采购政策需满足的资格要求”的要求提交（如果有）。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817" w:type="dxa"/>
            <w:vAlign w:val="center"/>
          </w:tcPr>
          <w:p>
            <w:pPr>
              <w:jc w:val="center"/>
              <w:rPr>
                <w:rFonts w:ascii="宋体" w:hAnsi="宋体" w:cs="宋体"/>
                <w:sz w:val="21"/>
                <w:szCs w:val="21"/>
              </w:rPr>
            </w:pPr>
            <w:r>
              <w:rPr>
                <w:rFonts w:hint="eastAsia" w:ascii="宋体" w:hAnsi="宋体" w:cs="宋体"/>
                <w:sz w:val="21"/>
                <w:szCs w:val="21"/>
              </w:rPr>
              <w:t>（三）</w:t>
            </w:r>
          </w:p>
        </w:tc>
        <w:tc>
          <w:tcPr>
            <w:tcW w:w="3669" w:type="dxa"/>
            <w:gridSpan w:val="2"/>
            <w:vAlign w:val="center"/>
          </w:tcPr>
          <w:p>
            <w:pPr>
              <w:spacing w:line="380" w:lineRule="exact"/>
              <w:rPr>
                <w:rFonts w:ascii="宋体" w:hAnsi="宋体" w:cs="宋体"/>
                <w:sz w:val="21"/>
                <w:szCs w:val="21"/>
              </w:rPr>
            </w:pPr>
            <w:r>
              <w:rPr>
                <w:rFonts w:hint="eastAsia" w:ascii="宋体" w:hAnsi="宋体" w:cs="宋体"/>
                <w:sz w:val="21"/>
                <w:szCs w:val="21"/>
              </w:rPr>
              <w:t>磋商保证金</w:t>
            </w:r>
          </w:p>
        </w:tc>
        <w:tc>
          <w:tcPr>
            <w:tcW w:w="5283" w:type="dxa"/>
            <w:vAlign w:val="center"/>
          </w:tcPr>
          <w:p>
            <w:pPr>
              <w:spacing w:line="240" w:lineRule="exact"/>
              <w:rPr>
                <w:rFonts w:ascii="宋体" w:hAnsi="宋体" w:cs="宋体"/>
                <w:sz w:val="21"/>
                <w:szCs w:val="21"/>
              </w:rPr>
            </w:pPr>
            <w:r>
              <w:rPr>
                <w:rFonts w:hint="eastAsia" w:ascii="宋体" w:hAnsi="宋体" w:cs="宋体"/>
                <w:sz w:val="21"/>
                <w:szCs w:val="21"/>
              </w:rPr>
              <w:t>按照竞争性磋商文件要求足额交纳项目的磋商保证金。</w:t>
            </w:r>
          </w:p>
        </w:tc>
      </w:tr>
    </w:tbl>
    <w:p>
      <w:pPr>
        <w:spacing w:line="360" w:lineRule="auto"/>
        <w:ind w:firstLine="480" w:firstLineChars="200"/>
        <w:rPr>
          <w:rFonts w:ascii="宋体" w:hAnsi="宋体" w:cs="宋体"/>
          <w:sz w:val="24"/>
          <w:szCs w:val="24"/>
        </w:rPr>
      </w:pPr>
      <w:r>
        <w:rPr>
          <w:rFonts w:hint="eastAsia" w:ascii="宋体" w:hAnsi="宋体" w:cs="宋体"/>
          <w:sz w:val="24"/>
          <w:szCs w:val="24"/>
        </w:rPr>
        <w:t>注：</w:t>
      </w:r>
    </w:p>
    <w:p>
      <w:pPr>
        <w:spacing w:line="360" w:lineRule="auto"/>
        <w:ind w:firstLine="480" w:firstLineChars="200"/>
        <w:rPr>
          <w:rFonts w:ascii="宋体" w:hAnsi="宋体" w:cs="宋体"/>
          <w:sz w:val="24"/>
          <w:szCs w:val="24"/>
        </w:rPr>
      </w:pPr>
      <w:r>
        <w:rPr>
          <w:rFonts w:hint="eastAsia" w:ascii="宋体" w:hAnsi="宋体" w:cs="宋体"/>
          <w:kern w:val="0"/>
          <w:sz w:val="24"/>
          <w:szCs w:val="24"/>
        </w:rPr>
        <w:t>①</w:t>
      </w:r>
      <w:r>
        <w:rPr>
          <w:rFonts w:hint="eastAsia" w:ascii="宋体" w:hAnsi="宋体" w:cs="宋体"/>
          <w:sz w:val="24"/>
          <w:szCs w:val="24"/>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按照“财政部关于《中华人民共和国政府采购法实施条例》第十九条第一款“较大数额罚款”具体适用问题的意见（财库〔2022〕3 号）”执行。供应商可于响应文件递交截止时间前通过 “信用中国”网站(www.creditchina.gov.cn)、"中国政府采购网"(www.ccgp.gov.cn)等渠道查询信用记录。</w:t>
      </w:r>
    </w:p>
    <w:p>
      <w:pPr>
        <w:spacing w:line="360" w:lineRule="auto"/>
        <w:ind w:firstLine="480" w:firstLineChars="200"/>
        <w:rPr>
          <w:rFonts w:ascii="宋体" w:hAnsi="宋体" w:cs="宋体"/>
          <w:kern w:val="0"/>
          <w:sz w:val="24"/>
          <w:szCs w:val="24"/>
        </w:rPr>
      </w:pPr>
      <w:r>
        <w:rPr>
          <w:rFonts w:hint="eastAsia" w:ascii="宋体" w:hAnsi="宋体" w:cs="宋体"/>
          <w:sz w:val="24"/>
          <w:szCs w:val="24"/>
        </w:rPr>
        <w:t>2.</w:t>
      </w:r>
      <w:r>
        <w:rPr>
          <w:rFonts w:hint="eastAsia" w:ascii="宋体" w:hAnsi="宋体" w:cs="宋体"/>
          <w:kern w:val="0"/>
          <w:sz w:val="24"/>
          <w:szCs w:val="24"/>
        </w:rPr>
        <w:t>符合性检查。依据竞争性磋商文件的规定，从响应文件的有效性、完整性和对竞争性磋商文件的响应程度进行审查，以确定是否对竞争性磋商文件的实质性要求作出响应。符合性检查资料表如下：</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73"/>
        <w:gridCol w:w="1996"/>
        <w:gridCol w:w="5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75" w:type="dxa"/>
            <w:vAlign w:val="center"/>
          </w:tcPr>
          <w:p>
            <w:pPr>
              <w:spacing w:line="240" w:lineRule="exact"/>
              <w:jc w:val="center"/>
              <w:rPr>
                <w:rFonts w:ascii="宋体" w:hAnsi="宋体" w:cs="宋体"/>
                <w:b/>
                <w:kern w:val="0"/>
                <w:sz w:val="21"/>
                <w:szCs w:val="21"/>
              </w:rPr>
            </w:pPr>
            <w:r>
              <w:rPr>
                <w:rFonts w:hint="eastAsia" w:ascii="宋体" w:hAnsi="宋体" w:cs="宋体"/>
                <w:b/>
                <w:kern w:val="0"/>
                <w:sz w:val="21"/>
                <w:szCs w:val="21"/>
              </w:rPr>
              <w:t>序号</w:t>
            </w:r>
          </w:p>
        </w:tc>
        <w:tc>
          <w:tcPr>
            <w:tcW w:w="3569" w:type="dxa"/>
            <w:gridSpan w:val="2"/>
            <w:vAlign w:val="center"/>
          </w:tcPr>
          <w:p>
            <w:pPr>
              <w:spacing w:line="240" w:lineRule="exact"/>
              <w:jc w:val="center"/>
              <w:rPr>
                <w:rFonts w:ascii="宋体" w:hAnsi="宋体" w:cs="宋体"/>
                <w:b/>
                <w:kern w:val="0"/>
                <w:sz w:val="21"/>
                <w:szCs w:val="21"/>
              </w:rPr>
            </w:pPr>
            <w:r>
              <w:rPr>
                <w:rFonts w:hint="eastAsia" w:ascii="宋体" w:hAnsi="宋体" w:cs="宋体"/>
                <w:b/>
                <w:kern w:val="0"/>
                <w:sz w:val="21"/>
                <w:szCs w:val="21"/>
              </w:rPr>
              <w:t>评审因素</w:t>
            </w:r>
          </w:p>
        </w:tc>
        <w:tc>
          <w:tcPr>
            <w:tcW w:w="5220" w:type="dxa"/>
            <w:vAlign w:val="center"/>
          </w:tcPr>
          <w:p>
            <w:pPr>
              <w:spacing w:line="240" w:lineRule="exact"/>
              <w:jc w:val="center"/>
              <w:rPr>
                <w:rFonts w:ascii="宋体" w:hAnsi="宋体" w:cs="宋体"/>
                <w:b/>
                <w:kern w:val="0"/>
                <w:sz w:val="21"/>
                <w:szCs w:val="21"/>
              </w:rPr>
            </w:pPr>
            <w:r>
              <w:rPr>
                <w:rFonts w:hint="eastAsia" w:ascii="宋体" w:hAnsi="宋体" w:cs="宋体"/>
                <w:b/>
                <w:kern w:val="0"/>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75" w:type="dxa"/>
            <w:vMerge w:val="restart"/>
            <w:vAlign w:val="center"/>
          </w:tcPr>
          <w:p>
            <w:pPr>
              <w:spacing w:line="240" w:lineRule="exact"/>
              <w:jc w:val="center"/>
              <w:rPr>
                <w:rFonts w:ascii="宋体" w:hAnsi="宋体" w:cs="宋体"/>
                <w:kern w:val="0"/>
                <w:sz w:val="21"/>
                <w:szCs w:val="21"/>
              </w:rPr>
            </w:pPr>
            <w:r>
              <w:rPr>
                <w:rFonts w:hint="eastAsia" w:ascii="宋体" w:hAnsi="宋体" w:cs="宋体"/>
                <w:kern w:val="0"/>
                <w:sz w:val="21"/>
                <w:szCs w:val="21"/>
              </w:rPr>
              <w:t>1</w:t>
            </w:r>
          </w:p>
        </w:tc>
        <w:tc>
          <w:tcPr>
            <w:tcW w:w="1573" w:type="dxa"/>
            <w:vMerge w:val="restart"/>
            <w:vAlign w:val="center"/>
          </w:tcPr>
          <w:p>
            <w:pPr>
              <w:spacing w:line="240" w:lineRule="exact"/>
              <w:rPr>
                <w:rFonts w:ascii="宋体" w:hAnsi="宋体" w:cs="宋体"/>
                <w:kern w:val="0"/>
                <w:sz w:val="21"/>
                <w:szCs w:val="21"/>
              </w:rPr>
            </w:pPr>
            <w:r>
              <w:rPr>
                <w:rFonts w:hint="eastAsia" w:ascii="宋体" w:hAnsi="宋体" w:cs="宋体"/>
                <w:kern w:val="0"/>
                <w:sz w:val="21"/>
                <w:szCs w:val="21"/>
              </w:rPr>
              <w:t>有效性审查</w:t>
            </w:r>
          </w:p>
        </w:tc>
        <w:tc>
          <w:tcPr>
            <w:tcW w:w="1996" w:type="dxa"/>
            <w:vAlign w:val="center"/>
          </w:tcPr>
          <w:p>
            <w:pPr>
              <w:spacing w:line="240" w:lineRule="exact"/>
              <w:rPr>
                <w:rFonts w:ascii="宋体" w:hAnsi="宋体" w:cs="宋体"/>
                <w:kern w:val="0"/>
                <w:sz w:val="21"/>
                <w:szCs w:val="21"/>
              </w:rPr>
            </w:pPr>
            <w:r>
              <w:rPr>
                <w:rFonts w:hint="eastAsia" w:ascii="宋体" w:hAnsi="宋体" w:cs="宋体"/>
                <w:sz w:val="21"/>
                <w:szCs w:val="21"/>
              </w:rPr>
              <w:t>响应文件签署</w:t>
            </w:r>
          </w:p>
        </w:tc>
        <w:tc>
          <w:tcPr>
            <w:tcW w:w="5220" w:type="dxa"/>
            <w:vAlign w:val="center"/>
          </w:tcPr>
          <w:p>
            <w:pPr>
              <w:spacing w:line="240" w:lineRule="exact"/>
              <w:rPr>
                <w:rFonts w:ascii="宋体" w:hAnsi="宋体" w:cs="宋体"/>
                <w:sz w:val="21"/>
                <w:szCs w:val="21"/>
                <w:lang w:val="zh-CN"/>
              </w:rPr>
            </w:pPr>
            <w:r>
              <w:rPr>
                <w:rFonts w:hint="eastAsia" w:ascii="宋体" w:hAnsi="宋体" w:cs="宋体"/>
                <w:sz w:val="21"/>
                <w:szCs w:val="21"/>
                <w:lang w:val="zh-CN"/>
              </w:rPr>
              <w:t>按竞争性磋商文件“第七篇响应文件编制要求”要求签署或盖章。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675" w:type="dxa"/>
            <w:vMerge w:val="continue"/>
            <w:vAlign w:val="center"/>
          </w:tcPr>
          <w:p>
            <w:pPr>
              <w:spacing w:line="240" w:lineRule="exact"/>
              <w:jc w:val="center"/>
              <w:rPr>
                <w:rFonts w:ascii="宋体" w:hAnsi="宋体" w:cs="宋体"/>
                <w:kern w:val="0"/>
                <w:sz w:val="21"/>
                <w:szCs w:val="21"/>
              </w:rPr>
            </w:pPr>
          </w:p>
        </w:tc>
        <w:tc>
          <w:tcPr>
            <w:tcW w:w="1573" w:type="dxa"/>
            <w:vMerge w:val="continue"/>
            <w:vAlign w:val="center"/>
          </w:tcPr>
          <w:p>
            <w:pPr>
              <w:spacing w:line="240" w:lineRule="exact"/>
              <w:rPr>
                <w:rFonts w:ascii="宋体" w:hAnsi="宋体" w:cs="宋体"/>
                <w:kern w:val="0"/>
                <w:sz w:val="21"/>
                <w:szCs w:val="21"/>
              </w:rPr>
            </w:pPr>
          </w:p>
        </w:tc>
        <w:tc>
          <w:tcPr>
            <w:tcW w:w="1996" w:type="dxa"/>
            <w:vAlign w:val="center"/>
          </w:tcPr>
          <w:p>
            <w:pPr>
              <w:spacing w:line="240" w:lineRule="exact"/>
              <w:rPr>
                <w:rFonts w:ascii="宋体" w:hAnsi="宋体" w:cs="宋体"/>
                <w:sz w:val="21"/>
                <w:szCs w:val="21"/>
              </w:rPr>
            </w:pPr>
            <w:r>
              <w:rPr>
                <w:rFonts w:hint="eastAsia" w:ascii="宋体" w:hAnsi="宋体" w:cs="宋体"/>
                <w:sz w:val="21"/>
                <w:szCs w:val="21"/>
              </w:rPr>
              <w:t>法定代表人身份证明及授权委托书</w:t>
            </w:r>
          </w:p>
        </w:tc>
        <w:tc>
          <w:tcPr>
            <w:tcW w:w="5220" w:type="dxa"/>
            <w:vAlign w:val="center"/>
          </w:tcPr>
          <w:p>
            <w:pPr>
              <w:spacing w:line="240" w:lineRule="exact"/>
              <w:rPr>
                <w:rFonts w:ascii="宋体" w:hAnsi="宋体" w:cs="宋体"/>
                <w:sz w:val="21"/>
                <w:szCs w:val="21"/>
                <w:lang w:val="zh-CN"/>
              </w:rPr>
            </w:pPr>
            <w:r>
              <w:rPr>
                <w:rFonts w:hint="eastAsia" w:ascii="宋体" w:hAnsi="宋体" w:cs="宋体"/>
                <w:sz w:val="21"/>
                <w:szCs w:val="21"/>
                <w:lang w:val="zh-CN"/>
              </w:rPr>
              <w:t>法定代表人身份证明及授权委托书有效，符合竞争性磋商文件规定的格式，签署或盖章齐全。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675" w:type="dxa"/>
            <w:vMerge w:val="continue"/>
            <w:vAlign w:val="center"/>
          </w:tcPr>
          <w:p>
            <w:pPr>
              <w:spacing w:line="240" w:lineRule="exact"/>
              <w:jc w:val="center"/>
              <w:rPr>
                <w:rFonts w:ascii="宋体" w:hAnsi="宋体" w:cs="宋体"/>
                <w:kern w:val="0"/>
                <w:sz w:val="21"/>
                <w:szCs w:val="21"/>
              </w:rPr>
            </w:pPr>
          </w:p>
        </w:tc>
        <w:tc>
          <w:tcPr>
            <w:tcW w:w="1573" w:type="dxa"/>
            <w:vMerge w:val="continue"/>
            <w:vAlign w:val="center"/>
          </w:tcPr>
          <w:p>
            <w:pPr>
              <w:spacing w:line="240" w:lineRule="exact"/>
              <w:rPr>
                <w:rFonts w:ascii="宋体" w:hAnsi="宋体" w:cs="宋体"/>
                <w:kern w:val="0"/>
                <w:sz w:val="21"/>
                <w:szCs w:val="21"/>
              </w:rPr>
            </w:pPr>
          </w:p>
        </w:tc>
        <w:tc>
          <w:tcPr>
            <w:tcW w:w="1996" w:type="dxa"/>
            <w:vAlign w:val="center"/>
          </w:tcPr>
          <w:p>
            <w:pPr>
              <w:spacing w:line="240" w:lineRule="exact"/>
              <w:rPr>
                <w:rFonts w:ascii="宋体" w:hAnsi="宋体" w:cs="宋体"/>
                <w:sz w:val="21"/>
                <w:szCs w:val="21"/>
                <w:lang w:val="zh-CN"/>
              </w:rPr>
            </w:pPr>
            <w:r>
              <w:rPr>
                <w:rFonts w:hint="eastAsia" w:ascii="宋体" w:hAnsi="宋体" w:cs="宋体"/>
                <w:sz w:val="21"/>
                <w:szCs w:val="21"/>
                <w:lang w:val="zh-CN"/>
              </w:rPr>
              <w:t>磋商方案</w:t>
            </w:r>
          </w:p>
        </w:tc>
        <w:tc>
          <w:tcPr>
            <w:tcW w:w="5220" w:type="dxa"/>
            <w:vAlign w:val="center"/>
          </w:tcPr>
          <w:p>
            <w:pPr>
              <w:spacing w:line="240" w:lineRule="exact"/>
              <w:rPr>
                <w:rFonts w:ascii="宋体" w:hAnsi="宋体" w:cs="宋体"/>
                <w:kern w:val="0"/>
                <w:sz w:val="21"/>
                <w:szCs w:val="21"/>
              </w:rPr>
            </w:pPr>
            <w:r>
              <w:rPr>
                <w:rFonts w:hint="eastAsia" w:ascii="宋体" w:hAnsi="宋体" w:cs="宋体"/>
                <w:kern w:val="0"/>
                <w:sz w:val="21"/>
                <w:szCs w:val="21"/>
              </w:rPr>
              <w:t>只能有一个响应方案。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675" w:type="dxa"/>
            <w:vMerge w:val="continue"/>
            <w:vAlign w:val="center"/>
          </w:tcPr>
          <w:p>
            <w:pPr>
              <w:spacing w:line="240" w:lineRule="exact"/>
              <w:jc w:val="center"/>
              <w:rPr>
                <w:rFonts w:ascii="宋体" w:hAnsi="宋体" w:cs="宋体"/>
                <w:kern w:val="0"/>
                <w:sz w:val="21"/>
                <w:szCs w:val="21"/>
              </w:rPr>
            </w:pPr>
          </w:p>
        </w:tc>
        <w:tc>
          <w:tcPr>
            <w:tcW w:w="1573" w:type="dxa"/>
            <w:vMerge w:val="continue"/>
            <w:vAlign w:val="center"/>
          </w:tcPr>
          <w:p>
            <w:pPr>
              <w:spacing w:line="240" w:lineRule="exact"/>
              <w:rPr>
                <w:rFonts w:ascii="宋体" w:hAnsi="宋体" w:cs="宋体"/>
                <w:kern w:val="0"/>
                <w:sz w:val="21"/>
                <w:szCs w:val="21"/>
              </w:rPr>
            </w:pPr>
          </w:p>
        </w:tc>
        <w:tc>
          <w:tcPr>
            <w:tcW w:w="1996" w:type="dxa"/>
            <w:vAlign w:val="center"/>
          </w:tcPr>
          <w:p>
            <w:pPr>
              <w:spacing w:line="240" w:lineRule="exact"/>
              <w:rPr>
                <w:rFonts w:ascii="宋体" w:hAnsi="宋体" w:cs="宋体"/>
                <w:sz w:val="21"/>
                <w:szCs w:val="21"/>
                <w:lang w:val="zh-CN"/>
              </w:rPr>
            </w:pPr>
            <w:r>
              <w:rPr>
                <w:rFonts w:hint="eastAsia" w:ascii="宋体" w:hAnsi="宋体" w:cs="宋体"/>
                <w:sz w:val="21"/>
                <w:szCs w:val="21"/>
              </w:rPr>
              <w:t>报价唯一</w:t>
            </w:r>
          </w:p>
        </w:tc>
        <w:tc>
          <w:tcPr>
            <w:tcW w:w="5220" w:type="dxa"/>
            <w:vAlign w:val="center"/>
          </w:tcPr>
          <w:p>
            <w:pPr>
              <w:spacing w:line="240" w:lineRule="exact"/>
              <w:rPr>
                <w:rFonts w:ascii="宋体" w:hAnsi="宋体" w:cs="宋体"/>
                <w:kern w:val="0"/>
                <w:sz w:val="21"/>
                <w:szCs w:val="21"/>
              </w:rPr>
            </w:pPr>
            <w:r>
              <w:rPr>
                <w:rFonts w:hint="eastAsia" w:ascii="宋体" w:hAnsi="宋体" w:cs="宋体"/>
                <w:sz w:val="21"/>
                <w:szCs w:val="21"/>
                <w:lang w:val="zh-CN"/>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675" w:type="dxa"/>
            <w:vAlign w:val="center"/>
          </w:tcPr>
          <w:p>
            <w:pPr>
              <w:spacing w:line="240" w:lineRule="exact"/>
              <w:jc w:val="center"/>
              <w:rPr>
                <w:rFonts w:ascii="宋体" w:hAnsi="宋体" w:cs="宋体"/>
                <w:kern w:val="0"/>
                <w:sz w:val="21"/>
                <w:szCs w:val="21"/>
              </w:rPr>
            </w:pPr>
            <w:r>
              <w:rPr>
                <w:rFonts w:hint="eastAsia" w:ascii="宋体" w:hAnsi="宋体" w:cs="宋体"/>
                <w:kern w:val="0"/>
                <w:sz w:val="21"/>
                <w:szCs w:val="21"/>
              </w:rPr>
              <w:t>2</w:t>
            </w:r>
          </w:p>
        </w:tc>
        <w:tc>
          <w:tcPr>
            <w:tcW w:w="1573" w:type="dxa"/>
            <w:vAlign w:val="center"/>
          </w:tcPr>
          <w:p>
            <w:pPr>
              <w:spacing w:line="240" w:lineRule="exact"/>
              <w:rPr>
                <w:rFonts w:ascii="宋体" w:hAnsi="宋体" w:cs="宋体"/>
                <w:kern w:val="0"/>
                <w:sz w:val="21"/>
                <w:szCs w:val="21"/>
              </w:rPr>
            </w:pPr>
            <w:r>
              <w:rPr>
                <w:rFonts w:hint="eastAsia" w:ascii="宋体" w:hAnsi="宋体" w:cs="宋体"/>
                <w:kern w:val="0"/>
                <w:sz w:val="21"/>
                <w:szCs w:val="21"/>
              </w:rPr>
              <w:t>完整性审查</w:t>
            </w:r>
          </w:p>
        </w:tc>
        <w:tc>
          <w:tcPr>
            <w:tcW w:w="1996" w:type="dxa"/>
            <w:vAlign w:val="center"/>
          </w:tcPr>
          <w:p>
            <w:pPr>
              <w:spacing w:line="240" w:lineRule="exact"/>
              <w:rPr>
                <w:rFonts w:ascii="宋体" w:hAnsi="宋体" w:cs="宋体"/>
                <w:kern w:val="0"/>
                <w:sz w:val="21"/>
                <w:szCs w:val="21"/>
              </w:rPr>
            </w:pPr>
            <w:r>
              <w:rPr>
                <w:rFonts w:hint="eastAsia" w:ascii="宋体" w:hAnsi="宋体" w:cs="宋体"/>
                <w:sz w:val="21"/>
                <w:szCs w:val="21"/>
                <w:lang w:val="zh-CN"/>
              </w:rPr>
              <w:t>响应文件份数</w:t>
            </w:r>
          </w:p>
        </w:tc>
        <w:tc>
          <w:tcPr>
            <w:tcW w:w="5220" w:type="dxa"/>
            <w:vAlign w:val="center"/>
          </w:tcPr>
          <w:p>
            <w:pPr>
              <w:spacing w:line="240" w:lineRule="exact"/>
              <w:rPr>
                <w:rFonts w:ascii="宋体" w:hAnsi="宋体" w:cs="宋体"/>
                <w:kern w:val="0"/>
                <w:sz w:val="21"/>
                <w:szCs w:val="21"/>
              </w:rPr>
            </w:pPr>
            <w:r>
              <w:rPr>
                <w:rFonts w:hint="eastAsia" w:ascii="宋体" w:hAnsi="宋体" w:cs="宋体"/>
                <w:kern w:val="0"/>
                <w:sz w:val="21"/>
                <w:szCs w:val="21"/>
              </w:rPr>
              <w:t>响应文件正、副本数量（含电子文档）符合竞争性磋商文件要求。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675" w:type="dxa"/>
            <w:vMerge w:val="restart"/>
            <w:vAlign w:val="center"/>
          </w:tcPr>
          <w:p>
            <w:pPr>
              <w:spacing w:line="240" w:lineRule="exact"/>
              <w:jc w:val="center"/>
              <w:rPr>
                <w:rFonts w:ascii="宋体" w:hAnsi="宋体" w:cs="宋体"/>
                <w:kern w:val="0"/>
                <w:sz w:val="21"/>
                <w:szCs w:val="21"/>
              </w:rPr>
            </w:pPr>
            <w:r>
              <w:rPr>
                <w:rFonts w:hint="eastAsia" w:ascii="宋体" w:hAnsi="宋体" w:cs="宋体"/>
                <w:kern w:val="0"/>
                <w:sz w:val="21"/>
                <w:szCs w:val="21"/>
              </w:rPr>
              <w:t>3</w:t>
            </w:r>
          </w:p>
        </w:tc>
        <w:tc>
          <w:tcPr>
            <w:tcW w:w="1573" w:type="dxa"/>
            <w:vMerge w:val="restart"/>
            <w:vAlign w:val="center"/>
          </w:tcPr>
          <w:p>
            <w:pPr>
              <w:spacing w:line="240" w:lineRule="exact"/>
              <w:rPr>
                <w:rFonts w:ascii="宋体" w:hAnsi="宋体" w:cs="宋体"/>
                <w:sz w:val="21"/>
                <w:szCs w:val="21"/>
                <w:lang w:val="zh-CN"/>
              </w:rPr>
            </w:pPr>
            <w:r>
              <w:rPr>
                <w:rFonts w:hint="eastAsia" w:ascii="宋体" w:hAnsi="宋体" w:cs="宋体"/>
                <w:kern w:val="0"/>
                <w:sz w:val="21"/>
                <w:szCs w:val="21"/>
              </w:rPr>
              <w:t>实质性审查</w:t>
            </w:r>
          </w:p>
        </w:tc>
        <w:tc>
          <w:tcPr>
            <w:tcW w:w="1996" w:type="dxa"/>
            <w:vAlign w:val="center"/>
          </w:tcPr>
          <w:p>
            <w:pPr>
              <w:spacing w:line="240" w:lineRule="exact"/>
              <w:rPr>
                <w:rFonts w:ascii="宋体" w:hAnsi="宋体" w:cs="宋体"/>
                <w:kern w:val="0"/>
                <w:sz w:val="21"/>
                <w:szCs w:val="21"/>
              </w:rPr>
            </w:pPr>
            <w:r>
              <w:rPr>
                <w:rFonts w:hint="eastAsia" w:ascii="宋体" w:hAnsi="宋体" w:cs="宋体"/>
                <w:kern w:val="0"/>
                <w:sz w:val="21"/>
                <w:szCs w:val="21"/>
              </w:rPr>
              <w:t>响应文件内容</w:t>
            </w:r>
          </w:p>
        </w:tc>
        <w:tc>
          <w:tcPr>
            <w:tcW w:w="5220" w:type="dxa"/>
            <w:vAlign w:val="center"/>
          </w:tcPr>
          <w:p>
            <w:pPr>
              <w:pStyle w:val="9"/>
              <w:spacing w:line="240" w:lineRule="exact"/>
              <w:rPr>
                <w:rFonts w:ascii="宋体" w:hAnsi="宋体" w:cs="宋体"/>
                <w:kern w:val="0"/>
                <w:sz w:val="21"/>
                <w:szCs w:val="21"/>
              </w:rPr>
            </w:pPr>
            <w:r>
              <w:rPr>
                <w:rFonts w:hint="eastAsia" w:ascii="宋体" w:hAnsi="宋体" w:cs="宋体"/>
                <w:kern w:val="0"/>
                <w:sz w:val="21"/>
                <w:szCs w:val="21"/>
              </w:rPr>
              <w:t>竞争性磋商文件第二篇、第三篇“※”标注部分。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675" w:type="dxa"/>
            <w:vMerge w:val="continue"/>
            <w:vAlign w:val="center"/>
          </w:tcPr>
          <w:p>
            <w:pPr>
              <w:spacing w:line="240" w:lineRule="exact"/>
              <w:jc w:val="center"/>
              <w:rPr>
                <w:rFonts w:ascii="宋体" w:hAnsi="宋体" w:cs="宋体"/>
                <w:kern w:val="0"/>
                <w:sz w:val="21"/>
                <w:szCs w:val="21"/>
              </w:rPr>
            </w:pPr>
          </w:p>
        </w:tc>
        <w:tc>
          <w:tcPr>
            <w:tcW w:w="1573" w:type="dxa"/>
            <w:vMerge w:val="continue"/>
            <w:vAlign w:val="center"/>
          </w:tcPr>
          <w:p>
            <w:pPr>
              <w:spacing w:line="240" w:lineRule="exact"/>
              <w:rPr>
                <w:rFonts w:ascii="宋体" w:hAnsi="宋体" w:cs="宋体"/>
                <w:sz w:val="21"/>
                <w:szCs w:val="21"/>
                <w:lang w:val="zh-CN"/>
              </w:rPr>
            </w:pPr>
          </w:p>
        </w:tc>
        <w:tc>
          <w:tcPr>
            <w:tcW w:w="1996" w:type="dxa"/>
            <w:vAlign w:val="center"/>
          </w:tcPr>
          <w:p>
            <w:pPr>
              <w:spacing w:line="240" w:lineRule="exact"/>
              <w:rPr>
                <w:rFonts w:ascii="宋体" w:hAnsi="宋体" w:cs="宋体"/>
                <w:kern w:val="0"/>
                <w:sz w:val="21"/>
                <w:szCs w:val="21"/>
              </w:rPr>
            </w:pPr>
            <w:r>
              <w:rPr>
                <w:rFonts w:hint="eastAsia" w:ascii="宋体" w:hAnsi="宋体" w:cs="宋体"/>
                <w:kern w:val="0"/>
                <w:sz w:val="21"/>
                <w:szCs w:val="21"/>
              </w:rPr>
              <w:t>磋商有效期</w:t>
            </w:r>
          </w:p>
        </w:tc>
        <w:tc>
          <w:tcPr>
            <w:tcW w:w="5220" w:type="dxa"/>
            <w:vAlign w:val="center"/>
          </w:tcPr>
          <w:p>
            <w:pPr>
              <w:spacing w:line="240" w:lineRule="exact"/>
              <w:rPr>
                <w:rFonts w:ascii="宋体" w:hAnsi="宋体" w:cs="宋体"/>
                <w:kern w:val="0"/>
                <w:sz w:val="21"/>
                <w:szCs w:val="21"/>
              </w:rPr>
            </w:pPr>
            <w:r>
              <w:rPr>
                <w:rFonts w:hint="eastAsia" w:ascii="宋体" w:hAnsi="宋体" w:cs="宋体"/>
                <w:kern w:val="0"/>
                <w:sz w:val="21"/>
                <w:szCs w:val="21"/>
              </w:rPr>
              <w:t>响应文件及有关承诺文件有效期为提交响应文件截止时间起90天。</w:t>
            </w:r>
          </w:p>
        </w:tc>
      </w:tr>
    </w:tbl>
    <w:p>
      <w:pPr>
        <w:spacing w:line="500" w:lineRule="exact"/>
        <w:ind w:firstLine="480" w:firstLineChars="200"/>
        <w:rPr>
          <w:rFonts w:ascii="宋体" w:hAnsi="宋体" w:cs="宋体"/>
          <w:sz w:val="24"/>
          <w:szCs w:val="24"/>
        </w:rPr>
      </w:pPr>
      <w:r>
        <w:rPr>
          <w:rFonts w:hint="eastAsia" w:ascii="宋体" w:hAnsi="宋体" w:cs="宋体"/>
          <w:sz w:val="24"/>
          <w:szCs w:val="24"/>
        </w:rPr>
        <w:t>3.根据《财政部关于政府采购竞争性磋商采购方式管理暂行办法有关问题的补充通知》（财库〔2015〕124号）采用竞争性磋商采购方式采购的政府购买服务项目（含政府和社会资本合作项目），在采购过程中符合要求的供应商（社会资本）只有2家的，竞争性磋商采购活动可以继续进行。</w:t>
      </w:r>
    </w:p>
    <w:p>
      <w:pPr>
        <w:spacing w:line="500" w:lineRule="exact"/>
        <w:ind w:firstLine="480" w:firstLineChars="200"/>
        <w:rPr>
          <w:rFonts w:ascii="宋体" w:hAnsi="宋体" w:cs="宋体"/>
          <w:sz w:val="24"/>
          <w:szCs w:val="24"/>
        </w:rPr>
      </w:pPr>
      <w:r>
        <w:rPr>
          <w:rFonts w:hint="eastAsia" w:ascii="宋体" w:hAnsi="宋体" w:cs="宋体"/>
          <w:sz w:val="24"/>
          <w:szCs w:val="24"/>
        </w:rPr>
        <w:t>（三）澄清有关问题。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500" w:lineRule="exact"/>
        <w:ind w:firstLine="480" w:firstLineChars="200"/>
        <w:rPr>
          <w:rFonts w:ascii="宋体" w:hAnsi="宋体" w:cs="宋体"/>
          <w:sz w:val="24"/>
          <w:szCs w:val="24"/>
        </w:rPr>
      </w:pPr>
      <w:r>
        <w:rPr>
          <w:rFonts w:hint="eastAsia" w:ascii="宋体" w:hAnsi="宋体" w:cs="宋体"/>
          <w:sz w:val="24"/>
          <w:szCs w:val="24"/>
        </w:rPr>
        <w:t>（四）磋商小组要求供应商澄清、说明或者更正响应文件应当以书面形式作出。供应商的澄清、说明或者更正应当由法定代表人（或其授权代表）或自然人（供应商为自然人）签署或者加盖公章。由授权代表签署的，应当附法定代表人授权书。供应商为自然人的，应当由本人签署并附身份证明。</w:t>
      </w:r>
    </w:p>
    <w:p>
      <w:pPr>
        <w:spacing w:line="500" w:lineRule="exact"/>
        <w:ind w:firstLine="480" w:firstLineChars="200"/>
        <w:rPr>
          <w:rFonts w:ascii="宋体" w:hAnsi="宋体" w:cs="宋体"/>
          <w:sz w:val="24"/>
          <w:szCs w:val="24"/>
        </w:rPr>
      </w:pPr>
      <w:r>
        <w:rPr>
          <w:rFonts w:hint="eastAsia" w:ascii="宋体" w:hAnsi="宋体" w:cs="宋体"/>
          <w:sz w:val="24"/>
          <w:szCs w:val="24"/>
        </w:rPr>
        <w:t>（五）在磋商过程中磋商的任何一方不得向他人透露与磋商有关的技术资料、价格或其他信息。</w:t>
      </w:r>
    </w:p>
    <w:p>
      <w:pPr>
        <w:spacing w:line="500" w:lineRule="exact"/>
        <w:ind w:firstLine="480" w:firstLineChars="200"/>
        <w:rPr>
          <w:rFonts w:ascii="宋体" w:hAnsi="宋体" w:cs="宋体"/>
          <w:sz w:val="24"/>
          <w:szCs w:val="24"/>
        </w:rPr>
      </w:pPr>
      <w:r>
        <w:rPr>
          <w:rFonts w:hint="eastAsia" w:ascii="宋体" w:hAnsi="宋体" w:cs="宋体"/>
          <w:sz w:val="24"/>
          <w:szCs w:val="24"/>
        </w:rPr>
        <w:t>（六）在磋商过程中，磋商小组可以根据竞争性磋商文件和磋商情况实质性变动采购需求中的技术、商务要求以及合同草案条款，但不得变动竞争性磋商文件中的其他内容。实质性变动的内容，须经采购人代表确认。对竞争性磋商文件作出的实质性变动是竞争性磋商文件的有效组成部分，磋商小组应当及时以书面形式同时通知所有参加磋商的供应商。</w:t>
      </w:r>
    </w:p>
    <w:p>
      <w:pPr>
        <w:spacing w:line="500" w:lineRule="exact"/>
        <w:ind w:firstLine="480" w:firstLineChars="200"/>
        <w:rPr>
          <w:rFonts w:ascii="宋体" w:hAnsi="宋体" w:cs="宋体"/>
          <w:sz w:val="24"/>
          <w:szCs w:val="24"/>
        </w:rPr>
      </w:pPr>
      <w:r>
        <w:rPr>
          <w:rFonts w:hint="eastAsia" w:ascii="宋体" w:hAnsi="宋体" w:cs="宋体"/>
          <w:sz w:val="24"/>
          <w:szCs w:val="24"/>
        </w:rPr>
        <w:t>（七）供应商在磋商时作出的所有书面承诺须由法定代表人（或其授权代表）或自然人（供应商为自然人）签署。</w:t>
      </w:r>
    </w:p>
    <w:p>
      <w:pPr>
        <w:spacing w:line="500" w:lineRule="exact"/>
        <w:ind w:firstLine="480" w:firstLineChars="200"/>
        <w:rPr>
          <w:rFonts w:ascii="宋体" w:hAnsi="宋体" w:cs="宋体"/>
          <w:sz w:val="24"/>
          <w:szCs w:val="24"/>
        </w:rPr>
      </w:pPr>
      <w:r>
        <w:rPr>
          <w:rFonts w:hint="eastAsia" w:ascii="宋体" w:hAnsi="宋体" w:cs="宋体"/>
          <w:sz w:val="24"/>
          <w:szCs w:val="24"/>
        </w:rPr>
        <w:t>（八）经磋商确定最终采购需求且磋商结束后，供应商应当按照竞争性磋商文件的变动情况和磋商小组的要求重新提交响应文件或重新做出相关的书面承诺，最后书面提交最后报价及有关承诺（《最后报价表》在磋商现场向供应商提供）。已提交响应文件但未在规定时间内进行最后报价的供应商，视为放弃最后报价，以供应商响应文件中的报价为准。</w:t>
      </w:r>
    </w:p>
    <w:p>
      <w:pPr>
        <w:spacing w:line="500" w:lineRule="exact"/>
        <w:ind w:firstLine="480" w:firstLineChars="200"/>
        <w:rPr>
          <w:rFonts w:ascii="宋体" w:hAnsi="宋体" w:cs="宋体"/>
          <w:sz w:val="24"/>
          <w:szCs w:val="24"/>
        </w:rPr>
      </w:pPr>
      <w:r>
        <w:rPr>
          <w:rFonts w:hint="eastAsia" w:ascii="宋体" w:hAnsi="宋体" w:cs="宋体"/>
          <w:sz w:val="24"/>
          <w:szCs w:val="24"/>
        </w:rPr>
        <w:t>（九）磋商小组采用综合评分法对提交最后报价的供应商的响应文件和最后报价（含有效书面承诺）进行综合评分。综合评分法，是指响应文件满足竞争性磋商文件全部实质性要求且按照评审因素的量化指标评审得分最高的供应商为成交候选供应商的评审方法。供应商总得分为价格、技术、商务等评定因素分别按照相应权重值计算分项得分后相加，满分为100分。</w:t>
      </w:r>
    </w:p>
    <w:p>
      <w:pPr>
        <w:spacing w:line="500" w:lineRule="exact"/>
        <w:ind w:firstLine="480" w:firstLineChars="200"/>
        <w:rPr>
          <w:rFonts w:ascii="宋体" w:hAnsi="宋体" w:cs="宋体"/>
          <w:sz w:val="24"/>
          <w:szCs w:val="24"/>
        </w:rPr>
      </w:pPr>
      <w:r>
        <w:rPr>
          <w:rFonts w:hint="eastAsia" w:ascii="宋体" w:hAnsi="宋体" w:cs="宋体"/>
          <w:sz w:val="24"/>
          <w:szCs w:val="24"/>
        </w:rPr>
        <w:t>（十）磋商小组各成员独立对每个有效响应（通过资格性审查、符合性审查的供应商）的文件进行评价、打分，然后汇总每个供应商每项评分因素的得分，并根据综合评分情况按照评审得分由高到低顺序推荐3名以上成交候选供应商，并编写评审报告。若供应商的评审得分相同的，按照最后报价由低到高的顺序排列推荐。评审得分且最后报价相同的，按照技术指标优劣顺序排列推荐。技术部分得分为0分的供应商将失去成为成交候选供应商。</w:t>
      </w:r>
    </w:p>
    <w:p>
      <w:pPr>
        <w:pStyle w:val="5"/>
        <w:spacing w:before="0" w:after="0" w:line="440" w:lineRule="exact"/>
        <w:ind w:firstLine="482" w:firstLineChars="200"/>
        <w:rPr>
          <w:rFonts w:hint="eastAsia" w:ascii="宋体" w:hAnsi="宋体" w:cs="宋体"/>
          <w:sz w:val="24"/>
          <w:szCs w:val="24"/>
        </w:rPr>
      </w:pPr>
      <w:bookmarkStart w:id="45" w:name="_Toc20130549"/>
      <w:r>
        <w:rPr>
          <w:rFonts w:hint="eastAsia" w:ascii="宋体" w:hAnsi="宋体" w:cs="宋体"/>
          <w:sz w:val="24"/>
          <w:szCs w:val="24"/>
        </w:rPr>
        <w:t>二、</w:t>
      </w:r>
      <w:bookmarkStart w:id="46" w:name="_Toc342913394"/>
      <w:bookmarkStart w:id="47" w:name="_Toc102227320"/>
      <w:r>
        <w:rPr>
          <w:rFonts w:hint="eastAsia" w:ascii="宋体" w:hAnsi="宋体" w:cs="宋体"/>
          <w:sz w:val="24"/>
          <w:szCs w:val="24"/>
        </w:rPr>
        <w:t>评审标准</w:t>
      </w:r>
      <w:bookmarkEnd w:id="45"/>
    </w:p>
    <w:tbl>
      <w:tblPr>
        <w:tblStyle w:val="15"/>
        <w:tblW w:w="98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9"/>
        <w:gridCol w:w="1295"/>
        <w:gridCol w:w="1253"/>
        <w:gridCol w:w="4169"/>
        <w:gridCol w:w="2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699" w:type="dxa"/>
            <w:vAlign w:val="center"/>
          </w:tcPr>
          <w:p>
            <w:pPr>
              <w:spacing w:line="240" w:lineRule="atLeast"/>
              <w:ind w:firstLine="28" w:firstLineChars="0"/>
              <w:jc w:val="center"/>
              <w:rPr>
                <w:rFonts w:hint="eastAsia" w:eastAsia="宋体"/>
                <w:vertAlign w:val="baseline"/>
                <w:lang w:val="en-US" w:eastAsia="zh-CN"/>
              </w:rPr>
            </w:pPr>
            <w:r>
              <w:rPr>
                <w:rFonts w:hint="eastAsia" w:ascii="宋体" w:hAnsi="宋体" w:cs="宋体"/>
                <w:b/>
                <w:sz w:val="21"/>
                <w:szCs w:val="21"/>
              </w:rPr>
              <w:t>序号</w:t>
            </w:r>
          </w:p>
        </w:tc>
        <w:tc>
          <w:tcPr>
            <w:tcW w:w="1295" w:type="dxa"/>
            <w:vAlign w:val="center"/>
          </w:tcPr>
          <w:p>
            <w:pPr>
              <w:spacing w:line="240" w:lineRule="atLeast"/>
              <w:ind w:firstLine="28"/>
              <w:jc w:val="center"/>
              <w:rPr>
                <w:rFonts w:ascii="宋体" w:hAnsi="宋体" w:cs="宋体"/>
                <w:b/>
                <w:sz w:val="21"/>
                <w:szCs w:val="21"/>
              </w:rPr>
            </w:pPr>
            <w:r>
              <w:rPr>
                <w:rFonts w:hint="eastAsia" w:ascii="宋体" w:hAnsi="宋体" w:cs="宋体"/>
                <w:b/>
                <w:sz w:val="21"/>
                <w:szCs w:val="21"/>
              </w:rPr>
              <w:t>评分因素</w:t>
            </w:r>
          </w:p>
          <w:p>
            <w:pPr>
              <w:spacing w:line="240" w:lineRule="atLeast"/>
              <w:ind w:firstLine="28" w:firstLineChars="0"/>
              <w:jc w:val="center"/>
              <w:rPr>
                <w:vertAlign w:val="baseline"/>
              </w:rPr>
            </w:pPr>
            <w:r>
              <w:rPr>
                <w:rFonts w:hint="eastAsia" w:ascii="宋体" w:hAnsi="宋体" w:cs="宋体"/>
                <w:b/>
                <w:sz w:val="21"/>
                <w:szCs w:val="21"/>
              </w:rPr>
              <w:t>及权值</w:t>
            </w:r>
          </w:p>
        </w:tc>
        <w:tc>
          <w:tcPr>
            <w:tcW w:w="1253" w:type="dxa"/>
            <w:vAlign w:val="center"/>
          </w:tcPr>
          <w:p>
            <w:pPr>
              <w:spacing w:line="240" w:lineRule="atLeast"/>
              <w:ind w:firstLine="28" w:firstLineChars="0"/>
              <w:jc w:val="center"/>
              <w:rPr>
                <w:vertAlign w:val="baseline"/>
              </w:rPr>
            </w:pPr>
            <w:r>
              <w:rPr>
                <w:rFonts w:hint="eastAsia" w:ascii="宋体" w:hAnsi="宋体" w:cs="宋体"/>
                <w:b/>
                <w:sz w:val="21"/>
                <w:szCs w:val="21"/>
              </w:rPr>
              <w:t>分值</w:t>
            </w:r>
          </w:p>
        </w:tc>
        <w:tc>
          <w:tcPr>
            <w:tcW w:w="4169" w:type="dxa"/>
            <w:vAlign w:val="center"/>
          </w:tcPr>
          <w:p>
            <w:pPr>
              <w:spacing w:line="240" w:lineRule="atLeast"/>
              <w:ind w:firstLine="28" w:firstLineChars="0"/>
              <w:jc w:val="center"/>
              <w:rPr>
                <w:vertAlign w:val="baseline"/>
              </w:rPr>
            </w:pPr>
            <w:r>
              <w:rPr>
                <w:rFonts w:hint="eastAsia" w:ascii="宋体" w:hAnsi="宋体" w:cs="宋体"/>
                <w:b/>
                <w:sz w:val="21"/>
                <w:szCs w:val="21"/>
              </w:rPr>
              <w:t>评分标准</w:t>
            </w:r>
          </w:p>
        </w:tc>
        <w:tc>
          <w:tcPr>
            <w:tcW w:w="2402" w:type="dxa"/>
            <w:vAlign w:val="center"/>
          </w:tcPr>
          <w:p>
            <w:pPr>
              <w:pStyle w:val="19"/>
              <w:spacing w:before="0" w:after="0" w:line="240" w:lineRule="atLeast"/>
              <w:rPr>
                <w:vertAlign w:val="baseline"/>
              </w:rPr>
            </w:pPr>
            <w:r>
              <w:rPr>
                <w:rFonts w:hint="eastAsia" w:ascii="宋体" w:hAnsi="宋体" w:eastAsia="宋体" w:cs="宋体"/>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699" w:type="dxa"/>
            <w:vAlign w:val="center"/>
          </w:tcPr>
          <w:p>
            <w:pPr>
              <w:spacing w:line="360" w:lineRule="auto"/>
              <w:ind w:firstLine="28" w:firstLineChars="0"/>
              <w:jc w:val="center"/>
              <w:rPr>
                <w:vertAlign w:val="baseline"/>
              </w:rPr>
            </w:pPr>
            <w:r>
              <w:rPr>
                <w:rFonts w:hint="eastAsia" w:ascii="宋体" w:hAnsi="宋体" w:cs="宋体"/>
                <w:sz w:val="21"/>
                <w:szCs w:val="21"/>
              </w:rPr>
              <w:t>1</w:t>
            </w:r>
          </w:p>
        </w:tc>
        <w:tc>
          <w:tcPr>
            <w:tcW w:w="1295" w:type="dxa"/>
            <w:vAlign w:val="center"/>
          </w:tcPr>
          <w:p>
            <w:pPr>
              <w:spacing w:line="360" w:lineRule="auto"/>
              <w:ind w:firstLine="28"/>
              <w:jc w:val="center"/>
              <w:rPr>
                <w:rFonts w:ascii="宋体" w:hAnsi="宋体" w:cs="宋体"/>
                <w:sz w:val="21"/>
                <w:szCs w:val="21"/>
              </w:rPr>
            </w:pPr>
            <w:r>
              <w:rPr>
                <w:rFonts w:hint="eastAsia" w:ascii="宋体" w:hAnsi="宋体" w:cs="宋体"/>
                <w:sz w:val="21"/>
                <w:szCs w:val="21"/>
              </w:rPr>
              <w:t>磋商报价</w:t>
            </w:r>
          </w:p>
          <w:p>
            <w:pPr>
              <w:spacing w:line="360" w:lineRule="auto"/>
              <w:ind w:firstLine="28" w:firstLineChars="0"/>
              <w:jc w:val="center"/>
              <w:rPr>
                <w:vertAlign w:val="baseline"/>
              </w:rPr>
            </w:pPr>
            <w:r>
              <w:rPr>
                <w:rFonts w:hint="eastAsia" w:ascii="宋体" w:hAnsi="宋体" w:cs="宋体"/>
                <w:sz w:val="21"/>
                <w:szCs w:val="21"/>
              </w:rPr>
              <w:t>（</w:t>
            </w:r>
            <w:r>
              <w:rPr>
                <w:rFonts w:hint="eastAsia" w:ascii="宋体" w:hAnsi="宋体" w:cs="宋体"/>
                <w:sz w:val="21"/>
                <w:szCs w:val="21"/>
                <w:lang w:val="en-US" w:eastAsia="zh-CN"/>
              </w:rPr>
              <w:t>30</w:t>
            </w:r>
            <w:r>
              <w:rPr>
                <w:rFonts w:hint="eastAsia" w:ascii="宋体" w:hAnsi="宋体" w:cs="宋体"/>
                <w:sz w:val="21"/>
                <w:szCs w:val="21"/>
              </w:rPr>
              <w:t>%）</w:t>
            </w:r>
          </w:p>
        </w:tc>
        <w:tc>
          <w:tcPr>
            <w:tcW w:w="1253" w:type="dxa"/>
            <w:vAlign w:val="center"/>
          </w:tcPr>
          <w:p>
            <w:pPr>
              <w:spacing w:line="360" w:lineRule="auto"/>
              <w:ind w:firstLine="28" w:firstLineChars="0"/>
              <w:jc w:val="center"/>
              <w:rPr>
                <w:vertAlign w:val="baseline"/>
              </w:rPr>
            </w:pPr>
            <w:r>
              <w:rPr>
                <w:rFonts w:hint="eastAsia" w:ascii="宋体" w:hAnsi="宋体" w:cs="宋体"/>
                <w:sz w:val="21"/>
                <w:szCs w:val="21"/>
                <w:lang w:val="en-US" w:eastAsia="zh-CN"/>
              </w:rPr>
              <w:t>30</w:t>
            </w:r>
            <w:r>
              <w:rPr>
                <w:rFonts w:hint="eastAsia" w:ascii="宋体" w:hAnsi="宋体" w:cs="宋体"/>
                <w:sz w:val="21"/>
                <w:szCs w:val="21"/>
              </w:rPr>
              <w:t>分</w:t>
            </w:r>
          </w:p>
        </w:tc>
        <w:tc>
          <w:tcPr>
            <w:tcW w:w="4169" w:type="dxa"/>
            <w:vAlign w:val="center"/>
          </w:tcPr>
          <w:p>
            <w:pPr>
              <w:spacing w:line="360" w:lineRule="auto"/>
              <w:ind w:firstLine="420" w:firstLineChars="200"/>
              <w:rPr>
                <w:rFonts w:ascii="宋体" w:hAnsi="宋体" w:cs="宋体"/>
                <w:sz w:val="21"/>
                <w:szCs w:val="21"/>
              </w:rPr>
            </w:pPr>
            <w:r>
              <w:rPr>
                <w:rFonts w:hint="eastAsia" w:ascii="宋体" w:hAnsi="宋体" w:cs="宋体"/>
                <w:sz w:val="21"/>
                <w:szCs w:val="21"/>
              </w:rPr>
              <w:t>满足资格性、符合性要求且最后报价最低的供应商的价格为磋商基准价，其价格分为满分。其他供应商的价格分统一按照下列公式计算：</w:t>
            </w:r>
          </w:p>
          <w:p>
            <w:pPr>
              <w:spacing w:line="360" w:lineRule="auto"/>
              <w:ind w:firstLine="420" w:firstLineChars="200"/>
              <w:rPr>
                <w:vertAlign w:val="baseline"/>
              </w:rPr>
            </w:pPr>
            <w:r>
              <w:rPr>
                <w:rFonts w:hint="eastAsia" w:ascii="宋体" w:hAnsi="宋体" w:cs="宋体"/>
                <w:sz w:val="21"/>
                <w:szCs w:val="21"/>
              </w:rPr>
              <w:t>磋商报价得分=（磋商基准价/最后磋商报价）×价格权值×100</w:t>
            </w:r>
          </w:p>
        </w:tc>
        <w:tc>
          <w:tcPr>
            <w:tcW w:w="2402" w:type="dxa"/>
            <w:vAlign w:val="center"/>
          </w:tcPr>
          <w:p>
            <w:pPr>
              <w:spacing w:line="360" w:lineRule="auto"/>
              <w:ind w:left="-38" w:leftChars="0"/>
              <w:rPr>
                <w:vertAlign w:val="baseline"/>
              </w:rPr>
            </w:pPr>
            <w:r>
              <w:rPr>
                <w:rFonts w:hint="eastAsia" w:ascii="宋体" w:hAnsi="宋体" w:cs="宋体"/>
                <w:sz w:val="21"/>
                <w:szCs w:val="21"/>
              </w:rPr>
              <w:t>对小微企业的价格用扣除后的价格参与评审，详见“注：关于小微企业报价扣除比例说明”。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699" w:type="dxa"/>
            <w:vMerge w:val="restart"/>
            <w:vAlign w:val="center"/>
          </w:tcPr>
          <w:p>
            <w:pPr>
              <w:spacing w:line="240" w:lineRule="auto"/>
              <w:ind w:firstLine="28" w:firstLineChars="0"/>
              <w:jc w:val="center"/>
              <w:rPr>
                <w:vertAlign w:val="baseline"/>
              </w:rPr>
            </w:pPr>
            <w:r>
              <w:rPr>
                <w:rFonts w:hint="eastAsia" w:ascii="宋体" w:hAnsi="宋体" w:cs="宋体"/>
                <w:sz w:val="21"/>
                <w:szCs w:val="21"/>
              </w:rPr>
              <w:t>2</w:t>
            </w:r>
          </w:p>
        </w:tc>
        <w:tc>
          <w:tcPr>
            <w:tcW w:w="1295" w:type="dxa"/>
            <w:vMerge w:val="restart"/>
            <w:vAlign w:val="center"/>
          </w:tcPr>
          <w:p>
            <w:pPr>
              <w:spacing w:line="240" w:lineRule="auto"/>
              <w:ind w:firstLine="28"/>
              <w:jc w:val="center"/>
              <w:rPr>
                <w:rFonts w:ascii="宋体" w:hAnsi="宋体" w:cs="宋体"/>
                <w:sz w:val="21"/>
                <w:szCs w:val="21"/>
              </w:rPr>
            </w:pPr>
            <w:r>
              <w:rPr>
                <w:rFonts w:hint="eastAsia" w:ascii="宋体" w:hAnsi="宋体" w:cs="宋体"/>
                <w:sz w:val="21"/>
                <w:szCs w:val="21"/>
              </w:rPr>
              <w:t>技术部分</w:t>
            </w:r>
          </w:p>
          <w:p>
            <w:pPr>
              <w:spacing w:line="240" w:lineRule="auto"/>
              <w:ind w:firstLine="28" w:firstLineChars="0"/>
              <w:jc w:val="center"/>
              <w:rPr>
                <w:vertAlign w:val="baseline"/>
              </w:rPr>
            </w:pPr>
            <w:r>
              <w:rPr>
                <w:rFonts w:hint="eastAsia" w:ascii="宋体" w:hAnsi="宋体" w:cs="宋体"/>
                <w:sz w:val="21"/>
                <w:szCs w:val="21"/>
              </w:rPr>
              <w:t>（</w:t>
            </w:r>
            <w:r>
              <w:rPr>
                <w:rFonts w:hint="eastAsia" w:ascii="宋体" w:hAnsi="宋体" w:cs="宋体"/>
                <w:sz w:val="21"/>
                <w:szCs w:val="21"/>
                <w:lang w:val="en-US" w:eastAsia="zh-CN"/>
              </w:rPr>
              <w:t>62</w:t>
            </w:r>
            <w:r>
              <w:rPr>
                <w:rFonts w:hint="eastAsia" w:ascii="宋体" w:hAnsi="宋体" w:cs="宋体"/>
                <w:sz w:val="21"/>
                <w:szCs w:val="21"/>
              </w:rPr>
              <w:t>%）</w:t>
            </w:r>
          </w:p>
        </w:tc>
        <w:tc>
          <w:tcPr>
            <w:tcW w:w="1253" w:type="dxa"/>
            <w:vMerge w:val="restart"/>
            <w:vAlign w:val="center"/>
          </w:tcPr>
          <w:p>
            <w:pPr>
              <w:spacing w:line="240" w:lineRule="auto"/>
              <w:ind w:firstLine="28" w:firstLineChars="0"/>
              <w:jc w:val="center"/>
              <w:rPr>
                <w:vertAlign w:val="baseline"/>
              </w:rPr>
            </w:pPr>
            <w:r>
              <w:rPr>
                <w:rFonts w:hint="eastAsia" w:ascii="宋体" w:hAnsi="宋体" w:cs="宋体"/>
                <w:sz w:val="21"/>
                <w:szCs w:val="21"/>
                <w:lang w:val="en-US" w:eastAsia="zh-CN"/>
              </w:rPr>
              <w:t>62</w:t>
            </w:r>
            <w:r>
              <w:rPr>
                <w:rFonts w:hint="eastAsia" w:ascii="宋体" w:hAnsi="宋体" w:cs="宋体"/>
                <w:sz w:val="21"/>
                <w:szCs w:val="21"/>
              </w:rPr>
              <w:t>分</w:t>
            </w:r>
          </w:p>
        </w:tc>
        <w:tc>
          <w:tcPr>
            <w:tcW w:w="4169" w:type="dxa"/>
            <w:vAlign w:val="center"/>
          </w:tcPr>
          <w:p>
            <w:pPr>
              <w:spacing w:line="360" w:lineRule="auto"/>
              <w:rPr>
                <w:rFonts w:ascii="宋体" w:hAnsi="宋体" w:cs="宋体"/>
                <w:sz w:val="21"/>
                <w:szCs w:val="21"/>
              </w:rPr>
            </w:pPr>
            <w:r>
              <w:rPr>
                <w:rFonts w:hint="eastAsia" w:ascii="宋体" w:hAnsi="宋体" w:cs="宋体"/>
                <w:sz w:val="21"/>
                <w:szCs w:val="21"/>
              </w:rPr>
              <w:t>A起评分：</w:t>
            </w:r>
          </w:p>
          <w:p>
            <w:pPr>
              <w:spacing w:line="360" w:lineRule="auto"/>
              <w:rPr>
                <w:vertAlign w:val="baseline"/>
              </w:rPr>
            </w:pPr>
            <w:r>
              <w:rPr>
                <w:rFonts w:hint="eastAsia" w:ascii="宋体" w:hAnsi="宋体" w:cs="宋体"/>
                <w:sz w:val="21"/>
                <w:szCs w:val="21"/>
                <w:lang w:val="en-US" w:eastAsia="zh-CN"/>
              </w:rPr>
              <w:t>合格</w:t>
            </w:r>
            <w:r>
              <w:rPr>
                <w:rFonts w:hint="eastAsia" w:ascii="宋体" w:hAnsi="宋体" w:cs="宋体"/>
                <w:sz w:val="21"/>
                <w:szCs w:val="21"/>
              </w:rPr>
              <w:t>供应商的起评分为</w:t>
            </w:r>
            <w:r>
              <w:rPr>
                <w:rFonts w:hint="eastAsia" w:ascii="宋体" w:hAnsi="宋体" w:cs="宋体"/>
                <w:sz w:val="21"/>
                <w:szCs w:val="21"/>
                <w:lang w:val="en-US" w:eastAsia="zh-CN"/>
              </w:rPr>
              <w:t>32</w:t>
            </w:r>
            <w:r>
              <w:rPr>
                <w:rFonts w:hint="eastAsia" w:ascii="宋体" w:hAnsi="宋体" w:cs="宋体"/>
                <w:sz w:val="21"/>
                <w:szCs w:val="21"/>
              </w:rPr>
              <w:t>分。</w:t>
            </w:r>
          </w:p>
        </w:tc>
        <w:tc>
          <w:tcPr>
            <w:tcW w:w="2402" w:type="dxa"/>
            <w:vAlign w:val="center"/>
          </w:tcPr>
          <w:p>
            <w:pPr>
              <w:spacing w:line="240" w:lineRule="atLeast"/>
              <w:ind w:left="-38" w:leftChars="0"/>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699" w:type="dxa"/>
            <w:vMerge w:val="continue"/>
            <w:vAlign w:val="center"/>
          </w:tcPr>
          <w:p>
            <w:pPr>
              <w:spacing w:line="240" w:lineRule="atLeast"/>
              <w:ind w:firstLine="28" w:firstLineChars="0"/>
              <w:jc w:val="center"/>
              <w:rPr>
                <w:rFonts w:hint="eastAsia" w:ascii="宋体" w:hAnsi="宋体" w:cs="宋体"/>
                <w:sz w:val="21"/>
                <w:szCs w:val="21"/>
              </w:rPr>
            </w:pPr>
          </w:p>
        </w:tc>
        <w:tc>
          <w:tcPr>
            <w:tcW w:w="1295" w:type="dxa"/>
            <w:vMerge w:val="continue"/>
            <w:vAlign w:val="center"/>
          </w:tcPr>
          <w:p>
            <w:pPr>
              <w:spacing w:line="240" w:lineRule="atLeast"/>
              <w:ind w:firstLine="28" w:firstLineChars="0"/>
              <w:jc w:val="center"/>
              <w:rPr>
                <w:rFonts w:hint="eastAsia" w:ascii="宋体" w:hAnsi="宋体" w:cs="宋体"/>
                <w:sz w:val="21"/>
                <w:szCs w:val="21"/>
              </w:rPr>
            </w:pPr>
          </w:p>
        </w:tc>
        <w:tc>
          <w:tcPr>
            <w:tcW w:w="1253" w:type="dxa"/>
            <w:vMerge w:val="continue"/>
            <w:vAlign w:val="center"/>
          </w:tcPr>
          <w:p>
            <w:pPr>
              <w:spacing w:line="240" w:lineRule="atLeast"/>
              <w:ind w:firstLine="28" w:firstLineChars="0"/>
              <w:jc w:val="center"/>
              <w:rPr>
                <w:rFonts w:hint="eastAsia" w:ascii="宋体" w:hAnsi="宋体" w:cs="宋体"/>
                <w:sz w:val="21"/>
                <w:szCs w:val="21"/>
                <w:lang w:val="en-US" w:eastAsia="zh-CN"/>
              </w:rPr>
            </w:pPr>
          </w:p>
        </w:tc>
        <w:tc>
          <w:tcPr>
            <w:tcW w:w="4169" w:type="dxa"/>
            <w:vAlign w:val="center"/>
          </w:tcPr>
          <w:p>
            <w:pPr>
              <w:spacing w:line="360" w:lineRule="auto"/>
              <w:rPr>
                <w:rFonts w:ascii="宋体" w:hAnsi="宋体"/>
                <w:color w:val="000000"/>
                <w:sz w:val="21"/>
                <w:szCs w:val="21"/>
              </w:rPr>
            </w:pPr>
            <w:r>
              <w:rPr>
                <w:rFonts w:ascii="宋体" w:hAnsi="宋体"/>
                <w:color w:val="000000"/>
                <w:sz w:val="21"/>
                <w:szCs w:val="21"/>
              </w:rPr>
              <w:t>B</w:t>
            </w:r>
            <w:r>
              <w:rPr>
                <w:rFonts w:hint="eastAsia" w:ascii="宋体" w:hAnsi="宋体"/>
                <w:color w:val="000000"/>
                <w:sz w:val="21"/>
                <w:szCs w:val="21"/>
              </w:rPr>
              <w:t>、扣分条款：</w:t>
            </w:r>
          </w:p>
          <w:p>
            <w:pPr>
              <w:spacing w:line="360" w:lineRule="auto"/>
              <w:rPr>
                <w:rFonts w:ascii="宋体" w:hAnsi="宋体"/>
                <w:color w:val="000000"/>
                <w:sz w:val="21"/>
                <w:szCs w:val="21"/>
              </w:rPr>
            </w:pPr>
            <w:r>
              <w:rPr>
                <w:rFonts w:hint="eastAsia" w:ascii="宋体" w:hAnsi="宋体"/>
                <w:color w:val="000000"/>
                <w:sz w:val="21"/>
                <w:szCs w:val="21"/>
              </w:rPr>
              <w:t>1.重要技术参数（磋商文件第二篇 项目服务需求 一、项目技术需求中带（</w:t>
            </w:r>
            <w:r>
              <w:rPr>
                <w:rFonts w:hint="eastAsia" w:ascii="宋体" w:hAnsi="宋体"/>
                <w:sz w:val="24"/>
                <w:szCs w:val="24"/>
              </w:rPr>
              <w:t>★</w:t>
            </w:r>
            <w:r>
              <w:rPr>
                <w:rFonts w:hint="eastAsia" w:ascii="宋体" w:hAnsi="宋体"/>
                <w:color w:val="000000"/>
                <w:sz w:val="21"/>
                <w:szCs w:val="21"/>
              </w:rPr>
              <w:t>）部分）有一条不满足的，技术部分得分为0分。</w:t>
            </w:r>
          </w:p>
          <w:p>
            <w:pPr>
              <w:spacing w:line="360" w:lineRule="auto"/>
              <w:rPr>
                <w:rFonts w:hint="eastAsia" w:ascii="宋体" w:hAnsi="宋体" w:cs="宋体"/>
                <w:sz w:val="21"/>
                <w:szCs w:val="21"/>
                <w:lang w:val="en-US" w:eastAsia="zh-CN"/>
              </w:rPr>
            </w:pPr>
            <w:r>
              <w:rPr>
                <w:rFonts w:hint="eastAsia" w:ascii="宋体" w:hAnsi="宋体"/>
                <w:color w:val="000000"/>
                <w:sz w:val="21"/>
                <w:szCs w:val="21"/>
              </w:rPr>
              <w:t>2.一般性技术参数（磋商文件第二篇 项目服务需求 一、项目技术需求中非（</w:t>
            </w:r>
            <w:r>
              <w:rPr>
                <w:rFonts w:hint="eastAsia" w:ascii="宋体" w:hAnsi="宋体"/>
                <w:sz w:val="24"/>
                <w:szCs w:val="24"/>
              </w:rPr>
              <w:t>★</w:t>
            </w:r>
            <w:r>
              <w:rPr>
                <w:rFonts w:hint="eastAsia" w:ascii="宋体" w:hAnsi="宋体"/>
                <w:color w:val="000000"/>
                <w:sz w:val="21"/>
                <w:szCs w:val="21"/>
              </w:rPr>
              <w:t>）部分）有一条不满足的,从起评分中扣除3分；有4条及以上不满足的，技术部分得分为0分。</w:t>
            </w:r>
          </w:p>
        </w:tc>
        <w:tc>
          <w:tcPr>
            <w:tcW w:w="2402" w:type="dxa"/>
            <w:vAlign w:val="center"/>
          </w:tcPr>
          <w:p>
            <w:pPr>
              <w:spacing w:line="240" w:lineRule="atLeast"/>
              <w:ind w:left="-38" w:leftChars="0"/>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699" w:type="dxa"/>
            <w:vMerge w:val="continue"/>
            <w:vAlign w:val="center"/>
          </w:tcPr>
          <w:p>
            <w:pPr>
              <w:spacing w:line="240" w:lineRule="atLeast"/>
              <w:ind w:firstLine="28" w:firstLineChars="0"/>
              <w:jc w:val="center"/>
              <w:rPr>
                <w:rFonts w:hint="eastAsia" w:ascii="宋体" w:hAnsi="宋体" w:cs="宋体"/>
                <w:sz w:val="21"/>
                <w:szCs w:val="21"/>
              </w:rPr>
            </w:pPr>
          </w:p>
        </w:tc>
        <w:tc>
          <w:tcPr>
            <w:tcW w:w="1295" w:type="dxa"/>
            <w:vMerge w:val="continue"/>
            <w:vAlign w:val="center"/>
          </w:tcPr>
          <w:p>
            <w:pPr>
              <w:spacing w:line="240" w:lineRule="atLeast"/>
              <w:ind w:firstLine="28" w:firstLineChars="0"/>
              <w:jc w:val="center"/>
              <w:rPr>
                <w:rFonts w:hint="eastAsia" w:ascii="宋体" w:hAnsi="宋体" w:cs="宋体"/>
                <w:sz w:val="21"/>
                <w:szCs w:val="21"/>
              </w:rPr>
            </w:pPr>
          </w:p>
        </w:tc>
        <w:tc>
          <w:tcPr>
            <w:tcW w:w="1253" w:type="dxa"/>
            <w:vMerge w:val="continue"/>
            <w:vAlign w:val="center"/>
          </w:tcPr>
          <w:p>
            <w:pPr>
              <w:spacing w:line="240" w:lineRule="atLeast"/>
              <w:ind w:firstLine="28" w:firstLineChars="0"/>
              <w:jc w:val="center"/>
              <w:rPr>
                <w:rFonts w:hint="eastAsia" w:ascii="宋体" w:hAnsi="宋体" w:cs="宋体"/>
                <w:sz w:val="21"/>
                <w:szCs w:val="21"/>
                <w:lang w:val="en-US" w:eastAsia="zh-CN"/>
              </w:rPr>
            </w:pPr>
          </w:p>
        </w:tc>
        <w:tc>
          <w:tcPr>
            <w:tcW w:w="4169" w:type="dxa"/>
            <w:vAlign w:val="center"/>
          </w:tcPr>
          <w:p>
            <w:pPr>
              <w:widowControl/>
              <w:adjustRightInd w:val="0"/>
              <w:snapToGrid w:val="0"/>
              <w:spacing w:line="360" w:lineRule="auto"/>
              <w:rPr>
                <w:rFonts w:ascii="宋体" w:hAnsi="宋体"/>
                <w:b/>
                <w:bCs/>
                <w:color w:val="000000"/>
                <w:sz w:val="21"/>
                <w:szCs w:val="21"/>
                <w:highlight w:val="none"/>
              </w:rPr>
            </w:pPr>
            <w:r>
              <w:rPr>
                <w:rFonts w:hint="eastAsia" w:ascii="宋体" w:hAnsi="宋体"/>
                <w:b/>
                <w:bCs/>
                <w:color w:val="000000"/>
                <w:sz w:val="21"/>
                <w:szCs w:val="21"/>
                <w:highlight w:val="none"/>
                <w:lang w:val="en-US" w:eastAsia="zh-CN"/>
              </w:rPr>
              <w:t>一</w:t>
            </w:r>
            <w:r>
              <w:rPr>
                <w:rFonts w:hint="eastAsia" w:ascii="宋体" w:hAnsi="宋体"/>
                <w:b/>
                <w:bCs/>
                <w:color w:val="000000"/>
                <w:sz w:val="21"/>
                <w:szCs w:val="21"/>
                <w:highlight w:val="none"/>
              </w:rPr>
              <w:t>、</w:t>
            </w:r>
            <w:r>
              <w:rPr>
                <w:rFonts w:hint="eastAsia" w:ascii="宋体" w:hAnsi="宋体"/>
                <w:b/>
                <w:bCs/>
                <w:color w:val="000000"/>
                <w:sz w:val="21"/>
                <w:szCs w:val="21"/>
                <w:highlight w:val="none"/>
                <w:lang w:val="en-US" w:eastAsia="zh-CN"/>
              </w:rPr>
              <w:t>技术方案</w:t>
            </w:r>
            <w:r>
              <w:rPr>
                <w:rFonts w:hint="eastAsia" w:ascii="宋体" w:hAnsi="宋体"/>
                <w:b/>
                <w:bCs/>
                <w:color w:val="000000"/>
                <w:sz w:val="21"/>
                <w:szCs w:val="21"/>
                <w:highlight w:val="none"/>
              </w:rPr>
              <w:t>（</w:t>
            </w:r>
            <w:r>
              <w:rPr>
                <w:rFonts w:hint="eastAsia" w:ascii="宋体" w:hAnsi="宋体"/>
                <w:b/>
                <w:bCs/>
                <w:color w:val="000000"/>
                <w:sz w:val="21"/>
                <w:szCs w:val="21"/>
                <w:highlight w:val="none"/>
                <w:lang w:val="en-US" w:eastAsia="zh-CN"/>
              </w:rPr>
              <w:t>30</w:t>
            </w:r>
            <w:r>
              <w:rPr>
                <w:rFonts w:hint="eastAsia" w:ascii="宋体" w:hAnsi="宋体"/>
                <w:b/>
                <w:bCs/>
                <w:color w:val="000000"/>
                <w:sz w:val="21"/>
                <w:szCs w:val="21"/>
                <w:highlight w:val="none"/>
              </w:rPr>
              <w:t>分）</w:t>
            </w:r>
          </w:p>
          <w:p>
            <w:pPr>
              <w:spacing w:line="360" w:lineRule="auto"/>
              <w:rPr>
                <w:rFonts w:hint="eastAsia" w:ascii="宋体" w:hAnsi="宋体"/>
                <w:b/>
                <w:bCs/>
                <w:color w:val="000000"/>
                <w:sz w:val="21"/>
                <w:szCs w:val="21"/>
                <w:lang w:val="en-US" w:eastAsia="zh-CN"/>
              </w:rPr>
            </w:pPr>
            <w:r>
              <w:rPr>
                <w:rFonts w:hint="eastAsia" w:ascii="宋体" w:hAnsi="宋体"/>
                <w:b/>
                <w:bCs/>
                <w:color w:val="000000"/>
                <w:sz w:val="21"/>
                <w:szCs w:val="21"/>
                <w:lang w:val="en-US" w:eastAsia="zh-CN"/>
              </w:rPr>
              <w:t>1.需求分析（10分）</w:t>
            </w:r>
          </w:p>
          <w:p>
            <w:pPr>
              <w:spacing w:line="360" w:lineRule="auto"/>
              <w:rPr>
                <w:rFonts w:hint="eastAsia" w:ascii="宋体" w:hAnsi="宋体"/>
                <w:color w:val="000000"/>
                <w:sz w:val="21"/>
                <w:szCs w:val="21"/>
              </w:rPr>
            </w:pPr>
            <w:r>
              <w:rPr>
                <w:rFonts w:hint="eastAsia" w:ascii="宋体" w:hAnsi="宋体"/>
                <w:color w:val="000000"/>
                <w:sz w:val="21"/>
                <w:szCs w:val="21"/>
              </w:rPr>
              <w:t>供应商提供</w:t>
            </w:r>
            <w:r>
              <w:rPr>
                <w:rFonts w:hint="eastAsia" w:ascii="宋体" w:hAnsi="宋体"/>
                <w:color w:val="000000"/>
                <w:sz w:val="21"/>
                <w:szCs w:val="21"/>
                <w:lang w:val="en-US" w:eastAsia="zh-CN"/>
              </w:rPr>
              <w:t>需求分析报告</w:t>
            </w:r>
            <w:r>
              <w:rPr>
                <w:rFonts w:hint="eastAsia" w:ascii="宋体" w:hAnsi="宋体"/>
                <w:color w:val="000000"/>
                <w:sz w:val="21"/>
                <w:szCs w:val="21"/>
              </w:rPr>
              <w:t>，对项目</w:t>
            </w:r>
            <w:r>
              <w:rPr>
                <w:rFonts w:hint="eastAsia" w:ascii="宋体" w:hAnsi="宋体"/>
                <w:color w:val="000000"/>
                <w:sz w:val="21"/>
                <w:szCs w:val="21"/>
                <w:lang w:val="en-US" w:eastAsia="zh-CN"/>
              </w:rPr>
              <w:t>需求</w:t>
            </w:r>
            <w:r>
              <w:rPr>
                <w:rFonts w:hint="eastAsia" w:ascii="宋体" w:hAnsi="宋体"/>
                <w:color w:val="000000"/>
                <w:sz w:val="21"/>
                <w:szCs w:val="21"/>
              </w:rPr>
              <w:t>理解深刻，阐述清楚，表达全面为优秀得</w:t>
            </w:r>
            <w:r>
              <w:rPr>
                <w:rFonts w:hint="eastAsia" w:ascii="宋体" w:hAnsi="宋体"/>
                <w:color w:val="000000"/>
                <w:sz w:val="21"/>
                <w:szCs w:val="21"/>
                <w:lang w:val="en-US" w:eastAsia="zh-CN"/>
              </w:rPr>
              <w:t>10</w:t>
            </w:r>
            <w:r>
              <w:rPr>
                <w:rFonts w:hint="eastAsia" w:ascii="宋体" w:hAnsi="宋体"/>
                <w:color w:val="000000"/>
                <w:sz w:val="21"/>
                <w:szCs w:val="21"/>
              </w:rPr>
              <w:t>分；对项目目的和内容理解较深刻，阐述较清楚，表达较全面良好得</w:t>
            </w:r>
            <w:r>
              <w:rPr>
                <w:rFonts w:hint="eastAsia" w:ascii="宋体" w:hAnsi="宋体"/>
                <w:color w:val="000000"/>
                <w:sz w:val="21"/>
                <w:szCs w:val="21"/>
                <w:lang w:val="en-US" w:eastAsia="zh-CN"/>
              </w:rPr>
              <w:t>7</w:t>
            </w:r>
            <w:r>
              <w:rPr>
                <w:rFonts w:hint="eastAsia" w:ascii="宋体" w:hAnsi="宋体"/>
                <w:color w:val="000000"/>
                <w:sz w:val="21"/>
                <w:szCs w:val="21"/>
              </w:rPr>
              <w:t>分；对项目目的和内容理解一般，阐述一般，表达一般为一般得</w:t>
            </w:r>
            <w:r>
              <w:rPr>
                <w:rFonts w:hint="eastAsia" w:ascii="宋体" w:hAnsi="宋体"/>
                <w:color w:val="000000"/>
                <w:sz w:val="21"/>
                <w:szCs w:val="21"/>
                <w:lang w:val="en-US" w:eastAsia="zh-CN"/>
              </w:rPr>
              <w:t>4</w:t>
            </w:r>
            <w:r>
              <w:rPr>
                <w:rFonts w:hint="eastAsia" w:ascii="宋体" w:hAnsi="宋体"/>
                <w:color w:val="000000"/>
                <w:sz w:val="21"/>
                <w:szCs w:val="21"/>
              </w:rPr>
              <w:t>分；差项目目的和内容理解差，阐述差，表达差为差得0分。</w:t>
            </w:r>
          </w:p>
          <w:p>
            <w:pPr>
              <w:spacing w:line="360" w:lineRule="auto"/>
              <w:rPr>
                <w:rFonts w:hint="eastAsia" w:ascii="宋体" w:hAnsi="宋体"/>
                <w:b/>
                <w:bCs/>
                <w:color w:val="000000"/>
                <w:sz w:val="21"/>
                <w:szCs w:val="21"/>
                <w:lang w:val="en-US" w:eastAsia="zh-CN"/>
              </w:rPr>
            </w:pPr>
            <w:r>
              <w:rPr>
                <w:rFonts w:hint="eastAsia" w:ascii="宋体" w:hAnsi="宋体"/>
                <w:b/>
                <w:bCs/>
                <w:color w:val="000000"/>
                <w:sz w:val="21"/>
                <w:szCs w:val="21"/>
                <w:lang w:val="en-US" w:eastAsia="zh-CN"/>
              </w:rPr>
              <w:t>2.基础运维实施方案（10分）</w:t>
            </w:r>
          </w:p>
          <w:p>
            <w:pPr>
              <w:spacing w:line="360" w:lineRule="auto"/>
              <w:rPr>
                <w:rFonts w:hint="eastAsia" w:ascii="宋体" w:hAnsi="宋体"/>
                <w:color w:val="000000"/>
                <w:sz w:val="21"/>
                <w:szCs w:val="21"/>
              </w:rPr>
            </w:pPr>
            <w:r>
              <w:rPr>
                <w:rFonts w:hint="eastAsia" w:ascii="宋体" w:hAnsi="宋体"/>
                <w:color w:val="000000"/>
                <w:sz w:val="21"/>
                <w:szCs w:val="21"/>
              </w:rPr>
              <w:t>供应商提供基础运维实施方案，方案完整，具有很强的操作性和高效性，能完整支持项目的顺利实施为优秀得10分；方案较完整，具有较强的操作性和高效性，能较好支持项目实施为良好得7分；方案一般，操作性和高效性一般，能勉强支持项目实施为一般得</w:t>
            </w:r>
            <w:r>
              <w:rPr>
                <w:rFonts w:hint="eastAsia" w:ascii="宋体" w:hAnsi="宋体"/>
                <w:color w:val="000000"/>
                <w:sz w:val="21"/>
                <w:szCs w:val="21"/>
                <w:lang w:val="en-US" w:eastAsia="zh-CN"/>
              </w:rPr>
              <w:t>4</w:t>
            </w:r>
            <w:r>
              <w:rPr>
                <w:rFonts w:hint="eastAsia" w:ascii="宋体" w:hAnsi="宋体"/>
                <w:color w:val="000000"/>
                <w:sz w:val="21"/>
                <w:szCs w:val="21"/>
              </w:rPr>
              <w:t>分；方案不完整，操作性和高效性差，不能支持项目实施为差得0分。</w:t>
            </w:r>
          </w:p>
          <w:p>
            <w:pPr>
              <w:spacing w:line="360" w:lineRule="auto"/>
              <w:rPr>
                <w:rFonts w:hint="eastAsia" w:ascii="宋体" w:hAnsi="宋体"/>
                <w:b/>
                <w:bCs/>
                <w:color w:val="000000"/>
                <w:sz w:val="21"/>
                <w:szCs w:val="21"/>
                <w:lang w:val="en-US" w:eastAsia="zh-CN"/>
              </w:rPr>
            </w:pPr>
            <w:r>
              <w:rPr>
                <w:rFonts w:hint="eastAsia" w:ascii="宋体" w:hAnsi="宋体"/>
                <w:b/>
                <w:bCs/>
                <w:color w:val="000000"/>
                <w:sz w:val="21"/>
                <w:szCs w:val="21"/>
                <w:lang w:val="en-US" w:eastAsia="zh-CN"/>
              </w:rPr>
              <w:t>3.网络安全专项工作方案（10分）</w:t>
            </w:r>
          </w:p>
          <w:p>
            <w:pPr>
              <w:spacing w:line="360" w:lineRule="auto"/>
              <w:rPr>
                <w:rFonts w:hint="default" w:ascii="宋体" w:hAnsi="宋体"/>
                <w:b/>
                <w:bCs/>
                <w:color w:val="000000"/>
                <w:sz w:val="21"/>
                <w:szCs w:val="21"/>
                <w:lang w:val="en-US"/>
              </w:rPr>
            </w:pPr>
            <w:r>
              <w:rPr>
                <w:rFonts w:hint="eastAsia" w:ascii="宋体" w:hAnsi="宋体" w:eastAsia="宋体" w:cs="Times New Roman"/>
                <w:color w:val="000000"/>
                <w:kern w:val="2"/>
                <w:sz w:val="21"/>
                <w:szCs w:val="21"/>
                <w:lang w:val="en-US" w:eastAsia="zh-CN" w:bidi="ar-SA"/>
              </w:rPr>
              <w:t>供应商提供网络安全专项工作方案，方案完整，具有很强的操作性和高效性，能完整支持项目的顺利实施为优秀得10分；方案较完整，具有较强的操作性和高效性，能较好支持项目实施为良好得7分；方案一般，操作性和高效性一般，能勉强支持项目实施为一般得4分；方案不完整，操作性和高效性差，不能支持项目实施为差得0分。</w:t>
            </w:r>
          </w:p>
        </w:tc>
        <w:tc>
          <w:tcPr>
            <w:tcW w:w="2402" w:type="dxa"/>
            <w:vAlign w:val="center"/>
          </w:tcPr>
          <w:p>
            <w:pPr>
              <w:spacing w:line="360" w:lineRule="auto"/>
              <w:ind w:left="-38" w:leftChars="0"/>
              <w:jc w:val="center"/>
              <w:rPr>
                <w:vertAlign w:val="baseline"/>
              </w:rPr>
            </w:pPr>
            <w:r>
              <w:rPr>
                <w:rFonts w:hint="eastAsia"/>
                <w:sz w:val="21"/>
                <w:szCs w:val="21"/>
                <w:vertAlign w:val="baseline"/>
              </w:rPr>
              <w:t>根据供应商的技术方案横向比较打分。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699" w:type="dxa"/>
            <w:vMerge w:val="restart"/>
            <w:vAlign w:val="center"/>
          </w:tcPr>
          <w:p>
            <w:pPr>
              <w:spacing w:line="360" w:lineRule="auto"/>
              <w:ind w:firstLine="28" w:firstLineChars="0"/>
              <w:jc w:val="center"/>
              <w:rPr>
                <w:rFonts w:hint="eastAsia" w:ascii="宋体" w:hAnsi="宋体" w:eastAsia="宋体" w:cs="宋体"/>
                <w:sz w:val="21"/>
                <w:szCs w:val="21"/>
                <w:lang w:eastAsia="zh-CN"/>
              </w:rPr>
            </w:pPr>
            <w:r>
              <w:rPr>
                <w:rFonts w:hint="eastAsia" w:ascii="宋体" w:hAnsi="宋体" w:cs="宋体"/>
                <w:sz w:val="21"/>
                <w:szCs w:val="21"/>
                <w:lang w:val="en-US" w:eastAsia="zh-CN"/>
              </w:rPr>
              <w:t>3</w:t>
            </w:r>
          </w:p>
        </w:tc>
        <w:tc>
          <w:tcPr>
            <w:tcW w:w="1295" w:type="dxa"/>
            <w:vMerge w:val="restart"/>
            <w:vAlign w:val="center"/>
          </w:tcPr>
          <w:p>
            <w:pPr>
              <w:spacing w:line="360" w:lineRule="auto"/>
              <w:ind w:firstLine="28" w:firstLineChars="0"/>
              <w:jc w:val="center"/>
              <w:rPr>
                <w:rFonts w:hint="eastAsia" w:ascii="宋体" w:hAnsi="宋体" w:cs="宋体"/>
                <w:sz w:val="21"/>
                <w:szCs w:val="21"/>
              </w:rPr>
            </w:pPr>
            <w:r>
              <w:rPr>
                <w:rFonts w:hint="eastAsia" w:ascii="宋体" w:hAnsi="宋体" w:cs="宋体"/>
                <w:sz w:val="21"/>
                <w:szCs w:val="21"/>
              </w:rPr>
              <w:t>商务部分（</w:t>
            </w:r>
            <w:r>
              <w:rPr>
                <w:rFonts w:hint="eastAsia" w:ascii="宋体" w:hAnsi="宋体" w:cs="宋体"/>
                <w:sz w:val="21"/>
                <w:szCs w:val="21"/>
                <w:lang w:val="en-US" w:eastAsia="zh-CN"/>
              </w:rPr>
              <w:t>8</w:t>
            </w:r>
            <w:r>
              <w:rPr>
                <w:rFonts w:hint="eastAsia" w:ascii="宋体" w:hAnsi="宋体" w:cs="宋体"/>
                <w:sz w:val="21"/>
                <w:szCs w:val="21"/>
              </w:rPr>
              <w:t>%）</w:t>
            </w:r>
          </w:p>
        </w:tc>
        <w:tc>
          <w:tcPr>
            <w:tcW w:w="1253" w:type="dxa"/>
            <w:vMerge w:val="restart"/>
            <w:vAlign w:val="center"/>
          </w:tcPr>
          <w:p>
            <w:pPr>
              <w:spacing w:line="360" w:lineRule="auto"/>
              <w:rPr>
                <w:rFonts w:hint="eastAsia" w:ascii="宋体" w:hAnsi="宋体" w:eastAsia="宋体" w:cs="Times New Roman"/>
                <w:color w:val="000000"/>
                <w:kern w:val="2"/>
                <w:sz w:val="21"/>
                <w:szCs w:val="21"/>
                <w:lang w:val="en-US" w:eastAsia="zh-CN" w:bidi="ar-SA"/>
              </w:rPr>
            </w:pPr>
            <w:r>
              <w:rPr>
                <w:rFonts w:hint="eastAsia" w:ascii="宋体" w:hAnsi="宋体" w:cs="Times New Roman"/>
                <w:color w:val="000000"/>
                <w:kern w:val="2"/>
                <w:sz w:val="21"/>
                <w:szCs w:val="21"/>
                <w:lang w:val="en-US" w:eastAsia="zh-CN" w:bidi="ar-SA"/>
              </w:rPr>
              <w:t>8</w:t>
            </w:r>
            <w:r>
              <w:rPr>
                <w:rFonts w:hint="eastAsia" w:ascii="宋体" w:hAnsi="宋体" w:eastAsia="宋体" w:cs="Times New Roman"/>
                <w:color w:val="000000"/>
                <w:kern w:val="2"/>
                <w:sz w:val="21"/>
                <w:szCs w:val="21"/>
                <w:lang w:val="en-US" w:eastAsia="zh-CN" w:bidi="ar-SA"/>
              </w:rPr>
              <w:t>分</w:t>
            </w:r>
          </w:p>
        </w:tc>
        <w:tc>
          <w:tcPr>
            <w:tcW w:w="4169" w:type="dxa"/>
            <w:vAlign w:val="center"/>
          </w:tcPr>
          <w:p>
            <w:pPr>
              <w:spacing w:line="360" w:lineRule="auto"/>
              <w:rPr>
                <w:rFonts w:hint="eastAsia" w:ascii="宋体" w:hAnsi="宋体"/>
                <w:b/>
                <w:bCs/>
                <w:color w:val="000000"/>
                <w:sz w:val="21"/>
                <w:szCs w:val="21"/>
                <w:lang w:val="en-US" w:eastAsia="zh-CN"/>
              </w:rPr>
            </w:pPr>
            <w:r>
              <w:rPr>
                <w:rFonts w:hint="eastAsia" w:ascii="宋体" w:hAnsi="宋体"/>
                <w:b/>
                <w:bCs/>
                <w:color w:val="000000"/>
                <w:sz w:val="21"/>
                <w:szCs w:val="21"/>
                <w:lang w:val="en-US" w:eastAsia="zh-CN"/>
              </w:rPr>
              <w:t>一、参与护网行动业绩（2分）</w:t>
            </w:r>
          </w:p>
          <w:p>
            <w:pPr>
              <w:spacing w:line="360" w:lineRule="auto"/>
              <w:rPr>
                <w:rFonts w:hint="eastAsia" w:ascii="宋体" w:hAnsi="宋体" w:eastAsia="宋体" w:cs="Times New Roman"/>
                <w:color w:val="000000"/>
                <w:kern w:val="2"/>
                <w:sz w:val="21"/>
                <w:szCs w:val="21"/>
                <w:lang w:val="en-US" w:eastAsia="zh-CN" w:bidi="ar-SA"/>
              </w:rPr>
            </w:pPr>
            <w:r>
              <w:rPr>
                <w:rFonts w:hint="eastAsia" w:ascii="宋体" w:hAnsi="宋体" w:eastAsia="宋体" w:cs="Times New Roman"/>
                <w:color w:val="000000"/>
                <w:kern w:val="2"/>
                <w:sz w:val="21"/>
                <w:szCs w:val="21"/>
                <w:lang w:val="en-US" w:eastAsia="zh-CN" w:bidi="ar-SA"/>
              </w:rPr>
              <w:t>2021年1月1日起至今作为攻击方参加省级护网行动或省级网络安全攻防演练等类似活动。提供得2分，不提供得0分。</w:t>
            </w:r>
          </w:p>
        </w:tc>
        <w:tc>
          <w:tcPr>
            <w:tcW w:w="2402" w:type="dxa"/>
            <w:vAlign w:val="center"/>
          </w:tcPr>
          <w:p>
            <w:pPr>
              <w:spacing w:line="360" w:lineRule="auto"/>
              <w:ind w:left="-38" w:leftChars="0"/>
              <w:rPr>
                <w:rFonts w:hint="default"/>
                <w:vertAlign w:val="baseline"/>
                <w:lang w:val="en-US"/>
              </w:rPr>
            </w:pPr>
            <w:r>
              <w:rPr>
                <w:rFonts w:hint="eastAsia" w:ascii="宋体" w:hAnsi="宋体"/>
                <w:color w:val="000000"/>
                <w:sz w:val="21"/>
                <w:szCs w:val="21"/>
              </w:rPr>
              <w:t>供应商须提供</w:t>
            </w:r>
            <w:r>
              <w:rPr>
                <w:rFonts w:hint="eastAsia" w:ascii="宋体" w:hAnsi="宋体"/>
                <w:color w:val="000000"/>
                <w:sz w:val="21"/>
                <w:szCs w:val="21"/>
                <w:lang w:val="en-US" w:eastAsia="zh-CN"/>
              </w:rPr>
              <w:t>书面证明资料原件或复印件（例如获奖证书或证明函等），盖供应商鲜章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699" w:type="dxa"/>
            <w:vMerge w:val="continue"/>
            <w:vAlign w:val="center"/>
          </w:tcPr>
          <w:p>
            <w:pPr>
              <w:spacing w:line="360" w:lineRule="auto"/>
              <w:ind w:firstLine="28" w:firstLineChars="0"/>
              <w:jc w:val="center"/>
              <w:rPr>
                <w:rFonts w:hint="eastAsia" w:ascii="宋体" w:hAnsi="宋体" w:cs="宋体"/>
                <w:sz w:val="21"/>
                <w:szCs w:val="21"/>
                <w:lang w:val="en-US" w:eastAsia="zh-CN"/>
              </w:rPr>
            </w:pPr>
            <w:bookmarkStart w:id="48" w:name="_Toc20130550"/>
          </w:p>
        </w:tc>
        <w:tc>
          <w:tcPr>
            <w:tcW w:w="1295" w:type="dxa"/>
            <w:vMerge w:val="continue"/>
            <w:vAlign w:val="center"/>
          </w:tcPr>
          <w:p>
            <w:pPr>
              <w:spacing w:line="360" w:lineRule="auto"/>
              <w:ind w:firstLine="28" w:firstLineChars="0"/>
              <w:jc w:val="center"/>
              <w:rPr>
                <w:rFonts w:hint="eastAsia" w:ascii="宋体" w:hAnsi="宋体" w:cs="宋体"/>
                <w:sz w:val="21"/>
                <w:szCs w:val="21"/>
              </w:rPr>
            </w:pPr>
          </w:p>
        </w:tc>
        <w:tc>
          <w:tcPr>
            <w:tcW w:w="1253" w:type="dxa"/>
            <w:vMerge w:val="continue"/>
            <w:vAlign w:val="center"/>
          </w:tcPr>
          <w:p>
            <w:pPr>
              <w:spacing w:line="360" w:lineRule="auto"/>
              <w:rPr>
                <w:rFonts w:hint="eastAsia" w:ascii="宋体" w:hAnsi="宋体" w:eastAsia="宋体" w:cs="Times New Roman"/>
                <w:color w:val="000000"/>
                <w:kern w:val="2"/>
                <w:sz w:val="21"/>
                <w:szCs w:val="21"/>
                <w:lang w:val="en-US" w:eastAsia="zh-CN" w:bidi="ar-SA"/>
              </w:rPr>
            </w:pPr>
          </w:p>
        </w:tc>
        <w:tc>
          <w:tcPr>
            <w:tcW w:w="4169" w:type="dxa"/>
            <w:vAlign w:val="center"/>
          </w:tcPr>
          <w:p>
            <w:pPr>
              <w:spacing w:line="360" w:lineRule="auto"/>
              <w:rPr>
                <w:rFonts w:hint="eastAsia" w:ascii="宋体" w:hAnsi="宋体"/>
                <w:b/>
                <w:bCs/>
                <w:color w:val="000000"/>
                <w:sz w:val="21"/>
                <w:szCs w:val="21"/>
                <w:lang w:val="en-US" w:eastAsia="zh-CN"/>
              </w:rPr>
            </w:pPr>
            <w:r>
              <w:rPr>
                <w:rFonts w:hint="eastAsia" w:ascii="宋体" w:hAnsi="宋体"/>
                <w:b/>
                <w:bCs/>
                <w:color w:val="000000"/>
                <w:sz w:val="21"/>
                <w:szCs w:val="21"/>
                <w:lang w:val="en-US" w:eastAsia="zh-CN"/>
              </w:rPr>
              <w:t>二、供应商团队实力（2）</w:t>
            </w:r>
          </w:p>
          <w:p>
            <w:pPr>
              <w:spacing w:line="360" w:lineRule="auto"/>
              <w:rPr>
                <w:rFonts w:hint="default" w:ascii="宋体" w:hAnsi="宋体" w:eastAsia="宋体" w:cs="Times New Roman"/>
                <w:color w:val="000000"/>
                <w:kern w:val="2"/>
                <w:sz w:val="21"/>
                <w:szCs w:val="21"/>
                <w:lang w:val="en-US" w:eastAsia="zh-CN" w:bidi="ar-SA"/>
              </w:rPr>
            </w:pPr>
            <w:r>
              <w:rPr>
                <w:rFonts w:hint="eastAsia" w:ascii="宋体" w:hAnsi="宋体" w:cs="Times New Roman"/>
                <w:color w:val="000000"/>
                <w:kern w:val="2"/>
                <w:sz w:val="21"/>
                <w:szCs w:val="21"/>
                <w:lang w:val="en-US" w:eastAsia="zh-CN" w:bidi="ar-SA"/>
              </w:rPr>
              <w:t>团队人员具备注册信息安全专业人员（CISP），提供一个得1分，最多得2分。</w:t>
            </w:r>
          </w:p>
        </w:tc>
        <w:tc>
          <w:tcPr>
            <w:tcW w:w="2402" w:type="dxa"/>
            <w:vAlign w:val="center"/>
          </w:tcPr>
          <w:p>
            <w:pPr>
              <w:spacing w:line="360" w:lineRule="auto"/>
              <w:rPr>
                <w:rFonts w:hint="default" w:ascii="宋体" w:hAnsi="宋体" w:eastAsia="宋体"/>
                <w:color w:val="000000"/>
                <w:sz w:val="21"/>
                <w:szCs w:val="21"/>
                <w:lang w:val="en-US" w:eastAsia="zh-CN"/>
              </w:rPr>
            </w:pPr>
            <w:r>
              <w:rPr>
                <w:rFonts w:hint="eastAsia" w:ascii="宋体" w:hAnsi="宋体"/>
                <w:color w:val="000000"/>
                <w:sz w:val="21"/>
                <w:szCs w:val="21"/>
                <w:lang w:val="en-US" w:eastAsia="zh-CN"/>
              </w:rPr>
              <w:t>供应商提供近3个月社保证明复印件，及证书复印件，盖供应商鲜章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699" w:type="dxa"/>
            <w:vMerge w:val="continue"/>
            <w:vAlign w:val="center"/>
          </w:tcPr>
          <w:p>
            <w:pPr>
              <w:spacing w:line="360" w:lineRule="auto"/>
              <w:ind w:firstLine="28" w:firstLineChars="0"/>
              <w:jc w:val="center"/>
              <w:rPr>
                <w:rFonts w:hint="eastAsia" w:ascii="宋体" w:hAnsi="宋体" w:cs="宋体"/>
                <w:sz w:val="21"/>
                <w:szCs w:val="21"/>
                <w:lang w:val="en-US" w:eastAsia="zh-CN"/>
              </w:rPr>
            </w:pPr>
          </w:p>
        </w:tc>
        <w:tc>
          <w:tcPr>
            <w:tcW w:w="1295" w:type="dxa"/>
            <w:vMerge w:val="continue"/>
            <w:vAlign w:val="center"/>
          </w:tcPr>
          <w:p>
            <w:pPr>
              <w:spacing w:line="360" w:lineRule="auto"/>
              <w:ind w:firstLine="28" w:firstLineChars="0"/>
              <w:jc w:val="center"/>
              <w:rPr>
                <w:rFonts w:hint="eastAsia" w:ascii="宋体" w:hAnsi="宋体" w:cs="宋体"/>
                <w:sz w:val="21"/>
                <w:szCs w:val="21"/>
              </w:rPr>
            </w:pPr>
          </w:p>
        </w:tc>
        <w:tc>
          <w:tcPr>
            <w:tcW w:w="1253" w:type="dxa"/>
            <w:vMerge w:val="continue"/>
            <w:vAlign w:val="center"/>
          </w:tcPr>
          <w:p>
            <w:pPr>
              <w:spacing w:line="360" w:lineRule="auto"/>
              <w:jc w:val="center"/>
              <w:rPr>
                <w:rFonts w:hint="eastAsia" w:ascii="宋体" w:hAnsi="宋体" w:cs="宋体"/>
                <w:sz w:val="21"/>
                <w:szCs w:val="21"/>
                <w:lang w:val="en-US" w:eastAsia="zh-CN"/>
              </w:rPr>
            </w:pPr>
          </w:p>
        </w:tc>
        <w:tc>
          <w:tcPr>
            <w:tcW w:w="4169" w:type="dxa"/>
            <w:vAlign w:val="center"/>
          </w:tcPr>
          <w:p>
            <w:pPr>
              <w:spacing w:line="360" w:lineRule="auto"/>
              <w:rPr>
                <w:rFonts w:hint="eastAsia" w:ascii="宋体" w:hAnsi="宋体"/>
                <w:b/>
                <w:bCs/>
                <w:color w:val="000000"/>
                <w:sz w:val="21"/>
                <w:szCs w:val="21"/>
                <w:lang w:val="en-US" w:eastAsia="zh-CN"/>
              </w:rPr>
            </w:pPr>
            <w:r>
              <w:rPr>
                <w:rFonts w:hint="eastAsia" w:ascii="宋体" w:hAnsi="宋体"/>
                <w:b/>
                <w:bCs/>
                <w:color w:val="000000"/>
                <w:sz w:val="21"/>
                <w:szCs w:val="21"/>
                <w:lang w:val="en-US" w:eastAsia="zh-CN"/>
              </w:rPr>
              <w:t>三、供应商实力（4分）</w:t>
            </w:r>
          </w:p>
          <w:p>
            <w:pPr>
              <w:spacing w:line="360" w:lineRule="auto"/>
              <w:rPr>
                <w:rFonts w:hint="eastAsia" w:ascii="宋体" w:hAnsi="宋体" w:cs="Times New Roman"/>
                <w:color w:val="000000"/>
                <w:kern w:val="2"/>
                <w:sz w:val="21"/>
                <w:szCs w:val="21"/>
                <w:lang w:val="en-US" w:eastAsia="zh-CN" w:bidi="ar-SA"/>
              </w:rPr>
            </w:pPr>
            <w:r>
              <w:rPr>
                <w:rFonts w:hint="eastAsia" w:ascii="宋体" w:hAnsi="宋体" w:cs="Times New Roman"/>
                <w:color w:val="000000"/>
                <w:kern w:val="2"/>
                <w:sz w:val="21"/>
                <w:szCs w:val="21"/>
                <w:lang w:val="en-US" w:eastAsia="zh-CN" w:bidi="ar-SA"/>
              </w:rPr>
              <w:t>（1）供应商具有ISO27001信息安全管理体系认证证书得2分，没有得0分。</w:t>
            </w:r>
          </w:p>
          <w:p>
            <w:pPr>
              <w:spacing w:line="360" w:lineRule="auto"/>
              <w:rPr>
                <w:rFonts w:hint="eastAsia" w:ascii="宋体" w:hAnsi="宋体" w:cs="Times New Roman"/>
                <w:color w:val="000000"/>
                <w:kern w:val="2"/>
                <w:sz w:val="21"/>
                <w:szCs w:val="21"/>
                <w:lang w:val="en-US" w:eastAsia="zh-CN" w:bidi="ar-SA"/>
              </w:rPr>
            </w:pPr>
            <w:r>
              <w:rPr>
                <w:rFonts w:hint="eastAsia" w:ascii="宋体" w:hAnsi="宋体" w:cs="Times New Roman"/>
                <w:color w:val="000000"/>
                <w:kern w:val="2"/>
                <w:sz w:val="21"/>
                <w:szCs w:val="21"/>
                <w:lang w:val="en-US" w:eastAsia="zh-CN" w:bidi="ar-SA"/>
              </w:rPr>
              <w:t>（2）供应商具有ISO9001质量管理体系认证证书，得2分，没有得0分。</w:t>
            </w:r>
          </w:p>
          <w:p>
            <w:pPr>
              <w:pStyle w:val="2"/>
              <w:jc w:val="both"/>
              <w:rPr>
                <w:rFonts w:hint="default"/>
                <w:lang w:val="en-US" w:eastAsia="zh-CN"/>
              </w:rPr>
            </w:pPr>
          </w:p>
        </w:tc>
        <w:tc>
          <w:tcPr>
            <w:tcW w:w="2402" w:type="dxa"/>
            <w:vAlign w:val="center"/>
          </w:tcPr>
          <w:p>
            <w:pPr>
              <w:spacing w:line="360" w:lineRule="auto"/>
              <w:ind w:left="-38" w:leftChars="0"/>
              <w:rPr>
                <w:rFonts w:hint="default" w:ascii="宋体" w:hAnsi="宋体" w:eastAsia="宋体"/>
                <w:color w:val="000000"/>
                <w:sz w:val="21"/>
                <w:szCs w:val="21"/>
                <w:lang w:val="en-US" w:eastAsia="zh-CN"/>
              </w:rPr>
            </w:pPr>
            <w:r>
              <w:rPr>
                <w:rFonts w:hint="eastAsia" w:ascii="宋体" w:hAnsi="宋体"/>
                <w:color w:val="000000"/>
                <w:sz w:val="21"/>
                <w:szCs w:val="21"/>
                <w:lang w:val="en-US" w:eastAsia="zh-CN"/>
              </w:rPr>
              <w:t>提供证书复印件，盖供应商鲜章。</w:t>
            </w:r>
          </w:p>
        </w:tc>
      </w:tr>
    </w:tbl>
    <w:p>
      <w:pPr>
        <w:pStyle w:val="5"/>
        <w:spacing w:before="0" w:after="0" w:line="500" w:lineRule="exact"/>
        <w:rPr>
          <w:rFonts w:ascii="宋体" w:hAnsi="宋体" w:cs="宋体"/>
          <w:sz w:val="24"/>
          <w:szCs w:val="24"/>
        </w:rPr>
      </w:pPr>
      <w:r>
        <w:rPr>
          <w:rFonts w:hint="eastAsia" w:ascii="宋体" w:hAnsi="宋体" w:cs="宋体"/>
          <w:sz w:val="24"/>
          <w:szCs w:val="24"/>
        </w:rPr>
        <w:t>注：关于小微企业报价扣除比例说明</w:t>
      </w:r>
    </w:p>
    <w:p>
      <w:pPr>
        <w:pStyle w:val="5"/>
        <w:spacing w:before="0" w:after="0" w:line="500" w:lineRule="exact"/>
        <w:ind w:firstLine="480" w:firstLineChars="200"/>
        <w:rPr>
          <w:rFonts w:hint="eastAsia" w:ascii="宋体" w:hAnsi="宋体" w:cs="宋体"/>
          <w:b w:val="0"/>
          <w:bCs/>
          <w:sz w:val="24"/>
          <w:szCs w:val="24"/>
        </w:rPr>
      </w:pPr>
      <w:r>
        <w:rPr>
          <w:rFonts w:hint="eastAsia" w:ascii="宋体" w:hAnsi="宋体" w:cs="宋体"/>
          <w:b w:val="0"/>
          <w:bCs/>
          <w:sz w:val="24"/>
          <w:szCs w:val="24"/>
        </w:rPr>
        <w:t>1.供应商为非联合体参与磋商的，对小微型企业给予10%的扣除，以扣除后的报价参与评审。</w:t>
      </w:r>
    </w:p>
    <w:p>
      <w:pPr>
        <w:pStyle w:val="5"/>
        <w:spacing w:before="0" w:after="0" w:line="500" w:lineRule="exact"/>
        <w:ind w:firstLine="480" w:firstLineChars="200"/>
        <w:rPr>
          <w:rFonts w:ascii="宋体" w:hAnsi="宋体" w:cs="宋体"/>
          <w:b w:val="0"/>
          <w:bCs/>
          <w:sz w:val="24"/>
          <w:szCs w:val="24"/>
        </w:rPr>
      </w:pPr>
      <w:r>
        <w:rPr>
          <w:rFonts w:hint="eastAsia" w:ascii="宋体" w:hAnsi="宋体" w:cs="宋体"/>
          <w:b w:val="0"/>
          <w:bCs/>
          <w:sz w:val="24"/>
          <w:szCs w:val="24"/>
        </w:rPr>
        <w:t>2.监狱企业、残疾人福利性单位视同小型、微型企业。</w:t>
      </w:r>
    </w:p>
    <w:bookmarkEnd w:id="46"/>
    <w:bookmarkEnd w:id="47"/>
    <w:bookmarkEnd w:id="48"/>
    <w:p>
      <w:pPr>
        <w:pStyle w:val="5"/>
        <w:spacing w:before="0" w:after="0" w:line="500" w:lineRule="exact"/>
        <w:ind w:firstLine="482" w:firstLineChars="200"/>
        <w:rPr>
          <w:rFonts w:ascii="宋体" w:hAnsi="宋体" w:cs="宋体"/>
          <w:sz w:val="24"/>
          <w:szCs w:val="24"/>
        </w:rPr>
      </w:pPr>
      <w:r>
        <w:rPr>
          <w:rFonts w:hint="eastAsia" w:ascii="宋体" w:hAnsi="宋体" w:cs="宋体"/>
          <w:sz w:val="24"/>
          <w:szCs w:val="24"/>
        </w:rPr>
        <w:t>三、无效响应</w:t>
      </w:r>
    </w:p>
    <w:p>
      <w:pPr>
        <w:spacing w:line="500" w:lineRule="exact"/>
        <w:ind w:firstLine="480" w:firstLineChars="200"/>
        <w:rPr>
          <w:rFonts w:ascii="宋体" w:hAnsi="宋体" w:cs="宋体"/>
          <w:sz w:val="24"/>
          <w:szCs w:val="24"/>
        </w:rPr>
      </w:pPr>
      <w:r>
        <w:rPr>
          <w:rFonts w:hint="eastAsia" w:ascii="宋体" w:hAnsi="宋体" w:cs="宋体"/>
          <w:sz w:val="24"/>
          <w:szCs w:val="24"/>
        </w:rPr>
        <w:t>供应商发生以下条款情况之一者，视为无效响应，其响应文件将被拒绝：</w:t>
      </w:r>
    </w:p>
    <w:p>
      <w:pPr>
        <w:spacing w:line="500" w:lineRule="exact"/>
        <w:ind w:firstLine="480" w:firstLineChars="200"/>
        <w:rPr>
          <w:rFonts w:ascii="宋体" w:hAnsi="宋体" w:cs="宋体"/>
          <w:sz w:val="24"/>
          <w:szCs w:val="24"/>
        </w:rPr>
      </w:pPr>
      <w:r>
        <w:rPr>
          <w:rFonts w:hint="eastAsia" w:ascii="宋体" w:hAnsi="宋体" w:cs="宋体"/>
          <w:sz w:val="24"/>
          <w:szCs w:val="24"/>
        </w:rPr>
        <w:t>（一）供应商不符合规定的资格条件的；</w:t>
      </w:r>
    </w:p>
    <w:p>
      <w:pPr>
        <w:spacing w:line="500" w:lineRule="exact"/>
        <w:ind w:firstLine="480" w:firstLineChars="200"/>
        <w:rPr>
          <w:rFonts w:ascii="宋体" w:hAnsi="宋体" w:cs="宋体"/>
          <w:sz w:val="24"/>
          <w:szCs w:val="24"/>
        </w:rPr>
      </w:pPr>
      <w:r>
        <w:rPr>
          <w:rFonts w:hint="eastAsia" w:ascii="宋体" w:hAnsi="宋体" w:cs="宋体"/>
          <w:sz w:val="24"/>
          <w:szCs w:val="24"/>
        </w:rPr>
        <w:t>（二）供应商的法定代表人（或其授权代表）或自然人未参加磋商；</w:t>
      </w:r>
    </w:p>
    <w:p>
      <w:pPr>
        <w:spacing w:line="500" w:lineRule="exact"/>
        <w:ind w:firstLine="480" w:firstLineChars="200"/>
        <w:rPr>
          <w:rFonts w:ascii="宋体" w:hAnsi="宋体" w:cs="宋体"/>
          <w:sz w:val="24"/>
          <w:szCs w:val="24"/>
        </w:rPr>
      </w:pPr>
      <w:r>
        <w:rPr>
          <w:rFonts w:hint="eastAsia" w:ascii="宋体" w:hAnsi="宋体" w:cs="宋体"/>
          <w:sz w:val="24"/>
          <w:szCs w:val="24"/>
        </w:rPr>
        <w:t>（三）供应商所提交的响应文件不按“第七篇响应文件编制要求”要求签署或盖章；</w:t>
      </w:r>
    </w:p>
    <w:p>
      <w:pPr>
        <w:spacing w:line="500" w:lineRule="exact"/>
        <w:ind w:firstLine="480" w:firstLineChars="200"/>
        <w:rPr>
          <w:rFonts w:ascii="宋体" w:hAnsi="宋体" w:cs="宋体"/>
          <w:sz w:val="24"/>
          <w:szCs w:val="24"/>
        </w:rPr>
      </w:pPr>
      <w:r>
        <w:rPr>
          <w:rFonts w:hint="eastAsia" w:ascii="宋体" w:hAnsi="宋体" w:cs="宋体"/>
          <w:sz w:val="24"/>
          <w:szCs w:val="24"/>
        </w:rPr>
        <w:t>（四）供应商的最后报价超过采购预算或最高限价的；</w:t>
      </w:r>
    </w:p>
    <w:p>
      <w:pPr>
        <w:spacing w:line="500" w:lineRule="exact"/>
        <w:ind w:firstLine="480" w:firstLineChars="200"/>
        <w:rPr>
          <w:rFonts w:ascii="宋体" w:hAnsi="宋体" w:cs="宋体"/>
          <w:sz w:val="24"/>
          <w:szCs w:val="24"/>
        </w:rPr>
      </w:pPr>
      <w:r>
        <w:rPr>
          <w:rFonts w:hint="eastAsia" w:ascii="宋体" w:hAnsi="宋体" w:cs="宋体"/>
          <w:sz w:val="24"/>
          <w:szCs w:val="24"/>
        </w:rPr>
        <w:t>（五）法定代表人为同一个人的两个及两个以上法人，母公司、全资子公司及其控股公司，在同一包采购中同时参与磋商；</w:t>
      </w:r>
    </w:p>
    <w:p>
      <w:pPr>
        <w:spacing w:line="500" w:lineRule="exact"/>
        <w:ind w:firstLine="480" w:firstLineChars="200"/>
        <w:rPr>
          <w:rFonts w:ascii="宋体" w:hAnsi="宋体" w:cs="宋体"/>
          <w:sz w:val="24"/>
          <w:szCs w:val="24"/>
        </w:rPr>
      </w:pPr>
      <w:r>
        <w:rPr>
          <w:rFonts w:hint="eastAsia" w:ascii="宋体" w:hAnsi="宋体" w:cs="宋体"/>
          <w:sz w:val="24"/>
          <w:szCs w:val="24"/>
        </w:rPr>
        <w:t>（六）单位负责人为同一人或者存在直接控股、管理关系的不同供应商，参加同一合同项下的政府采购活动的；</w:t>
      </w:r>
    </w:p>
    <w:p>
      <w:pPr>
        <w:spacing w:line="500" w:lineRule="exact"/>
        <w:ind w:firstLine="480" w:firstLineChars="200"/>
        <w:rPr>
          <w:rFonts w:ascii="宋体" w:hAnsi="宋体" w:cs="宋体"/>
          <w:sz w:val="24"/>
          <w:szCs w:val="24"/>
        </w:rPr>
      </w:pPr>
      <w:r>
        <w:rPr>
          <w:rFonts w:hint="eastAsia" w:ascii="宋体" w:hAnsi="宋体" w:cs="宋体"/>
          <w:sz w:val="24"/>
          <w:szCs w:val="24"/>
        </w:rPr>
        <w:t>（七）为采购项目提供整体设计、规范编制或者项目管理、监理、检测等服务的供应商，再参加该采购项目的其他采购活动；</w:t>
      </w:r>
    </w:p>
    <w:p>
      <w:pPr>
        <w:spacing w:line="500" w:lineRule="exact"/>
        <w:ind w:firstLine="480" w:firstLineChars="200"/>
        <w:rPr>
          <w:rFonts w:ascii="宋体" w:hAnsi="宋体" w:cs="宋体"/>
          <w:sz w:val="24"/>
          <w:szCs w:val="24"/>
        </w:rPr>
      </w:pPr>
      <w:r>
        <w:rPr>
          <w:rFonts w:hint="eastAsia" w:ascii="宋体" w:hAnsi="宋体" w:cs="宋体"/>
          <w:sz w:val="24"/>
          <w:szCs w:val="24"/>
        </w:rPr>
        <w:t>（八）供应商磋商有效期不满足竞争性磋商文件要求的；</w:t>
      </w:r>
    </w:p>
    <w:p>
      <w:pPr>
        <w:spacing w:line="500" w:lineRule="exact"/>
        <w:ind w:firstLine="480" w:firstLineChars="200"/>
        <w:rPr>
          <w:rFonts w:ascii="宋体" w:hAnsi="宋体" w:cs="宋体"/>
          <w:sz w:val="24"/>
          <w:szCs w:val="24"/>
        </w:rPr>
      </w:pPr>
      <w:r>
        <w:rPr>
          <w:rFonts w:hint="eastAsia" w:ascii="宋体" w:hAnsi="宋体" w:cs="宋体"/>
          <w:sz w:val="24"/>
          <w:szCs w:val="24"/>
        </w:rPr>
        <w:t>（九）供应商响应文件内容有与国家现行法律法规相违背的内容，或附有采购人无法接受的条件；</w:t>
      </w:r>
    </w:p>
    <w:p>
      <w:pPr>
        <w:spacing w:line="500" w:lineRule="exact"/>
        <w:ind w:firstLine="480" w:firstLineChars="200"/>
        <w:rPr>
          <w:rFonts w:ascii="宋体" w:hAnsi="宋体" w:cs="宋体"/>
          <w:sz w:val="24"/>
          <w:szCs w:val="24"/>
        </w:rPr>
      </w:pPr>
      <w:r>
        <w:rPr>
          <w:rFonts w:hint="eastAsia" w:ascii="宋体" w:hAnsi="宋体" w:cs="宋体"/>
          <w:sz w:val="24"/>
          <w:szCs w:val="24"/>
        </w:rPr>
        <w:t>（十）法律、法规和竞争性磋商文件规定的其他无效情形。</w:t>
      </w:r>
    </w:p>
    <w:p>
      <w:pPr>
        <w:pStyle w:val="5"/>
        <w:spacing w:before="0" w:after="0" w:line="500" w:lineRule="exact"/>
        <w:ind w:firstLine="482" w:firstLineChars="200"/>
        <w:rPr>
          <w:rFonts w:ascii="宋体" w:hAnsi="宋体" w:cs="宋体"/>
          <w:sz w:val="24"/>
          <w:szCs w:val="24"/>
        </w:rPr>
      </w:pPr>
      <w:r>
        <w:rPr>
          <w:rFonts w:hint="eastAsia" w:ascii="宋体" w:hAnsi="宋体" w:cs="宋体"/>
          <w:sz w:val="24"/>
          <w:szCs w:val="24"/>
        </w:rPr>
        <w:t>四、采购终止</w:t>
      </w:r>
    </w:p>
    <w:p>
      <w:pPr>
        <w:spacing w:line="500" w:lineRule="exact"/>
        <w:ind w:firstLine="480" w:firstLineChars="200"/>
        <w:rPr>
          <w:rFonts w:ascii="宋体" w:hAnsi="宋体" w:cs="宋体"/>
          <w:sz w:val="24"/>
          <w:szCs w:val="24"/>
        </w:rPr>
      </w:pPr>
      <w:r>
        <w:rPr>
          <w:rFonts w:hint="eastAsia" w:ascii="宋体" w:hAnsi="宋体" w:cs="宋体"/>
          <w:sz w:val="24"/>
          <w:szCs w:val="24"/>
        </w:rPr>
        <w:t>出现下列情形之一的，采购人或者采购代理机构应当终止竞争性磋商采购活动，发布项目终止公告并说明原因，重新开展采购活动：</w:t>
      </w:r>
    </w:p>
    <w:p>
      <w:pPr>
        <w:spacing w:line="500" w:lineRule="exact"/>
        <w:ind w:firstLine="480" w:firstLineChars="200"/>
        <w:rPr>
          <w:rFonts w:ascii="宋体" w:hAnsi="宋体" w:cs="宋体"/>
          <w:sz w:val="24"/>
          <w:szCs w:val="24"/>
        </w:rPr>
      </w:pPr>
      <w:r>
        <w:rPr>
          <w:rFonts w:hint="eastAsia" w:ascii="宋体" w:hAnsi="宋体" w:cs="宋体"/>
          <w:sz w:val="24"/>
          <w:szCs w:val="24"/>
        </w:rPr>
        <w:t>（一）因情况变化，不再符合规定的竞争性磋商采购方式适用情形的；</w:t>
      </w:r>
    </w:p>
    <w:p>
      <w:pPr>
        <w:spacing w:line="500" w:lineRule="exact"/>
        <w:ind w:firstLine="480" w:firstLineChars="200"/>
        <w:rPr>
          <w:rFonts w:ascii="宋体" w:hAnsi="宋体" w:cs="宋体"/>
          <w:sz w:val="24"/>
          <w:szCs w:val="24"/>
        </w:rPr>
      </w:pPr>
      <w:r>
        <w:rPr>
          <w:rFonts w:hint="eastAsia" w:ascii="宋体" w:hAnsi="宋体" w:cs="宋体"/>
          <w:sz w:val="24"/>
          <w:szCs w:val="24"/>
        </w:rPr>
        <w:t>（二）出现影响采购公正的违法、违规行为的；</w:t>
      </w:r>
    </w:p>
    <w:p>
      <w:pPr>
        <w:spacing w:line="500" w:lineRule="exact"/>
        <w:ind w:firstLine="480" w:firstLineChars="200"/>
        <w:rPr>
          <w:rFonts w:ascii="宋体" w:hAnsi="宋体" w:cs="宋体"/>
          <w:sz w:val="24"/>
          <w:szCs w:val="24"/>
        </w:rPr>
        <w:sectPr>
          <w:footerReference r:id="rId13" w:type="default"/>
          <w:footerReference r:id="rId14" w:type="even"/>
          <w:pgSz w:w="11907" w:h="16840"/>
          <w:pgMar w:top="1134" w:right="1191" w:bottom="1134" w:left="1191" w:header="964" w:footer="992" w:gutter="0"/>
          <w:cols w:space="720" w:num="1"/>
          <w:docGrid w:linePitch="312" w:charSpace="0"/>
        </w:sectPr>
      </w:pPr>
      <w:r>
        <w:rPr>
          <w:rFonts w:hint="eastAsia" w:ascii="宋体" w:hAnsi="宋体" w:cs="宋体"/>
          <w:sz w:val="24"/>
          <w:szCs w:val="24"/>
        </w:rPr>
        <w:t>（三）在采购过程中符合要求的供应商或者报价未超过采购预算的供应商不足3家的，但《政府采购竞争性磋商采购方式管理暂行办法》第二十一条第三款规定的情形除外。</w:t>
      </w:r>
    </w:p>
    <w:p>
      <w:pPr>
        <w:pStyle w:val="3"/>
        <w:pageBreakBefore/>
        <w:spacing w:line="360" w:lineRule="auto"/>
        <w:jc w:val="center"/>
        <w:rPr>
          <w:rFonts w:ascii="宋体" w:hAnsi="宋体" w:eastAsia="宋体" w:cs="宋体"/>
          <w:b w:val="0"/>
          <w:sz w:val="36"/>
          <w:szCs w:val="30"/>
        </w:rPr>
      </w:pPr>
      <w:bookmarkStart w:id="49" w:name="_Toc20130552"/>
      <w:bookmarkStart w:id="50" w:name="_Toc102227313"/>
      <w:r>
        <w:rPr>
          <w:rFonts w:hint="eastAsia" w:ascii="宋体" w:hAnsi="宋体" w:eastAsia="宋体" w:cs="宋体"/>
          <w:b w:val="0"/>
          <w:sz w:val="36"/>
          <w:szCs w:val="30"/>
        </w:rPr>
        <w:t>第五篇  供应商须知</w:t>
      </w:r>
      <w:bookmarkEnd w:id="49"/>
      <w:bookmarkEnd w:id="50"/>
    </w:p>
    <w:p>
      <w:pPr>
        <w:pStyle w:val="5"/>
        <w:spacing w:before="0" w:after="0" w:line="500" w:lineRule="exact"/>
        <w:ind w:firstLine="482" w:firstLineChars="200"/>
        <w:rPr>
          <w:rFonts w:ascii="宋体" w:hAnsi="宋体" w:cs="宋体"/>
          <w:sz w:val="24"/>
          <w:szCs w:val="24"/>
        </w:rPr>
      </w:pPr>
      <w:bookmarkStart w:id="51" w:name="_Toc342913389"/>
      <w:bookmarkStart w:id="52" w:name="_Toc20130553"/>
      <w:r>
        <w:rPr>
          <w:rFonts w:hint="eastAsia" w:ascii="宋体" w:hAnsi="宋体" w:cs="宋体"/>
          <w:sz w:val="24"/>
          <w:szCs w:val="24"/>
        </w:rPr>
        <w:t>一、磋商费用</w:t>
      </w:r>
      <w:bookmarkEnd w:id="51"/>
      <w:bookmarkEnd w:id="52"/>
    </w:p>
    <w:p>
      <w:pPr>
        <w:pStyle w:val="20"/>
        <w:spacing w:line="500" w:lineRule="exact"/>
        <w:ind w:firstLine="480" w:firstLineChars="200"/>
        <w:rPr>
          <w:rFonts w:hAnsi="宋体" w:cs="宋体"/>
          <w:sz w:val="24"/>
          <w:szCs w:val="24"/>
        </w:rPr>
      </w:pPr>
      <w:r>
        <w:rPr>
          <w:rFonts w:hint="eastAsia" w:hAnsi="宋体" w:cs="宋体"/>
          <w:sz w:val="24"/>
          <w:szCs w:val="24"/>
        </w:rPr>
        <w:t>参与磋商的供应商应承担其编制响应文件与递交响应文件所涉及的一切费用，不论磋商结果如何，采购人和采购代理机构在任何情况下无义务也无责任承担这些费用。</w:t>
      </w:r>
    </w:p>
    <w:p>
      <w:pPr>
        <w:pStyle w:val="5"/>
        <w:tabs>
          <w:tab w:val="left" w:pos="2640"/>
        </w:tabs>
        <w:spacing w:before="0" w:after="0" w:line="500" w:lineRule="exact"/>
        <w:ind w:firstLine="482" w:firstLineChars="200"/>
        <w:rPr>
          <w:rFonts w:ascii="宋体" w:hAnsi="宋体" w:cs="宋体"/>
          <w:sz w:val="24"/>
          <w:szCs w:val="24"/>
        </w:rPr>
      </w:pPr>
      <w:bookmarkStart w:id="53" w:name="_Toc342913391"/>
      <w:bookmarkStart w:id="54" w:name="_Toc20130554"/>
      <w:r>
        <w:rPr>
          <w:rFonts w:hint="eastAsia" w:ascii="宋体" w:hAnsi="宋体" w:cs="宋体"/>
          <w:sz w:val="24"/>
          <w:szCs w:val="24"/>
        </w:rPr>
        <w:t>二、竞争性磋商文件</w:t>
      </w:r>
      <w:bookmarkEnd w:id="53"/>
      <w:bookmarkEnd w:id="54"/>
    </w:p>
    <w:p>
      <w:pPr>
        <w:snapToGrid w:val="0"/>
        <w:spacing w:line="500" w:lineRule="exact"/>
        <w:ind w:firstLine="480" w:firstLineChars="200"/>
        <w:rPr>
          <w:rFonts w:ascii="宋体" w:hAnsi="宋体" w:cs="宋体"/>
          <w:sz w:val="24"/>
          <w:szCs w:val="24"/>
        </w:rPr>
      </w:pPr>
      <w:r>
        <w:rPr>
          <w:rFonts w:hint="eastAsia" w:ascii="宋体" w:hAnsi="宋体" w:cs="宋体"/>
          <w:sz w:val="24"/>
          <w:szCs w:val="24"/>
        </w:rPr>
        <w:t>（一）竞争性磋商文件由采购邀请书；采购服务需求；采购商务需求；磋商程序及方法、评审标准、无效响应和采购终止；供应商须知；合同草案条款；响应文件编制要求共七部分组成。</w:t>
      </w:r>
    </w:p>
    <w:p>
      <w:pPr>
        <w:snapToGrid w:val="0"/>
        <w:spacing w:line="500" w:lineRule="exact"/>
        <w:ind w:firstLine="480" w:firstLineChars="200"/>
        <w:rPr>
          <w:rFonts w:ascii="宋体" w:hAnsi="宋体" w:cs="宋体"/>
          <w:sz w:val="24"/>
          <w:szCs w:val="24"/>
        </w:rPr>
      </w:pPr>
      <w:r>
        <w:rPr>
          <w:rFonts w:hint="eastAsia" w:ascii="宋体" w:hAnsi="宋体" w:cs="宋体"/>
          <w:sz w:val="24"/>
          <w:szCs w:val="24"/>
        </w:rPr>
        <w:t>（二）采购人（或采购代理机构）所作的一切有效的书面通知、修改及补充，都是竞争性磋商文件不可分割的部分。</w:t>
      </w:r>
    </w:p>
    <w:p>
      <w:pPr>
        <w:snapToGrid w:val="0"/>
        <w:spacing w:line="500" w:lineRule="exact"/>
        <w:ind w:firstLine="480" w:firstLineChars="200"/>
        <w:rPr>
          <w:rFonts w:ascii="宋体" w:hAnsi="宋体" w:cs="宋体"/>
          <w:sz w:val="24"/>
          <w:szCs w:val="24"/>
        </w:rPr>
      </w:pPr>
      <w:r>
        <w:rPr>
          <w:rFonts w:hint="eastAsia" w:ascii="宋体" w:hAnsi="宋体" w:cs="宋体"/>
          <w:sz w:val="24"/>
          <w:szCs w:val="24"/>
        </w:rPr>
        <w:t>（三）竞争性磋商文件的解释</w:t>
      </w:r>
    </w:p>
    <w:p>
      <w:pPr>
        <w:spacing w:line="500" w:lineRule="exact"/>
        <w:ind w:firstLine="480" w:firstLineChars="200"/>
        <w:rPr>
          <w:rFonts w:ascii="宋体" w:hAnsi="宋体" w:cs="宋体"/>
          <w:sz w:val="24"/>
          <w:szCs w:val="24"/>
        </w:rPr>
      </w:pPr>
      <w:r>
        <w:rPr>
          <w:rFonts w:hint="eastAsia" w:ascii="宋体" w:hAnsi="宋体" w:cs="宋体"/>
          <w:sz w:val="24"/>
          <w:szCs w:val="24"/>
        </w:rPr>
        <w:t>供应商如对竞争性磋商文件有疑问，必须以书面形式在提交响应文件截止时间3个工作日前向采购人（或采购代理机构）要求澄清，采购人（或采购代理机构）可视具体情况做出处理或答复。如供应商未提出疑问，视为完全理解并同意本竞争性磋商文件。一经进入磋商程序，即视为供应商已详细阅读全部文件资料，完全理解竞争性磋商文件所有条款内容并同意放弃对这方面有不明白及误解的权利。</w:t>
      </w:r>
      <w:bookmarkStart w:id="55" w:name="_Toc318166429"/>
      <w:bookmarkStart w:id="56" w:name="_Toc318159349"/>
      <w:bookmarkStart w:id="57" w:name="_Toc318159780"/>
      <w:bookmarkStart w:id="58" w:name="_Toc318159160"/>
    </w:p>
    <w:p>
      <w:pPr>
        <w:spacing w:line="500" w:lineRule="exact"/>
        <w:ind w:firstLine="480" w:firstLineChars="200"/>
        <w:rPr>
          <w:rFonts w:ascii="宋体" w:hAnsi="宋体" w:cs="宋体"/>
          <w:sz w:val="24"/>
          <w:szCs w:val="24"/>
        </w:rPr>
      </w:pPr>
      <w:r>
        <w:rPr>
          <w:rFonts w:hint="eastAsia" w:ascii="宋体" w:hAnsi="宋体" w:cs="宋体"/>
          <w:sz w:val="24"/>
          <w:szCs w:val="24"/>
        </w:rPr>
        <w:t>（四）本竞争性磋商文件中，磋商小组根据与供应商进行磋商可能实质性变动的内容为竞争性磋商文件第二、三、六篇全部内容。</w:t>
      </w:r>
    </w:p>
    <w:p>
      <w:pPr>
        <w:spacing w:line="500" w:lineRule="exact"/>
        <w:ind w:firstLine="480" w:firstLineChars="200"/>
        <w:rPr>
          <w:rFonts w:ascii="宋体" w:hAnsi="宋体" w:cs="宋体"/>
          <w:sz w:val="24"/>
          <w:szCs w:val="24"/>
        </w:rPr>
      </w:pPr>
      <w:r>
        <w:rPr>
          <w:rFonts w:hint="eastAsia" w:ascii="宋体" w:hAnsi="宋体" w:cs="宋体"/>
          <w:sz w:val="24"/>
          <w:szCs w:val="24"/>
        </w:rPr>
        <w:t>（五）评审的依据为竞争性磋商文件和响应文件（含有效的书面承诺）。磋商小组判断响应文件对竞争性磋商文件的响应，仅基于响应文件本身而不靠外部证据。</w:t>
      </w:r>
    </w:p>
    <w:bookmarkEnd w:id="55"/>
    <w:bookmarkEnd w:id="56"/>
    <w:bookmarkEnd w:id="57"/>
    <w:bookmarkEnd w:id="58"/>
    <w:p>
      <w:pPr>
        <w:pStyle w:val="5"/>
        <w:spacing w:before="0" w:after="0" w:line="500" w:lineRule="exact"/>
        <w:ind w:firstLine="482" w:firstLineChars="200"/>
        <w:rPr>
          <w:rFonts w:ascii="宋体" w:hAnsi="宋体" w:cs="宋体"/>
          <w:sz w:val="24"/>
          <w:szCs w:val="24"/>
        </w:rPr>
      </w:pPr>
      <w:bookmarkStart w:id="59" w:name="_Toc20130555"/>
      <w:bookmarkStart w:id="60" w:name="_Toc342913392"/>
      <w:bookmarkStart w:id="61" w:name="_Toc102227318"/>
      <w:bookmarkStart w:id="62" w:name="_Toc179714297"/>
      <w:r>
        <w:rPr>
          <w:rFonts w:hint="eastAsia" w:ascii="宋体" w:hAnsi="宋体" w:cs="宋体"/>
          <w:sz w:val="24"/>
          <w:szCs w:val="24"/>
        </w:rPr>
        <w:t>三、磋商要求</w:t>
      </w:r>
      <w:bookmarkEnd w:id="59"/>
      <w:bookmarkEnd w:id="60"/>
      <w:bookmarkEnd w:id="61"/>
      <w:bookmarkEnd w:id="62"/>
    </w:p>
    <w:p>
      <w:pPr>
        <w:spacing w:line="500" w:lineRule="exact"/>
        <w:ind w:firstLine="480" w:firstLineChars="200"/>
        <w:rPr>
          <w:rFonts w:ascii="宋体" w:hAnsi="宋体" w:cs="宋体"/>
          <w:sz w:val="24"/>
          <w:szCs w:val="24"/>
        </w:rPr>
      </w:pPr>
      <w:r>
        <w:rPr>
          <w:rFonts w:hint="eastAsia" w:ascii="宋体" w:hAnsi="宋体" w:cs="宋体"/>
          <w:sz w:val="24"/>
          <w:szCs w:val="24"/>
        </w:rPr>
        <w:t>（一）响应文件</w:t>
      </w:r>
    </w:p>
    <w:p>
      <w:pPr>
        <w:spacing w:line="500" w:lineRule="exact"/>
        <w:ind w:firstLine="480" w:firstLineChars="200"/>
        <w:rPr>
          <w:rFonts w:ascii="宋体" w:hAnsi="宋体" w:cs="宋体"/>
          <w:sz w:val="24"/>
          <w:szCs w:val="24"/>
        </w:rPr>
      </w:pPr>
      <w:r>
        <w:rPr>
          <w:rFonts w:hint="eastAsia" w:ascii="宋体" w:hAnsi="宋体" w:cs="宋体"/>
          <w:sz w:val="24"/>
          <w:szCs w:val="24"/>
        </w:rPr>
        <w:t>1.供应商应当按照竞争性磋商文件的要求编制响应文件，并对竞争性磋商文件提出的要求和条件作出实质性响应，响应文件原则上采用软面订本，同时应编制完整的页码、目录。</w:t>
      </w:r>
    </w:p>
    <w:p>
      <w:pPr>
        <w:spacing w:line="500" w:lineRule="exact"/>
        <w:ind w:firstLine="480" w:firstLineChars="200"/>
        <w:rPr>
          <w:rFonts w:ascii="宋体" w:hAnsi="宋体" w:cs="宋体"/>
          <w:sz w:val="24"/>
          <w:szCs w:val="24"/>
        </w:rPr>
      </w:pPr>
      <w:r>
        <w:rPr>
          <w:rFonts w:hint="eastAsia" w:ascii="宋体" w:hAnsi="宋体" w:cs="宋体"/>
          <w:sz w:val="24"/>
          <w:szCs w:val="24"/>
        </w:rPr>
        <w:t>2.响应文件组成</w:t>
      </w:r>
    </w:p>
    <w:p>
      <w:pPr>
        <w:spacing w:line="500" w:lineRule="exact"/>
        <w:ind w:firstLine="480" w:firstLineChars="200"/>
        <w:rPr>
          <w:rFonts w:ascii="宋体" w:hAnsi="宋体" w:cs="宋体"/>
          <w:sz w:val="24"/>
          <w:szCs w:val="24"/>
        </w:rPr>
      </w:pPr>
      <w:r>
        <w:rPr>
          <w:rFonts w:hint="eastAsia" w:ascii="宋体" w:hAnsi="宋体" w:cs="宋体"/>
          <w:sz w:val="24"/>
          <w:szCs w:val="24"/>
        </w:rPr>
        <w:t>响应文件由第七篇“响应文件编制要求”规定的部分和供应商所作的一切有效补充、修改和承诺等文件组成，供应商应按照第七篇“响应文件编制要求”规定的目录顺序组织编写和装订，也可在基本格式基础上对表格进行扩展，未规定格式的由供应商自定格式。</w:t>
      </w:r>
    </w:p>
    <w:p>
      <w:pPr>
        <w:spacing w:line="500" w:lineRule="exact"/>
        <w:ind w:firstLine="480" w:firstLineChars="200"/>
        <w:rPr>
          <w:rFonts w:ascii="宋体" w:hAnsi="宋体" w:cs="宋体"/>
          <w:sz w:val="24"/>
          <w:szCs w:val="24"/>
        </w:rPr>
      </w:pPr>
      <w:r>
        <w:rPr>
          <w:rFonts w:hint="eastAsia" w:ascii="宋体" w:hAnsi="宋体" w:cs="宋体"/>
          <w:sz w:val="24"/>
          <w:szCs w:val="24"/>
        </w:rPr>
        <w:t>（二）联合体</w:t>
      </w:r>
    </w:p>
    <w:p>
      <w:pPr>
        <w:spacing w:line="500" w:lineRule="exact"/>
        <w:ind w:firstLine="482" w:firstLineChars="200"/>
        <w:rPr>
          <w:rFonts w:ascii="宋体" w:hAnsi="宋体" w:cs="宋体"/>
          <w:b/>
          <w:bCs/>
          <w:sz w:val="24"/>
          <w:szCs w:val="24"/>
        </w:rPr>
      </w:pPr>
      <w:r>
        <w:rPr>
          <w:rFonts w:hint="eastAsia" w:ascii="宋体" w:hAnsi="宋体" w:cs="宋体"/>
          <w:b/>
          <w:bCs/>
          <w:sz w:val="24"/>
          <w:szCs w:val="24"/>
        </w:rPr>
        <w:t>本项目不接受联合体磋商。</w:t>
      </w:r>
    </w:p>
    <w:p>
      <w:pPr>
        <w:spacing w:line="500" w:lineRule="exact"/>
        <w:ind w:firstLine="480" w:firstLineChars="200"/>
        <w:rPr>
          <w:rFonts w:ascii="宋体" w:hAnsi="宋体" w:cs="宋体"/>
          <w:sz w:val="24"/>
          <w:szCs w:val="24"/>
        </w:rPr>
      </w:pPr>
      <w:r>
        <w:rPr>
          <w:rFonts w:hint="eastAsia" w:ascii="宋体" w:hAnsi="宋体" w:cs="宋体"/>
          <w:sz w:val="24"/>
          <w:szCs w:val="24"/>
        </w:rPr>
        <w:t>（三）磋商有效期：响应文件及有关承诺文件有效期为提交响应文件截止时间起90天。</w:t>
      </w:r>
    </w:p>
    <w:p>
      <w:pPr>
        <w:pStyle w:val="5"/>
        <w:spacing w:before="0" w:after="0" w:line="500" w:lineRule="exact"/>
        <w:ind w:firstLine="480" w:firstLineChars="200"/>
        <w:rPr>
          <w:rFonts w:ascii="宋体" w:hAnsi="宋体" w:cs="宋体"/>
          <w:b w:val="0"/>
          <w:bCs/>
          <w:sz w:val="24"/>
          <w:szCs w:val="24"/>
        </w:rPr>
      </w:pPr>
      <w:bookmarkStart w:id="63" w:name="_Toc20130556"/>
      <w:r>
        <w:rPr>
          <w:rFonts w:hint="eastAsia" w:ascii="宋体" w:hAnsi="宋体" w:cs="宋体"/>
          <w:b w:val="0"/>
          <w:bCs/>
          <w:sz w:val="24"/>
          <w:szCs w:val="24"/>
        </w:rPr>
        <w:t>（四）修正错误</w:t>
      </w:r>
    </w:p>
    <w:p>
      <w:pPr>
        <w:snapToGrid w:val="0"/>
        <w:spacing w:line="500" w:lineRule="exact"/>
        <w:ind w:firstLine="480" w:firstLineChars="200"/>
        <w:rPr>
          <w:rFonts w:ascii="宋体" w:hAnsi="宋体" w:cs="宋体"/>
          <w:sz w:val="24"/>
          <w:szCs w:val="24"/>
        </w:rPr>
      </w:pPr>
      <w:r>
        <w:rPr>
          <w:rFonts w:hint="eastAsia" w:ascii="宋体" w:hAnsi="宋体" w:cs="宋体"/>
          <w:sz w:val="24"/>
          <w:szCs w:val="24"/>
        </w:rPr>
        <w:t>1.若供应商所递交的响应文件或最后报价中的价格出现大写金额和小写金额不一致的错误，以大写金额修正为准。</w:t>
      </w:r>
    </w:p>
    <w:p>
      <w:pPr>
        <w:snapToGrid w:val="0"/>
        <w:spacing w:line="500" w:lineRule="exact"/>
        <w:ind w:firstLine="480" w:firstLineChars="200"/>
        <w:rPr>
          <w:rFonts w:ascii="宋体" w:hAnsi="宋体" w:cs="宋体"/>
          <w:sz w:val="24"/>
          <w:szCs w:val="24"/>
        </w:rPr>
      </w:pPr>
      <w:r>
        <w:rPr>
          <w:rFonts w:hint="eastAsia" w:ascii="宋体" w:hAnsi="宋体" w:cs="宋体"/>
          <w:sz w:val="24"/>
          <w:szCs w:val="24"/>
        </w:rPr>
        <w:t>2.磋商小组按上述修正错误的原则及方法修正供应商的报价，供应商同意并签字确认后，修正后的报价对供应商具有约束作用。如果供应商不接受修正后的价格，将失去成为成交供应商的资格。</w:t>
      </w:r>
    </w:p>
    <w:p>
      <w:pPr>
        <w:pStyle w:val="5"/>
        <w:spacing w:before="0" w:after="0" w:line="500" w:lineRule="exact"/>
        <w:ind w:firstLine="480" w:firstLineChars="200"/>
        <w:rPr>
          <w:rFonts w:ascii="宋体" w:hAnsi="宋体" w:cs="宋体"/>
          <w:b w:val="0"/>
          <w:bCs/>
          <w:sz w:val="24"/>
          <w:szCs w:val="24"/>
        </w:rPr>
      </w:pPr>
      <w:r>
        <w:rPr>
          <w:rFonts w:hint="eastAsia" w:ascii="宋体" w:hAnsi="宋体" w:cs="宋体"/>
          <w:b w:val="0"/>
          <w:bCs/>
          <w:sz w:val="24"/>
          <w:szCs w:val="24"/>
        </w:rPr>
        <w:t>（五）提交响应文件的份数和签署</w:t>
      </w:r>
    </w:p>
    <w:p>
      <w:pPr>
        <w:snapToGrid w:val="0"/>
        <w:spacing w:line="500" w:lineRule="exact"/>
        <w:ind w:firstLine="480" w:firstLineChars="200"/>
        <w:rPr>
          <w:rFonts w:ascii="宋体" w:hAnsi="宋体" w:cs="宋体"/>
          <w:sz w:val="24"/>
          <w:szCs w:val="24"/>
        </w:rPr>
      </w:pPr>
      <w:r>
        <w:rPr>
          <w:rFonts w:hint="eastAsia" w:ascii="宋体" w:hAnsi="宋体" w:cs="宋体"/>
          <w:sz w:val="24"/>
          <w:szCs w:val="24"/>
        </w:rPr>
        <w:t>1.响应文件一式四份，其中正本一份，副本二份，电子文档一份（推荐采用光盘为电子文档载体）；副本可为正本的复印件，应与正本一致，如出现不一致情况以正本为准。</w:t>
      </w:r>
    </w:p>
    <w:p>
      <w:pPr>
        <w:snapToGrid w:val="0"/>
        <w:spacing w:line="500" w:lineRule="exact"/>
        <w:ind w:firstLine="480" w:firstLineChars="200"/>
        <w:rPr>
          <w:rFonts w:ascii="宋体" w:hAnsi="宋体" w:cs="宋体"/>
          <w:sz w:val="24"/>
          <w:szCs w:val="24"/>
        </w:rPr>
      </w:pPr>
      <w:r>
        <w:rPr>
          <w:rFonts w:hint="eastAsia" w:ascii="宋体" w:hAnsi="宋体" w:cs="宋体"/>
          <w:sz w:val="24"/>
          <w:szCs w:val="24"/>
        </w:rPr>
        <w:t>2.响应文件按竞争性磋商文件“第七篇响应文件编制要求”要求签署或盖章。</w:t>
      </w:r>
    </w:p>
    <w:p>
      <w:pPr>
        <w:pStyle w:val="5"/>
        <w:spacing w:before="0" w:after="0" w:line="500" w:lineRule="exact"/>
        <w:ind w:firstLine="480" w:firstLineChars="200"/>
        <w:rPr>
          <w:rFonts w:ascii="宋体" w:hAnsi="宋体" w:cs="宋体"/>
          <w:b w:val="0"/>
          <w:bCs/>
          <w:sz w:val="24"/>
          <w:szCs w:val="24"/>
        </w:rPr>
      </w:pPr>
      <w:r>
        <w:rPr>
          <w:rFonts w:hint="eastAsia" w:ascii="宋体" w:hAnsi="宋体" w:cs="宋体"/>
          <w:b w:val="0"/>
          <w:bCs/>
          <w:sz w:val="24"/>
          <w:szCs w:val="24"/>
        </w:rPr>
        <w:t>（六）响应文件的递交</w:t>
      </w:r>
    </w:p>
    <w:p>
      <w:pPr>
        <w:snapToGrid w:val="0"/>
        <w:spacing w:line="500" w:lineRule="exact"/>
        <w:ind w:firstLine="480" w:firstLineChars="200"/>
        <w:rPr>
          <w:rFonts w:ascii="宋体" w:hAnsi="宋体" w:cs="宋体"/>
          <w:sz w:val="24"/>
          <w:szCs w:val="24"/>
        </w:rPr>
      </w:pPr>
      <w:r>
        <w:rPr>
          <w:rFonts w:hint="eastAsia" w:ascii="宋体" w:hAnsi="宋体" w:cs="宋体"/>
          <w:sz w:val="24"/>
          <w:szCs w:val="24"/>
        </w:rPr>
        <w:t>响应文件的正本、副本以及电子文档均应密封送达磋商地点，应在封套上注明磋商项目名称、供应商名称。若正本、副本以及电子文档分别进行密封的，还应在封套上注明“正本”、“副本”、“电子文档”字样。</w:t>
      </w:r>
    </w:p>
    <w:p>
      <w:pPr>
        <w:pStyle w:val="5"/>
        <w:spacing w:before="0" w:after="0" w:line="500" w:lineRule="exact"/>
        <w:ind w:firstLine="480" w:firstLineChars="200"/>
        <w:rPr>
          <w:rFonts w:ascii="宋体" w:hAnsi="宋体" w:cs="宋体"/>
          <w:b w:val="0"/>
          <w:bCs/>
          <w:sz w:val="24"/>
          <w:szCs w:val="24"/>
        </w:rPr>
      </w:pPr>
      <w:r>
        <w:rPr>
          <w:rFonts w:hint="eastAsia" w:ascii="宋体" w:hAnsi="宋体" w:cs="宋体"/>
          <w:b w:val="0"/>
          <w:bCs/>
          <w:sz w:val="24"/>
          <w:szCs w:val="24"/>
        </w:rPr>
        <w:t>（七）供应商参与人员</w:t>
      </w:r>
    </w:p>
    <w:p>
      <w:pPr>
        <w:snapToGrid w:val="0"/>
        <w:spacing w:line="500" w:lineRule="exact"/>
        <w:ind w:firstLine="480" w:firstLineChars="200"/>
        <w:rPr>
          <w:rFonts w:ascii="宋体" w:hAnsi="宋体" w:cs="宋体"/>
          <w:sz w:val="24"/>
          <w:szCs w:val="24"/>
        </w:rPr>
      </w:pPr>
      <w:r>
        <w:rPr>
          <w:rFonts w:hint="eastAsia" w:ascii="宋体" w:hAnsi="宋体" w:cs="宋体"/>
          <w:sz w:val="24"/>
          <w:szCs w:val="24"/>
        </w:rPr>
        <w:t>各个供应商应当派1-2名代表参与磋商，至少1人应为法定代表人（或其授权代表）或自然人（供应商为自然人）。</w:t>
      </w:r>
    </w:p>
    <w:p>
      <w:pPr>
        <w:pStyle w:val="5"/>
        <w:spacing w:before="0" w:after="0" w:line="500" w:lineRule="exact"/>
        <w:ind w:firstLine="482" w:firstLineChars="200"/>
        <w:rPr>
          <w:rFonts w:ascii="宋体" w:hAnsi="宋体" w:cs="宋体"/>
          <w:sz w:val="24"/>
          <w:szCs w:val="24"/>
        </w:rPr>
      </w:pPr>
      <w:r>
        <w:rPr>
          <w:rFonts w:hint="eastAsia" w:ascii="宋体" w:hAnsi="宋体" w:cs="宋体"/>
          <w:sz w:val="24"/>
          <w:szCs w:val="24"/>
        </w:rPr>
        <w:t>四、成交供应商的确认和变更</w:t>
      </w:r>
      <w:bookmarkEnd w:id="63"/>
    </w:p>
    <w:p>
      <w:pPr>
        <w:snapToGrid w:val="0"/>
        <w:spacing w:line="500" w:lineRule="exact"/>
        <w:ind w:firstLine="480" w:firstLineChars="200"/>
        <w:rPr>
          <w:rFonts w:ascii="宋体" w:hAnsi="宋体" w:cs="宋体"/>
          <w:sz w:val="24"/>
          <w:szCs w:val="24"/>
        </w:rPr>
      </w:pPr>
      <w:r>
        <w:rPr>
          <w:rFonts w:hint="eastAsia" w:ascii="宋体" w:hAnsi="宋体" w:cs="宋体"/>
          <w:sz w:val="24"/>
          <w:szCs w:val="24"/>
        </w:rPr>
        <w:t>（一）成交供应商的确认</w:t>
      </w:r>
    </w:p>
    <w:p>
      <w:pPr>
        <w:snapToGrid w:val="0"/>
        <w:spacing w:line="500" w:lineRule="exact"/>
        <w:ind w:firstLine="480" w:firstLineChars="200"/>
        <w:rPr>
          <w:rFonts w:ascii="宋体" w:hAnsi="宋体" w:cs="宋体"/>
          <w:sz w:val="24"/>
          <w:szCs w:val="24"/>
        </w:rPr>
      </w:pPr>
      <w:r>
        <w:rPr>
          <w:rFonts w:hint="eastAsia" w:ascii="宋体" w:hAnsi="宋体" w:cs="宋体"/>
          <w:sz w:val="24"/>
          <w:szCs w:val="24"/>
        </w:rPr>
        <w:t>采购代理机构应当在评审结束后2个工作日内将评审报告送采购人确认。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snapToGrid w:val="0"/>
        <w:spacing w:line="500" w:lineRule="exact"/>
        <w:ind w:firstLine="480" w:firstLineChars="200"/>
        <w:rPr>
          <w:rFonts w:ascii="宋体" w:hAnsi="宋体" w:cs="宋体"/>
          <w:sz w:val="24"/>
          <w:szCs w:val="24"/>
        </w:rPr>
      </w:pPr>
      <w:r>
        <w:rPr>
          <w:rFonts w:hint="eastAsia" w:ascii="宋体" w:hAnsi="宋体" w:cs="宋体"/>
          <w:sz w:val="24"/>
          <w:szCs w:val="24"/>
        </w:rPr>
        <w:t>（二）成交供应商的变更</w:t>
      </w:r>
    </w:p>
    <w:p>
      <w:pPr>
        <w:snapToGrid w:val="0"/>
        <w:spacing w:line="500" w:lineRule="exact"/>
        <w:ind w:firstLine="480" w:firstLineChars="200"/>
        <w:rPr>
          <w:rFonts w:ascii="宋体" w:hAnsi="宋体" w:cs="宋体"/>
          <w:sz w:val="24"/>
          <w:szCs w:val="24"/>
        </w:rPr>
      </w:pPr>
      <w:r>
        <w:rPr>
          <w:rFonts w:hint="eastAsia" w:ascii="宋体" w:hAnsi="宋体" w:cs="宋体"/>
          <w:sz w:val="24"/>
          <w:szCs w:val="24"/>
        </w:rPr>
        <w:t>成交供应商拒绝与采购人签订合同的，采购人可以按照评标报告推荐的成交候选供应商顺序，确定排名下一位的候选人为成交供应商，也可以重新开展政府采购活动。</w:t>
      </w:r>
    </w:p>
    <w:p>
      <w:pPr>
        <w:pStyle w:val="5"/>
        <w:spacing w:before="0" w:after="0" w:line="500" w:lineRule="exact"/>
        <w:ind w:firstLine="482" w:firstLineChars="200"/>
        <w:rPr>
          <w:rFonts w:ascii="宋体" w:hAnsi="宋体" w:cs="宋体"/>
          <w:sz w:val="24"/>
          <w:szCs w:val="24"/>
        </w:rPr>
      </w:pPr>
      <w:bookmarkStart w:id="64" w:name="_Toc342913395"/>
      <w:bookmarkStart w:id="65" w:name="_Toc20130557"/>
      <w:bookmarkStart w:id="66" w:name="_Toc102227321"/>
      <w:r>
        <w:rPr>
          <w:rFonts w:hint="eastAsia" w:ascii="宋体" w:hAnsi="宋体" w:cs="宋体"/>
          <w:sz w:val="24"/>
          <w:szCs w:val="24"/>
        </w:rPr>
        <w:t>五、成交通知</w:t>
      </w:r>
      <w:bookmarkEnd w:id="64"/>
      <w:bookmarkEnd w:id="65"/>
      <w:bookmarkEnd w:id="66"/>
    </w:p>
    <w:p>
      <w:pPr>
        <w:spacing w:line="500" w:lineRule="exact"/>
        <w:ind w:firstLine="480" w:firstLineChars="200"/>
        <w:rPr>
          <w:rFonts w:ascii="宋体" w:hAnsi="宋体" w:cs="宋体"/>
          <w:sz w:val="24"/>
          <w:szCs w:val="24"/>
        </w:rPr>
      </w:pPr>
      <w:r>
        <w:rPr>
          <w:rFonts w:hint="eastAsia" w:ascii="宋体" w:hAnsi="宋体" w:cs="宋体"/>
          <w:sz w:val="24"/>
          <w:szCs w:val="24"/>
        </w:rPr>
        <w:t>（一）成交供应商确定后，采购人或采购代理机构将在“重庆市经济和信息化委员会网”（https://jjxxw.cq.gov.cn/）上发布成交结果公告。</w:t>
      </w:r>
    </w:p>
    <w:p>
      <w:pPr>
        <w:spacing w:line="500" w:lineRule="exact"/>
        <w:ind w:firstLine="570"/>
        <w:rPr>
          <w:rFonts w:ascii="宋体" w:hAnsi="宋体" w:cs="宋体"/>
          <w:sz w:val="24"/>
          <w:szCs w:val="24"/>
        </w:rPr>
      </w:pPr>
      <w:bookmarkStart w:id="67" w:name="_Toc20130558"/>
      <w:r>
        <w:rPr>
          <w:rFonts w:hint="eastAsia" w:ascii="宋体" w:hAnsi="宋体" w:cs="宋体"/>
          <w:sz w:val="24"/>
          <w:szCs w:val="24"/>
        </w:rPr>
        <w:t>（二）结果公告发出同时，采购代理机构将以书面形式发出《成交通知书》。《成交通知书》一经发出即发生法律效力。</w:t>
      </w:r>
    </w:p>
    <w:p>
      <w:pPr>
        <w:spacing w:line="500" w:lineRule="exact"/>
        <w:ind w:firstLine="570"/>
        <w:rPr>
          <w:rFonts w:ascii="宋体" w:hAnsi="宋体" w:cs="宋体"/>
          <w:sz w:val="24"/>
          <w:szCs w:val="24"/>
        </w:rPr>
      </w:pPr>
      <w:r>
        <w:rPr>
          <w:rFonts w:hint="eastAsia" w:ascii="宋体" w:hAnsi="宋体" w:cs="宋体"/>
          <w:sz w:val="24"/>
          <w:szCs w:val="24"/>
        </w:rPr>
        <w:t>（三）《成交通知书》将作为签订合同的依据。</w:t>
      </w:r>
    </w:p>
    <w:p>
      <w:pPr>
        <w:pStyle w:val="5"/>
        <w:spacing w:before="0" w:after="0" w:line="500" w:lineRule="exact"/>
        <w:ind w:firstLine="482" w:firstLineChars="200"/>
        <w:rPr>
          <w:rFonts w:ascii="宋体" w:hAnsi="宋体" w:cs="宋体"/>
          <w:sz w:val="24"/>
          <w:szCs w:val="24"/>
        </w:rPr>
      </w:pPr>
      <w:r>
        <w:rPr>
          <w:rFonts w:hint="eastAsia" w:ascii="宋体" w:hAnsi="宋体" w:cs="宋体"/>
          <w:sz w:val="24"/>
          <w:szCs w:val="24"/>
        </w:rPr>
        <w:t>六、关于质疑和投诉</w:t>
      </w:r>
      <w:bookmarkEnd w:id="67"/>
    </w:p>
    <w:p>
      <w:pPr>
        <w:spacing w:line="500" w:lineRule="exact"/>
        <w:ind w:firstLine="570"/>
        <w:rPr>
          <w:rFonts w:ascii="宋体" w:hAnsi="宋体" w:cs="宋体"/>
          <w:sz w:val="24"/>
          <w:szCs w:val="24"/>
        </w:rPr>
      </w:pPr>
      <w:r>
        <w:rPr>
          <w:rFonts w:hint="eastAsia" w:ascii="宋体" w:hAnsi="宋体" w:cs="宋体"/>
          <w:sz w:val="24"/>
          <w:szCs w:val="24"/>
        </w:rPr>
        <w:t>（一）质疑</w:t>
      </w:r>
    </w:p>
    <w:p>
      <w:pPr>
        <w:spacing w:line="500" w:lineRule="exact"/>
        <w:ind w:firstLine="570"/>
        <w:rPr>
          <w:rFonts w:ascii="宋体" w:hAnsi="宋体" w:cs="宋体"/>
          <w:sz w:val="24"/>
          <w:szCs w:val="24"/>
        </w:rPr>
      </w:pPr>
      <w:r>
        <w:rPr>
          <w:rFonts w:hint="eastAsia" w:ascii="宋体" w:hAnsi="宋体" w:cs="宋体"/>
          <w:sz w:val="24"/>
          <w:szCs w:val="24"/>
        </w:rPr>
        <w:t>供应商认为采购文件、采购过程和成交结果使自己的权益收到伤害的，可向采购人或采购代理机构以书面形式提出质疑。</w:t>
      </w:r>
    </w:p>
    <w:p>
      <w:pPr>
        <w:spacing w:line="500" w:lineRule="exact"/>
        <w:ind w:firstLine="570"/>
        <w:rPr>
          <w:rFonts w:ascii="宋体" w:hAnsi="宋体" w:cs="宋体"/>
          <w:sz w:val="24"/>
          <w:szCs w:val="24"/>
        </w:rPr>
      </w:pPr>
      <w:r>
        <w:rPr>
          <w:rFonts w:hint="eastAsia" w:ascii="宋体" w:hAnsi="宋体" w:cs="宋体"/>
          <w:sz w:val="24"/>
          <w:szCs w:val="24"/>
        </w:rPr>
        <w:t xml:space="preserve">提出质疑的应当是参与所质疑项目采购活动的供应商。 </w:t>
      </w:r>
    </w:p>
    <w:p>
      <w:pPr>
        <w:spacing w:line="500" w:lineRule="exact"/>
        <w:ind w:firstLine="570"/>
        <w:rPr>
          <w:rFonts w:ascii="宋体" w:hAnsi="宋体" w:cs="宋体"/>
          <w:sz w:val="24"/>
          <w:szCs w:val="24"/>
        </w:rPr>
      </w:pPr>
      <w:r>
        <w:rPr>
          <w:rFonts w:hint="eastAsia" w:ascii="宋体" w:hAnsi="宋体" w:cs="宋体"/>
          <w:sz w:val="24"/>
          <w:szCs w:val="24"/>
        </w:rPr>
        <w:t>1.质疑时限、内容</w:t>
      </w:r>
    </w:p>
    <w:p>
      <w:pPr>
        <w:spacing w:line="500" w:lineRule="exact"/>
        <w:ind w:firstLine="570"/>
        <w:rPr>
          <w:rFonts w:ascii="宋体" w:hAnsi="宋体" w:cs="宋体"/>
          <w:sz w:val="24"/>
          <w:szCs w:val="24"/>
        </w:rPr>
      </w:pPr>
      <w:r>
        <w:rPr>
          <w:rFonts w:hint="eastAsia" w:ascii="宋体" w:hAnsi="宋体" w:cs="宋体"/>
          <w:sz w:val="24"/>
          <w:szCs w:val="24"/>
        </w:rPr>
        <w:t>供应商认为采购文件、采购过程、成交结果使自己的权益受到损害的，可以在知道或者应知其权益受到损害之日起7个工作日内，以书面形式向采购人、采购代理机构提出质疑。</w:t>
      </w:r>
    </w:p>
    <w:p>
      <w:pPr>
        <w:spacing w:line="500" w:lineRule="exact"/>
        <w:ind w:firstLine="570"/>
        <w:rPr>
          <w:rFonts w:ascii="宋体" w:hAnsi="宋体" w:cs="宋体"/>
          <w:sz w:val="24"/>
          <w:szCs w:val="24"/>
        </w:rPr>
      </w:pPr>
      <w:r>
        <w:rPr>
          <w:rFonts w:hint="eastAsia" w:ascii="宋体" w:hAnsi="宋体" w:cs="宋体"/>
          <w:sz w:val="24"/>
          <w:szCs w:val="24"/>
        </w:rPr>
        <w:t>1.2供应商提出质疑应当提交质疑函和必要的证明材料，质疑函应当包括下列内容：</w:t>
      </w:r>
    </w:p>
    <w:p>
      <w:pPr>
        <w:spacing w:line="500" w:lineRule="exact"/>
        <w:ind w:firstLine="570"/>
        <w:rPr>
          <w:rFonts w:ascii="宋体" w:hAnsi="宋体" w:cs="宋体"/>
          <w:sz w:val="24"/>
          <w:szCs w:val="24"/>
        </w:rPr>
      </w:pPr>
      <w:r>
        <w:rPr>
          <w:rFonts w:hint="eastAsia" w:ascii="宋体" w:hAnsi="宋体" w:cs="宋体"/>
          <w:sz w:val="24"/>
          <w:szCs w:val="24"/>
        </w:rPr>
        <w:t>1.2.1供应商的姓名或者名称、地址、邮编、联系人及联系电话；</w:t>
      </w:r>
    </w:p>
    <w:p>
      <w:pPr>
        <w:spacing w:line="500" w:lineRule="exact"/>
        <w:ind w:firstLine="570"/>
        <w:rPr>
          <w:rFonts w:ascii="宋体" w:hAnsi="宋体" w:cs="宋体"/>
          <w:sz w:val="24"/>
          <w:szCs w:val="24"/>
        </w:rPr>
      </w:pPr>
      <w:r>
        <w:rPr>
          <w:rFonts w:hint="eastAsia" w:ascii="宋体" w:hAnsi="宋体" w:cs="宋体"/>
          <w:sz w:val="24"/>
          <w:szCs w:val="24"/>
        </w:rPr>
        <w:t>1.2.2质疑项目的名称、项目号以及采购执行编号；</w:t>
      </w:r>
    </w:p>
    <w:p>
      <w:pPr>
        <w:spacing w:line="500" w:lineRule="exact"/>
        <w:ind w:firstLine="570"/>
        <w:rPr>
          <w:rFonts w:ascii="宋体" w:hAnsi="宋体" w:cs="宋体"/>
          <w:sz w:val="24"/>
          <w:szCs w:val="24"/>
        </w:rPr>
      </w:pPr>
      <w:r>
        <w:rPr>
          <w:rFonts w:hint="eastAsia" w:ascii="宋体" w:hAnsi="宋体" w:cs="宋体"/>
          <w:sz w:val="24"/>
          <w:szCs w:val="24"/>
        </w:rPr>
        <w:t>1.2.3具体、明确的质疑事项和与质疑事项相关的请求；</w:t>
      </w:r>
    </w:p>
    <w:p>
      <w:pPr>
        <w:spacing w:line="500" w:lineRule="exact"/>
        <w:ind w:firstLine="570"/>
        <w:rPr>
          <w:rFonts w:ascii="宋体" w:hAnsi="宋体" w:cs="宋体"/>
          <w:sz w:val="24"/>
          <w:szCs w:val="24"/>
        </w:rPr>
      </w:pPr>
      <w:r>
        <w:rPr>
          <w:rFonts w:hint="eastAsia" w:ascii="宋体" w:hAnsi="宋体" w:cs="宋体"/>
          <w:sz w:val="24"/>
          <w:szCs w:val="24"/>
        </w:rPr>
        <w:t>1.2.4事实依据；</w:t>
      </w:r>
    </w:p>
    <w:p>
      <w:pPr>
        <w:spacing w:line="500" w:lineRule="exact"/>
        <w:ind w:firstLine="570"/>
        <w:rPr>
          <w:rFonts w:ascii="宋体" w:hAnsi="宋体" w:cs="宋体"/>
          <w:sz w:val="24"/>
          <w:szCs w:val="24"/>
        </w:rPr>
      </w:pPr>
      <w:r>
        <w:rPr>
          <w:rFonts w:hint="eastAsia" w:ascii="宋体" w:hAnsi="宋体" w:cs="宋体"/>
          <w:sz w:val="24"/>
          <w:szCs w:val="24"/>
        </w:rPr>
        <w:t>1.2.5必要的法律依据；</w:t>
      </w:r>
    </w:p>
    <w:p>
      <w:pPr>
        <w:spacing w:line="500" w:lineRule="exact"/>
        <w:ind w:firstLine="570"/>
        <w:rPr>
          <w:rFonts w:ascii="宋体" w:hAnsi="宋体" w:cs="宋体"/>
          <w:sz w:val="24"/>
          <w:szCs w:val="24"/>
        </w:rPr>
      </w:pPr>
      <w:r>
        <w:rPr>
          <w:rFonts w:hint="eastAsia" w:ascii="宋体" w:hAnsi="宋体" w:cs="宋体"/>
          <w:sz w:val="24"/>
          <w:szCs w:val="24"/>
        </w:rPr>
        <w:t>1.2.6提出质疑的日期；</w:t>
      </w:r>
    </w:p>
    <w:p>
      <w:pPr>
        <w:spacing w:line="500" w:lineRule="exact"/>
        <w:ind w:firstLine="570"/>
        <w:rPr>
          <w:rFonts w:ascii="宋体" w:hAnsi="宋体" w:cs="宋体"/>
          <w:sz w:val="24"/>
          <w:szCs w:val="24"/>
        </w:rPr>
      </w:pPr>
      <w:r>
        <w:rPr>
          <w:rFonts w:hint="eastAsia" w:ascii="宋体" w:hAnsi="宋体" w:cs="宋体"/>
          <w:sz w:val="24"/>
          <w:szCs w:val="24"/>
        </w:rPr>
        <w:t>1.2.7营业执照（或事业单位法人证书，或个体工商户营业执照或有效的自然人身份证明）复印件；</w:t>
      </w:r>
    </w:p>
    <w:p>
      <w:pPr>
        <w:spacing w:line="500" w:lineRule="exact"/>
        <w:ind w:firstLine="570"/>
        <w:rPr>
          <w:rFonts w:ascii="宋体" w:hAnsi="宋体" w:cs="宋体"/>
          <w:sz w:val="24"/>
          <w:szCs w:val="24"/>
        </w:rPr>
      </w:pPr>
      <w:r>
        <w:rPr>
          <w:rFonts w:hint="eastAsia" w:ascii="宋体" w:hAnsi="宋体" w:cs="宋体"/>
          <w:sz w:val="24"/>
          <w:szCs w:val="24"/>
        </w:rPr>
        <w:t>1.2.8法定代表人授权委托书原件、法定代表人身份证复印件和其授权代表的身份证复印件（供应商为自然人的提供自然人身份证复印件）；</w:t>
      </w:r>
    </w:p>
    <w:p>
      <w:pPr>
        <w:spacing w:line="500" w:lineRule="exact"/>
        <w:ind w:firstLine="570"/>
        <w:rPr>
          <w:rFonts w:ascii="宋体" w:hAnsi="宋体" w:cs="宋体"/>
          <w:sz w:val="24"/>
          <w:szCs w:val="24"/>
        </w:rPr>
      </w:pPr>
      <w:r>
        <w:rPr>
          <w:rFonts w:hint="eastAsia" w:ascii="宋体" w:hAnsi="宋体" w:cs="宋体"/>
          <w:sz w:val="24"/>
          <w:szCs w:val="24"/>
        </w:rPr>
        <w:t>1.3供应商为自然人的，质疑函应当由本人签字；供应商为法人或者其他组织的，质疑函应当由法定代表人、主要负责人，或者其授权代表签字或者盖章，并加盖公章。</w:t>
      </w:r>
    </w:p>
    <w:p>
      <w:pPr>
        <w:spacing w:line="500" w:lineRule="exact"/>
        <w:ind w:firstLine="570"/>
        <w:rPr>
          <w:rFonts w:ascii="宋体" w:hAnsi="宋体" w:cs="宋体"/>
          <w:sz w:val="24"/>
          <w:szCs w:val="24"/>
        </w:rPr>
      </w:pPr>
      <w:r>
        <w:rPr>
          <w:rFonts w:hint="eastAsia" w:ascii="宋体" w:hAnsi="宋体" w:cs="宋体"/>
          <w:sz w:val="24"/>
          <w:szCs w:val="24"/>
        </w:rPr>
        <w:t>2.质疑答复</w:t>
      </w:r>
    </w:p>
    <w:p>
      <w:pPr>
        <w:spacing w:line="500" w:lineRule="exact"/>
        <w:ind w:firstLine="570"/>
        <w:rPr>
          <w:rFonts w:ascii="宋体" w:hAnsi="宋体" w:cs="宋体"/>
          <w:sz w:val="24"/>
          <w:szCs w:val="24"/>
        </w:rPr>
      </w:pPr>
      <w:r>
        <w:rPr>
          <w:rFonts w:hint="eastAsia" w:ascii="宋体" w:hAnsi="宋体" w:cs="宋体"/>
          <w:sz w:val="24"/>
          <w:szCs w:val="24"/>
        </w:rPr>
        <w:t>采购人、采购代理机构应当在收到供应商的书面质疑后七个工作日内作出答复，并以书面形式通知质疑供应商和其他有关供应商。</w:t>
      </w:r>
    </w:p>
    <w:p>
      <w:pPr>
        <w:spacing w:line="500" w:lineRule="exact"/>
        <w:ind w:firstLine="570"/>
        <w:rPr>
          <w:rFonts w:ascii="宋体" w:hAnsi="宋体" w:cs="宋体"/>
          <w:sz w:val="24"/>
          <w:szCs w:val="24"/>
        </w:rPr>
      </w:pPr>
      <w:r>
        <w:rPr>
          <w:rFonts w:hint="eastAsia" w:ascii="宋体" w:hAnsi="宋体" w:cs="宋体"/>
          <w:sz w:val="24"/>
          <w:szCs w:val="24"/>
        </w:rPr>
        <w:t>3.其他</w:t>
      </w:r>
    </w:p>
    <w:p>
      <w:pPr>
        <w:spacing w:line="500" w:lineRule="exact"/>
        <w:ind w:firstLine="570"/>
        <w:rPr>
          <w:rFonts w:ascii="宋体" w:hAnsi="宋体" w:cs="宋体"/>
          <w:sz w:val="24"/>
          <w:szCs w:val="24"/>
        </w:rPr>
      </w:pPr>
      <w:r>
        <w:rPr>
          <w:rFonts w:hint="eastAsia" w:ascii="宋体" w:hAnsi="宋体" w:cs="宋体"/>
          <w:sz w:val="24"/>
          <w:szCs w:val="24"/>
        </w:rPr>
        <w:t>3.1供应商应按照《政府采购质疑和投诉办法》（财政部令第94号）及相关法律法规要求，在法定质疑期内一次性提出针对同一采购程序环节的质疑。</w:t>
      </w:r>
    </w:p>
    <w:p>
      <w:pPr>
        <w:spacing w:line="500" w:lineRule="exact"/>
        <w:ind w:firstLine="570"/>
        <w:rPr>
          <w:rFonts w:ascii="宋体" w:hAnsi="宋体" w:cs="宋体"/>
          <w:sz w:val="24"/>
          <w:szCs w:val="24"/>
        </w:rPr>
      </w:pPr>
      <w:r>
        <w:rPr>
          <w:rFonts w:hint="eastAsia" w:ascii="宋体" w:hAnsi="宋体" w:cs="宋体"/>
          <w:sz w:val="24"/>
          <w:szCs w:val="24"/>
        </w:rPr>
        <w:t>3.2质疑函范本可在财政部门户网站和中国政府采购网下载。</w:t>
      </w:r>
    </w:p>
    <w:p>
      <w:pPr>
        <w:spacing w:line="500" w:lineRule="exact"/>
        <w:ind w:firstLine="570"/>
        <w:rPr>
          <w:rFonts w:ascii="宋体" w:hAnsi="宋体" w:cs="宋体"/>
          <w:sz w:val="24"/>
          <w:szCs w:val="24"/>
        </w:rPr>
      </w:pPr>
      <w:r>
        <w:rPr>
          <w:rFonts w:hint="eastAsia" w:ascii="宋体" w:hAnsi="宋体" w:cs="宋体"/>
          <w:sz w:val="24"/>
          <w:szCs w:val="24"/>
        </w:rPr>
        <w:t>（二）投诉</w:t>
      </w:r>
    </w:p>
    <w:p>
      <w:pPr>
        <w:spacing w:line="500" w:lineRule="exact"/>
        <w:ind w:firstLine="570"/>
        <w:rPr>
          <w:rFonts w:ascii="宋体" w:hAnsi="宋体" w:cs="宋体"/>
          <w:sz w:val="24"/>
          <w:szCs w:val="24"/>
        </w:rPr>
      </w:pPr>
      <w:r>
        <w:rPr>
          <w:rFonts w:hint="eastAsia" w:ascii="宋体" w:hAnsi="宋体" w:cs="宋体"/>
          <w:sz w:val="24"/>
          <w:szCs w:val="24"/>
        </w:rPr>
        <w:t>1.供应商对采购人、采购代理机构的答复不满意，或者采购人、采购代理机构未在规定时间内作出答复的，可以在答复期满后15个工作日内按照相关法律法规向财政部门提起投诉。</w:t>
      </w:r>
    </w:p>
    <w:p>
      <w:pPr>
        <w:spacing w:line="500" w:lineRule="exact"/>
        <w:ind w:firstLine="570"/>
        <w:rPr>
          <w:rFonts w:ascii="宋体" w:hAnsi="宋体" w:cs="宋体"/>
          <w:sz w:val="24"/>
          <w:szCs w:val="24"/>
        </w:rPr>
      </w:pPr>
      <w:r>
        <w:rPr>
          <w:rFonts w:hint="eastAsia" w:ascii="宋体" w:hAnsi="宋体" w:cs="宋体"/>
          <w:sz w:val="24"/>
          <w:szCs w:val="24"/>
        </w:rPr>
        <w:t>2.供应商应按照《政府采购质疑和投诉办法》（财政部令第94号）及相关法律法规要求递交投诉书和必要的证明材料。投诉书范本可在财政部门户网站和中国政府采购网下载。</w:t>
      </w:r>
    </w:p>
    <w:p>
      <w:pPr>
        <w:spacing w:line="500" w:lineRule="exact"/>
        <w:ind w:firstLine="570"/>
        <w:rPr>
          <w:rFonts w:ascii="宋体" w:hAnsi="宋体" w:cs="宋体"/>
          <w:sz w:val="24"/>
          <w:szCs w:val="24"/>
        </w:rPr>
      </w:pPr>
      <w:r>
        <w:rPr>
          <w:rFonts w:hint="eastAsia" w:ascii="宋体" w:hAnsi="宋体" w:cs="宋体"/>
          <w:sz w:val="24"/>
          <w:szCs w:val="24"/>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spacing w:line="500" w:lineRule="exact"/>
        <w:ind w:firstLine="570"/>
        <w:rPr>
          <w:rFonts w:ascii="宋体" w:hAnsi="宋体" w:cs="宋体"/>
          <w:sz w:val="24"/>
          <w:szCs w:val="24"/>
        </w:rPr>
      </w:pPr>
      <w:r>
        <w:rPr>
          <w:rFonts w:hint="eastAsia" w:ascii="宋体" w:hAnsi="宋体" w:cs="宋体"/>
          <w:sz w:val="24"/>
          <w:szCs w:val="24"/>
        </w:rPr>
        <w:t>4.在确定受理投诉后，财政部门自受理投诉之日起30个工作日内（需要检验、检测、鉴定、专家评审以及需要投诉人补正材料的，所需时间不计算在投诉处理期限内）对投诉事项做出处理决定。</w:t>
      </w:r>
    </w:p>
    <w:p>
      <w:pPr>
        <w:pStyle w:val="5"/>
        <w:spacing w:before="0" w:after="0" w:line="500" w:lineRule="exact"/>
        <w:ind w:firstLine="482" w:firstLineChars="200"/>
        <w:rPr>
          <w:rFonts w:ascii="宋体" w:hAnsi="宋体" w:cs="宋体"/>
          <w:sz w:val="24"/>
          <w:szCs w:val="24"/>
        </w:rPr>
      </w:pPr>
      <w:bookmarkStart w:id="68" w:name="_Toc20130559"/>
      <w:r>
        <w:rPr>
          <w:rFonts w:hint="eastAsia" w:ascii="宋体" w:hAnsi="宋体" w:cs="宋体"/>
          <w:sz w:val="24"/>
          <w:szCs w:val="24"/>
        </w:rPr>
        <w:t>七、采购代理服务费</w:t>
      </w:r>
      <w:bookmarkEnd w:id="68"/>
    </w:p>
    <w:p>
      <w:pPr>
        <w:spacing w:line="500" w:lineRule="exact"/>
        <w:ind w:firstLine="480" w:firstLineChars="200"/>
        <w:rPr>
          <w:rFonts w:ascii="宋体" w:hAnsi="宋体" w:cs="宋体"/>
          <w:sz w:val="24"/>
          <w:szCs w:val="24"/>
        </w:rPr>
      </w:pPr>
      <w:r>
        <w:rPr>
          <w:rFonts w:hint="eastAsia" w:ascii="宋体" w:hAnsi="宋体" w:cs="宋体"/>
          <w:sz w:val="24"/>
          <w:szCs w:val="24"/>
        </w:rPr>
        <w:t>（一）供应商成交后</w:t>
      </w:r>
      <w:r>
        <w:rPr>
          <w:rFonts w:hint="eastAsia" w:ascii="宋体" w:hAnsi="宋体" w:cs="宋体"/>
          <w:sz w:val="24"/>
        </w:rPr>
        <w:t>向采购代理机构缴纳</w:t>
      </w:r>
      <w:r>
        <w:rPr>
          <w:rFonts w:hint="eastAsia" w:ascii="宋体" w:hAnsi="宋体" w:cs="宋体"/>
          <w:sz w:val="24"/>
          <w:szCs w:val="24"/>
        </w:rPr>
        <w:t>采购</w:t>
      </w:r>
      <w:r>
        <w:rPr>
          <w:rFonts w:hint="eastAsia" w:ascii="宋体" w:hAnsi="宋体" w:cs="宋体"/>
          <w:sz w:val="24"/>
        </w:rPr>
        <w:t>代理服务费的，</w:t>
      </w:r>
      <w:r>
        <w:rPr>
          <w:rFonts w:hint="eastAsia" w:ascii="宋体" w:hAnsi="宋体" w:cs="宋体"/>
          <w:sz w:val="24"/>
          <w:szCs w:val="24"/>
        </w:rPr>
        <w:t>采购</w:t>
      </w:r>
      <w:r>
        <w:rPr>
          <w:rFonts w:hint="eastAsia" w:ascii="宋体" w:hAnsi="宋体" w:cs="宋体"/>
          <w:sz w:val="24"/>
        </w:rPr>
        <w:t>代理服务费的收取标准按照以下服务类标准执行。</w:t>
      </w:r>
    </w:p>
    <w:tbl>
      <w:tblPr>
        <w:tblStyle w:val="15"/>
        <w:tblW w:w="0" w:type="auto"/>
        <w:tblInd w:w="3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8"/>
        <w:gridCol w:w="1866"/>
        <w:gridCol w:w="1852"/>
        <w:gridCol w:w="1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3" w:hRule="atLeast"/>
        </w:trPr>
        <w:tc>
          <w:tcPr>
            <w:tcW w:w="3078" w:type="dxa"/>
          </w:tcPr>
          <w:p>
            <w:pPr>
              <w:spacing w:line="240" w:lineRule="atLeast"/>
              <w:jc w:val="center"/>
              <w:rPr>
                <w:rFonts w:ascii="宋体" w:hAnsi="宋体" w:cs="宋体"/>
                <w:sz w:val="21"/>
                <w:szCs w:val="21"/>
              </w:rPr>
            </w:pPr>
            <w:bookmarkStart w:id="69" w:name="_Toc20130560"/>
            <w:bookmarkStart w:id="70" w:name="_Toc2863475"/>
          </w:p>
          <w:p>
            <w:pPr>
              <w:spacing w:line="240" w:lineRule="atLeast"/>
              <w:rPr>
                <w:rFonts w:ascii="宋体" w:hAnsi="宋体" w:cs="宋体"/>
                <w:sz w:val="21"/>
                <w:szCs w:val="21"/>
              </w:rPr>
            </w:pPr>
            <w:r>
              <w:rPr>
                <w:rFonts w:hint="eastAsia" w:ascii="宋体" w:hAnsi="宋体" w:cs="宋体"/>
                <w:sz w:val="21"/>
                <w:szCs w:val="21"/>
              </w:rPr>
              <w:t>中标金额（万元）</w:t>
            </w:r>
          </w:p>
          <w:p>
            <w:pPr>
              <w:spacing w:line="240" w:lineRule="atLeast"/>
              <w:jc w:val="right"/>
              <w:rPr>
                <w:rFonts w:ascii="宋体" w:hAnsi="宋体" w:cs="宋体"/>
                <w:sz w:val="21"/>
                <w:szCs w:val="21"/>
              </w:rPr>
            </w:pPr>
            <w:r>
              <w:rPr>
                <w:rFonts w:hint="eastAsia" w:ascii="宋体" w:hAnsi="宋体" w:cs="宋体"/>
                <w:sz w:val="21"/>
                <w:szCs w:val="21"/>
              </w:rPr>
              <w:t>招标类型</w:t>
            </w:r>
          </w:p>
        </w:tc>
        <w:tc>
          <w:tcPr>
            <w:tcW w:w="1866" w:type="dxa"/>
            <w:vAlign w:val="center"/>
          </w:tcPr>
          <w:p>
            <w:pPr>
              <w:spacing w:line="240" w:lineRule="atLeast"/>
              <w:jc w:val="center"/>
              <w:rPr>
                <w:rFonts w:ascii="宋体" w:hAnsi="宋体" w:cs="宋体"/>
                <w:sz w:val="21"/>
                <w:szCs w:val="21"/>
              </w:rPr>
            </w:pPr>
            <w:r>
              <w:rPr>
                <w:rFonts w:hint="eastAsia" w:ascii="宋体" w:hAnsi="宋体" w:cs="宋体"/>
                <w:sz w:val="21"/>
                <w:szCs w:val="21"/>
              </w:rPr>
              <w:t>货物招标</w:t>
            </w:r>
          </w:p>
        </w:tc>
        <w:tc>
          <w:tcPr>
            <w:tcW w:w="1852" w:type="dxa"/>
            <w:vAlign w:val="center"/>
          </w:tcPr>
          <w:p>
            <w:pPr>
              <w:spacing w:line="240" w:lineRule="atLeast"/>
              <w:jc w:val="center"/>
              <w:rPr>
                <w:rFonts w:ascii="宋体" w:hAnsi="宋体" w:cs="宋体"/>
                <w:sz w:val="21"/>
                <w:szCs w:val="21"/>
              </w:rPr>
            </w:pPr>
            <w:r>
              <w:rPr>
                <w:rFonts w:hint="eastAsia" w:ascii="宋体" w:hAnsi="宋体" w:cs="宋体"/>
                <w:sz w:val="21"/>
                <w:szCs w:val="21"/>
              </w:rPr>
              <w:t>服务招标</w:t>
            </w:r>
          </w:p>
        </w:tc>
        <w:tc>
          <w:tcPr>
            <w:tcW w:w="1787" w:type="dxa"/>
            <w:vAlign w:val="center"/>
          </w:tcPr>
          <w:p>
            <w:pPr>
              <w:spacing w:line="240" w:lineRule="atLeast"/>
              <w:jc w:val="center"/>
              <w:rPr>
                <w:rFonts w:ascii="宋体" w:hAnsi="宋体" w:cs="宋体"/>
                <w:sz w:val="21"/>
                <w:szCs w:val="21"/>
              </w:rPr>
            </w:pPr>
            <w:r>
              <w:rPr>
                <w:rFonts w:hint="eastAsia" w:ascii="宋体" w:hAnsi="宋体" w:cs="宋体"/>
                <w:sz w:val="21"/>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3078" w:type="dxa"/>
            <w:vAlign w:val="center"/>
          </w:tcPr>
          <w:p>
            <w:pPr>
              <w:spacing w:line="240" w:lineRule="atLeast"/>
              <w:jc w:val="center"/>
              <w:rPr>
                <w:rFonts w:ascii="宋体" w:hAnsi="宋体" w:cs="宋体"/>
                <w:sz w:val="21"/>
                <w:szCs w:val="21"/>
              </w:rPr>
            </w:pPr>
            <w:r>
              <w:rPr>
                <w:rFonts w:hint="eastAsia" w:ascii="宋体" w:hAnsi="宋体" w:cs="宋体"/>
                <w:sz w:val="21"/>
                <w:szCs w:val="21"/>
              </w:rPr>
              <w:t>100及以下</w:t>
            </w:r>
          </w:p>
        </w:tc>
        <w:tc>
          <w:tcPr>
            <w:tcW w:w="1866" w:type="dxa"/>
            <w:vAlign w:val="center"/>
          </w:tcPr>
          <w:p>
            <w:pPr>
              <w:spacing w:line="240" w:lineRule="atLeast"/>
              <w:jc w:val="center"/>
              <w:rPr>
                <w:rFonts w:ascii="宋体" w:hAnsi="宋体" w:cs="宋体"/>
                <w:sz w:val="21"/>
                <w:szCs w:val="21"/>
              </w:rPr>
            </w:pPr>
            <w:r>
              <w:rPr>
                <w:rFonts w:hint="eastAsia" w:ascii="宋体" w:hAnsi="宋体" w:cs="宋体"/>
                <w:sz w:val="21"/>
                <w:szCs w:val="21"/>
              </w:rPr>
              <w:t>1.5%</w:t>
            </w:r>
          </w:p>
        </w:tc>
        <w:tc>
          <w:tcPr>
            <w:tcW w:w="1852" w:type="dxa"/>
            <w:vAlign w:val="center"/>
          </w:tcPr>
          <w:p>
            <w:pPr>
              <w:spacing w:line="240" w:lineRule="atLeast"/>
              <w:jc w:val="center"/>
              <w:rPr>
                <w:rFonts w:ascii="宋体" w:hAnsi="宋体" w:cs="宋体"/>
                <w:sz w:val="21"/>
                <w:szCs w:val="21"/>
              </w:rPr>
            </w:pPr>
            <w:r>
              <w:rPr>
                <w:rFonts w:hint="eastAsia" w:ascii="宋体" w:hAnsi="宋体" w:cs="宋体"/>
                <w:sz w:val="21"/>
                <w:szCs w:val="21"/>
              </w:rPr>
              <w:t>1.5%</w:t>
            </w:r>
          </w:p>
        </w:tc>
        <w:tc>
          <w:tcPr>
            <w:tcW w:w="1787" w:type="dxa"/>
            <w:vAlign w:val="center"/>
          </w:tcPr>
          <w:p>
            <w:pPr>
              <w:spacing w:line="240" w:lineRule="atLeast"/>
              <w:jc w:val="center"/>
              <w:rPr>
                <w:rFonts w:ascii="宋体" w:hAnsi="宋体" w:cs="宋体"/>
                <w:sz w:val="21"/>
                <w:szCs w:val="21"/>
              </w:rPr>
            </w:pPr>
            <w:r>
              <w:rPr>
                <w:rFonts w:hint="eastAsia" w:ascii="宋体" w:hAnsi="宋体" w:cs="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3078" w:type="dxa"/>
            <w:vAlign w:val="center"/>
          </w:tcPr>
          <w:p>
            <w:pPr>
              <w:spacing w:line="240" w:lineRule="atLeast"/>
              <w:jc w:val="center"/>
              <w:rPr>
                <w:rFonts w:ascii="宋体" w:hAnsi="宋体" w:cs="宋体"/>
                <w:sz w:val="21"/>
                <w:szCs w:val="21"/>
              </w:rPr>
            </w:pPr>
            <w:r>
              <w:rPr>
                <w:rFonts w:hint="eastAsia" w:ascii="宋体" w:hAnsi="宋体" w:cs="宋体"/>
                <w:sz w:val="21"/>
                <w:szCs w:val="21"/>
              </w:rPr>
              <w:t>100-500（含500）</w:t>
            </w:r>
          </w:p>
        </w:tc>
        <w:tc>
          <w:tcPr>
            <w:tcW w:w="1866" w:type="dxa"/>
            <w:vAlign w:val="center"/>
          </w:tcPr>
          <w:p>
            <w:pPr>
              <w:spacing w:line="240" w:lineRule="atLeast"/>
              <w:jc w:val="center"/>
              <w:rPr>
                <w:rFonts w:ascii="宋体" w:hAnsi="宋体" w:cs="宋体"/>
                <w:sz w:val="21"/>
                <w:szCs w:val="21"/>
              </w:rPr>
            </w:pPr>
            <w:r>
              <w:rPr>
                <w:rFonts w:hint="eastAsia" w:ascii="宋体" w:hAnsi="宋体" w:cs="宋体"/>
                <w:sz w:val="21"/>
                <w:szCs w:val="21"/>
              </w:rPr>
              <w:t>1.1%</w:t>
            </w:r>
          </w:p>
        </w:tc>
        <w:tc>
          <w:tcPr>
            <w:tcW w:w="1852" w:type="dxa"/>
            <w:vAlign w:val="center"/>
          </w:tcPr>
          <w:p>
            <w:pPr>
              <w:spacing w:line="240" w:lineRule="atLeast"/>
              <w:jc w:val="center"/>
              <w:rPr>
                <w:rFonts w:ascii="宋体" w:hAnsi="宋体" w:cs="宋体"/>
                <w:sz w:val="21"/>
                <w:szCs w:val="21"/>
              </w:rPr>
            </w:pPr>
            <w:r>
              <w:rPr>
                <w:rFonts w:hint="eastAsia" w:ascii="宋体" w:hAnsi="宋体" w:cs="宋体"/>
                <w:sz w:val="21"/>
                <w:szCs w:val="21"/>
              </w:rPr>
              <w:t>0.8%</w:t>
            </w:r>
          </w:p>
        </w:tc>
        <w:tc>
          <w:tcPr>
            <w:tcW w:w="1787" w:type="dxa"/>
            <w:vAlign w:val="center"/>
          </w:tcPr>
          <w:p>
            <w:pPr>
              <w:spacing w:line="240" w:lineRule="atLeast"/>
              <w:jc w:val="center"/>
              <w:rPr>
                <w:rFonts w:ascii="宋体" w:hAnsi="宋体" w:cs="宋体"/>
                <w:sz w:val="21"/>
                <w:szCs w:val="21"/>
              </w:rPr>
            </w:pPr>
            <w:r>
              <w:rPr>
                <w:rFonts w:hint="eastAsia" w:ascii="宋体" w:hAnsi="宋体" w:cs="宋体"/>
                <w:sz w:val="21"/>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3078" w:type="dxa"/>
            <w:vAlign w:val="center"/>
          </w:tcPr>
          <w:p>
            <w:pPr>
              <w:spacing w:line="240" w:lineRule="atLeast"/>
              <w:jc w:val="center"/>
              <w:rPr>
                <w:rFonts w:ascii="宋体" w:hAnsi="宋体" w:cs="宋体"/>
                <w:sz w:val="21"/>
                <w:szCs w:val="21"/>
              </w:rPr>
            </w:pPr>
            <w:r>
              <w:rPr>
                <w:rFonts w:hint="eastAsia" w:ascii="宋体" w:hAnsi="宋体" w:cs="宋体"/>
                <w:sz w:val="21"/>
                <w:szCs w:val="21"/>
              </w:rPr>
              <w:t>500-1000（含1000）</w:t>
            </w:r>
          </w:p>
        </w:tc>
        <w:tc>
          <w:tcPr>
            <w:tcW w:w="1866" w:type="dxa"/>
            <w:vAlign w:val="center"/>
          </w:tcPr>
          <w:p>
            <w:pPr>
              <w:spacing w:line="240" w:lineRule="atLeast"/>
              <w:jc w:val="center"/>
              <w:rPr>
                <w:rFonts w:ascii="宋体" w:hAnsi="宋体" w:cs="宋体"/>
                <w:sz w:val="21"/>
                <w:szCs w:val="21"/>
              </w:rPr>
            </w:pPr>
            <w:r>
              <w:rPr>
                <w:rFonts w:hint="eastAsia" w:ascii="宋体" w:hAnsi="宋体" w:cs="宋体"/>
                <w:sz w:val="21"/>
                <w:szCs w:val="21"/>
              </w:rPr>
              <w:t>0.8%</w:t>
            </w:r>
          </w:p>
        </w:tc>
        <w:tc>
          <w:tcPr>
            <w:tcW w:w="1852" w:type="dxa"/>
            <w:vAlign w:val="center"/>
          </w:tcPr>
          <w:p>
            <w:pPr>
              <w:spacing w:line="240" w:lineRule="atLeast"/>
              <w:jc w:val="center"/>
              <w:rPr>
                <w:rFonts w:ascii="宋体" w:hAnsi="宋体" w:cs="宋体"/>
                <w:sz w:val="21"/>
                <w:szCs w:val="21"/>
              </w:rPr>
            </w:pPr>
            <w:r>
              <w:rPr>
                <w:rFonts w:hint="eastAsia" w:ascii="宋体" w:hAnsi="宋体" w:cs="宋体"/>
                <w:sz w:val="21"/>
                <w:szCs w:val="21"/>
              </w:rPr>
              <w:t>0.45%</w:t>
            </w:r>
          </w:p>
        </w:tc>
        <w:tc>
          <w:tcPr>
            <w:tcW w:w="1787" w:type="dxa"/>
            <w:vAlign w:val="center"/>
          </w:tcPr>
          <w:p>
            <w:pPr>
              <w:spacing w:line="240" w:lineRule="atLeast"/>
              <w:jc w:val="center"/>
              <w:rPr>
                <w:rFonts w:ascii="宋体" w:hAnsi="宋体" w:cs="宋体"/>
                <w:sz w:val="21"/>
                <w:szCs w:val="21"/>
              </w:rPr>
            </w:pPr>
            <w:r>
              <w:rPr>
                <w:rFonts w:hint="eastAsia" w:ascii="宋体" w:hAnsi="宋体" w:cs="宋体"/>
                <w:sz w:val="21"/>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078" w:type="dxa"/>
            <w:vAlign w:val="center"/>
          </w:tcPr>
          <w:p>
            <w:pPr>
              <w:spacing w:line="240" w:lineRule="atLeast"/>
              <w:jc w:val="center"/>
              <w:rPr>
                <w:rFonts w:ascii="宋体" w:hAnsi="宋体" w:cs="宋体"/>
                <w:sz w:val="21"/>
                <w:szCs w:val="21"/>
              </w:rPr>
            </w:pPr>
            <w:r>
              <w:rPr>
                <w:rFonts w:hint="eastAsia" w:ascii="宋体" w:hAnsi="宋体" w:cs="宋体"/>
                <w:sz w:val="21"/>
                <w:szCs w:val="21"/>
              </w:rPr>
              <w:t>1000-5000（含5000）</w:t>
            </w:r>
          </w:p>
        </w:tc>
        <w:tc>
          <w:tcPr>
            <w:tcW w:w="1866" w:type="dxa"/>
            <w:vAlign w:val="center"/>
          </w:tcPr>
          <w:p>
            <w:pPr>
              <w:spacing w:line="240" w:lineRule="atLeast"/>
              <w:jc w:val="center"/>
              <w:rPr>
                <w:rFonts w:ascii="宋体" w:hAnsi="宋体" w:cs="宋体"/>
                <w:sz w:val="21"/>
                <w:szCs w:val="21"/>
              </w:rPr>
            </w:pPr>
            <w:r>
              <w:rPr>
                <w:rFonts w:hint="eastAsia" w:ascii="宋体" w:hAnsi="宋体" w:cs="宋体"/>
                <w:sz w:val="21"/>
                <w:szCs w:val="21"/>
              </w:rPr>
              <w:t>0.5%</w:t>
            </w:r>
          </w:p>
        </w:tc>
        <w:tc>
          <w:tcPr>
            <w:tcW w:w="1852" w:type="dxa"/>
            <w:vAlign w:val="center"/>
          </w:tcPr>
          <w:p>
            <w:pPr>
              <w:spacing w:line="240" w:lineRule="atLeast"/>
              <w:jc w:val="center"/>
              <w:rPr>
                <w:rFonts w:ascii="宋体" w:hAnsi="宋体" w:cs="宋体"/>
                <w:sz w:val="21"/>
                <w:szCs w:val="21"/>
              </w:rPr>
            </w:pPr>
            <w:r>
              <w:rPr>
                <w:rFonts w:hint="eastAsia" w:ascii="宋体" w:hAnsi="宋体" w:cs="宋体"/>
                <w:sz w:val="21"/>
                <w:szCs w:val="21"/>
              </w:rPr>
              <w:t>0.25%</w:t>
            </w:r>
          </w:p>
        </w:tc>
        <w:tc>
          <w:tcPr>
            <w:tcW w:w="1787" w:type="dxa"/>
            <w:vAlign w:val="center"/>
          </w:tcPr>
          <w:p>
            <w:pPr>
              <w:spacing w:line="240" w:lineRule="atLeast"/>
              <w:jc w:val="center"/>
              <w:rPr>
                <w:rFonts w:ascii="宋体" w:hAnsi="宋体" w:cs="宋体"/>
                <w:sz w:val="21"/>
                <w:szCs w:val="21"/>
              </w:rPr>
            </w:pPr>
            <w:r>
              <w:rPr>
                <w:rFonts w:hint="eastAsia" w:ascii="宋体" w:hAnsi="宋体" w:cs="宋体"/>
                <w:sz w:val="21"/>
                <w:szCs w:val="21"/>
              </w:rPr>
              <w:t>0.35%</w:t>
            </w:r>
          </w:p>
        </w:tc>
      </w:tr>
    </w:tbl>
    <w:p>
      <w:pPr>
        <w:spacing w:line="360" w:lineRule="auto"/>
        <w:ind w:firstLine="480" w:firstLineChars="200"/>
        <w:rPr>
          <w:rFonts w:ascii="宋体" w:hAnsi="宋体" w:cs="宋体"/>
          <w:sz w:val="24"/>
        </w:rPr>
      </w:pPr>
      <w:r>
        <w:rPr>
          <w:rFonts w:hint="eastAsia" w:ascii="宋体" w:hAnsi="宋体" w:cs="宋体"/>
          <w:sz w:val="24"/>
        </w:rPr>
        <w:t>注：采购代理服务收费按差额定率累进法计算。采购代理服务费按上标准计算出不足3500元的，按3500元记取。</w:t>
      </w:r>
    </w:p>
    <w:bookmarkEnd w:id="69"/>
    <w:bookmarkEnd w:id="70"/>
    <w:p>
      <w:pPr>
        <w:pStyle w:val="5"/>
        <w:spacing w:before="0" w:after="0" w:line="500" w:lineRule="exact"/>
        <w:ind w:firstLine="482" w:firstLineChars="200"/>
        <w:rPr>
          <w:rFonts w:ascii="宋体" w:hAnsi="宋体" w:cs="宋体"/>
          <w:sz w:val="24"/>
          <w:szCs w:val="24"/>
        </w:rPr>
      </w:pPr>
      <w:bookmarkStart w:id="71" w:name="_Toc102227322"/>
      <w:bookmarkStart w:id="72" w:name="_Toc20130561"/>
      <w:bookmarkStart w:id="73" w:name="_Toc342913396"/>
      <w:bookmarkStart w:id="74" w:name="_Toc11641055"/>
      <w:bookmarkStart w:id="75" w:name="_Toc12789059"/>
      <w:r>
        <w:rPr>
          <w:rFonts w:hint="eastAsia" w:ascii="宋体" w:hAnsi="宋体" w:cs="宋体"/>
          <w:sz w:val="24"/>
          <w:szCs w:val="24"/>
        </w:rPr>
        <w:t>八、签订</w:t>
      </w:r>
      <w:bookmarkEnd w:id="71"/>
      <w:r>
        <w:rPr>
          <w:rFonts w:hint="eastAsia" w:ascii="宋体" w:hAnsi="宋体" w:cs="宋体"/>
          <w:sz w:val="24"/>
          <w:szCs w:val="24"/>
        </w:rPr>
        <w:t>合同</w:t>
      </w:r>
      <w:bookmarkEnd w:id="72"/>
      <w:bookmarkEnd w:id="73"/>
    </w:p>
    <w:p>
      <w:pPr>
        <w:spacing w:line="360" w:lineRule="auto"/>
        <w:ind w:firstLine="480" w:firstLineChars="200"/>
        <w:rPr>
          <w:rFonts w:ascii="宋体" w:hAnsi="宋体" w:cs="宋体"/>
          <w:sz w:val="24"/>
        </w:rPr>
      </w:pPr>
      <w:bookmarkStart w:id="76" w:name="_Toc20130562"/>
      <w:bookmarkStart w:id="77" w:name="_Toc2863477"/>
      <w:bookmarkStart w:id="78" w:name="_Toc455758689"/>
      <w:bookmarkStart w:id="79" w:name="_Toc457894815"/>
      <w:r>
        <w:rPr>
          <w:rFonts w:hint="eastAsia" w:ascii="宋体" w:hAnsi="宋体" w:cs="宋体"/>
          <w:sz w:val="24"/>
        </w:rPr>
        <w:t>（一）采购人原则上应在成交通知书发出之日起二十日内和成交供应商签订合同，无正当理由不得拒绝或拖延合同签订。所签订的合同不得对竞争性磋商文件和供应商的响应文件作实质性修改。其他未尽事宜由采购人和成交供应商在采购合同中详细约定。</w:t>
      </w:r>
    </w:p>
    <w:p>
      <w:pPr>
        <w:spacing w:line="360" w:lineRule="auto"/>
        <w:ind w:firstLine="480" w:firstLineChars="200"/>
        <w:rPr>
          <w:rFonts w:ascii="宋体" w:hAnsi="宋体" w:cs="宋体"/>
          <w:sz w:val="24"/>
        </w:rPr>
      </w:pPr>
      <w:r>
        <w:rPr>
          <w:rFonts w:hint="eastAsia" w:ascii="宋体" w:hAnsi="宋体" w:cs="宋体"/>
          <w:sz w:val="24"/>
        </w:rPr>
        <w:t>（二）竞争性磋商文件、供应商的响应文件及澄清文件等，均为签订合同的依据。</w:t>
      </w:r>
    </w:p>
    <w:p>
      <w:pPr>
        <w:spacing w:line="360" w:lineRule="auto"/>
        <w:ind w:firstLine="480" w:firstLineChars="200"/>
        <w:rPr>
          <w:rFonts w:ascii="宋体" w:hAnsi="宋体" w:cs="宋体"/>
          <w:sz w:val="24"/>
        </w:rPr>
      </w:pPr>
      <w:r>
        <w:rPr>
          <w:rFonts w:hint="eastAsia" w:ascii="宋体" w:hAnsi="宋体" w:cs="宋体"/>
          <w:sz w:val="24"/>
        </w:rPr>
        <w:t>（三）如成交供应商放弃成交项目或在签订合同时擅自改变成交状态的，采购人将按照相关法律法规处理。</w:t>
      </w:r>
    </w:p>
    <w:p>
      <w:pPr>
        <w:spacing w:line="360" w:lineRule="auto"/>
        <w:ind w:firstLine="480" w:firstLineChars="200"/>
        <w:rPr>
          <w:rFonts w:ascii="宋体" w:hAnsi="宋体" w:cs="宋体"/>
          <w:sz w:val="24"/>
        </w:rPr>
      </w:pPr>
      <w:r>
        <w:rPr>
          <w:rFonts w:hint="eastAsia" w:ascii="宋体" w:hAnsi="宋体" w:cs="宋体"/>
          <w:sz w:val="24"/>
        </w:rPr>
        <w:t>（四）合同生效条款由供需双方约定，法律、行政法规规定应当办理批准、登记等手续后生效的合同，依照其规定。</w:t>
      </w:r>
    </w:p>
    <w:p>
      <w:pPr>
        <w:spacing w:line="360" w:lineRule="auto"/>
        <w:ind w:firstLine="480" w:firstLineChars="200"/>
        <w:rPr>
          <w:rFonts w:ascii="宋体" w:hAnsi="宋体" w:cs="宋体"/>
          <w:sz w:val="24"/>
        </w:rPr>
      </w:pPr>
      <w:r>
        <w:rPr>
          <w:rFonts w:hint="eastAsia" w:ascii="宋体" w:hAnsi="宋体" w:cs="宋体"/>
          <w:sz w:val="24"/>
        </w:rPr>
        <w:t>（五）除不可抗力等因素外，成交通知书发出后，采购人改变成交结果，或者成交供应商拒绝签订政府采购合同的，应当承担相应的法律责任。</w:t>
      </w:r>
    </w:p>
    <w:bookmarkEnd w:id="76"/>
    <w:bookmarkEnd w:id="77"/>
    <w:bookmarkEnd w:id="78"/>
    <w:bookmarkEnd w:id="79"/>
    <w:p>
      <w:pPr>
        <w:pStyle w:val="3"/>
        <w:pageBreakBefore/>
        <w:spacing w:line="360" w:lineRule="auto"/>
        <w:jc w:val="center"/>
        <w:rPr>
          <w:rFonts w:ascii="宋体" w:hAnsi="宋体" w:eastAsia="宋体" w:cs="宋体"/>
          <w:b w:val="0"/>
          <w:sz w:val="36"/>
          <w:szCs w:val="30"/>
        </w:rPr>
      </w:pPr>
      <w:bookmarkStart w:id="80" w:name="_Toc20130563"/>
      <w:r>
        <w:rPr>
          <w:rFonts w:hint="eastAsia" w:ascii="宋体" w:hAnsi="宋体" w:eastAsia="宋体" w:cs="宋体"/>
          <w:b w:val="0"/>
          <w:sz w:val="36"/>
          <w:szCs w:val="30"/>
        </w:rPr>
        <w:t xml:space="preserve">第六篇  </w:t>
      </w:r>
      <w:bookmarkEnd w:id="74"/>
      <w:bookmarkEnd w:id="75"/>
      <w:r>
        <w:rPr>
          <w:rFonts w:hint="eastAsia" w:ascii="宋体" w:hAnsi="宋体" w:eastAsia="宋体" w:cs="宋体"/>
          <w:b w:val="0"/>
          <w:sz w:val="36"/>
          <w:szCs w:val="30"/>
        </w:rPr>
        <w:t>合同草案条款</w:t>
      </w:r>
      <w:bookmarkEnd w:id="80"/>
    </w:p>
    <w:p>
      <w:pPr>
        <w:spacing w:line="500" w:lineRule="exact"/>
        <w:jc w:val="center"/>
        <w:rPr>
          <w:rFonts w:ascii="宋体" w:hAnsi="宋体" w:cs="宋体"/>
          <w:b/>
          <w:sz w:val="44"/>
        </w:rPr>
      </w:pPr>
      <w:r>
        <w:rPr>
          <w:rFonts w:hint="eastAsia" w:ascii="宋体" w:hAnsi="宋体" w:cs="宋体"/>
          <w:b/>
          <w:sz w:val="44"/>
        </w:rPr>
        <w:t>重庆市政府采购合同</w:t>
      </w:r>
    </w:p>
    <w:p>
      <w:pPr>
        <w:spacing w:line="500" w:lineRule="exact"/>
        <w:jc w:val="center"/>
        <w:rPr>
          <w:rFonts w:ascii="宋体" w:hAnsi="宋体" w:cs="宋体"/>
        </w:rPr>
      </w:pPr>
      <w:r>
        <w:rPr>
          <w:rFonts w:hint="eastAsia" w:ascii="宋体" w:hAnsi="宋体" w:cs="宋体"/>
        </w:rPr>
        <w:t>（项目号：     ）</w:t>
      </w:r>
    </w:p>
    <w:p>
      <w:pPr>
        <w:spacing w:line="500" w:lineRule="exact"/>
        <w:rPr>
          <w:rFonts w:ascii="宋体" w:hAnsi="宋体" w:cs="宋体"/>
          <w:sz w:val="24"/>
        </w:rPr>
      </w:pPr>
      <w:r>
        <w:rPr>
          <w:rFonts w:hint="eastAsia" w:ascii="宋体" w:hAnsi="宋体" w:cs="宋体"/>
          <w:sz w:val="24"/>
        </w:rPr>
        <w:t>甲方（需方）：___________________________      计价单位：____________</w:t>
      </w:r>
    </w:p>
    <w:p>
      <w:pPr>
        <w:spacing w:line="500" w:lineRule="exact"/>
        <w:rPr>
          <w:rFonts w:ascii="宋体" w:hAnsi="宋体" w:cs="宋体"/>
          <w:sz w:val="24"/>
        </w:rPr>
      </w:pPr>
      <w:r>
        <w:rPr>
          <w:rFonts w:hint="eastAsia" w:ascii="宋体" w:hAnsi="宋体" w:cs="宋体"/>
          <w:sz w:val="24"/>
        </w:rPr>
        <w:t>乙方（供方）：___________________________      计量单位：_____________</w:t>
      </w:r>
    </w:p>
    <w:p>
      <w:pPr>
        <w:spacing w:line="500" w:lineRule="exact"/>
        <w:rPr>
          <w:rFonts w:ascii="宋体" w:hAnsi="宋体" w:cs="宋体"/>
          <w:sz w:val="24"/>
        </w:rPr>
      </w:pPr>
    </w:p>
    <w:p>
      <w:pPr>
        <w:spacing w:line="500" w:lineRule="exact"/>
        <w:rPr>
          <w:rFonts w:ascii="宋体" w:hAnsi="宋体" w:cs="宋体"/>
          <w:sz w:val="24"/>
        </w:rPr>
      </w:pPr>
      <w:r>
        <w:rPr>
          <w:rFonts w:hint="eastAsia" w:ascii="宋体" w:hAnsi="宋体" w:cs="宋体"/>
          <w:sz w:val="24"/>
        </w:rPr>
        <w:t>经双方协商一致，达成以下购销合同：</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1"/>
        <w:gridCol w:w="984"/>
        <w:gridCol w:w="589"/>
        <w:gridCol w:w="709"/>
        <w:gridCol w:w="1134"/>
        <w:gridCol w:w="1559"/>
        <w:gridCol w:w="1567"/>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23" w:hRule="atLeast"/>
        </w:trPr>
        <w:tc>
          <w:tcPr>
            <w:tcW w:w="3071" w:type="dxa"/>
            <w:vAlign w:val="center"/>
          </w:tcPr>
          <w:p>
            <w:pPr>
              <w:spacing w:line="240" w:lineRule="atLeast"/>
              <w:jc w:val="center"/>
              <w:rPr>
                <w:rFonts w:ascii="宋体" w:hAnsi="宋体" w:cs="宋体"/>
                <w:sz w:val="21"/>
                <w:szCs w:val="21"/>
              </w:rPr>
            </w:pPr>
            <w:r>
              <w:rPr>
                <w:rFonts w:hint="eastAsia" w:ascii="宋体" w:hAnsi="宋体" w:cs="宋体"/>
                <w:sz w:val="21"/>
                <w:szCs w:val="21"/>
              </w:rPr>
              <w:t>磋商项目名称</w:t>
            </w:r>
          </w:p>
        </w:tc>
        <w:tc>
          <w:tcPr>
            <w:tcW w:w="984" w:type="dxa"/>
            <w:vAlign w:val="center"/>
          </w:tcPr>
          <w:p>
            <w:pPr>
              <w:spacing w:line="240" w:lineRule="atLeast"/>
              <w:jc w:val="center"/>
              <w:rPr>
                <w:rFonts w:ascii="宋体" w:hAnsi="宋体" w:cs="宋体"/>
                <w:sz w:val="21"/>
                <w:szCs w:val="21"/>
              </w:rPr>
            </w:pPr>
            <w:r>
              <w:rPr>
                <w:rFonts w:hint="eastAsia" w:ascii="宋体" w:hAnsi="宋体" w:cs="宋体"/>
                <w:sz w:val="21"/>
                <w:szCs w:val="21"/>
              </w:rPr>
              <w:t>数量</w:t>
            </w:r>
          </w:p>
        </w:tc>
        <w:tc>
          <w:tcPr>
            <w:tcW w:w="1298" w:type="dxa"/>
            <w:gridSpan w:val="2"/>
            <w:vAlign w:val="center"/>
          </w:tcPr>
          <w:p>
            <w:pPr>
              <w:spacing w:line="240" w:lineRule="atLeast"/>
              <w:jc w:val="center"/>
              <w:rPr>
                <w:rFonts w:ascii="宋体" w:hAnsi="宋体" w:cs="宋体"/>
                <w:sz w:val="21"/>
                <w:szCs w:val="21"/>
              </w:rPr>
            </w:pPr>
            <w:r>
              <w:rPr>
                <w:rFonts w:hint="eastAsia" w:ascii="宋体" w:hAnsi="宋体" w:cs="宋体"/>
                <w:sz w:val="21"/>
                <w:szCs w:val="21"/>
              </w:rPr>
              <w:t>综合单价</w:t>
            </w:r>
          </w:p>
        </w:tc>
        <w:tc>
          <w:tcPr>
            <w:tcW w:w="1134" w:type="dxa"/>
            <w:vAlign w:val="center"/>
          </w:tcPr>
          <w:p>
            <w:pPr>
              <w:spacing w:line="240" w:lineRule="atLeast"/>
              <w:jc w:val="center"/>
              <w:rPr>
                <w:rFonts w:ascii="宋体" w:hAnsi="宋体" w:cs="宋体"/>
                <w:sz w:val="21"/>
                <w:szCs w:val="21"/>
              </w:rPr>
            </w:pPr>
            <w:r>
              <w:rPr>
                <w:rFonts w:hint="eastAsia" w:ascii="宋体" w:hAnsi="宋体" w:cs="宋体"/>
                <w:sz w:val="21"/>
                <w:szCs w:val="21"/>
              </w:rPr>
              <w:t>总价</w:t>
            </w:r>
          </w:p>
        </w:tc>
        <w:tc>
          <w:tcPr>
            <w:tcW w:w="1559" w:type="dxa"/>
            <w:vAlign w:val="center"/>
          </w:tcPr>
          <w:p>
            <w:pPr>
              <w:spacing w:line="240" w:lineRule="atLeast"/>
              <w:jc w:val="center"/>
              <w:rPr>
                <w:rFonts w:ascii="宋体" w:hAnsi="宋体" w:cs="宋体"/>
                <w:sz w:val="21"/>
                <w:szCs w:val="21"/>
              </w:rPr>
            </w:pPr>
            <w:r>
              <w:rPr>
                <w:rFonts w:hint="eastAsia" w:ascii="宋体" w:hAnsi="宋体" w:cs="宋体"/>
                <w:sz w:val="21"/>
                <w:szCs w:val="21"/>
              </w:rPr>
              <w:t>服务时间</w:t>
            </w:r>
          </w:p>
        </w:tc>
        <w:tc>
          <w:tcPr>
            <w:tcW w:w="1567" w:type="dxa"/>
            <w:vAlign w:val="center"/>
          </w:tcPr>
          <w:p>
            <w:pPr>
              <w:spacing w:line="240" w:lineRule="atLeast"/>
              <w:jc w:val="center"/>
              <w:rPr>
                <w:rFonts w:ascii="宋体" w:hAnsi="宋体" w:cs="宋体"/>
                <w:sz w:val="21"/>
                <w:szCs w:val="21"/>
              </w:rPr>
            </w:pPr>
            <w:r>
              <w:rPr>
                <w:rFonts w:hint="eastAsia" w:ascii="宋体" w:hAnsi="宋体" w:cs="宋体"/>
                <w:sz w:val="21"/>
                <w:szCs w:val="21"/>
              </w:rPr>
              <w:t>服务地点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23" w:hRule="atLeast"/>
        </w:trPr>
        <w:tc>
          <w:tcPr>
            <w:tcW w:w="3071" w:type="dxa"/>
            <w:vAlign w:val="center"/>
          </w:tcPr>
          <w:p>
            <w:pPr>
              <w:spacing w:line="240" w:lineRule="atLeast"/>
              <w:jc w:val="center"/>
              <w:rPr>
                <w:rFonts w:ascii="宋体" w:hAnsi="宋体" w:cs="宋体"/>
                <w:sz w:val="21"/>
                <w:szCs w:val="21"/>
              </w:rPr>
            </w:pPr>
          </w:p>
        </w:tc>
        <w:tc>
          <w:tcPr>
            <w:tcW w:w="984" w:type="dxa"/>
            <w:vAlign w:val="center"/>
          </w:tcPr>
          <w:p>
            <w:pPr>
              <w:spacing w:line="240" w:lineRule="atLeast"/>
              <w:jc w:val="center"/>
              <w:rPr>
                <w:rFonts w:ascii="宋体" w:hAnsi="宋体" w:cs="宋体"/>
                <w:sz w:val="21"/>
                <w:szCs w:val="21"/>
              </w:rPr>
            </w:pPr>
          </w:p>
        </w:tc>
        <w:tc>
          <w:tcPr>
            <w:tcW w:w="1298" w:type="dxa"/>
            <w:gridSpan w:val="2"/>
            <w:vAlign w:val="center"/>
          </w:tcPr>
          <w:p>
            <w:pPr>
              <w:spacing w:line="240" w:lineRule="atLeast"/>
              <w:jc w:val="center"/>
              <w:rPr>
                <w:rFonts w:ascii="宋体" w:hAnsi="宋体" w:cs="宋体"/>
                <w:sz w:val="21"/>
                <w:szCs w:val="21"/>
              </w:rPr>
            </w:pPr>
          </w:p>
        </w:tc>
        <w:tc>
          <w:tcPr>
            <w:tcW w:w="1134" w:type="dxa"/>
            <w:vAlign w:val="center"/>
          </w:tcPr>
          <w:p>
            <w:pPr>
              <w:spacing w:line="240" w:lineRule="atLeast"/>
              <w:jc w:val="center"/>
              <w:rPr>
                <w:rFonts w:ascii="宋体" w:hAnsi="宋体" w:cs="宋体"/>
                <w:sz w:val="21"/>
                <w:szCs w:val="21"/>
              </w:rPr>
            </w:pPr>
          </w:p>
        </w:tc>
        <w:tc>
          <w:tcPr>
            <w:tcW w:w="1559" w:type="dxa"/>
            <w:vAlign w:val="center"/>
          </w:tcPr>
          <w:p>
            <w:pPr>
              <w:spacing w:line="240" w:lineRule="atLeast"/>
              <w:jc w:val="center"/>
              <w:rPr>
                <w:rFonts w:ascii="宋体" w:hAnsi="宋体" w:cs="宋体"/>
                <w:sz w:val="21"/>
                <w:szCs w:val="21"/>
              </w:rPr>
            </w:pPr>
          </w:p>
        </w:tc>
        <w:tc>
          <w:tcPr>
            <w:tcW w:w="1567" w:type="dxa"/>
            <w:vAlign w:val="center"/>
          </w:tcPr>
          <w:p>
            <w:pPr>
              <w:spacing w:line="240" w:lineRule="atLeast"/>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23" w:hRule="atLeast"/>
        </w:trPr>
        <w:tc>
          <w:tcPr>
            <w:tcW w:w="3071" w:type="dxa"/>
            <w:vAlign w:val="center"/>
          </w:tcPr>
          <w:p>
            <w:pPr>
              <w:spacing w:line="240" w:lineRule="atLeast"/>
              <w:jc w:val="center"/>
              <w:rPr>
                <w:rFonts w:ascii="宋体" w:hAnsi="宋体" w:cs="宋体"/>
                <w:sz w:val="21"/>
                <w:szCs w:val="21"/>
              </w:rPr>
            </w:pPr>
          </w:p>
        </w:tc>
        <w:tc>
          <w:tcPr>
            <w:tcW w:w="984" w:type="dxa"/>
            <w:vAlign w:val="center"/>
          </w:tcPr>
          <w:p>
            <w:pPr>
              <w:spacing w:line="240" w:lineRule="atLeast"/>
              <w:jc w:val="center"/>
              <w:rPr>
                <w:rFonts w:ascii="宋体" w:hAnsi="宋体" w:cs="宋体"/>
                <w:sz w:val="21"/>
                <w:szCs w:val="21"/>
              </w:rPr>
            </w:pPr>
          </w:p>
        </w:tc>
        <w:tc>
          <w:tcPr>
            <w:tcW w:w="1298" w:type="dxa"/>
            <w:gridSpan w:val="2"/>
            <w:vAlign w:val="center"/>
          </w:tcPr>
          <w:p>
            <w:pPr>
              <w:spacing w:line="240" w:lineRule="atLeast"/>
              <w:jc w:val="center"/>
              <w:rPr>
                <w:rFonts w:ascii="宋体" w:hAnsi="宋体" w:cs="宋体"/>
                <w:sz w:val="21"/>
                <w:szCs w:val="21"/>
              </w:rPr>
            </w:pPr>
          </w:p>
        </w:tc>
        <w:tc>
          <w:tcPr>
            <w:tcW w:w="1134" w:type="dxa"/>
            <w:vAlign w:val="center"/>
          </w:tcPr>
          <w:p>
            <w:pPr>
              <w:spacing w:line="240" w:lineRule="atLeast"/>
              <w:jc w:val="center"/>
              <w:rPr>
                <w:rFonts w:ascii="宋体" w:hAnsi="宋体" w:cs="宋体"/>
                <w:sz w:val="21"/>
                <w:szCs w:val="21"/>
              </w:rPr>
            </w:pPr>
          </w:p>
        </w:tc>
        <w:tc>
          <w:tcPr>
            <w:tcW w:w="1559" w:type="dxa"/>
            <w:vAlign w:val="center"/>
          </w:tcPr>
          <w:p>
            <w:pPr>
              <w:spacing w:line="240" w:lineRule="atLeast"/>
              <w:jc w:val="center"/>
              <w:rPr>
                <w:rFonts w:ascii="宋体" w:hAnsi="宋体" w:cs="宋体"/>
                <w:sz w:val="21"/>
                <w:szCs w:val="21"/>
              </w:rPr>
            </w:pPr>
          </w:p>
        </w:tc>
        <w:tc>
          <w:tcPr>
            <w:tcW w:w="1567" w:type="dxa"/>
            <w:vAlign w:val="center"/>
          </w:tcPr>
          <w:p>
            <w:pPr>
              <w:spacing w:line="240" w:lineRule="atLeast"/>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23" w:hRule="atLeast"/>
        </w:trPr>
        <w:tc>
          <w:tcPr>
            <w:tcW w:w="9613" w:type="dxa"/>
            <w:gridSpan w:val="7"/>
            <w:vAlign w:val="center"/>
          </w:tcPr>
          <w:p>
            <w:pPr>
              <w:spacing w:line="240" w:lineRule="atLeast"/>
              <w:rPr>
                <w:rFonts w:ascii="宋体" w:hAnsi="宋体" w:cs="宋体"/>
                <w:sz w:val="21"/>
                <w:szCs w:val="21"/>
              </w:rPr>
            </w:pPr>
            <w:r>
              <w:rPr>
                <w:rFonts w:hint="eastAsia" w:ascii="宋体" w:hAnsi="宋体" w:cs="宋体"/>
                <w:sz w:val="21"/>
                <w:szCs w:val="21"/>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23" w:hRule="atLeast"/>
        </w:trPr>
        <w:tc>
          <w:tcPr>
            <w:tcW w:w="9613" w:type="dxa"/>
            <w:gridSpan w:val="7"/>
            <w:vAlign w:val="center"/>
          </w:tcPr>
          <w:p>
            <w:pPr>
              <w:spacing w:line="240" w:lineRule="atLeast"/>
              <w:rPr>
                <w:rFonts w:ascii="宋体" w:hAnsi="宋体" w:cs="宋体"/>
                <w:sz w:val="21"/>
                <w:szCs w:val="21"/>
              </w:rPr>
            </w:pPr>
            <w:r>
              <w:rPr>
                <w:rFonts w:hint="eastAsia" w:ascii="宋体" w:hAnsi="宋体" w:cs="宋体"/>
                <w:sz w:val="21"/>
                <w:szCs w:val="21"/>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23" w:hRule="atLeast"/>
        </w:trPr>
        <w:tc>
          <w:tcPr>
            <w:tcW w:w="9613" w:type="dxa"/>
            <w:gridSpan w:val="7"/>
          </w:tcPr>
          <w:p>
            <w:pPr>
              <w:spacing w:line="240" w:lineRule="atLeast"/>
              <w:rPr>
                <w:rFonts w:ascii="宋体" w:hAnsi="宋体" w:cs="宋体"/>
                <w:sz w:val="21"/>
                <w:szCs w:val="21"/>
              </w:rPr>
            </w:pPr>
            <w:r>
              <w:rPr>
                <w:rFonts w:hint="eastAsia" w:ascii="宋体" w:hAnsi="宋体" w:cs="宋体"/>
                <w:sz w:val="21"/>
                <w:szCs w:val="21"/>
              </w:rPr>
              <w:t>一、服务要求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628" w:type="dxa"/>
            <w:gridSpan w:val="8"/>
          </w:tcPr>
          <w:p>
            <w:pPr>
              <w:spacing w:line="240" w:lineRule="atLeast"/>
              <w:rPr>
                <w:rFonts w:ascii="宋体" w:hAnsi="宋体" w:cs="宋体"/>
                <w:sz w:val="21"/>
                <w:szCs w:val="21"/>
              </w:rPr>
            </w:pPr>
            <w:r>
              <w:rPr>
                <w:rFonts w:hint="eastAsia" w:ascii="宋体" w:hAnsi="宋体" w:cs="宋体"/>
                <w:sz w:val="21"/>
                <w:szCs w:val="21"/>
              </w:rPr>
              <w:t>二、考核方式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628" w:type="dxa"/>
            <w:gridSpan w:val="8"/>
          </w:tcPr>
          <w:p>
            <w:pPr>
              <w:spacing w:line="240" w:lineRule="atLeast"/>
              <w:rPr>
                <w:rFonts w:ascii="宋体" w:hAnsi="宋体" w:cs="宋体"/>
              </w:rPr>
            </w:pPr>
            <w:r>
              <w:rPr>
                <w:rFonts w:hint="eastAsia" w:ascii="宋体" w:hAnsi="宋体" w:cs="宋体"/>
                <w:sz w:val="21"/>
                <w:szCs w:val="21"/>
              </w:rPr>
              <w:t>三、付款方式：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628" w:type="dxa"/>
            <w:gridSpan w:val="8"/>
          </w:tcPr>
          <w:p>
            <w:pPr>
              <w:rPr>
                <w:rFonts w:ascii="宋体" w:hAnsi="宋体" w:cs="宋体"/>
                <w:sz w:val="21"/>
                <w:szCs w:val="21"/>
              </w:rPr>
            </w:pPr>
            <w:r>
              <w:rPr>
                <w:rFonts w:hint="eastAsia" w:ascii="宋体" w:hAnsi="宋体" w:cs="宋体"/>
                <w:sz w:val="21"/>
                <w:szCs w:val="21"/>
              </w:rPr>
              <w:t>X、履约保证金：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628" w:type="dxa"/>
            <w:gridSpan w:val="8"/>
          </w:tcPr>
          <w:p>
            <w:pPr>
              <w:spacing w:line="240" w:lineRule="atLeast"/>
              <w:rPr>
                <w:rFonts w:ascii="宋体" w:hAnsi="宋体" w:cs="宋体"/>
                <w:sz w:val="21"/>
                <w:szCs w:val="21"/>
              </w:rPr>
            </w:pPr>
            <w:r>
              <w:rPr>
                <w:rFonts w:hint="eastAsia" w:ascii="宋体" w:hAnsi="宋体" w:cs="宋体"/>
                <w:sz w:val="21"/>
                <w:szCs w:val="21"/>
              </w:rPr>
              <w:t>四、违约责任：</w:t>
            </w:r>
          </w:p>
          <w:p>
            <w:pPr>
              <w:spacing w:line="240" w:lineRule="atLeast"/>
              <w:rPr>
                <w:rFonts w:ascii="宋体" w:hAnsi="宋体" w:cs="宋体"/>
                <w:sz w:val="21"/>
                <w:szCs w:val="21"/>
              </w:rPr>
            </w:pPr>
            <w:r>
              <w:rPr>
                <w:rFonts w:hint="eastAsia" w:ascii="宋体" w:hAnsi="宋体" w:cs="宋体"/>
                <w:sz w:val="21"/>
                <w:szCs w:val="21"/>
              </w:rPr>
              <w:t>按《中华人民共和国民法典》、《中华人民共和国政府采购法》执行，或按双方约定。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628" w:type="dxa"/>
            <w:gridSpan w:val="8"/>
          </w:tcPr>
          <w:p>
            <w:pPr>
              <w:spacing w:line="240" w:lineRule="atLeast"/>
              <w:rPr>
                <w:rFonts w:ascii="宋体" w:hAnsi="宋体" w:cs="宋体"/>
                <w:sz w:val="21"/>
                <w:szCs w:val="21"/>
              </w:rPr>
            </w:pPr>
            <w:r>
              <w:rPr>
                <w:rFonts w:hint="eastAsia" w:ascii="宋体" w:hAnsi="宋体" w:cs="宋体"/>
                <w:sz w:val="21"/>
                <w:szCs w:val="21"/>
              </w:rPr>
              <w:t>五、其他约定事项：</w:t>
            </w:r>
          </w:p>
          <w:p>
            <w:pPr>
              <w:spacing w:line="240" w:lineRule="atLeast"/>
              <w:rPr>
                <w:rFonts w:ascii="宋体" w:hAnsi="宋体" w:cs="宋体"/>
                <w:sz w:val="21"/>
                <w:szCs w:val="21"/>
              </w:rPr>
            </w:pPr>
            <w:r>
              <w:rPr>
                <w:rFonts w:hint="eastAsia" w:ascii="宋体" w:hAnsi="宋体" w:cs="宋体"/>
                <w:sz w:val="21"/>
                <w:szCs w:val="21"/>
              </w:rPr>
              <w:t>1.采购文件及其澄清文件、响应文件和承诺是本合同不可分割的部分。</w:t>
            </w:r>
          </w:p>
          <w:p>
            <w:pPr>
              <w:spacing w:line="240" w:lineRule="atLeast"/>
              <w:rPr>
                <w:rFonts w:ascii="宋体" w:hAnsi="宋体" w:cs="宋体"/>
                <w:sz w:val="21"/>
                <w:szCs w:val="21"/>
              </w:rPr>
            </w:pPr>
            <w:r>
              <w:rPr>
                <w:rFonts w:hint="eastAsia" w:ascii="宋体" w:hAnsi="宋体" w:cs="宋体"/>
                <w:sz w:val="21"/>
                <w:szCs w:val="21"/>
              </w:rPr>
              <w:t>2.本合同如发生争议由双方协商解决，协商不成向需方所在人民法院提请诉讼。</w:t>
            </w:r>
          </w:p>
          <w:p>
            <w:pPr>
              <w:spacing w:line="240" w:lineRule="atLeast"/>
              <w:rPr>
                <w:rFonts w:ascii="宋体" w:hAnsi="宋体" w:cs="宋体"/>
                <w:sz w:val="21"/>
                <w:szCs w:val="21"/>
              </w:rPr>
            </w:pPr>
            <w:r>
              <w:rPr>
                <w:rFonts w:hint="eastAsia" w:ascii="宋体" w:hAnsi="宋体" w:cs="宋体"/>
                <w:sz w:val="21"/>
                <w:szCs w:val="21"/>
              </w:rPr>
              <w:t>3.本合同一式__份， 需方__份，供方__份，具同等法律效力。</w:t>
            </w:r>
          </w:p>
          <w:p>
            <w:pPr>
              <w:spacing w:line="240" w:lineRule="atLeast"/>
              <w:rPr>
                <w:rFonts w:ascii="宋体" w:hAnsi="宋体" w:cs="宋体"/>
                <w:sz w:val="21"/>
                <w:szCs w:val="21"/>
              </w:rPr>
            </w:pPr>
            <w:r>
              <w:rPr>
                <w:rFonts w:hint="eastAsia" w:ascii="宋体" w:hAnsi="宋体" w:cs="宋体"/>
                <w:sz w:val="21"/>
                <w:szCs w:val="21"/>
              </w:rPr>
              <w:t>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644" w:type="dxa"/>
            <w:gridSpan w:val="3"/>
          </w:tcPr>
          <w:p>
            <w:pPr>
              <w:spacing w:line="240" w:lineRule="atLeast"/>
              <w:rPr>
                <w:rFonts w:ascii="宋体" w:hAnsi="宋体" w:cs="宋体"/>
                <w:sz w:val="21"/>
                <w:szCs w:val="21"/>
              </w:rPr>
            </w:pPr>
            <w:r>
              <w:rPr>
                <w:rFonts w:hint="eastAsia" w:ascii="宋体" w:hAnsi="宋体" w:cs="宋体"/>
                <w:sz w:val="21"/>
                <w:szCs w:val="21"/>
              </w:rPr>
              <w:t>需方：</w:t>
            </w:r>
          </w:p>
          <w:p>
            <w:pPr>
              <w:spacing w:line="240" w:lineRule="atLeast"/>
              <w:rPr>
                <w:rFonts w:ascii="宋体" w:hAnsi="宋体" w:cs="宋体"/>
                <w:sz w:val="21"/>
                <w:szCs w:val="21"/>
              </w:rPr>
            </w:pPr>
            <w:r>
              <w:rPr>
                <w:rFonts w:hint="eastAsia" w:ascii="宋体" w:hAnsi="宋体" w:cs="宋体"/>
                <w:sz w:val="21"/>
                <w:szCs w:val="21"/>
              </w:rPr>
              <w:t>地址：</w:t>
            </w:r>
          </w:p>
          <w:p>
            <w:pPr>
              <w:spacing w:line="240" w:lineRule="atLeast"/>
              <w:rPr>
                <w:rFonts w:ascii="宋体" w:hAnsi="宋体" w:cs="宋体"/>
                <w:sz w:val="21"/>
                <w:szCs w:val="21"/>
              </w:rPr>
            </w:pPr>
            <w:r>
              <w:rPr>
                <w:rFonts w:hint="eastAsia" w:ascii="宋体" w:hAnsi="宋体" w:cs="宋体"/>
                <w:sz w:val="21"/>
                <w:szCs w:val="21"/>
              </w:rPr>
              <w:t>联系电话：</w:t>
            </w:r>
          </w:p>
          <w:p>
            <w:pPr>
              <w:spacing w:line="240" w:lineRule="atLeast"/>
              <w:rPr>
                <w:rFonts w:ascii="宋体" w:hAnsi="宋体" w:cs="宋体"/>
                <w:sz w:val="21"/>
                <w:szCs w:val="21"/>
              </w:rPr>
            </w:pPr>
            <w:r>
              <w:rPr>
                <w:rFonts w:hint="eastAsia" w:ascii="宋体" w:hAnsi="宋体" w:cs="宋体"/>
                <w:sz w:val="21"/>
                <w:szCs w:val="21"/>
              </w:rPr>
              <w:t>授权代表：</w:t>
            </w:r>
          </w:p>
        </w:tc>
        <w:tc>
          <w:tcPr>
            <w:tcW w:w="4984" w:type="dxa"/>
            <w:gridSpan w:val="5"/>
          </w:tcPr>
          <w:p>
            <w:pPr>
              <w:spacing w:line="240" w:lineRule="atLeast"/>
              <w:rPr>
                <w:rFonts w:ascii="宋体" w:hAnsi="宋体" w:cs="宋体"/>
                <w:sz w:val="21"/>
                <w:szCs w:val="21"/>
              </w:rPr>
            </w:pPr>
            <w:r>
              <w:rPr>
                <w:rFonts w:hint="eastAsia" w:ascii="宋体" w:hAnsi="宋体" w:cs="宋体"/>
                <w:sz w:val="21"/>
                <w:szCs w:val="21"/>
              </w:rPr>
              <w:t>供方：</w:t>
            </w:r>
          </w:p>
          <w:p>
            <w:pPr>
              <w:spacing w:line="240" w:lineRule="atLeast"/>
              <w:rPr>
                <w:rFonts w:ascii="宋体" w:hAnsi="宋体" w:cs="宋体"/>
                <w:sz w:val="21"/>
                <w:szCs w:val="21"/>
              </w:rPr>
            </w:pPr>
            <w:r>
              <w:rPr>
                <w:rFonts w:hint="eastAsia" w:ascii="宋体" w:hAnsi="宋体" w:cs="宋体"/>
                <w:sz w:val="21"/>
                <w:szCs w:val="21"/>
              </w:rPr>
              <w:t>地址：</w:t>
            </w:r>
          </w:p>
          <w:p>
            <w:pPr>
              <w:spacing w:line="240" w:lineRule="atLeast"/>
              <w:rPr>
                <w:rFonts w:ascii="宋体" w:hAnsi="宋体" w:cs="宋体"/>
                <w:sz w:val="21"/>
                <w:szCs w:val="21"/>
              </w:rPr>
            </w:pPr>
            <w:r>
              <w:rPr>
                <w:rFonts w:hint="eastAsia" w:ascii="宋体" w:hAnsi="宋体" w:cs="宋体"/>
                <w:sz w:val="21"/>
                <w:szCs w:val="21"/>
              </w:rPr>
              <w:t>电话：</w:t>
            </w:r>
          </w:p>
          <w:p>
            <w:pPr>
              <w:spacing w:line="240" w:lineRule="atLeast"/>
              <w:rPr>
                <w:rFonts w:ascii="宋体" w:hAnsi="宋体" w:cs="宋体"/>
                <w:sz w:val="21"/>
                <w:szCs w:val="21"/>
              </w:rPr>
            </w:pPr>
            <w:r>
              <w:rPr>
                <w:rFonts w:hint="eastAsia" w:ascii="宋体" w:hAnsi="宋体" w:cs="宋体"/>
                <w:sz w:val="21"/>
                <w:szCs w:val="21"/>
              </w:rPr>
              <w:t>传真：</w:t>
            </w:r>
          </w:p>
          <w:p>
            <w:pPr>
              <w:spacing w:line="240" w:lineRule="atLeast"/>
              <w:rPr>
                <w:rFonts w:ascii="宋体" w:hAnsi="宋体" w:cs="宋体"/>
                <w:sz w:val="21"/>
                <w:szCs w:val="21"/>
              </w:rPr>
            </w:pPr>
            <w:r>
              <w:rPr>
                <w:rFonts w:hint="eastAsia" w:ascii="宋体" w:hAnsi="宋体" w:cs="宋体"/>
                <w:sz w:val="21"/>
                <w:szCs w:val="21"/>
              </w:rPr>
              <w:t>开户银行：</w:t>
            </w:r>
          </w:p>
          <w:p>
            <w:pPr>
              <w:spacing w:line="240" w:lineRule="atLeast"/>
              <w:rPr>
                <w:rFonts w:ascii="宋体" w:hAnsi="宋体" w:cs="宋体"/>
                <w:sz w:val="21"/>
                <w:szCs w:val="21"/>
              </w:rPr>
            </w:pPr>
            <w:r>
              <w:rPr>
                <w:rFonts w:hint="eastAsia" w:ascii="宋体" w:hAnsi="宋体" w:cs="宋体"/>
                <w:sz w:val="21"/>
                <w:szCs w:val="21"/>
              </w:rPr>
              <w:t>账号：</w:t>
            </w:r>
          </w:p>
          <w:p>
            <w:pPr>
              <w:spacing w:line="240" w:lineRule="atLeast"/>
              <w:rPr>
                <w:rFonts w:ascii="宋体" w:hAnsi="宋体" w:cs="宋体"/>
                <w:sz w:val="21"/>
                <w:szCs w:val="21"/>
              </w:rPr>
            </w:pPr>
            <w:r>
              <w:rPr>
                <w:rFonts w:hint="eastAsia" w:ascii="宋体" w:hAnsi="宋体" w:cs="宋体"/>
                <w:sz w:val="21"/>
                <w:szCs w:val="21"/>
              </w:rPr>
              <w:t>授权代表：</w:t>
            </w:r>
          </w:p>
          <w:p>
            <w:pPr>
              <w:widowControl/>
              <w:spacing w:line="240" w:lineRule="atLeast"/>
              <w:jc w:val="left"/>
              <w:rPr>
                <w:rFonts w:ascii="宋体" w:hAnsi="宋体" w:cs="宋体"/>
                <w:sz w:val="21"/>
                <w:szCs w:val="21"/>
              </w:rPr>
            </w:pPr>
            <w:r>
              <w:rPr>
                <w:rFonts w:hint="eastAsia" w:ascii="宋体" w:hAnsi="宋体" w:cs="宋体"/>
                <w:sz w:val="21"/>
                <w:szCs w:val="21"/>
              </w:rPr>
              <w:t>（本栏请用计算机打印以便于准确付款）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628" w:type="dxa"/>
            <w:gridSpan w:val="8"/>
          </w:tcPr>
          <w:p>
            <w:pPr>
              <w:spacing w:line="240" w:lineRule="atLeast"/>
              <w:rPr>
                <w:rFonts w:ascii="宋体" w:hAnsi="宋体" w:cs="宋体"/>
                <w:sz w:val="21"/>
                <w:szCs w:val="21"/>
              </w:rPr>
            </w:pPr>
            <w:r>
              <w:rPr>
                <w:rFonts w:hint="eastAsia" w:ascii="宋体" w:hAnsi="宋体" w:cs="宋体"/>
                <w:sz w:val="21"/>
                <w:szCs w:val="21"/>
              </w:rPr>
              <w:t>备注：</w:t>
            </w:r>
          </w:p>
          <w:p>
            <w:pPr>
              <w:spacing w:line="240" w:lineRule="atLeast"/>
              <w:rPr>
                <w:rFonts w:ascii="宋体" w:hAnsi="宋体" w:cs="宋体"/>
                <w:sz w:val="21"/>
                <w:szCs w:val="21"/>
              </w:rPr>
            </w:pPr>
          </w:p>
          <w:p>
            <w:pPr>
              <w:spacing w:line="240" w:lineRule="atLeast"/>
              <w:rPr>
                <w:rFonts w:ascii="宋体" w:hAnsi="宋体" w:cs="宋体"/>
                <w:sz w:val="21"/>
                <w:szCs w:val="21"/>
              </w:rPr>
            </w:pPr>
          </w:p>
        </w:tc>
      </w:tr>
    </w:tbl>
    <w:p>
      <w:pPr>
        <w:rPr>
          <w:rFonts w:ascii="宋体" w:hAnsi="宋体" w:cs="宋体"/>
          <w:sz w:val="24"/>
        </w:rPr>
      </w:pPr>
      <w:r>
        <w:rPr>
          <w:rFonts w:hint="eastAsia" w:ascii="宋体" w:hAnsi="宋体" w:cs="宋体"/>
          <w:sz w:val="24"/>
        </w:rPr>
        <w:t>签约时间：           年   月   日      签约地点：</w:t>
      </w:r>
    </w:p>
    <w:p>
      <w:pPr>
        <w:tabs>
          <w:tab w:val="left" w:pos="9000"/>
        </w:tabs>
        <w:spacing w:line="276" w:lineRule="auto"/>
        <w:jc w:val="center"/>
        <w:rPr>
          <w:rFonts w:ascii="宋体" w:hAnsi="宋体" w:cs="宋体"/>
          <w:sz w:val="21"/>
          <w:szCs w:val="21"/>
        </w:rPr>
        <w:sectPr>
          <w:footerReference r:id="rId15" w:type="default"/>
          <w:footerReference r:id="rId16" w:type="even"/>
          <w:pgSz w:w="11907" w:h="16840"/>
          <w:pgMar w:top="1417" w:right="1417" w:bottom="1417" w:left="1417" w:header="964" w:footer="992" w:gutter="0"/>
          <w:cols w:space="0" w:num="1"/>
          <w:docGrid w:linePitch="312" w:charSpace="0"/>
        </w:sectPr>
      </w:pPr>
    </w:p>
    <w:p>
      <w:pPr>
        <w:pStyle w:val="3"/>
        <w:pageBreakBefore/>
        <w:spacing w:line="360" w:lineRule="auto"/>
        <w:jc w:val="center"/>
        <w:rPr>
          <w:rFonts w:ascii="宋体" w:hAnsi="宋体" w:eastAsia="宋体" w:cs="宋体"/>
          <w:b w:val="0"/>
          <w:sz w:val="36"/>
          <w:szCs w:val="30"/>
        </w:rPr>
      </w:pPr>
      <w:bookmarkStart w:id="81" w:name="_Hlt41879464"/>
      <w:bookmarkEnd w:id="81"/>
      <w:bookmarkStart w:id="82" w:name="_Toc12789072"/>
      <w:bookmarkStart w:id="83" w:name="_Toc20130566"/>
      <w:r>
        <w:rPr>
          <w:rFonts w:hint="eastAsia" w:ascii="宋体" w:hAnsi="宋体" w:eastAsia="宋体" w:cs="宋体"/>
          <w:b w:val="0"/>
          <w:sz w:val="36"/>
          <w:szCs w:val="30"/>
        </w:rPr>
        <w:t xml:space="preserve">第七篇  </w:t>
      </w:r>
      <w:bookmarkEnd w:id="82"/>
      <w:r>
        <w:rPr>
          <w:rFonts w:hint="eastAsia" w:ascii="宋体" w:hAnsi="宋体" w:eastAsia="宋体" w:cs="宋体"/>
          <w:b w:val="0"/>
          <w:sz w:val="36"/>
          <w:szCs w:val="30"/>
        </w:rPr>
        <w:t>响应文件编制要求</w:t>
      </w:r>
      <w:bookmarkEnd w:id="83"/>
    </w:p>
    <w:p>
      <w:pPr>
        <w:spacing w:line="360" w:lineRule="auto"/>
        <w:ind w:firstLine="482" w:firstLineChars="200"/>
        <w:rPr>
          <w:rFonts w:ascii="宋体" w:hAnsi="宋体" w:cs="宋体"/>
          <w:b/>
          <w:bCs/>
          <w:sz w:val="24"/>
          <w:szCs w:val="24"/>
        </w:rPr>
      </w:pPr>
      <w:r>
        <w:rPr>
          <w:rFonts w:hint="eastAsia" w:ascii="宋体" w:hAnsi="宋体" w:cs="宋体"/>
          <w:b/>
          <w:bCs/>
          <w:sz w:val="24"/>
          <w:szCs w:val="24"/>
        </w:rPr>
        <w:t>一、经济部分</w:t>
      </w:r>
    </w:p>
    <w:p>
      <w:pPr>
        <w:spacing w:line="360" w:lineRule="auto"/>
        <w:ind w:firstLine="480" w:firstLineChars="200"/>
        <w:rPr>
          <w:rFonts w:ascii="宋体" w:hAnsi="宋体" w:cs="宋体"/>
          <w:sz w:val="24"/>
          <w:szCs w:val="24"/>
        </w:rPr>
      </w:pPr>
      <w:r>
        <w:rPr>
          <w:rFonts w:hint="eastAsia" w:ascii="宋体" w:hAnsi="宋体" w:cs="宋体"/>
          <w:sz w:val="24"/>
          <w:szCs w:val="24"/>
        </w:rPr>
        <w:t>（一）竞争性磋商报价函</w:t>
      </w:r>
    </w:p>
    <w:p>
      <w:pPr>
        <w:spacing w:line="360" w:lineRule="auto"/>
        <w:ind w:firstLine="480" w:firstLineChars="200"/>
        <w:rPr>
          <w:rFonts w:ascii="宋体" w:hAnsi="宋体" w:cs="宋体"/>
          <w:sz w:val="24"/>
          <w:szCs w:val="24"/>
        </w:rPr>
      </w:pPr>
      <w:r>
        <w:rPr>
          <w:rFonts w:hint="eastAsia" w:ascii="宋体" w:hAnsi="宋体" w:cs="宋体"/>
          <w:sz w:val="24"/>
          <w:szCs w:val="24"/>
        </w:rPr>
        <w:t>（二）最后报价表</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二、技术部分</w:t>
      </w:r>
    </w:p>
    <w:p>
      <w:pPr>
        <w:spacing w:line="360" w:lineRule="auto"/>
        <w:ind w:firstLine="480" w:firstLineChars="200"/>
        <w:rPr>
          <w:rFonts w:ascii="宋体" w:hAnsi="宋体" w:cs="宋体"/>
          <w:sz w:val="24"/>
          <w:szCs w:val="24"/>
        </w:rPr>
      </w:pPr>
      <w:r>
        <w:rPr>
          <w:rFonts w:hint="eastAsia" w:ascii="宋体" w:hAnsi="宋体" w:cs="宋体"/>
          <w:sz w:val="24"/>
          <w:szCs w:val="24"/>
        </w:rPr>
        <w:t>（一）技术响应偏离表</w:t>
      </w:r>
    </w:p>
    <w:p>
      <w:pPr>
        <w:spacing w:line="360" w:lineRule="auto"/>
        <w:ind w:firstLine="480" w:firstLineChars="200"/>
        <w:rPr>
          <w:rFonts w:ascii="宋体" w:hAnsi="宋体" w:cs="宋体"/>
          <w:sz w:val="24"/>
          <w:szCs w:val="24"/>
        </w:rPr>
      </w:pPr>
      <w:r>
        <w:rPr>
          <w:rFonts w:hint="eastAsia" w:ascii="宋体" w:hAnsi="宋体" w:cs="宋体"/>
          <w:sz w:val="24"/>
          <w:szCs w:val="24"/>
        </w:rPr>
        <w:t>（二）技术部分评分所需资料（格式自定）</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三、商务部分</w:t>
      </w:r>
    </w:p>
    <w:p>
      <w:pPr>
        <w:spacing w:line="360" w:lineRule="auto"/>
        <w:ind w:firstLine="480" w:firstLineChars="200"/>
        <w:rPr>
          <w:rFonts w:ascii="宋体" w:hAnsi="宋体" w:cs="宋体"/>
          <w:sz w:val="24"/>
          <w:szCs w:val="24"/>
        </w:rPr>
      </w:pPr>
      <w:r>
        <w:rPr>
          <w:rFonts w:hint="eastAsia" w:ascii="宋体" w:hAnsi="宋体" w:cs="宋体"/>
          <w:sz w:val="24"/>
          <w:szCs w:val="24"/>
        </w:rPr>
        <w:t>（一）商务响应偏离表</w:t>
      </w:r>
    </w:p>
    <w:p>
      <w:pPr>
        <w:spacing w:line="360" w:lineRule="auto"/>
        <w:ind w:firstLine="480" w:firstLineChars="200"/>
        <w:rPr>
          <w:rFonts w:ascii="宋体" w:hAnsi="宋体" w:cs="宋体"/>
          <w:sz w:val="24"/>
          <w:szCs w:val="24"/>
        </w:rPr>
      </w:pPr>
      <w:r>
        <w:rPr>
          <w:rFonts w:hint="eastAsia" w:ascii="宋体" w:hAnsi="宋体" w:cs="宋体"/>
          <w:sz w:val="24"/>
          <w:szCs w:val="24"/>
        </w:rPr>
        <w:t>（二）商务部分评分所需资料（格式自定）</w:t>
      </w:r>
    </w:p>
    <w:p>
      <w:pPr>
        <w:spacing w:line="360" w:lineRule="auto"/>
        <w:ind w:firstLine="480" w:firstLineChars="200"/>
        <w:rPr>
          <w:rFonts w:ascii="宋体" w:hAnsi="宋体" w:cs="宋体"/>
          <w:sz w:val="24"/>
          <w:szCs w:val="24"/>
        </w:rPr>
      </w:pPr>
      <w:r>
        <w:rPr>
          <w:rFonts w:hint="eastAsia" w:ascii="宋体" w:hAnsi="宋体" w:cs="宋体"/>
          <w:sz w:val="24"/>
          <w:szCs w:val="24"/>
        </w:rPr>
        <w:t>（三）其它优惠服务承诺</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四、资格条件及其他</w:t>
      </w:r>
    </w:p>
    <w:p>
      <w:pPr>
        <w:spacing w:line="360" w:lineRule="auto"/>
        <w:ind w:firstLine="480" w:firstLineChars="200"/>
        <w:rPr>
          <w:rFonts w:ascii="宋体" w:hAnsi="宋体" w:cs="宋体"/>
          <w:sz w:val="24"/>
          <w:szCs w:val="24"/>
        </w:rPr>
      </w:pPr>
      <w:r>
        <w:rPr>
          <w:rFonts w:hint="eastAsia" w:ascii="宋体" w:hAnsi="宋体" w:cs="宋体"/>
          <w:sz w:val="24"/>
          <w:szCs w:val="24"/>
        </w:rPr>
        <w:t>（一）法人营业执照（副本）或事业单位法人证书（副本）或个体工商户营业执照或有效的自然人身份证明或社会团体法人登记证书复印件</w:t>
      </w:r>
    </w:p>
    <w:p>
      <w:pPr>
        <w:spacing w:line="360" w:lineRule="auto"/>
        <w:ind w:firstLine="480" w:firstLineChars="200"/>
        <w:rPr>
          <w:rFonts w:ascii="宋体" w:hAnsi="宋体" w:cs="宋体"/>
          <w:sz w:val="24"/>
          <w:szCs w:val="24"/>
        </w:rPr>
      </w:pPr>
      <w:r>
        <w:rPr>
          <w:rFonts w:hint="eastAsia" w:ascii="宋体" w:hAnsi="宋体" w:cs="宋体"/>
          <w:sz w:val="24"/>
          <w:szCs w:val="24"/>
        </w:rPr>
        <w:t>（二）法定代表人身份证明书（格式）</w:t>
      </w:r>
    </w:p>
    <w:p>
      <w:pPr>
        <w:spacing w:line="360" w:lineRule="auto"/>
        <w:ind w:firstLine="480" w:firstLineChars="200"/>
        <w:rPr>
          <w:rFonts w:ascii="宋体" w:hAnsi="宋体" w:cs="宋体"/>
          <w:sz w:val="24"/>
          <w:szCs w:val="24"/>
        </w:rPr>
      </w:pPr>
      <w:r>
        <w:rPr>
          <w:rFonts w:hint="eastAsia" w:ascii="宋体" w:hAnsi="宋体" w:cs="宋体"/>
          <w:sz w:val="24"/>
          <w:szCs w:val="24"/>
        </w:rPr>
        <w:t>（三）法定代表人授权委托书（格式）</w:t>
      </w:r>
    </w:p>
    <w:p>
      <w:pPr>
        <w:spacing w:line="360" w:lineRule="auto"/>
        <w:ind w:firstLine="480" w:firstLineChars="200"/>
        <w:rPr>
          <w:rFonts w:ascii="宋体" w:hAnsi="宋体" w:cs="宋体"/>
          <w:sz w:val="24"/>
          <w:szCs w:val="24"/>
        </w:rPr>
      </w:pPr>
      <w:r>
        <w:rPr>
          <w:rFonts w:hint="eastAsia" w:ascii="宋体" w:hAnsi="宋体" w:cs="宋体"/>
          <w:sz w:val="24"/>
          <w:szCs w:val="24"/>
        </w:rPr>
        <w:t>（四）基本资格条件承诺函（格式）</w:t>
      </w:r>
    </w:p>
    <w:p>
      <w:pPr>
        <w:spacing w:line="360" w:lineRule="auto"/>
        <w:ind w:firstLine="480" w:firstLineChars="200"/>
        <w:rPr>
          <w:rFonts w:ascii="宋体" w:hAnsi="宋体" w:cs="宋体"/>
          <w:sz w:val="24"/>
          <w:szCs w:val="24"/>
        </w:rPr>
      </w:pPr>
      <w:r>
        <w:rPr>
          <w:rFonts w:hint="eastAsia" w:ascii="宋体" w:hAnsi="宋体" w:cs="宋体"/>
          <w:sz w:val="24"/>
          <w:szCs w:val="24"/>
        </w:rPr>
        <w:t>（五）特定资格条件证书或证明文件</w:t>
      </w:r>
    </w:p>
    <w:p>
      <w:pPr>
        <w:spacing w:line="500" w:lineRule="exact"/>
        <w:ind w:firstLine="482" w:firstLineChars="200"/>
        <w:rPr>
          <w:rFonts w:ascii="宋体" w:hAnsi="宋体" w:cs="宋体"/>
          <w:b/>
          <w:bCs/>
          <w:sz w:val="24"/>
          <w:szCs w:val="24"/>
        </w:rPr>
      </w:pPr>
      <w:r>
        <w:rPr>
          <w:rFonts w:hint="eastAsia" w:ascii="宋体" w:hAnsi="宋体" w:cs="宋体"/>
          <w:b/>
          <w:bCs/>
          <w:sz w:val="24"/>
          <w:szCs w:val="24"/>
        </w:rPr>
        <w:t>五、其他资料</w:t>
      </w:r>
    </w:p>
    <w:p>
      <w:pPr>
        <w:spacing w:line="500" w:lineRule="exact"/>
        <w:ind w:firstLine="480" w:firstLineChars="200"/>
        <w:rPr>
          <w:rFonts w:ascii="宋体" w:hAnsi="宋体" w:cs="宋体"/>
          <w:b/>
          <w:sz w:val="24"/>
          <w:szCs w:val="24"/>
        </w:rPr>
      </w:pPr>
      <w:r>
        <w:rPr>
          <w:rFonts w:hint="eastAsia" w:ascii="宋体" w:hAnsi="宋体" w:cs="宋体"/>
          <w:sz w:val="24"/>
          <w:szCs w:val="24"/>
        </w:rPr>
        <w:t>（一）中小企业声明函、监狱企业证明文件、残疾人福利性单位声明函</w:t>
      </w:r>
    </w:p>
    <w:p>
      <w:pPr>
        <w:spacing w:line="500" w:lineRule="exact"/>
        <w:ind w:firstLine="480" w:firstLineChars="200"/>
        <w:rPr>
          <w:rFonts w:ascii="宋体" w:hAnsi="宋体" w:cs="宋体"/>
          <w:sz w:val="24"/>
          <w:szCs w:val="24"/>
        </w:rPr>
      </w:pPr>
      <w:r>
        <w:rPr>
          <w:rFonts w:hint="eastAsia" w:ascii="宋体" w:hAnsi="宋体" w:cs="宋体"/>
          <w:sz w:val="24"/>
          <w:szCs w:val="24"/>
        </w:rPr>
        <w:t>（二）其他与项目有关的资料</w:t>
      </w:r>
    </w:p>
    <w:p>
      <w:pPr>
        <w:spacing w:line="360" w:lineRule="auto"/>
        <w:ind w:firstLine="480" w:firstLineChars="200"/>
        <w:rPr>
          <w:rFonts w:ascii="宋体" w:hAnsi="宋体" w:cs="宋体"/>
          <w:sz w:val="24"/>
          <w:szCs w:val="24"/>
        </w:rPr>
      </w:pPr>
    </w:p>
    <w:p>
      <w:pPr>
        <w:spacing w:line="440" w:lineRule="exact"/>
        <w:ind w:firstLine="480" w:firstLineChars="200"/>
        <w:rPr>
          <w:rFonts w:ascii="宋体" w:hAnsi="宋体" w:cs="宋体"/>
          <w:sz w:val="24"/>
          <w:szCs w:val="24"/>
        </w:rPr>
        <w:sectPr>
          <w:pgSz w:w="11907" w:h="16840"/>
          <w:pgMar w:top="1134" w:right="1191" w:bottom="1134" w:left="1191" w:header="851" w:footer="992" w:gutter="0"/>
          <w:cols w:space="720" w:num="1"/>
          <w:docGrid w:linePitch="380" w:charSpace="-5735"/>
        </w:sectPr>
      </w:pPr>
    </w:p>
    <w:p>
      <w:pPr>
        <w:pStyle w:val="5"/>
        <w:spacing w:before="0" w:after="0" w:line="360" w:lineRule="auto"/>
        <w:ind w:firstLine="482" w:firstLineChars="200"/>
        <w:rPr>
          <w:rFonts w:ascii="宋体" w:hAnsi="宋体" w:cs="宋体"/>
          <w:sz w:val="24"/>
          <w:szCs w:val="24"/>
        </w:rPr>
      </w:pPr>
      <w:bookmarkStart w:id="84" w:name="_Toc342913419"/>
      <w:bookmarkStart w:id="85" w:name="_Toc313888360"/>
      <w:bookmarkStart w:id="86" w:name="_Toc313008356"/>
      <w:bookmarkStart w:id="87" w:name="_Toc20130567"/>
      <w:bookmarkStart w:id="88" w:name="_Toc12789073"/>
      <w:bookmarkStart w:id="89" w:name="_Toc283382454"/>
      <w:r>
        <w:rPr>
          <w:rFonts w:hint="eastAsia" w:ascii="宋体" w:hAnsi="宋体" w:cs="宋体"/>
          <w:sz w:val="24"/>
          <w:szCs w:val="24"/>
        </w:rPr>
        <w:t>一、经济部分</w:t>
      </w:r>
      <w:bookmarkEnd w:id="84"/>
      <w:bookmarkEnd w:id="85"/>
      <w:bookmarkEnd w:id="86"/>
      <w:bookmarkEnd w:id="87"/>
    </w:p>
    <w:bookmarkEnd w:id="88"/>
    <w:bookmarkEnd w:id="89"/>
    <w:p>
      <w:pPr>
        <w:tabs>
          <w:tab w:val="left" w:pos="6300"/>
        </w:tabs>
        <w:snapToGrid w:val="0"/>
        <w:spacing w:line="520" w:lineRule="exact"/>
        <w:ind w:firstLine="480" w:firstLineChars="200"/>
        <w:rPr>
          <w:rFonts w:ascii="宋体" w:hAnsi="宋体" w:cs="宋体"/>
          <w:sz w:val="24"/>
          <w:szCs w:val="24"/>
        </w:rPr>
      </w:pPr>
      <w:r>
        <w:rPr>
          <w:rFonts w:hint="eastAsia" w:ascii="宋体" w:hAnsi="宋体" w:cs="宋体"/>
          <w:sz w:val="24"/>
          <w:szCs w:val="24"/>
        </w:rPr>
        <w:t>（一）竞争性磋商报价函</w:t>
      </w:r>
    </w:p>
    <w:p>
      <w:pPr>
        <w:tabs>
          <w:tab w:val="left" w:pos="6300"/>
        </w:tabs>
        <w:snapToGrid w:val="0"/>
        <w:spacing w:line="520" w:lineRule="exact"/>
        <w:jc w:val="center"/>
        <w:outlineLvl w:val="0"/>
        <w:rPr>
          <w:rFonts w:ascii="宋体" w:hAnsi="宋体" w:cs="宋体"/>
          <w:b/>
          <w:szCs w:val="28"/>
        </w:rPr>
      </w:pPr>
      <w:r>
        <w:rPr>
          <w:rFonts w:hint="eastAsia" w:ascii="宋体" w:hAnsi="宋体" w:cs="宋体"/>
          <w:b/>
          <w:szCs w:val="28"/>
        </w:rPr>
        <w:t>竞争性磋商报价函</w:t>
      </w:r>
    </w:p>
    <w:p>
      <w:pPr>
        <w:tabs>
          <w:tab w:val="left" w:pos="6300"/>
        </w:tabs>
        <w:snapToGrid w:val="0"/>
        <w:spacing w:line="520" w:lineRule="exact"/>
        <w:rPr>
          <w:rFonts w:ascii="宋体" w:hAnsi="宋体" w:cs="宋体"/>
          <w:sz w:val="24"/>
          <w:szCs w:val="24"/>
        </w:rPr>
      </w:pPr>
      <w:r>
        <w:rPr>
          <w:rFonts w:hint="eastAsia" w:ascii="宋体" w:hAnsi="宋体" w:cs="宋体"/>
          <w:sz w:val="24"/>
          <w:szCs w:val="24"/>
          <w:u w:val="single"/>
        </w:rPr>
        <w:t>（采购代理机构名称）</w:t>
      </w:r>
      <w:r>
        <w:rPr>
          <w:rFonts w:hint="eastAsia" w:ascii="宋体" w:hAnsi="宋体" w:cs="宋体"/>
          <w:sz w:val="24"/>
          <w:szCs w:val="24"/>
        </w:rPr>
        <w:t>：</w:t>
      </w:r>
    </w:p>
    <w:p>
      <w:pPr>
        <w:tabs>
          <w:tab w:val="left" w:pos="6300"/>
        </w:tabs>
        <w:snapToGrid w:val="0"/>
        <w:spacing w:line="520" w:lineRule="exact"/>
        <w:ind w:firstLine="480" w:firstLineChars="200"/>
        <w:rPr>
          <w:rFonts w:ascii="宋体" w:hAnsi="宋体" w:cs="宋体"/>
          <w:sz w:val="24"/>
          <w:szCs w:val="24"/>
        </w:rPr>
      </w:pPr>
      <w:r>
        <w:rPr>
          <w:rFonts w:hint="eastAsia" w:ascii="宋体" w:hAnsi="宋体" w:cs="宋体"/>
          <w:sz w:val="24"/>
          <w:szCs w:val="24"/>
        </w:rPr>
        <w:t>我方收到____________________________（项目名称）的竞争性磋商文件，经详细研究，决定参加该项目的磋商。</w:t>
      </w:r>
    </w:p>
    <w:p>
      <w:pPr>
        <w:tabs>
          <w:tab w:val="left" w:pos="6300"/>
        </w:tabs>
        <w:snapToGrid w:val="0"/>
        <w:spacing w:line="520" w:lineRule="exact"/>
        <w:ind w:firstLine="480" w:firstLineChars="200"/>
        <w:rPr>
          <w:rFonts w:ascii="宋体" w:hAnsi="宋体" w:cs="宋体"/>
          <w:sz w:val="24"/>
          <w:szCs w:val="24"/>
        </w:rPr>
      </w:pPr>
      <w:r>
        <w:rPr>
          <w:rFonts w:hint="eastAsia" w:ascii="宋体" w:hAnsi="宋体" w:cs="宋体"/>
          <w:sz w:val="24"/>
          <w:szCs w:val="24"/>
        </w:rPr>
        <w:t>1.愿意按照竞争性磋商文件中的一切要求，提供本项目的服务，初始报价为人民币大写：</w:t>
      </w:r>
      <w:r>
        <w:rPr>
          <w:rFonts w:hint="eastAsia" w:ascii="宋体" w:hAnsi="宋体" w:cs="宋体"/>
          <w:sz w:val="24"/>
          <w:szCs w:val="24"/>
          <w:u w:val="single"/>
        </w:rPr>
        <w:t xml:space="preserve">      </w:t>
      </w:r>
      <w:r>
        <w:rPr>
          <w:rFonts w:hint="eastAsia" w:ascii="宋体" w:hAnsi="宋体" w:cs="宋体"/>
          <w:sz w:val="24"/>
          <w:szCs w:val="24"/>
        </w:rPr>
        <w:t>元整；人民币小写：</w:t>
      </w:r>
      <w:r>
        <w:rPr>
          <w:rFonts w:hint="eastAsia" w:ascii="宋体" w:hAnsi="宋体" w:cs="宋体"/>
          <w:sz w:val="24"/>
          <w:szCs w:val="24"/>
          <w:u w:val="single"/>
        </w:rPr>
        <w:t xml:space="preserve">    </w:t>
      </w:r>
      <w:r>
        <w:rPr>
          <w:rFonts w:hint="eastAsia" w:ascii="宋体" w:hAnsi="宋体" w:cs="宋体"/>
          <w:sz w:val="24"/>
          <w:szCs w:val="24"/>
        </w:rPr>
        <w:t>元。以我公司最后报价为准。</w:t>
      </w:r>
    </w:p>
    <w:p>
      <w:pPr>
        <w:tabs>
          <w:tab w:val="left" w:pos="6300"/>
        </w:tabs>
        <w:snapToGrid w:val="0"/>
        <w:spacing w:line="520" w:lineRule="exact"/>
        <w:ind w:firstLine="480" w:firstLineChars="200"/>
        <w:rPr>
          <w:rFonts w:ascii="宋体" w:hAnsi="宋体" w:cs="宋体"/>
          <w:sz w:val="24"/>
          <w:szCs w:val="24"/>
        </w:rPr>
      </w:pPr>
      <w:r>
        <w:rPr>
          <w:rFonts w:hint="eastAsia" w:ascii="宋体" w:hAnsi="宋体" w:cs="宋体"/>
          <w:sz w:val="24"/>
          <w:szCs w:val="24"/>
        </w:rPr>
        <w:t>2.我方现提交的响应文件为：响应文件正本</w:t>
      </w:r>
      <w:r>
        <w:rPr>
          <w:rFonts w:hint="eastAsia" w:ascii="宋体" w:hAnsi="宋体" w:cs="宋体"/>
          <w:sz w:val="24"/>
          <w:szCs w:val="24"/>
          <w:u w:val="single"/>
        </w:rPr>
        <w:t xml:space="preserve">   </w:t>
      </w:r>
      <w:r>
        <w:rPr>
          <w:rFonts w:hint="eastAsia" w:ascii="宋体" w:hAnsi="宋体" w:cs="宋体"/>
          <w:sz w:val="24"/>
          <w:szCs w:val="24"/>
        </w:rPr>
        <w:t>份，副本</w:t>
      </w:r>
      <w:r>
        <w:rPr>
          <w:rFonts w:hint="eastAsia" w:ascii="宋体" w:hAnsi="宋体" w:cs="宋体"/>
          <w:sz w:val="24"/>
          <w:szCs w:val="24"/>
          <w:u w:val="single"/>
        </w:rPr>
        <w:t xml:space="preserve">   </w:t>
      </w:r>
      <w:r>
        <w:rPr>
          <w:rFonts w:hint="eastAsia" w:ascii="宋体" w:hAnsi="宋体" w:cs="宋体"/>
          <w:sz w:val="24"/>
          <w:szCs w:val="24"/>
        </w:rPr>
        <w:t>份。</w:t>
      </w:r>
    </w:p>
    <w:p>
      <w:pPr>
        <w:tabs>
          <w:tab w:val="left" w:pos="6300"/>
        </w:tabs>
        <w:snapToGrid w:val="0"/>
        <w:spacing w:line="520" w:lineRule="exact"/>
        <w:ind w:firstLine="480" w:firstLineChars="200"/>
        <w:rPr>
          <w:rFonts w:ascii="宋体" w:hAnsi="宋体" w:cs="宋体"/>
          <w:sz w:val="24"/>
          <w:szCs w:val="24"/>
        </w:rPr>
      </w:pPr>
      <w:r>
        <w:rPr>
          <w:rFonts w:hint="eastAsia" w:ascii="宋体" w:hAnsi="宋体" w:cs="宋体"/>
          <w:sz w:val="24"/>
          <w:szCs w:val="24"/>
        </w:rPr>
        <w:t>3.我方承诺：本次磋商的有效期为90天。</w:t>
      </w:r>
    </w:p>
    <w:p>
      <w:pPr>
        <w:tabs>
          <w:tab w:val="left" w:pos="6300"/>
        </w:tabs>
        <w:snapToGrid w:val="0"/>
        <w:spacing w:line="520" w:lineRule="exact"/>
        <w:ind w:firstLine="480" w:firstLineChars="200"/>
        <w:rPr>
          <w:rFonts w:ascii="宋体" w:hAnsi="宋体" w:cs="宋体"/>
          <w:sz w:val="24"/>
          <w:szCs w:val="24"/>
        </w:rPr>
      </w:pPr>
      <w:r>
        <w:rPr>
          <w:rFonts w:hint="eastAsia" w:ascii="宋体" w:hAnsi="宋体" w:cs="宋体"/>
          <w:sz w:val="24"/>
          <w:szCs w:val="24"/>
        </w:rPr>
        <w:t>4.我方完全理解和接受贵方竞争性磋商文件的一切规定和要求及评审办法。</w:t>
      </w:r>
    </w:p>
    <w:p>
      <w:pPr>
        <w:tabs>
          <w:tab w:val="left" w:pos="6300"/>
        </w:tabs>
        <w:snapToGrid w:val="0"/>
        <w:spacing w:line="520" w:lineRule="exact"/>
        <w:ind w:firstLine="480" w:firstLineChars="200"/>
        <w:rPr>
          <w:rFonts w:ascii="宋体" w:hAnsi="宋体" w:cs="宋体"/>
          <w:sz w:val="24"/>
          <w:szCs w:val="24"/>
        </w:rPr>
      </w:pPr>
      <w:r>
        <w:rPr>
          <w:rFonts w:hint="eastAsia" w:ascii="宋体" w:hAnsi="宋体" w:cs="宋体"/>
          <w:sz w:val="24"/>
          <w:szCs w:val="24"/>
        </w:rPr>
        <w:t>5.在整个竞争性磋商过程中，我方若有违规行为，接受按照《中华人民共和国政府采购法》和《竞争性磋商文件》之规定给予惩罚。</w:t>
      </w:r>
    </w:p>
    <w:p>
      <w:pPr>
        <w:tabs>
          <w:tab w:val="left" w:pos="6300"/>
        </w:tabs>
        <w:snapToGrid w:val="0"/>
        <w:spacing w:line="520" w:lineRule="exact"/>
        <w:ind w:firstLine="480" w:firstLineChars="200"/>
        <w:rPr>
          <w:rFonts w:ascii="宋体" w:hAnsi="宋体" w:cs="宋体"/>
          <w:sz w:val="24"/>
          <w:szCs w:val="24"/>
        </w:rPr>
      </w:pPr>
      <w:r>
        <w:rPr>
          <w:rFonts w:hint="eastAsia" w:ascii="宋体" w:hAnsi="宋体" w:cs="宋体"/>
          <w:sz w:val="24"/>
          <w:szCs w:val="24"/>
        </w:rPr>
        <w:t>6.我方若成为成交供应商，将按照最终磋商结果签订合同，并且严格履行合同义务。本承诺函将成为合同不可分割的一部分，与合同具有同等的法律效力。</w:t>
      </w:r>
    </w:p>
    <w:p>
      <w:pPr>
        <w:tabs>
          <w:tab w:val="left" w:pos="6300"/>
        </w:tabs>
        <w:snapToGrid w:val="0"/>
        <w:spacing w:line="520" w:lineRule="exact"/>
        <w:ind w:firstLine="480" w:firstLineChars="200"/>
        <w:rPr>
          <w:rFonts w:ascii="宋体" w:hAnsi="宋体" w:cs="宋体"/>
          <w:sz w:val="24"/>
          <w:szCs w:val="24"/>
        </w:rPr>
      </w:pPr>
      <w:r>
        <w:rPr>
          <w:rFonts w:hint="eastAsia" w:ascii="宋体" w:hAnsi="宋体" w:cs="宋体"/>
          <w:sz w:val="24"/>
          <w:szCs w:val="24"/>
        </w:rPr>
        <w:t>7.如果我方成为成交供应商，保证在接到成交通知书后，向采购代理机构缴纳竞争性磋商文件规定的采购代理服务费。</w:t>
      </w:r>
    </w:p>
    <w:p>
      <w:pPr>
        <w:tabs>
          <w:tab w:val="left" w:pos="6300"/>
        </w:tabs>
        <w:snapToGrid w:val="0"/>
        <w:spacing w:line="520" w:lineRule="exact"/>
        <w:ind w:firstLine="480" w:firstLineChars="200"/>
        <w:rPr>
          <w:rFonts w:ascii="宋体" w:hAnsi="宋体" w:cs="宋体"/>
          <w:sz w:val="24"/>
          <w:szCs w:val="24"/>
        </w:rPr>
      </w:pPr>
      <w:r>
        <w:rPr>
          <w:rFonts w:hint="eastAsia" w:ascii="宋体" w:hAnsi="宋体" w:cs="宋体"/>
          <w:sz w:val="24"/>
          <w:szCs w:val="24"/>
        </w:rPr>
        <w:t>8.</w:t>
      </w:r>
      <w:r>
        <w:rPr>
          <w:rFonts w:hint="eastAsia" w:ascii="宋体" w:hAnsi="宋体" w:cs="宋体"/>
          <w:sz w:val="24"/>
          <w:szCs w:val="28"/>
        </w:rPr>
        <w:t>我方未</w:t>
      </w:r>
      <w:r>
        <w:rPr>
          <w:rFonts w:hint="eastAsia" w:ascii="宋体" w:hAnsi="宋体" w:cs="宋体"/>
          <w:sz w:val="24"/>
          <w:szCs w:val="24"/>
        </w:rPr>
        <w:t>为采购项目提供整体设计、规范编制或者项目管理、监理、检测等服务。</w:t>
      </w:r>
    </w:p>
    <w:p>
      <w:pPr>
        <w:tabs>
          <w:tab w:val="left" w:pos="6300"/>
        </w:tabs>
        <w:snapToGrid w:val="0"/>
        <w:spacing w:line="520" w:lineRule="exact"/>
        <w:ind w:firstLine="570"/>
        <w:rPr>
          <w:rFonts w:ascii="宋体" w:hAnsi="宋体" w:cs="宋体"/>
          <w:sz w:val="24"/>
          <w:szCs w:val="24"/>
        </w:rPr>
      </w:pPr>
      <w:r>
        <w:rPr>
          <w:rFonts w:hint="eastAsia" w:ascii="宋体" w:hAnsi="宋体" w:cs="宋体"/>
          <w:sz w:val="24"/>
          <w:szCs w:val="24"/>
        </w:rPr>
        <w:t>供应商（公章）：</w:t>
      </w:r>
    </w:p>
    <w:p>
      <w:pPr>
        <w:tabs>
          <w:tab w:val="left" w:pos="6300"/>
        </w:tabs>
        <w:snapToGrid w:val="0"/>
        <w:spacing w:line="520" w:lineRule="exact"/>
        <w:ind w:firstLine="570"/>
        <w:rPr>
          <w:rFonts w:ascii="宋体" w:hAnsi="宋体" w:cs="宋体"/>
          <w:sz w:val="24"/>
          <w:szCs w:val="24"/>
        </w:rPr>
      </w:pPr>
      <w:r>
        <w:rPr>
          <w:rFonts w:hint="eastAsia" w:ascii="宋体" w:hAnsi="宋体" w:cs="宋体"/>
          <w:sz w:val="24"/>
          <w:szCs w:val="24"/>
        </w:rPr>
        <w:t xml:space="preserve">地址：  </w:t>
      </w:r>
    </w:p>
    <w:p>
      <w:pPr>
        <w:tabs>
          <w:tab w:val="left" w:pos="6300"/>
        </w:tabs>
        <w:snapToGrid w:val="0"/>
        <w:spacing w:line="520" w:lineRule="exact"/>
        <w:ind w:firstLine="570"/>
        <w:rPr>
          <w:rFonts w:ascii="宋体" w:hAnsi="宋体" w:cs="宋体"/>
          <w:sz w:val="24"/>
          <w:szCs w:val="24"/>
        </w:rPr>
      </w:pPr>
      <w:r>
        <w:rPr>
          <w:rFonts w:hint="eastAsia" w:ascii="宋体" w:hAnsi="宋体" w:cs="宋体"/>
          <w:sz w:val="24"/>
          <w:szCs w:val="24"/>
        </w:rPr>
        <w:t>电话：                                             传真：</w:t>
      </w:r>
    </w:p>
    <w:p>
      <w:pPr>
        <w:tabs>
          <w:tab w:val="left" w:pos="6300"/>
        </w:tabs>
        <w:snapToGrid w:val="0"/>
        <w:spacing w:line="520" w:lineRule="exact"/>
        <w:ind w:firstLine="570"/>
        <w:rPr>
          <w:rFonts w:ascii="宋体" w:hAnsi="宋体" w:cs="宋体"/>
          <w:sz w:val="24"/>
          <w:szCs w:val="24"/>
        </w:rPr>
      </w:pPr>
      <w:r>
        <w:rPr>
          <w:rFonts w:hint="eastAsia" w:ascii="宋体" w:hAnsi="宋体" w:cs="宋体"/>
          <w:sz w:val="24"/>
          <w:szCs w:val="24"/>
        </w:rPr>
        <w:t>网址：                                             邮编：</w:t>
      </w:r>
    </w:p>
    <w:p>
      <w:pPr>
        <w:tabs>
          <w:tab w:val="left" w:pos="6300"/>
        </w:tabs>
        <w:snapToGrid w:val="0"/>
        <w:spacing w:line="520" w:lineRule="exact"/>
        <w:ind w:firstLine="570"/>
        <w:rPr>
          <w:rFonts w:ascii="宋体" w:hAnsi="宋体" w:cs="宋体"/>
          <w:sz w:val="24"/>
          <w:szCs w:val="24"/>
        </w:rPr>
      </w:pPr>
      <w:r>
        <w:rPr>
          <w:rFonts w:hint="eastAsia" w:ascii="宋体" w:hAnsi="宋体" w:cs="宋体"/>
          <w:sz w:val="24"/>
          <w:szCs w:val="24"/>
        </w:rPr>
        <w:t>联系人：</w:t>
      </w:r>
    </w:p>
    <w:p>
      <w:pPr>
        <w:tabs>
          <w:tab w:val="left" w:pos="6300"/>
        </w:tabs>
        <w:snapToGrid w:val="0"/>
        <w:spacing w:line="520" w:lineRule="exact"/>
        <w:ind w:firstLine="570"/>
        <w:rPr>
          <w:rFonts w:ascii="宋体" w:hAnsi="宋体" w:cs="宋体"/>
          <w:sz w:val="24"/>
          <w:szCs w:val="24"/>
        </w:rPr>
      </w:pPr>
    </w:p>
    <w:p>
      <w:pPr>
        <w:snapToGrid w:val="0"/>
        <w:spacing w:line="520" w:lineRule="exact"/>
        <w:ind w:firstLine="480" w:firstLineChars="200"/>
        <w:rPr>
          <w:rFonts w:ascii="宋体" w:hAnsi="宋体" w:cs="宋体"/>
          <w:sz w:val="24"/>
          <w:szCs w:val="24"/>
        </w:rPr>
      </w:pPr>
      <w:r>
        <w:rPr>
          <w:rFonts w:hint="eastAsia" w:ascii="宋体" w:hAnsi="宋体" w:cs="宋体"/>
          <w:sz w:val="24"/>
          <w:szCs w:val="24"/>
        </w:rPr>
        <w:t xml:space="preserve">                                                  年   月   日</w:t>
      </w:r>
    </w:p>
    <w:p>
      <w:pPr>
        <w:snapToGrid w:val="0"/>
        <w:spacing w:line="520" w:lineRule="exact"/>
        <w:ind w:firstLine="480" w:firstLineChars="200"/>
        <w:rPr>
          <w:rFonts w:ascii="宋体" w:hAnsi="宋体" w:cs="宋体"/>
          <w:sz w:val="24"/>
          <w:szCs w:val="24"/>
        </w:rPr>
      </w:pPr>
    </w:p>
    <w:p>
      <w:pPr>
        <w:snapToGrid w:val="0"/>
        <w:spacing w:line="500" w:lineRule="exact"/>
        <w:ind w:firstLine="480" w:firstLineChars="200"/>
        <w:rPr>
          <w:rFonts w:ascii="宋体" w:hAnsi="宋体" w:cs="宋体"/>
          <w:sz w:val="24"/>
          <w:szCs w:val="24"/>
        </w:rPr>
        <w:sectPr>
          <w:pgSz w:w="11907" w:h="16840"/>
          <w:pgMar w:top="1134" w:right="1191" w:bottom="1134" w:left="1191" w:header="851" w:footer="992" w:gutter="0"/>
          <w:cols w:space="720" w:num="1"/>
          <w:docGrid w:linePitch="380" w:charSpace="-5735"/>
        </w:sectPr>
      </w:pPr>
    </w:p>
    <w:p>
      <w:pPr>
        <w:snapToGrid w:val="0"/>
        <w:spacing w:line="500" w:lineRule="exact"/>
        <w:ind w:firstLine="480" w:firstLineChars="200"/>
        <w:rPr>
          <w:rFonts w:ascii="宋体" w:hAnsi="宋体" w:cs="宋体"/>
          <w:sz w:val="24"/>
          <w:szCs w:val="24"/>
        </w:rPr>
      </w:pPr>
      <w:r>
        <w:rPr>
          <w:rFonts w:hint="eastAsia" w:ascii="宋体" w:hAnsi="宋体" w:cs="宋体"/>
          <w:sz w:val="24"/>
          <w:szCs w:val="24"/>
        </w:rPr>
        <w:t>（二）最后报价表</w:t>
      </w:r>
    </w:p>
    <w:p>
      <w:pPr>
        <w:snapToGrid w:val="0"/>
        <w:spacing w:line="500" w:lineRule="exact"/>
        <w:jc w:val="center"/>
        <w:rPr>
          <w:rFonts w:ascii="宋体" w:hAnsi="宋体" w:cs="宋体"/>
          <w:b/>
          <w:bCs/>
          <w:sz w:val="36"/>
          <w:szCs w:val="36"/>
        </w:rPr>
      </w:pPr>
      <w:bookmarkStart w:id="90" w:name="_Toc313008357"/>
      <w:bookmarkStart w:id="91" w:name="_Toc342913420"/>
      <w:bookmarkStart w:id="92" w:name="_Toc20130568"/>
      <w:bookmarkStart w:id="93" w:name="_Toc313888361"/>
      <w:r>
        <w:rPr>
          <w:rFonts w:hint="eastAsia" w:ascii="宋体" w:hAnsi="宋体" w:cs="宋体"/>
          <w:b/>
          <w:bCs/>
          <w:sz w:val="36"/>
          <w:szCs w:val="36"/>
        </w:rPr>
        <w:t>最后报价表</w:t>
      </w:r>
    </w:p>
    <w:p>
      <w:pPr>
        <w:pStyle w:val="2"/>
        <w:rPr>
          <w:rFonts w:hAnsi="宋体" w:cs="宋体"/>
          <w:color w:val="auto"/>
        </w:rPr>
      </w:pPr>
    </w:p>
    <w:tbl>
      <w:tblPr>
        <w:tblStyle w:val="14"/>
        <w:tblW w:w="9292" w:type="dxa"/>
        <w:tblInd w:w="2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7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4" w:hRule="atLeast"/>
        </w:trPr>
        <w:tc>
          <w:tcPr>
            <w:tcW w:w="1523" w:type="dxa"/>
            <w:vAlign w:val="center"/>
          </w:tcPr>
          <w:p>
            <w:pPr>
              <w:spacing w:line="500" w:lineRule="exact"/>
              <w:jc w:val="center"/>
              <w:rPr>
                <w:rFonts w:ascii="宋体" w:hAnsi="宋体" w:cs="宋体"/>
                <w:sz w:val="24"/>
                <w:szCs w:val="24"/>
              </w:rPr>
            </w:pPr>
            <w:r>
              <w:rPr>
                <w:rFonts w:hint="eastAsia" w:ascii="宋体" w:hAnsi="宋体" w:cs="宋体"/>
                <w:sz w:val="24"/>
                <w:szCs w:val="24"/>
              </w:rPr>
              <w:t>供应商全称</w:t>
            </w:r>
          </w:p>
        </w:tc>
        <w:tc>
          <w:tcPr>
            <w:tcW w:w="7769" w:type="dxa"/>
            <w:vAlign w:val="center"/>
          </w:tcPr>
          <w:p>
            <w:pPr>
              <w:spacing w:line="50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0" w:hRule="atLeast"/>
        </w:trPr>
        <w:tc>
          <w:tcPr>
            <w:tcW w:w="9292" w:type="dxa"/>
            <w:gridSpan w:val="2"/>
            <w:vAlign w:val="center"/>
          </w:tcPr>
          <w:p>
            <w:pPr>
              <w:spacing w:line="500" w:lineRule="exact"/>
              <w:rPr>
                <w:rFonts w:ascii="宋体" w:hAnsi="宋体" w:cs="宋体"/>
                <w:sz w:val="24"/>
                <w:szCs w:val="24"/>
              </w:rPr>
            </w:pPr>
            <w:r>
              <w:rPr>
                <w:rFonts w:hint="eastAsia" w:ascii="宋体" w:hAnsi="宋体" w:cs="宋体"/>
                <w:sz w:val="24"/>
                <w:szCs w:val="24"/>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5" w:hRule="atLeast"/>
        </w:trPr>
        <w:tc>
          <w:tcPr>
            <w:tcW w:w="9292" w:type="dxa"/>
            <w:gridSpan w:val="2"/>
            <w:tcBorders>
              <w:bottom w:val="single" w:color="auto" w:sz="4" w:space="0"/>
            </w:tcBorders>
            <w:vAlign w:val="center"/>
          </w:tcPr>
          <w:p>
            <w:pPr>
              <w:spacing w:line="560" w:lineRule="exact"/>
              <w:rPr>
                <w:rFonts w:ascii="宋体" w:hAnsi="宋体" w:cs="宋体"/>
                <w:sz w:val="24"/>
                <w:szCs w:val="24"/>
              </w:rPr>
            </w:pPr>
            <w:r>
              <w:rPr>
                <w:rFonts w:hint="eastAsia" w:ascii="宋体" w:hAnsi="宋体" w:cs="宋体"/>
                <w:sz w:val="24"/>
                <w:szCs w:val="24"/>
              </w:rPr>
              <w:t xml:space="preserve">总价报价（大写）：                        小写：         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9" w:hRule="atLeast"/>
        </w:trPr>
        <w:tc>
          <w:tcPr>
            <w:tcW w:w="9292" w:type="dxa"/>
            <w:gridSpan w:val="2"/>
            <w:vAlign w:val="center"/>
          </w:tcPr>
          <w:p>
            <w:pPr>
              <w:pStyle w:val="9"/>
              <w:spacing w:line="500" w:lineRule="exact"/>
              <w:rPr>
                <w:rFonts w:ascii="宋体" w:hAnsi="宋体" w:cs="宋体"/>
                <w:sz w:val="24"/>
                <w:szCs w:val="24"/>
              </w:rPr>
            </w:pPr>
            <w:r>
              <w:rPr>
                <w:rFonts w:hint="eastAsia" w:ascii="宋体" w:hAnsi="宋体" w:cs="宋体"/>
                <w:sz w:val="24"/>
                <w:szCs w:val="24"/>
              </w:rPr>
              <w:t>备注：</w:t>
            </w:r>
          </w:p>
        </w:tc>
      </w:tr>
    </w:tbl>
    <w:p>
      <w:pPr>
        <w:pStyle w:val="22"/>
        <w:rPr>
          <w:rFonts w:ascii="宋体" w:hAnsi="宋体" w:cs="宋体"/>
          <w:sz w:val="24"/>
          <w:szCs w:val="24"/>
        </w:rPr>
      </w:pPr>
    </w:p>
    <w:p>
      <w:pPr>
        <w:pStyle w:val="22"/>
        <w:rPr>
          <w:rFonts w:ascii="宋体" w:hAnsi="宋体" w:cs="宋体"/>
          <w:sz w:val="24"/>
          <w:szCs w:val="24"/>
        </w:rPr>
      </w:pPr>
    </w:p>
    <w:p>
      <w:pPr>
        <w:snapToGrid w:val="0"/>
        <w:spacing w:line="500" w:lineRule="exact"/>
        <w:ind w:firstLine="570"/>
        <w:jc w:val="center"/>
        <w:rPr>
          <w:rFonts w:ascii="宋体" w:hAnsi="宋体" w:cs="宋体"/>
          <w:b/>
          <w:bCs/>
          <w:sz w:val="24"/>
          <w:szCs w:val="24"/>
        </w:rPr>
      </w:pPr>
    </w:p>
    <w:p>
      <w:pPr>
        <w:spacing w:line="500" w:lineRule="exact"/>
        <w:ind w:firstLine="241" w:firstLineChars="100"/>
        <w:rPr>
          <w:rFonts w:ascii="宋体" w:hAnsi="宋体" w:cs="宋体"/>
          <w:b/>
          <w:bCs/>
          <w:sz w:val="24"/>
          <w:szCs w:val="24"/>
        </w:rPr>
      </w:pPr>
      <w:r>
        <w:rPr>
          <w:rFonts w:hint="eastAsia" w:ascii="宋体" w:hAnsi="宋体" w:cs="宋体"/>
          <w:b/>
          <w:bCs/>
          <w:sz w:val="24"/>
          <w:szCs w:val="24"/>
        </w:rPr>
        <w:t>供应商：                            法人授权代表：</w:t>
      </w:r>
    </w:p>
    <w:p>
      <w:pPr>
        <w:spacing w:line="500" w:lineRule="exact"/>
        <w:rPr>
          <w:rFonts w:ascii="宋体" w:hAnsi="宋体" w:cs="宋体"/>
          <w:sz w:val="24"/>
          <w:szCs w:val="24"/>
        </w:rPr>
      </w:pPr>
      <w:r>
        <w:rPr>
          <w:rFonts w:hint="eastAsia" w:ascii="宋体" w:hAnsi="宋体" w:cs="宋体"/>
          <w:b/>
          <w:bCs/>
          <w:sz w:val="24"/>
          <w:szCs w:val="24"/>
        </w:rPr>
        <w:t xml:space="preserve">                               </w:t>
      </w:r>
    </w:p>
    <w:p>
      <w:pPr>
        <w:spacing w:line="500" w:lineRule="exact"/>
        <w:rPr>
          <w:rFonts w:ascii="宋体" w:hAnsi="宋体" w:cs="宋体"/>
          <w:sz w:val="24"/>
          <w:szCs w:val="24"/>
        </w:rPr>
      </w:pPr>
      <w:r>
        <w:rPr>
          <w:rFonts w:hint="eastAsia" w:ascii="宋体" w:hAnsi="宋体" w:cs="宋体"/>
          <w:sz w:val="24"/>
          <w:szCs w:val="24"/>
        </w:rPr>
        <w:t xml:space="preserve">                                            年     月     日</w:t>
      </w:r>
    </w:p>
    <w:p>
      <w:pPr>
        <w:snapToGrid w:val="0"/>
        <w:spacing w:line="500" w:lineRule="exact"/>
        <w:ind w:firstLine="480" w:firstLineChars="200"/>
        <w:rPr>
          <w:rFonts w:ascii="宋体" w:hAnsi="宋体" w:cs="宋体"/>
          <w:sz w:val="24"/>
          <w:szCs w:val="24"/>
        </w:rPr>
      </w:pPr>
    </w:p>
    <w:p>
      <w:pPr>
        <w:snapToGrid w:val="0"/>
        <w:spacing w:line="500" w:lineRule="exact"/>
        <w:ind w:firstLine="480" w:firstLineChars="200"/>
        <w:rPr>
          <w:rFonts w:ascii="宋体" w:hAnsi="宋体" w:cs="宋体"/>
          <w:sz w:val="24"/>
          <w:szCs w:val="24"/>
        </w:rPr>
      </w:pPr>
    </w:p>
    <w:p>
      <w:pPr>
        <w:pStyle w:val="5"/>
        <w:spacing w:before="0" w:after="0" w:line="360" w:lineRule="auto"/>
        <w:ind w:firstLine="480" w:firstLineChars="200"/>
        <w:rPr>
          <w:rFonts w:ascii="宋体" w:hAnsi="宋体" w:cs="宋体"/>
          <w:b w:val="0"/>
          <w:bCs/>
          <w:sz w:val="24"/>
          <w:szCs w:val="24"/>
        </w:rPr>
        <w:sectPr>
          <w:pgSz w:w="11907" w:h="16840"/>
          <w:pgMar w:top="1134" w:right="1191" w:bottom="1134" w:left="1191" w:header="851" w:footer="992" w:gutter="0"/>
          <w:cols w:space="720" w:num="1"/>
          <w:docGrid w:linePitch="380" w:charSpace="-5735"/>
        </w:sectPr>
      </w:pPr>
      <w:r>
        <w:rPr>
          <w:rFonts w:hint="eastAsia" w:ascii="宋体" w:hAnsi="宋体" w:cs="宋体"/>
          <w:b w:val="0"/>
          <w:bCs/>
          <w:sz w:val="24"/>
          <w:szCs w:val="24"/>
        </w:rPr>
        <w:t>请各供应商将最后报价表单独打印（响应文件中不提供本表），并随身携带到开标现场，通过磋商后，在开标现场填写最后报价表，务必填写清楚，准确无误。如在规定时间内不填写上交最</w:t>
      </w:r>
      <w:r>
        <w:rPr>
          <w:rFonts w:hint="eastAsia" w:ascii="宋体" w:hAnsi="宋体" w:cs="宋体"/>
          <w:b w:val="0"/>
          <w:bCs/>
          <w:sz w:val="24"/>
          <w:szCs w:val="24"/>
          <w:lang w:val="en-US" w:eastAsia="zh-CN"/>
        </w:rPr>
        <w:t>后</w:t>
      </w:r>
      <w:r>
        <w:rPr>
          <w:rFonts w:hint="eastAsia" w:ascii="宋体" w:hAnsi="宋体" w:cs="宋体"/>
          <w:b w:val="0"/>
          <w:bCs/>
          <w:sz w:val="24"/>
          <w:szCs w:val="24"/>
        </w:rPr>
        <w:t>报价表，以第一次报价为准。最</w:t>
      </w:r>
      <w:r>
        <w:rPr>
          <w:rFonts w:hint="eastAsia" w:ascii="宋体" w:hAnsi="宋体" w:cs="宋体"/>
          <w:b w:val="0"/>
          <w:bCs/>
          <w:sz w:val="24"/>
          <w:szCs w:val="24"/>
          <w:lang w:val="en-US" w:eastAsia="zh-CN"/>
        </w:rPr>
        <w:t>后</w:t>
      </w:r>
      <w:r>
        <w:rPr>
          <w:rFonts w:hint="eastAsia" w:ascii="宋体" w:hAnsi="宋体" w:cs="宋体"/>
          <w:b w:val="0"/>
          <w:bCs/>
          <w:sz w:val="24"/>
          <w:szCs w:val="24"/>
        </w:rPr>
        <w:t>报价不得高于第一次报价，否则按不响应竞争性磋商文件处理。</w:t>
      </w:r>
    </w:p>
    <w:p>
      <w:pPr>
        <w:pStyle w:val="5"/>
        <w:spacing w:before="0" w:after="0" w:line="360" w:lineRule="auto"/>
        <w:ind w:firstLine="482" w:firstLineChars="200"/>
        <w:rPr>
          <w:rFonts w:ascii="宋体" w:hAnsi="宋体" w:cs="宋体"/>
          <w:sz w:val="24"/>
          <w:szCs w:val="24"/>
        </w:rPr>
      </w:pPr>
      <w:r>
        <w:rPr>
          <w:rFonts w:hint="eastAsia" w:ascii="宋体" w:hAnsi="宋体" w:cs="宋体"/>
          <w:sz w:val="24"/>
          <w:szCs w:val="24"/>
        </w:rPr>
        <w:t>二、技术部分</w:t>
      </w:r>
      <w:bookmarkEnd w:id="90"/>
      <w:bookmarkEnd w:id="91"/>
      <w:bookmarkEnd w:id="92"/>
      <w:bookmarkEnd w:id="93"/>
    </w:p>
    <w:p>
      <w:pPr>
        <w:tabs>
          <w:tab w:val="left" w:pos="6300"/>
        </w:tabs>
        <w:snapToGrid w:val="0"/>
        <w:spacing w:line="500" w:lineRule="exact"/>
        <w:ind w:firstLine="480" w:firstLineChars="200"/>
        <w:rPr>
          <w:rFonts w:ascii="宋体" w:hAnsi="宋体" w:cs="宋体"/>
          <w:szCs w:val="24"/>
        </w:rPr>
      </w:pPr>
      <w:r>
        <w:rPr>
          <w:rFonts w:hint="eastAsia" w:ascii="宋体" w:hAnsi="宋体" w:cs="宋体"/>
          <w:sz w:val="24"/>
          <w:szCs w:val="24"/>
        </w:rPr>
        <w:t>（一）技术响应偏离表</w:t>
      </w:r>
    </w:p>
    <w:p>
      <w:pPr>
        <w:pStyle w:val="9"/>
        <w:tabs>
          <w:tab w:val="left" w:pos="6300"/>
        </w:tabs>
        <w:snapToGrid w:val="0"/>
        <w:spacing w:line="500" w:lineRule="exact"/>
        <w:ind w:firstLine="480" w:firstLineChars="200"/>
        <w:outlineLvl w:val="0"/>
        <w:rPr>
          <w:rFonts w:ascii="宋体" w:hAnsi="宋体" w:cs="宋体"/>
          <w:sz w:val="24"/>
        </w:rPr>
      </w:pPr>
      <w:r>
        <w:rPr>
          <w:rFonts w:hint="eastAsia" w:ascii="宋体" w:hAnsi="宋体" w:cs="宋体"/>
          <w:sz w:val="24"/>
        </w:rPr>
        <w:t>项目号：</w:t>
      </w:r>
    </w:p>
    <w:p>
      <w:pPr>
        <w:pStyle w:val="9"/>
        <w:tabs>
          <w:tab w:val="left" w:pos="6300"/>
        </w:tabs>
        <w:snapToGrid w:val="0"/>
        <w:spacing w:line="500" w:lineRule="exact"/>
        <w:ind w:firstLine="480" w:firstLineChars="200"/>
        <w:outlineLvl w:val="0"/>
        <w:rPr>
          <w:rFonts w:ascii="宋体" w:hAnsi="宋体" w:cs="宋体"/>
          <w:sz w:val="24"/>
        </w:rPr>
      </w:pPr>
      <w:r>
        <w:rPr>
          <w:rFonts w:hint="eastAsia" w:ascii="宋体" w:hAnsi="宋体" w:cs="宋体"/>
          <w:sz w:val="24"/>
        </w:rPr>
        <w:t>磋商项目名称：</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658"/>
        <w:gridCol w:w="2759"/>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38" w:type="dxa"/>
            <w:vAlign w:val="center"/>
          </w:tcPr>
          <w:p>
            <w:pPr>
              <w:tabs>
                <w:tab w:val="left" w:pos="6300"/>
              </w:tabs>
              <w:snapToGrid w:val="0"/>
              <w:spacing w:line="500" w:lineRule="exact"/>
              <w:jc w:val="center"/>
              <w:outlineLvl w:val="0"/>
              <w:rPr>
                <w:rFonts w:ascii="宋体" w:hAnsi="宋体" w:cs="宋体"/>
                <w:sz w:val="21"/>
                <w:szCs w:val="21"/>
              </w:rPr>
            </w:pPr>
            <w:r>
              <w:rPr>
                <w:rFonts w:hint="eastAsia" w:ascii="宋体" w:hAnsi="宋体" w:cs="宋体"/>
                <w:sz w:val="21"/>
                <w:szCs w:val="21"/>
              </w:rPr>
              <w:t>序号</w:t>
            </w:r>
          </w:p>
        </w:tc>
        <w:tc>
          <w:tcPr>
            <w:tcW w:w="2658" w:type="dxa"/>
            <w:vAlign w:val="center"/>
          </w:tcPr>
          <w:p>
            <w:pPr>
              <w:tabs>
                <w:tab w:val="left" w:pos="6300"/>
              </w:tabs>
              <w:snapToGrid w:val="0"/>
              <w:spacing w:line="500" w:lineRule="exact"/>
              <w:jc w:val="center"/>
              <w:outlineLvl w:val="0"/>
              <w:rPr>
                <w:rFonts w:ascii="宋体" w:hAnsi="宋体" w:cs="宋体"/>
                <w:sz w:val="21"/>
                <w:szCs w:val="21"/>
              </w:rPr>
            </w:pPr>
            <w:r>
              <w:rPr>
                <w:rFonts w:hint="eastAsia" w:ascii="宋体" w:hAnsi="宋体" w:cs="宋体"/>
                <w:sz w:val="21"/>
                <w:szCs w:val="21"/>
              </w:rPr>
              <w:t>采购需求</w:t>
            </w:r>
          </w:p>
        </w:tc>
        <w:tc>
          <w:tcPr>
            <w:tcW w:w="2759" w:type="dxa"/>
            <w:vAlign w:val="center"/>
          </w:tcPr>
          <w:p>
            <w:pPr>
              <w:tabs>
                <w:tab w:val="left" w:pos="6300"/>
              </w:tabs>
              <w:snapToGrid w:val="0"/>
              <w:spacing w:line="500" w:lineRule="exact"/>
              <w:jc w:val="center"/>
              <w:outlineLvl w:val="0"/>
              <w:rPr>
                <w:rFonts w:ascii="宋体" w:hAnsi="宋体" w:cs="宋体"/>
                <w:sz w:val="21"/>
                <w:szCs w:val="21"/>
              </w:rPr>
            </w:pPr>
            <w:r>
              <w:rPr>
                <w:rFonts w:hint="eastAsia" w:ascii="宋体" w:hAnsi="宋体" w:cs="宋体"/>
                <w:sz w:val="21"/>
                <w:szCs w:val="21"/>
              </w:rPr>
              <w:t>响应情况</w:t>
            </w:r>
          </w:p>
        </w:tc>
        <w:tc>
          <w:tcPr>
            <w:tcW w:w="2067" w:type="dxa"/>
            <w:vAlign w:val="center"/>
          </w:tcPr>
          <w:p>
            <w:pPr>
              <w:tabs>
                <w:tab w:val="left" w:pos="6300"/>
              </w:tabs>
              <w:snapToGrid w:val="0"/>
              <w:spacing w:line="500" w:lineRule="exact"/>
              <w:jc w:val="center"/>
              <w:outlineLvl w:val="0"/>
              <w:rPr>
                <w:rFonts w:ascii="宋体" w:hAnsi="宋体" w:cs="宋体"/>
                <w:sz w:val="21"/>
                <w:szCs w:val="21"/>
              </w:rPr>
            </w:pPr>
            <w:r>
              <w:rPr>
                <w:rFonts w:hint="eastAsia" w:ascii="宋体" w:hAnsi="宋体" w:cs="宋体"/>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宋体" w:hAnsi="宋体" w:cs="宋体"/>
                <w:sz w:val="21"/>
                <w:szCs w:val="21"/>
              </w:rPr>
            </w:pPr>
          </w:p>
        </w:tc>
        <w:tc>
          <w:tcPr>
            <w:tcW w:w="2658" w:type="dxa"/>
            <w:vAlign w:val="center"/>
          </w:tcPr>
          <w:p>
            <w:pPr>
              <w:tabs>
                <w:tab w:val="left" w:pos="6300"/>
              </w:tabs>
              <w:snapToGrid w:val="0"/>
              <w:spacing w:line="500" w:lineRule="exact"/>
              <w:jc w:val="center"/>
              <w:outlineLvl w:val="0"/>
              <w:rPr>
                <w:rFonts w:ascii="宋体" w:hAnsi="宋体" w:cs="宋体"/>
                <w:sz w:val="21"/>
                <w:szCs w:val="21"/>
              </w:rPr>
            </w:pPr>
          </w:p>
        </w:tc>
        <w:tc>
          <w:tcPr>
            <w:tcW w:w="2759" w:type="dxa"/>
            <w:vAlign w:val="center"/>
          </w:tcPr>
          <w:p>
            <w:pPr>
              <w:tabs>
                <w:tab w:val="left" w:pos="6300"/>
              </w:tabs>
              <w:snapToGrid w:val="0"/>
              <w:spacing w:line="500" w:lineRule="exact"/>
              <w:jc w:val="center"/>
              <w:outlineLvl w:val="0"/>
              <w:rPr>
                <w:rFonts w:ascii="宋体" w:hAnsi="宋体" w:cs="宋体"/>
                <w:sz w:val="21"/>
                <w:szCs w:val="21"/>
              </w:rPr>
            </w:pPr>
          </w:p>
        </w:tc>
        <w:tc>
          <w:tcPr>
            <w:tcW w:w="2067" w:type="dxa"/>
            <w:vAlign w:val="center"/>
          </w:tcPr>
          <w:p>
            <w:pPr>
              <w:tabs>
                <w:tab w:val="left" w:pos="6300"/>
              </w:tabs>
              <w:snapToGrid w:val="0"/>
              <w:spacing w:line="500" w:lineRule="exact"/>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宋体" w:hAnsi="宋体" w:cs="宋体"/>
                <w:sz w:val="21"/>
                <w:szCs w:val="21"/>
              </w:rPr>
            </w:pPr>
          </w:p>
        </w:tc>
        <w:tc>
          <w:tcPr>
            <w:tcW w:w="2658" w:type="dxa"/>
            <w:vAlign w:val="center"/>
          </w:tcPr>
          <w:p>
            <w:pPr>
              <w:tabs>
                <w:tab w:val="left" w:pos="6300"/>
              </w:tabs>
              <w:snapToGrid w:val="0"/>
              <w:spacing w:line="500" w:lineRule="exact"/>
              <w:jc w:val="center"/>
              <w:outlineLvl w:val="0"/>
              <w:rPr>
                <w:rFonts w:ascii="宋体" w:hAnsi="宋体" w:cs="宋体"/>
                <w:sz w:val="21"/>
                <w:szCs w:val="21"/>
              </w:rPr>
            </w:pPr>
          </w:p>
        </w:tc>
        <w:tc>
          <w:tcPr>
            <w:tcW w:w="2759" w:type="dxa"/>
            <w:vAlign w:val="center"/>
          </w:tcPr>
          <w:p>
            <w:pPr>
              <w:tabs>
                <w:tab w:val="left" w:pos="6300"/>
              </w:tabs>
              <w:snapToGrid w:val="0"/>
              <w:spacing w:line="500" w:lineRule="exact"/>
              <w:jc w:val="center"/>
              <w:outlineLvl w:val="0"/>
              <w:rPr>
                <w:rFonts w:ascii="宋体" w:hAnsi="宋体" w:cs="宋体"/>
                <w:sz w:val="21"/>
                <w:szCs w:val="21"/>
              </w:rPr>
            </w:pPr>
          </w:p>
        </w:tc>
        <w:tc>
          <w:tcPr>
            <w:tcW w:w="2067" w:type="dxa"/>
            <w:vAlign w:val="center"/>
          </w:tcPr>
          <w:p>
            <w:pPr>
              <w:tabs>
                <w:tab w:val="left" w:pos="6300"/>
              </w:tabs>
              <w:snapToGrid w:val="0"/>
              <w:spacing w:line="500" w:lineRule="exact"/>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宋体" w:hAnsi="宋体" w:cs="宋体"/>
                <w:sz w:val="21"/>
                <w:szCs w:val="21"/>
              </w:rPr>
            </w:pPr>
          </w:p>
        </w:tc>
        <w:tc>
          <w:tcPr>
            <w:tcW w:w="2658" w:type="dxa"/>
            <w:vAlign w:val="center"/>
          </w:tcPr>
          <w:p>
            <w:pPr>
              <w:tabs>
                <w:tab w:val="left" w:pos="6300"/>
              </w:tabs>
              <w:snapToGrid w:val="0"/>
              <w:spacing w:line="500" w:lineRule="exact"/>
              <w:jc w:val="center"/>
              <w:outlineLvl w:val="0"/>
              <w:rPr>
                <w:rFonts w:ascii="宋体" w:hAnsi="宋体" w:cs="宋体"/>
                <w:sz w:val="21"/>
                <w:szCs w:val="21"/>
              </w:rPr>
            </w:pPr>
          </w:p>
        </w:tc>
        <w:tc>
          <w:tcPr>
            <w:tcW w:w="2759" w:type="dxa"/>
            <w:vAlign w:val="center"/>
          </w:tcPr>
          <w:p>
            <w:pPr>
              <w:tabs>
                <w:tab w:val="left" w:pos="6300"/>
              </w:tabs>
              <w:snapToGrid w:val="0"/>
              <w:spacing w:line="500" w:lineRule="exact"/>
              <w:jc w:val="center"/>
              <w:outlineLvl w:val="0"/>
              <w:rPr>
                <w:rFonts w:ascii="宋体" w:hAnsi="宋体" w:cs="宋体"/>
                <w:sz w:val="21"/>
                <w:szCs w:val="21"/>
              </w:rPr>
            </w:pPr>
          </w:p>
        </w:tc>
        <w:tc>
          <w:tcPr>
            <w:tcW w:w="2067" w:type="dxa"/>
            <w:vAlign w:val="center"/>
          </w:tcPr>
          <w:p>
            <w:pPr>
              <w:tabs>
                <w:tab w:val="left" w:pos="6300"/>
              </w:tabs>
              <w:snapToGrid w:val="0"/>
              <w:spacing w:line="500" w:lineRule="exact"/>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宋体" w:hAnsi="宋体" w:cs="宋体"/>
                <w:sz w:val="21"/>
                <w:szCs w:val="21"/>
              </w:rPr>
            </w:pPr>
          </w:p>
        </w:tc>
        <w:tc>
          <w:tcPr>
            <w:tcW w:w="2658" w:type="dxa"/>
            <w:vAlign w:val="center"/>
          </w:tcPr>
          <w:p>
            <w:pPr>
              <w:tabs>
                <w:tab w:val="left" w:pos="6300"/>
              </w:tabs>
              <w:snapToGrid w:val="0"/>
              <w:spacing w:line="500" w:lineRule="exact"/>
              <w:jc w:val="center"/>
              <w:outlineLvl w:val="0"/>
              <w:rPr>
                <w:rFonts w:ascii="宋体" w:hAnsi="宋体" w:cs="宋体"/>
                <w:sz w:val="21"/>
                <w:szCs w:val="21"/>
              </w:rPr>
            </w:pPr>
          </w:p>
        </w:tc>
        <w:tc>
          <w:tcPr>
            <w:tcW w:w="2759" w:type="dxa"/>
            <w:vAlign w:val="center"/>
          </w:tcPr>
          <w:p>
            <w:pPr>
              <w:tabs>
                <w:tab w:val="left" w:pos="6300"/>
              </w:tabs>
              <w:snapToGrid w:val="0"/>
              <w:spacing w:line="500" w:lineRule="exact"/>
              <w:jc w:val="center"/>
              <w:outlineLvl w:val="0"/>
              <w:rPr>
                <w:rFonts w:ascii="宋体" w:hAnsi="宋体" w:cs="宋体"/>
                <w:sz w:val="21"/>
                <w:szCs w:val="21"/>
              </w:rPr>
            </w:pPr>
          </w:p>
        </w:tc>
        <w:tc>
          <w:tcPr>
            <w:tcW w:w="2067" w:type="dxa"/>
            <w:vAlign w:val="center"/>
          </w:tcPr>
          <w:p>
            <w:pPr>
              <w:tabs>
                <w:tab w:val="left" w:pos="6300"/>
              </w:tabs>
              <w:snapToGrid w:val="0"/>
              <w:spacing w:line="500" w:lineRule="exact"/>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宋体" w:hAnsi="宋体" w:cs="宋体"/>
                <w:sz w:val="21"/>
                <w:szCs w:val="21"/>
              </w:rPr>
            </w:pPr>
          </w:p>
        </w:tc>
        <w:tc>
          <w:tcPr>
            <w:tcW w:w="2658" w:type="dxa"/>
            <w:vAlign w:val="center"/>
          </w:tcPr>
          <w:p>
            <w:pPr>
              <w:tabs>
                <w:tab w:val="left" w:pos="6300"/>
              </w:tabs>
              <w:snapToGrid w:val="0"/>
              <w:spacing w:line="500" w:lineRule="exact"/>
              <w:jc w:val="center"/>
              <w:outlineLvl w:val="0"/>
              <w:rPr>
                <w:rFonts w:ascii="宋体" w:hAnsi="宋体" w:cs="宋体"/>
                <w:sz w:val="21"/>
                <w:szCs w:val="21"/>
              </w:rPr>
            </w:pPr>
          </w:p>
        </w:tc>
        <w:tc>
          <w:tcPr>
            <w:tcW w:w="2759" w:type="dxa"/>
            <w:vAlign w:val="center"/>
          </w:tcPr>
          <w:p>
            <w:pPr>
              <w:tabs>
                <w:tab w:val="left" w:pos="6300"/>
              </w:tabs>
              <w:snapToGrid w:val="0"/>
              <w:spacing w:line="500" w:lineRule="exact"/>
              <w:jc w:val="center"/>
              <w:outlineLvl w:val="0"/>
              <w:rPr>
                <w:rFonts w:ascii="宋体" w:hAnsi="宋体" w:cs="宋体"/>
                <w:sz w:val="21"/>
                <w:szCs w:val="21"/>
              </w:rPr>
            </w:pPr>
          </w:p>
        </w:tc>
        <w:tc>
          <w:tcPr>
            <w:tcW w:w="2067" w:type="dxa"/>
            <w:vAlign w:val="center"/>
          </w:tcPr>
          <w:p>
            <w:pPr>
              <w:tabs>
                <w:tab w:val="left" w:pos="6300"/>
              </w:tabs>
              <w:snapToGrid w:val="0"/>
              <w:spacing w:line="500" w:lineRule="exact"/>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宋体" w:hAnsi="宋体" w:cs="宋体"/>
                <w:sz w:val="21"/>
                <w:szCs w:val="21"/>
              </w:rPr>
            </w:pPr>
          </w:p>
        </w:tc>
        <w:tc>
          <w:tcPr>
            <w:tcW w:w="2658" w:type="dxa"/>
            <w:vAlign w:val="center"/>
          </w:tcPr>
          <w:p>
            <w:pPr>
              <w:tabs>
                <w:tab w:val="left" w:pos="6300"/>
              </w:tabs>
              <w:snapToGrid w:val="0"/>
              <w:spacing w:line="500" w:lineRule="exact"/>
              <w:jc w:val="center"/>
              <w:outlineLvl w:val="0"/>
              <w:rPr>
                <w:rFonts w:ascii="宋体" w:hAnsi="宋体" w:cs="宋体"/>
                <w:sz w:val="21"/>
                <w:szCs w:val="21"/>
              </w:rPr>
            </w:pPr>
          </w:p>
        </w:tc>
        <w:tc>
          <w:tcPr>
            <w:tcW w:w="2759" w:type="dxa"/>
            <w:vAlign w:val="center"/>
          </w:tcPr>
          <w:p>
            <w:pPr>
              <w:tabs>
                <w:tab w:val="left" w:pos="6300"/>
              </w:tabs>
              <w:snapToGrid w:val="0"/>
              <w:spacing w:line="500" w:lineRule="exact"/>
              <w:jc w:val="center"/>
              <w:outlineLvl w:val="0"/>
              <w:rPr>
                <w:rFonts w:ascii="宋体" w:hAnsi="宋体" w:cs="宋体"/>
                <w:sz w:val="21"/>
                <w:szCs w:val="21"/>
              </w:rPr>
            </w:pPr>
          </w:p>
        </w:tc>
        <w:tc>
          <w:tcPr>
            <w:tcW w:w="2067" w:type="dxa"/>
            <w:vAlign w:val="center"/>
          </w:tcPr>
          <w:p>
            <w:pPr>
              <w:tabs>
                <w:tab w:val="left" w:pos="6300"/>
              </w:tabs>
              <w:snapToGrid w:val="0"/>
              <w:spacing w:line="500" w:lineRule="exact"/>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宋体" w:hAnsi="宋体" w:cs="宋体"/>
                <w:sz w:val="21"/>
                <w:szCs w:val="21"/>
              </w:rPr>
            </w:pPr>
          </w:p>
        </w:tc>
        <w:tc>
          <w:tcPr>
            <w:tcW w:w="2658" w:type="dxa"/>
            <w:vAlign w:val="center"/>
          </w:tcPr>
          <w:p>
            <w:pPr>
              <w:tabs>
                <w:tab w:val="left" w:pos="6300"/>
              </w:tabs>
              <w:snapToGrid w:val="0"/>
              <w:spacing w:line="500" w:lineRule="exact"/>
              <w:jc w:val="center"/>
              <w:outlineLvl w:val="0"/>
              <w:rPr>
                <w:rFonts w:ascii="宋体" w:hAnsi="宋体" w:cs="宋体"/>
                <w:sz w:val="21"/>
                <w:szCs w:val="21"/>
              </w:rPr>
            </w:pPr>
          </w:p>
        </w:tc>
        <w:tc>
          <w:tcPr>
            <w:tcW w:w="2759" w:type="dxa"/>
            <w:vAlign w:val="center"/>
          </w:tcPr>
          <w:p>
            <w:pPr>
              <w:tabs>
                <w:tab w:val="left" w:pos="6300"/>
              </w:tabs>
              <w:snapToGrid w:val="0"/>
              <w:spacing w:line="500" w:lineRule="exact"/>
              <w:jc w:val="center"/>
              <w:outlineLvl w:val="0"/>
              <w:rPr>
                <w:rFonts w:ascii="宋体" w:hAnsi="宋体" w:cs="宋体"/>
                <w:sz w:val="21"/>
                <w:szCs w:val="21"/>
              </w:rPr>
            </w:pPr>
          </w:p>
        </w:tc>
        <w:tc>
          <w:tcPr>
            <w:tcW w:w="2067" w:type="dxa"/>
            <w:vAlign w:val="center"/>
          </w:tcPr>
          <w:p>
            <w:pPr>
              <w:tabs>
                <w:tab w:val="left" w:pos="6300"/>
              </w:tabs>
              <w:snapToGrid w:val="0"/>
              <w:spacing w:line="500" w:lineRule="exact"/>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宋体" w:hAnsi="宋体" w:cs="宋体"/>
                <w:sz w:val="21"/>
                <w:szCs w:val="21"/>
              </w:rPr>
            </w:pPr>
          </w:p>
        </w:tc>
        <w:tc>
          <w:tcPr>
            <w:tcW w:w="2658" w:type="dxa"/>
            <w:vAlign w:val="center"/>
          </w:tcPr>
          <w:p>
            <w:pPr>
              <w:tabs>
                <w:tab w:val="left" w:pos="6300"/>
              </w:tabs>
              <w:snapToGrid w:val="0"/>
              <w:spacing w:line="500" w:lineRule="exact"/>
              <w:jc w:val="center"/>
              <w:outlineLvl w:val="0"/>
              <w:rPr>
                <w:rFonts w:ascii="宋体" w:hAnsi="宋体" w:cs="宋体"/>
                <w:sz w:val="21"/>
                <w:szCs w:val="21"/>
              </w:rPr>
            </w:pPr>
          </w:p>
        </w:tc>
        <w:tc>
          <w:tcPr>
            <w:tcW w:w="2759" w:type="dxa"/>
            <w:vAlign w:val="center"/>
          </w:tcPr>
          <w:p>
            <w:pPr>
              <w:tabs>
                <w:tab w:val="left" w:pos="6300"/>
              </w:tabs>
              <w:snapToGrid w:val="0"/>
              <w:spacing w:line="500" w:lineRule="exact"/>
              <w:jc w:val="center"/>
              <w:outlineLvl w:val="0"/>
              <w:rPr>
                <w:rFonts w:ascii="宋体" w:hAnsi="宋体" w:cs="宋体"/>
                <w:sz w:val="21"/>
                <w:szCs w:val="21"/>
              </w:rPr>
            </w:pPr>
          </w:p>
        </w:tc>
        <w:tc>
          <w:tcPr>
            <w:tcW w:w="2067" w:type="dxa"/>
            <w:vAlign w:val="center"/>
          </w:tcPr>
          <w:p>
            <w:pPr>
              <w:tabs>
                <w:tab w:val="left" w:pos="6300"/>
              </w:tabs>
              <w:snapToGrid w:val="0"/>
              <w:spacing w:line="500" w:lineRule="exact"/>
              <w:jc w:val="center"/>
              <w:outlineLvl w:val="0"/>
              <w:rPr>
                <w:rFonts w:ascii="宋体" w:hAnsi="宋体" w:cs="宋体"/>
                <w:sz w:val="21"/>
                <w:szCs w:val="21"/>
              </w:rPr>
            </w:pPr>
          </w:p>
        </w:tc>
      </w:tr>
    </w:tbl>
    <w:p>
      <w:pPr>
        <w:spacing w:line="500" w:lineRule="exact"/>
        <w:ind w:firstLine="600" w:firstLineChars="250"/>
        <w:rPr>
          <w:rFonts w:ascii="宋体" w:hAnsi="宋体" w:cs="宋体"/>
          <w:sz w:val="24"/>
          <w:szCs w:val="28"/>
        </w:rPr>
      </w:pPr>
      <w:r>
        <w:rPr>
          <w:rFonts w:hint="eastAsia" w:ascii="宋体" w:hAnsi="宋体" w:cs="宋体"/>
          <w:sz w:val="24"/>
          <w:szCs w:val="28"/>
        </w:rPr>
        <w:t>供应商：                                      法人授权代表：</w:t>
      </w:r>
    </w:p>
    <w:p>
      <w:pPr>
        <w:spacing w:line="500" w:lineRule="exact"/>
        <w:rPr>
          <w:rFonts w:ascii="宋体" w:hAnsi="宋体" w:cs="宋体"/>
          <w:sz w:val="24"/>
          <w:szCs w:val="28"/>
        </w:rPr>
      </w:pPr>
      <w:r>
        <w:rPr>
          <w:rFonts w:hint="eastAsia" w:ascii="宋体" w:hAnsi="宋体" w:cs="宋体"/>
          <w:sz w:val="24"/>
          <w:szCs w:val="28"/>
        </w:rPr>
        <w:t xml:space="preserve">   </w:t>
      </w:r>
    </w:p>
    <w:p>
      <w:pPr>
        <w:spacing w:line="500" w:lineRule="exact"/>
        <w:ind w:firstLine="720" w:firstLineChars="300"/>
        <w:rPr>
          <w:rFonts w:ascii="宋体" w:hAnsi="宋体" w:cs="宋体"/>
          <w:sz w:val="24"/>
          <w:szCs w:val="28"/>
        </w:rPr>
      </w:pPr>
      <w:r>
        <w:rPr>
          <w:rFonts w:hint="eastAsia" w:ascii="宋体" w:hAnsi="宋体" w:cs="宋体"/>
          <w:sz w:val="24"/>
          <w:szCs w:val="28"/>
        </w:rPr>
        <w:t>（供应商公章）                               （签字或盖章）</w:t>
      </w:r>
    </w:p>
    <w:p>
      <w:pPr>
        <w:tabs>
          <w:tab w:val="left" w:pos="6300"/>
        </w:tabs>
        <w:snapToGrid w:val="0"/>
        <w:spacing w:line="500" w:lineRule="exact"/>
        <w:ind w:firstLine="570"/>
        <w:rPr>
          <w:rFonts w:ascii="宋体" w:hAnsi="宋体" w:cs="宋体"/>
          <w:sz w:val="24"/>
        </w:rPr>
      </w:pPr>
      <w:r>
        <w:rPr>
          <w:rFonts w:hint="eastAsia" w:ascii="宋体" w:hAnsi="宋体" w:cs="宋体"/>
          <w:sz w:val="24"/>
          <w:szCs w:val="28"/>
        </w:rPr>
        <w:t xml:space="preserve">                                              年     月     日</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注：</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1.本表即为对本项目“第二篇  项目技术需求”中所列条款进行比较和响应；</w:t>
      </w:r>
    </w:p>
    <w:p>
      <w:pPr>
        <w:tabs>
          <w:tab w:val="left" w:pos="6300"/>
        </w:tabs>
        <w:snapToGrid w:val="0"/>
        <w:spacing w:line="500" w:lineRule="exact"/>
        <w:ind w:firstLine="480" w:firstLineChars="200"/>
        <w:rPr>
          <w:rFonts w:ascii="宋体" w:hAnsi="宋体" w:cs="宋体"/>
          <w:sz w:val="24"/>
          <w:szCs w:val="24"/>
        </w:rPr>
      </w:pPr>
      <w:r>
        <w:rPr>
          <w:rFonts w:hint="eastAsia" w:ascii="宋体" w:hAnsi="宋体" w:cs="宋体"/>
          <w:sz w:val="24"/>
        </w:rPr>
        <w:t>2.本表可扩展。</w:t>
      </w:r>
    </w:p>
    <w:p>
      <w:pPr>
        <w:tabs>
          <w:tab w:val="left" w:pos="6300"/>
        </w:tabs>
        <w:snapToGrid w:val="0"/>
        <w:spacing w:line="500" w:lineRule="exact"/>
        <w:rPr>
          <w:rFonts w:ascii="宋体" w:hAnsi="宋体" w:cs="宋体"/>
          <w:sz w:val="24"/>
          <w:szCs w:val="24"/>
        </w:rPr>
      </w:pPr>
    </w:p>
    <w:p>
      <w:pPr>
        <w:pStyle w:val="5"/>
        <w:spacing w:before="0" w:after="0" w:line="360" w:lineRule="auto"/>
        <w:ind w:firstLine="482" w:firstLineChars="200"/>
        <w:rPr>
          <w:rFonts w:ascii="宋体" w:hAnsi="宋体" w:cs="宋体"/>
          <w:sz w:val="24"/>
          <w:szCs w:val="24"/>
        </w:rPr>
        <w:sectPr>
          <w:pgSz w:w="11907" w:h="16840"/>
          <w:pgMar w:top="1134" w:right="1191" w:bottom="1134" w:left="1191" w:header="851" w:footer="992" w:gutter="0"/>
          <w:cols w:space="720" w:num="1"/>
          <w:docGrid w:linePitch="380" w:charSpace="-5735"/>
        </w:sectPr>
      </w:pPr>
      <w:bookmarkStart w:id="94" w:name="_Toc20130569"/>
      <w:bookmarkStart w:id="95" w:name="_Toc342913421"/>
      <w:bookmarkStart w:id="96" w:name="_Toc313008358"/>
      <w:bookmarkStart w:id="97" w:name="_Toc313888362"/>
    </w:p>
    <w:p>
      <w:pPr>
        <w:tabs>
          <w:tab w:val="left" w:pos="6300"/>
        </w:tabs>
        <w:snapToGrid w:val="0"/>
        <w:spacing w:line="500" w:lineRule="exact"/>
        <w:ind w:firstLine="480" w:firstLineChars="200"/>
        <w:rPr>
          <w:rFonts w:ascii="宋体" w:hAnsi="宋体" w:cs="宋体"/>
          <w:sz w:val="24"/>
          <w:szCs w:val="24"/>
        </w:rPr>
        <w:sectPr>
          <w:pgSz w:w="11907" w:h="16840"/>
          <w:pgMar w:top="1134" w:right="1191" w:bottom="1134" w:left="1191" w:header="851" w:footer="992" w:gutter="0"/>
          <w:cols w:space="720" w:num="1"/>
          <w:docGrid w:linePitch="380" w:charSpace="-5735"/>
        </w:sectPr>
      </w:pPr>
      <w:r>
        <w:rPr>
          <w:rFonts w:hint="eastAsia" w:ascii="宋体" w:hAnsi="宋体" w:cs="宋体"/>
          <w:sz w:val="24"/>
          <w:szCs w:val="24"/>
        </w:rPr>
        <w:t>（二）技术部分评分所需资料（格式自定）</w:t>
      </w:r>
    </w:p>
    <w:p>
      <w:pPr>
        <w:pStyle w:val="5"/>
        <w:spacing w:before="0" w:after="0" w:line="360" w:lineRule="auto"/>
        <w:ind w:firstLine="482" w:firstLineChars="200"/>
        <w:rPr>
          <w:rFonts w:ascii="宋体" w:hAnsi="宋体" w:cs="宋体"/>
          <w:sz w:val="24"/>
          <w:szCs w:val="24"/>
        </w:rPr>
      </w:pPr>
      <w:r>
        <w:rPr>
          <w:rFonts w:hint="eastAsia" w:ascii="宋体" w:hAnsi="宋体" w:cs="宋体"/>
          <w:sz w:val="24"/>
          <w:szCs w:val="24"/>
        </w:rPr>
        <w:t>三、商务部分</w:t>
      </w:r>
      <w:bookmarkEnd w:id="94"/>
      <w:bookmarkEnd w:id="95"/>
      <w:bookmarkEnd w:id="96"/>
      <w:bookmarkEnd w:id="97"/>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（一）商务响应偏离表</w:t>
      </w:r>
    </w:p>
    <w:p>
      <w:pPr>
        <w:pStyle w:val="9"/>
        <w:tabs>
          <w:tab w:val="left" w:pos="6300"/>
        </w:tabs>
        <w:snapToGrid w:val="0"/>
        <w:spacing w:line="500" w:lineRule="exact"/>
        <w:ind w:firstLine="480" w:firstLineChars="200"/>
        <w:outlineLvl w:val="0"/>
        <w:rPr>
          <w:rFonts w:ascii="宋体" w:hAnsi="宋体" w:cs="宋体"/>
          <w:sz w:val="24"/>
        </w:rPr>
      </w:pPr>
      <w:r>
        <w:rPr>
          <w:rFonts w:hint="eastAsia" w:ascii="宋体" w:hAnsi="宋体" w:cs="宋体"/>
          <w:sz w:val="24"/>
        </w:rPr>
        <w:t>项目号：</w:t>
      </w:r>
    </w:p>
    <w:p>
      <w:pPr>
        <w:pStyle w:val="9"/>
        <w:tabs>
          <w:tab w:val="left" w:pos="6300"/>
        </w:tabs>
        <w:snapToGrid w:val="0"/>
        <w:spacing w:line="500" w:lineRule="exact"/>
        <w:ind w:firstLine="480" w:firstLineChars="200"/>
        <w:outlineLvl w:val="0"/>
        <w:rPr>
          <w:rFonts w:ascii="宋体" w:hAnsi="宋体" w:cs="宋体"/>
          <w:sz w:val="24"/>
        </w:rPr>
      </w:pPr>
      <w:r>
        <w:rPr>
          <w:rFonts w:hint="eastAsia" w:ascii="宋体" w:hAnsi="宋体" w:cs="宋体"/>
          <w:sz w:val="24"/>
        </w:rPr>
        <w:t>磋商项目名称：</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658"/>
        <w:gridCol w:w="2759"/>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38" w:type="dxa"/>
            <w:vAlign w:val="center"/>
          </w:tcPr>
          <w:p>
            <w:pPr>
              <w:tabs>
                <w:tab w:val="left" w:pos="6300"/>
              </w:tabs>
              <w:snapToGrid w:val="0"/>
              <w:spacing w:line="500" w:lineRule="exact"/>
              <w:jc w:val="center"/>
              <w:outlineLvl w:val="0"/>
              <w:rPr>
                <w:rFonts w:ascii="宋体" w:hAnsi="宋体" w:cs="宋体"/>
                <w:sz w:val="21"/>
                <w:szCs w:val="21"/>
              </w:rPr>
            </w:pPr>
            <w:r>
              <w:rPr>
                <w:rFonts w:hint="eastAsia" w:ascii="宋体" w:hAnsi="宋体" w:cs="宋体"/>
                <w:sz w:val="21"/>
                <w:szCs w:val="21"/>
              </w:rPr>
              <w:t>序号</w:t>
            </w:r>
          </w:p>
        </w:tc>
        <w:tc>
          <w:tcPr>
            <w:tcW w:w="2658" w:type="dxa"/>
            <w:vAlign w:val="center"/>
          </w:tcPr>
          <w:p>
            <w:pPr>
              <w:tabs>
                <w:tab w:val="left" w:pos="6300"/>
              </w:tabs>
              <w:snapToGrid w:val="0"/>
              <w:spacing w:line="500" w:lineRule="exact"/>
              <w:jc w:val="center"/>
              <w:outlineLvl w:val="0"/>
              <w:rPr>
                <w:rFonts w:ascii="宋体" w:hAnsi="宋体" w:cs="宋体"/>
                <w:sz w:val="21"/>
                <w:szCs w:val="21"/>
              </w:rPr>
            </w:pPr>
            <w:r>
              <w:rPr>
                <w:rFonts w:hint="eastAsia" w:ascii="宋体" w:hAnsi="宋体" w:cs="宋体"/>
                <w:sz w:val="21"/>
                <w:szCs w:val="21"/>
              </w:rPr>
              <w:t>采购需求</w:t>
            </w:r>
          </w:p>
        </w:tc>
        <w:tc>
          <w:tcPr>
            <w:tcW w:w="2759" w:type="dxa"/>
            <w:vAlign w:val="center"/>
          </w:tcPr>
          <w:p>
            <w:pPr>
              <w:tabs>
                <w:tab w:val="left" w:pos="6300"/>
              </w:tabs>
              <w:snapToGrid w:val="0"/>
              <w:spacing w:line="500" w:lineRule="exact"/>
              <w:jc w:val="center"/>
              <w:outlineLvl w:val="0"/>
              <w:rPr>
                <w:rFonts w:ascii="宋体" w:hAnsi="宋体" w:cs="宋体"/>
                <w:sz w:val="21"/>
                <w:szCs w:val="21"/>
              </w:rPr>
            </w:pPr>
            <w:r>
              <w:rPr>
                <w:rFonts w:hint="eastAsia" w:ascii="宋体" w:hAnsi="宋体" w:cs="宋体"/>
                <w:sz w:val="21"/>
                <w:szCs w:val="21"/>
              </w:rPr>
              <w:t>响应情况</w:t>
            </w:r>
          </w:p>
        </w:tc>
        <w:tc>
          <w:tcPr>
            <w:tcW w:w="2067" w:type="dxa"/>
            <w:vAlign w:val="center"/>
          </w:tcPr>
          <w:p>
            <w:pPr>
              <w:tabs>
                <w:tab w:val="left" w:pos="6300"/>
              </w:tabs>
              <w:snapToGrid w:val="0"/>
              <w:spacing w:line="500" w:lineRule="exact"/>
              <w:jc w:val="center"/>
              <w:outlineLvl w:val="0"/>
              <w:rPr>
                <w:rFonts w:ascii="宋体" w:hAnsi="宋体" w:cs="宋体"/>
                <w:sz w:val="21"/>
                <w:szCs w:val="21"/>
              </w:rPr>
            </w:pPr>
            <w:r>
              <w:rPr>
                <w:rFonts w:hint="eastAsia" w:ascii="宋体" w:hAnsi="宋体" w:cs="宋体"/>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宋体" w:hAnsi="宋体" w:cs="宋体"/>
                <w:sz w:val="21"/>
                <w:szCs w:val="21"/>
              </w:rPr>
            </w:pPr>
          </w:p>
        </w:tc>
        <w:tc>
          <w:tcPr>
            <w:tcW w:w="2658" w:type="dxa"/>
            <w:vAlign w:val="center"/>
          </w:tcPr>
          <w:p>
            <w:pPr>
              <w:tabs>
                <w:tab w:val="left" w:pos="6300"/>
              </w:tabs>
              <w:snapToGrid w:val="0"/>
              <w:spacing w:line="500" w:lineRule="exact"/>
              <w:jc w:val="center"/>
              <w:outlineLvl w:val="0"/>
              <w:rPr>
                <w:rFonts w:ascii="宋体" w:hAnsi="宋体" w:cs="宋体"/>
                <w:sz w:val="21"/>
                <w:szCs w:val="21"/>
              </w:rPr>
            </w:pPr>
          </w:p>
        </w:tc>
        <w:tc>
          <w:tcPr>
            <w:tcW w:w="2759" w:type="dxa"/>
            <w:vAlign w:val="center"/>
          </w:tcPr>
          <w:p>
            <w:pPr>
              <w:tabs>
                <w:tab w:val="left" w:pos="6300"/>
              </w:tabs>
              <w:snapToGrid w:val="0"/>
              <w:spacing w:line="500" w:lineRule="exact"/>
              <w:jc w:val="center"/>
              <w:outlineLvl w:val="0"/>
              <w:rPr>
                <w:rFonts w:ascii="宋体" w:hAnsi="宋体" w:cs="宋体"/>
                <w:sz w:val="21"/>
                <w:szCs w:val="21"/>
              </w:rPr>
            </w:pPr>
          </w:p>
        </w:tc>
        <w:tc>
          <w:tcPr>
            <w:tcW w:w="2067" w:type="dxa"/>
            <w:vAlign w:val="center"/>
          </w:tcPr>
          <w:p>
            <w:pPr>
              <w:tabs>
                <w:tab w:val="left" w:pos="6300"/>
              </w:tabs>
              <w:snapToGrid w:val="0"/>
              <w:spacing w:line="500" w:lineRule="exact"/>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宋体" w:hAnsi="宋体" w:cs="宋体"/>
                <w:sz w:val="21"/>
                <w:szCs w:val="21"/>
              </w:rPr>
            </w:pPr>
          </w:p>
        </w:tc>
        <w:tc>
          <w:tcPr>
            <w:tcW w:w="2658" w:type="dxa"/>
            <w:vAlign w:val="center"/>
          </w:tcPr>
          <w:p>
            <w:pPr>
              <w:tabs>
                <w:tab w:val="left" w:pos="6300"/>
              </w:tabs>
              <w:snapToGrid w:val="0"/>
              <w:spacing w:line="500" w:lineRule="exact"/>
              <w:jc w:val="center"/>
              <w:outlineLvl w:val="0"/>
              <w:rPr>
                <w:rFonts w:ascii="宋体" w:hAnsi="宋体" w:cs="宋体"/>
                <w:sz w:val="21"/>
                <w:szCs w:val="21"/>
              </w:rPr>
            </w:pPr>
          </w:p>
        </w:tc>
        <w:tc>
          <w:tcPr>
            <w:tcW w:w="2759" w:type="dxa"/>
            <w:vAlign w:val="center"/>
          </w:tcPr>
          <w:p>
            <w:pPr>
              <w:tabs>
                <w:tab w:val="left" w:pos="6300"/>
              </w:tabs>
              <w:snapToGrid w:val="0"/>
              <w:spacing w:line="500" w:lineRule="exact"/>
              <w:jc w:val="center"/>
              <w:outlineLvl w:val="0"/>
              <w:rPr>
                <w:rFonts w:ascii="宋体" w:hAnsi="宋体" w:cs="宋体"/>
                <w:sz w:val="21"/>
                <w:szCs w:val="21"/>
              </w:rPr>
            </w:pPr>
          </w:p>
        </w:tc>
        <w:tc>
          <w:tcPr>
            <w:tcW w:w="2067" w:type="dxa"/>
            <w:vAlign w:val="center"/>
          </w:tcPr>
          <w:p>
            <w:pPr>
              <w:tabs>
                <w:tab w:val="left" w:pos="6300"/>
              </w:tabs>
              <w:snapToGrid w:val="0"/>
              <w:spacing w:line="500" w:lineRule="exact"/>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宋体" w:hAnsi="宋体" w:cs="宋体"/>
                <w:sz w:val="21"/>
                <w:szCs w:val="21"/>
              </w:rPr>
            </w:pPr>
          </w:p>
        </w:tc>
        <w:tc>
          <w:tcPr>
            <w:tcW w:w="2658" w:type="dxa"/>
            <w:vAlign w:val="center"/>
          </w:tcPr>
          <w:p>
            <w:pPr>
              <w:tabs>
                <w:tab w:val="left" w:pos="6300"/>
              </w:tabs>
              <w:snapToGrid w:val="0"/>
              <w:spacing w:line="500" w:lineRule="exact"/>
              <w:jc w:val="center"/>
              <w:outlineLvl w:val="0"/>
              <w:rPr>
                <w:rFonts w:ascii="宋体" w:hAnsi="宋体" w:cs="宋体"/>
                <w:sz w:val="21"/>
                <w:szCs w:val="21"/>
              </w:rPr>
            </w:pPr>
          </w:p>
        </w:tc>
        <w:tc>
          <w:tcPr>
            <w:tcW w:w="2759" w:type="dxa"/>
            <w:vAlign w:val="center"/>
          </w:tcPr>
          <w:p>
            <w:pPr>
              <w:tabs>
                <w:tab w:val="left" w:pos="6300"/>
              </w:tabs>
              <w:snapToGrid w:val="0"/>
              <w:spacing w:line="500" w:lineRule="exact"/>
              <w:jc w:val="center"/>
              <w:outlineLvl w:val="0"/>
              <w:rPr>
                <w:rFonts w:ascii="宋体" w:hAnsi="宋体" w:cs="宋体"/>
                <w:sz w:val="21"/>
                <w:szCs w:val="21"/>
              </w:rPr>
            </w:pPr>
          </w:p>
        </w:tc>
        <w:tc>
          <w:tcPr>
            <w:tcW w:w="2067" w:type="dxa"/>
            <w:vAlign w:val="center"/>
          </w:tcPr>
          <w:p>
            <w:pPr>
              <w:tabs>
                <w:tab w:val="left" w:pos="6300"/>
              </w:tabs>
              <w:snapToGrid w:val="0"/>
              <w:spacing w:line="500" w:lineRule="exact"/>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宋体" w:hAnsi="宋体" w:cs="宋体"/>
                <w:sz w:val="21"/>
                <w:szCs w:val="21"/>
              </w:rPr>
            </w:pPr>
          </w:p>
        </w:tc>
        <w:tc>
          <w:tcPr>
            <w:tcW w:w="2658" w:type="dxa"/>
            <w:vAlign w:val="center"/>
          </w:tcPr>
          <w:p>
            <w:pPr>
              <w:tabs>
                <w:tab w:val="left" w:pos="6300"/>
              </w:tabs>
              <w:snapToGrid w:val="0"/>
              <w:spacing w:line="500" w:lineRule="exact"/>
              <w:jc w:val="center"/>
              <w:outlineLvl w:val="0"/>
              <w:rPr>
                <w:rFonts w:ascii="宋体" w:hAnsi="宋体" w:cs="宋体"/>
                <w:sz w:val="21"/>
                <w:szCs w:val="21"/>
              </w:rPr>
            </w:pPr>
          </w:p>
        </w:tc>
        <w:tc>
          <w:tcPr>
            <w:tcW w:w="2759" w:type="dxa"/>
            <w:vAlign w:val="center"/>
          </w:tcPr>
          <w:p>
            <w:pPr>
              <w:tabs>
                <w:tab w:val="left" w:pos="6300"/>
              </w:tabs>
              <w:snapToGrid w:val="0"/>
              <w:spacing w:line="500" w:lineRule="exact"/>
              <w:jc w:val="center"/>
              <w:outlineLvl w:val="0"/>
              <w:rPr>
                <w:rFonts w:ascii="宋体" w:hAnsi="宋体" w:cs="宋体"/>
                <w:sz w:val="21"/>
                <w:szCs w:val="21"/>
              </w:rPr>
            </w:pPr>
          </w:p>
        </w:tc>
        <w:tc>
          <w:tcPr>
            <w:tcW w:w="2067" w:type="dxa"/>
            <w:vAlign w:val="center"/>
          </w:tcPr>
          <w:p>
            <w:pPr>
              <w:tabs>
                <w:tab w:val="left" w:pos="6300"/>
              </w:tabs>
              <w:snapToGrid w:val="0"/>
              <w:spacing w:line="500" w:lineRule="exact"/>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宋体" w:hAnsi="宋体" w:cs="宋体"/>
                <w:sz w:val="21"/>
                <w:szCs w:val="21"/>
              </w:rPr>
            </w:pPr>
          </w:p>
        </w:tc>
        <w:tc>
          <w:tcPr>
            <w:tcW w:w="2658" w:type="dxa"/>
            <w:vAlign w:val="center"/>
          </w:tcPr>
          <w:p>
            <w:pPr>
              <w:tabs>
                <w:tab w:val="left" w:pos="6300"/>
              </w:tabs>
              <w:snapToGrid w:val="0"/>
              <w:spacing w:line="500" w:lineRule="exact"/>
              <w:jc w:val="center"/>
              <w:outlineLvl w:val="0"/>
              <w:rPr>
                <w:rFonts w:ascii="宋体" w:hAnsi="宋体" w:cs="宋体"/>
                <w:sz w:val="21"/>
                <w:szCs w:val="21"/>
              </w:rPr>
            </w:pPr>
          </w:p>
        </w:tc>
        <w:tc>
          <w:tcPr>
            <w:tcW w:w="2759" w:type="dxa"/>
            <w:vAlign w:val="center"/>
          </w:tcPr>
          <w:p>
            <w:pPr>
              <w:tabs>
                <w:tab w:val="left" w:pos="6300"/>
              </w:tabs>
              <w:snapToGrid w:val="0"/>
              <w:spacing w:line="500" w:lineRule="exact"/>
              <w:jc w:val="center"/>
              <w:outlineLvl w:val="0"/>
              <w:rPr>
                <w:rFonts w:ascii="宋体" w:hAnsi="宋体" w:cs="宋体"/>
                <w:sz w:val="21"/>
                <w:szCs w:val="21"/>
              </w:rPr>
            </w:pPr>
          </w:p>
        </w:tc>
        <w:tc>
          <w:tcPr>
            <w:tcW w:w="2067" w:type="dxa"/>
            <w:vAlign w:val="center"/>
          </w:tcPr>
          <w:p>
            <w:pPr>
              <w:tabs>
                <w:tab w:val="left" w:pos="6300"/>
              </w:tabs>
              <w:snapToGrid w:val="0"/>
              <w:spacing w:line="500" w:lineRule="exact"/>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宋体" w:hAnsi="宋体" w:cs="宋体"/>
                <w:sz w:val="21"/>
                <w:szCs w:val="21"/>
              </w:rPr>
            </w:pPr>
          </w:p>
        </w:tc>
        <w:tc>
          <w:tcPr>
            <w:tcW w:w="2658" w:type="dxa"/>
            <w:vAlign w:val="center"/>
          </w:tcPr>
          <w:p>
            <w:pPr>
              <w:tabs>
                <w:tab w:val="left" w:pos="6300"/>
              </w:tabs>
              <w:snapToGrid w:val="0"/>
              <w:spacing w:line="500" w:lineRule="exact"/>
              <w:jc w:val="center"/>
              <w:outlineLvl w:val="0"/>
              <w:rPr>
                <w:rFonts w:ascii="宋体" w:hAnsi="宋体" w:cs="宋体"/>
                <w:sz w:val="21"/>
                <w:szCs w:val="21"/>
              </w:rPr>
            </w:pPr>
          </w:p>
        </w:tc>
        <w:tc>
          <w:tcPr>
            <w:tcW w:w="2759" w:type="dxa"/>
            <w:vAlign w:val="center"/>
          </w:tcPr>
          <w:p>
            <w:pPr>
              <w:tabs>
                <w:tab w:val="left" w:pos="6300"/>
              </w:tabs>
              <w:snapToGrid w:val="0"/>
              <w:spacing w:line="500" w:lineRule="exact"/>
              <w:jc w:val="center"/>
              <w:outlineLvl w:val="0"/>
              <w:rPr>
                <w:rFonts w:ascii="宋体" w:hAnsi="宋体" w:cs="宋体"/>
                <w:sz w:val="21"/>
                <w:szCs w:val="21"/>
              </w:rPr>
            </w:pPr>
          </w:p>
        </w:tc>
        <w:tc>
          <w:tcPr>
            <w:tcW w:w="2067" w:type="dxa"/>
            <w:vAlign w:val="center"/>
          </w:tcPr>
          <w:p>
            <w:pPr>
              <w:tabs>
                <w:tab w:val="left" w:pos="6300"/>
              </w:tabs>
              <w:snapToGrid w:val="0"/>
              <w:spacing w:line="500" w:lineRule="exact"/>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宋体" w:hAnsi="宋体" w:cs="宋体"/>
                <w:sz w:val="21"/>
                <w:szCs w:val="21"/>
              </w:rPr>
            </w:pPr>
          </w:p>
        </w:tc>
        <w:tc>
          <w:tcPr>
            <w:tcW w:w="2658" w:type="dxa"/>
            <w:vAlign w:val="center"/>
          </w:tcPr>
          <w:p>
            <w:pPr>
              <w:tabs>
                <w:tab w:val="left" w:pos="6300"/>
              </w:tabs>
              <w:snapToGrid w:val="0"/>
              <w:spacing w:line="500" w:lineRule="exact"/>
              <w:jc w:val="center"/>
              <w:outlineLvl w:val="0"/>
              <w:rPr>
                <w:rFonts w:ascii="宋体" w:hAnsi="宋体" w:cs="宋体"/>
                <w:sz w:val="21"/>
                <w:szCs w:val="21"/>
              </w:rPr>
            </w:pPr>
          </w:p>
        </w:tc>
        <w:tc>
          <w:tcPr>
            <w:tcW w:w="2759" w:type="dxa"/>
            <w:vAlign w:val="center"/>
          </w:tcPr>
          <w:p>
            <w:pPr>
              <w:tabs>
                <w:tab w:val="left" w:pos="6300"/>
              </w:tabs>
              <w:snapToGrid w:val="0"/>
              <w:spacing w:line="500" w:lineRule="exact"/>
              <w:jc w:val="center"/>
              <w:outlineLvl w:val="0"/>
              <w:rPr>
                <w:rFonts w:ascii="宋体" w:hAnsi="宋体" w:cs="宋体"/>
                <w:sz w:val="21"/>
                <w:szCs w:val="21"/>
              </w:rPr>
            </w:pPr>
          </w:p>
        </w:tc>
        <w:tc>
          <w:tcPr>
            <w:tcW w:w="2067" w:type="dxa"/>
            <w:vAlign w:val="center"/>
          </w:tcPr>
          <w:p>
            <w:pPr>
              <w:tabs>
                <w:tab w:val="left" w:pos="6300"/>
              </w:tabs>
              <w:snapToGrid w:val="0"/>
              <w:spacing w:line="500" w:lineRule="exact"/>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宋体" w:hAnsi="宋体" w:cs="宋体"/>
                <w:sz w:val="21"/>
                <w:szCs w:val="21"/>
              </w:rPr>
            </w:pPr>
          </w:p>
        </w:tc>
        <w:tc>
          <w:tcPr>
            <w:tcW w:w="2658" w:type="dxa"/>
            <w:vAlign w:val="center"/>
          </w:tcPr>
          <w:p>
            <w:pPr>
              <w:tabs>
                <w:tab w:val="left" w:pos="6300"/>
              </w:tabs>
              <w:snapToGrid w:val="0"/>
              <w:spacing w:line="500" w:lineRule="exact"/>
              <w:jc w:val="center"/>
              <w:outlineLvl w:val="0"/>
              <w:rPr>
                <w:rFonts w:ascii="宋体" w:hAnsi="宋体" w:cs="宋体"/>
                <w:sz w:val="21"/>
                <w:szCs w:val="21"/>
              </w:rPr>
            </w:pPr>
          </w:p>
        </w:tc>
        <w:tc>
          <w:tcPr>
            <w:tcW w:w="2759" w:type="dxa"/>
            <w:vAlign w:val="center"/>
          </w:tcPr>
          <w:p>
            <w:pPr>
              <w:tabs>
                <w:tab w:val="left" w:pos="6300"/>
              </w:tabs>
              <w:snapToGrid w:val="0"/>
              <w:spacing w:line="500" w:lineRule="exact"/>
              <w:jc w:val="center"/>
              <w:outlineLvl w:val="0"/>
              <w:rPr>
                <w:rFonts w:ascii="宋体" w:hAnsi="宋体" w:cs="宋体"/>
                <w:sz w:val="21"/>
                <w:szCs w:val="21"/>
              </w:rPr>
            </w:pPr>
          </w:p>
        </w:tc>
        <w:tc>
          <w:tcPr>
            <w:tcW w:w="2067" w:type="dxa"/>
            <w:vAlign w:val="center"/>
          </w:tcPr>
          <w:p>
            <w:pPr>
              <w:tabs>
                <w:tab w:val="left" w:pos="6300"/>
              </w:tabs>
              <w:snapToGrid w:val="0"/>
              <w:spacing w:line="500" w:lineRule="exact"/>
              <w:jc w:val="center"/>
              <w:outlineLvl w:val="0"/>
              <w:rPr>
                <w:rFonts w:ascii="宋体" w:hAnsi="宋体" w:cs="宋体"/>
                <w:sz w:val="21"/>
                <w:szCs w:val="21"/>
              </w:rPr>
            </w:pPr>
          </w:p>
        </w:tc>
      </w:tr>
    </w:tbl>
    <w:p>
      <w:pPr>
        <w:spacing w:line="500" w:lineRule="exact"/>
        <w:ind w:firstLine="600" w:firstLineChars="250"/>
        <w:rPr>
          <w:rFonts w:ascii="宋体" w:hAnsi="宋体" w:cs="宋体"/>
          <w:sz w:val="24"/>
          <w:szCs w:val="28"/>
        </w:rPr>
      </w:pPr>
      <w:r>
        <w:rPr>
          <w:rFonts w:hint="eastAsia" w:ascii="宋体" w:hAnsi="宋体" w:cs="宋体"/>
          <w:sz w:val="24"/>
          <w:szCs w:val="28"/>
        </w:rPr>
        <w:t>供应商：                                      法人授权代表：</w:t>
      </w:r>
    </w:p>
    <w:p>
      <w:pPr>
        <w:spacing w:line="500" w:lineRule="exact"/>
        <w:rPr>
          <w:rFonts w:ascii="宋体" w:hAnsi="宋体" w:cs="宋体"/>
          <w:sz w:val="24"/>
          <w:szCs w:val="28"/>
        </w:rPr>
      </w:pPr>
      <w:r>
        <w:rPr>
          <w:rFonts w:hint="eastAsia" w:ascii="宋体" w:hAnsi="宋体" w:cs="宋体"/>
          <w:sz w:val="24"/>
          <w:szCs w:val="28"/>
        </w:rPr>
        <w:t xml:space="preserve">   </w:t>
      </w:r>
    </w:p>
    <w:p>
      <w:pPr>
        <w:spacing w:line="500" w:lineRule="exact"/>
        <w:ind w:firstLine="720" w:firstLineChars="300"/>
        <w:rPr>
          <w:rFonts w:ascii="宋体" w:hAnsi="宋体" w:cs="宋体"/>
          <w:sz w:val="24"/>
          <w:szCs w:val="28"/>
        </w:rPr>
      </w:pPr>
      <w:r>
        <w:rPr>
          <w:rFonts w:hint="eastAsia" w:ascii="宋体" w:hAnsi="宋体" w:cs="宋体"/>
          <w:sz w:val="24"/>
          <w:szCs w:val="28"/>
        </w:rPr>
        <w:t>（供应商公章）                               （签字或盖章）</w:t>
      </w:r>
    </w:p>
    <w:p>
      <w:pPr>
        <w:tabs>
          <w:tab w:val="left" w:pos="6300"/>
        </w:tabs>
        <w:snapToGrid w:val="0"/>
        <w:spacing w:line="500" w:lineRule="exact"/>
        <w:ind w:firstLine="570"/>
        <w:rPr>
          <w:rFonts w:ascii="宋体" w:hAnsi="宋体" w:cs="宋体"/>
          <w:sz w:val="24"/>
        </w:rPr>
      </w:pPr>
      <w:r>
        <w:rPr>
          <w:rFonts w:hint="eastAsia" w:ascii="宋体" w:hAnsi="宋体" w:cs="宋体"/>
          <w:sz w:val="24"/>
          <w:szCs w:val="28"/>
        </w:rPr>
        <w:t xml:space="preserve">                                              年     月     日</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注：</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1.本表即为对本项目“第二篇  项目商务需求”中所列条款进行比较和响应；</w:t>
      </w:r>
    </w:p>
    <w:p>
      <w:pPr>
        <w:tabs>
          <w:tab w:val="left" w:pos="6300"/>
        </w:tabs>
        <w:snapToGrid w:val="0"/>
        <w:spacing w:line="500" w:lineRule="exact"/>
        <w:ind w:firstLine="480" w:firstLineChars="200"/>
        <w:rPr>
          <w:rFonts w:ascii="宋体" w:hAnsi="宋体" w:cs="宋体"/>
          <w:sz w:val="24"/>
          <w:szCs w:val="24"/>
        </w:rPr>
      </w:pPr>
      <w:r>
        <w:rPr>
          <w:rFonts w:hint="eastAsia" w:ascii="宋体" w:hAnsi="宋体" w:cs="宋体"/>
          <w:sz w:val="24"/>
        </w:rPr>
        <w:t>2.本表可扩展。</w:t>
      </w:r>
    </w:p>
    <w:p>
      <w:pPr>
        <w:spacing w:line="360" w:lineRule="auto"/>
        <w:rPr>
          <w:rFonts w:ascii="宋体" w:hAnsi="宋体" w:cs="宋体"/>
        </w:rPr>
        <w:sectPr>
          <w:pgSz w:w="11907" w:h="16840"/>
          <w:pgMar w:top="1134" w:right="1191" w:bottom="1134" w:left="1191" w:header="851" w:footer="992" w:gutter="0"/>
          <w:cols w:space="720" w:num="1"/>
          <w:docGrid w:linePitch="380" w:charSpace="-5735"/>
        </w:sectPr>
      </w:pP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（二）商务部分评分所需资料（格式自定）</w:t>
      </w:r>
    </w:p>
    <w:p>
      <w:pPr>
        <w:snapToGrid w:val="0"/>
        <w:spacing w:line="360" w:lineRule="auto"/>
        <w:ind w:firstLine="480" w:firstLineChars="200"/>
        <w:rPr>
          <w:rFonts w:ascii="宋体" w:hAnsi="宋体" w:cs="宋体"/>
          <w:sz w:val="24"/>
          <w:szCs w:val="24"/>
        </w:rPr>
        <w:sectPr>
          <w:pgSz w:w="11907" w:h="16840"/>
          <w:pgMar w:top="1134" w:right="1191" w:bottom="1134" w:left="1191" w:header="851" w:footer="992" w:gutter="0"/>
          <w:cols w:space="720" w:num="1"/>
          <w:docGrid w:linePitch="380" w:charSpace="-5735"/>
        </w:sectPr>
      </w:pPr>
    </w:p>
    <w:p>
      <w:pPr>
        <w:snapToGrid w:val="0"/>
        <w:spacing w:line="360" w:lineRule="auto"/>
        <w:ind w:firstLine="480" w:firstLineChars="200"/>
        <w:rPr>
          <w:rFonts w:ascii="宋体" w:hAnsi="宋体" w:cs="宋体"/>
          <w:sz w:val="24"/>
          <w:szCs w:val="24"/>
        </w:rPr>
        <w:sectPr>
          <w:pgSz w:w="11907" w:h="16840"/>
          <w:pgMar w:top="1134" w:right="1191" w:bottom="1134" w:left="1191" w:header="851" w:footer="992" w:gutter="0"/>
          <w:cols w:space="720" w:num="1"/>
          <w:docGrid w:linePitch="380" w:charSpace="-5735"/>
        </w:sectPr>
      </w:pPr>
      <w:r>
        <w:rPr>
          <w:rFonts w:hint="eastAsia" w:ascii="宋体" w:hAnsi="宋体" w:cs="宋体"/>
          <w:sz w:val="24"/>
          <w:szCs w:val="24"/>
        </w:rPr>
        <w:t>（三）其它优惠服务承诺</w:t>
      </w:r>
    </w:p>
    <w:p>
      <w:pPr>
        <w:pStyle w:val="3"/>
        <w:adjustRightInd w:val="0"/>
        <w:snapToGrid w:val="0"/>
        <w:spacing w:before="0" w:after="0" w:line="400" w:lineRule="exact"/>
        <w:ind w:firstLine="482" w:firstLineChars="200"/>
        <w:rPr>
          <w:rFonts w:ascii="宋体" w:hAnsi="宋体" w:eastAsia="宋体" w:cs="宋体"/>
          <w:sz w:val="24"/>
        </w:rPr>
      </w:pPr>
      <w:bookmarkStart w:id="98" w:name="_Toc76462353"/>
      <w:bookmarkStart w:id="99" w:name="_Toc342913422"/>
      <w:bookmarkStart w:id="100" w:name="_Toc106030909"/>
      <w:bookmarkStart w:id="101" w:name="_Toc313888363"/>
      <w:bookmarkStart w:id="102" w:name="_Toc313008359"/>
      <w:r>
        <w:rPr>
          <w:rFonts w:hint="eastAsia" w:ascii="宋体" w:hAnsi="宋体" w:eastAsia="宋体" w:cs="宋体"/>
          <w:sz w:val="24"/>
        </w:rPr>
        <w:t>四、资格条件</w:t>
      </w:r>
      <w:bookmarkEnd w:id="98"/>
      <w:bookmarkEnd w:id="99"/>
      <w:bookmarkEnd w:id="100"/>
      <w:bookmarkEnd w:id="101"/>
      <w:bookmarkEnd w:id="102"/>
    </w:p>
    <w:p>
      <w:pPr>
        <w:tabs>
          <w:tab w:val="left" w:pos="6300"/>
        </w:tabs>
        <w:snapToGrid w:val="0"/>
        <w:spacing w:line="400" w:lineRule="exact"/>
        <w:ind w:firstLine="570"/>
        <w:rPr>
          <w:rFonts w:ascii="宋体" w:hAnsi="宋体" w:cs="宋体"/>
          <w:sz w:val="24"/>
          <w:szCs w:val="24"/>
        </w:rPr>
      </w:pPr>
      <w:r>
        <w:rPr>
          <w:rFonts w:hint="eastAsia" w:ascii="宋体" w:hAnsi="宋体" w:cs="宋体"/>
          <w:sz w:val="24"/>
          <w:szCs w:val="24"/>
        </w:rPr>
        <w:t>（一）法人营业执照（副本）或事业单位法人证书（副本）或个体工商户营业执照或有效的自然人身份证明或社会团体法人登记证书复印件</w:t>
      </w:r>
    </w:p>
    <w:p>
      <w:pPr>
        <w:tabs>
          <w:tab w:val="left" w:pos="6300"/>
        </w:tabs>
        <w:snapToGrid w:val="0"/>
        <w:spacing w:line="400" w:lineRule="exact"/>
        <w:ind w:firstLine="570"/>
        <w:rPr>
          <w:rFonts w:ascii="宋体" w:hAnsi="宋体" w:cs="宋体"/>
        </w:rPr>
      </w:pPr>
    </w:p>
    <w:p>
      <w:pPr>
        <w:tabs>
          <w:tab w:val="left" w:pos="6300"/>
        </w:tabs>
        <w:snapToGrid w:val="0"/>
        <w:spacing w:line="500" w:lineRule="exact"/>
        <w:ind w:firstLine="570"/>
        <w:rPr>
          <w:rFonts w:ascii="宋体" w:hAnsi="宋体" w:cs="宋体"/>
        </w:rPr>
      </w:pPr>
    </w:p>
    <w:p>
      <w:pPr>
        <w:tabs>
          <w:tab w:val="left" w:pos="6300"/>
        </w:tabs>
        <w:snapToGrid w:val="0"/>
        <w:spacing w:line="500" w:lineRule="exact"/>
        <w:ind w:firstLine="570"/>
        <w:rPr>
          <w:rFonts w:ascii="宋体" w:hAnsi="宋体" w:cs="宋体"/>
        </w:rPr>
      </w:pPr>
    </w:p>
    <w:p>
      <w:pPr>
        <w:tabs>
          <w:tab w:val="left" w:pos="6300"/>
        </w:tabs>
        <w:snapToGrid w:val="0"/>
        <w:spacing w:line="500" w:lineRule="exact"/>
        <w:ind w:firstLine="570"/>
        <w:rPr>
          <w:rFonts w:ascii="宋体" w:hAnsi="宋体" w:cs="宋体"/>
        </w:rPr>
      </w:pPr>
    </w:p>
    <w:p>
      <w:pPr>
        <w:tabs>
          <w:tab w:val="left" w:pos="6300"/>
        </w:tabs>
        <w:snapToGrid w:val="0"/>
        <w:spacing w:line="500" w:lineRule="exact"/>
        <w:ind w:firstLine="570"/>
        <w:rPr>
          <w:rFonts w:ascii="宋体" w:hAnsi="宋体" w:cs="宋体"/>
        </w:rPr>
      </w:pPr>
    </w:p>
    <w:p>
      <w:pPr>
        <w:snapToGrid w:val="0"/>
        <w:spacing w:line="400" w:lineRule="exact"/>
        <w:ind w:firstLine="560" w:firstLineChars="200"/>
        <w:rPr>
          <w:rFonts w:ascii="宋体" w:hAnsi="宋体" w:cs="宋体"/>
          <w:sz w:val="24"/>
          <w:szCs w:val="24"/>
        </w:rPr>
      </w:pPr>
      <w:r>
        <w:rPr>
          <w:rFonts w:hint="eastAsia" w:ascii="宋体" w:hAnsi="宋体" w:cs="宋体"/>
        </w:rPr>
        <w:br w:type="page"/>
      </w:r>
      <w:r>
        <w:rPr>
          <w:rFonts w:hint="eastAsia" w:ascii="宋体" w:hAnsi="宋体" w:cs="宋体"/>
          <w:sz w:val="24"/>
          <w:szCs w:val="24"/>
        </w:rPr>
        <w:t>（二）法定代表人身份证明书（格式）</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r>
        <w:rPr>
          <w:rFonts w:hint="eastAsia" w:ascii="宋体" w:hAnsi="宋体" w:cs="宋体"/>
          <w:sz w:val="24"/>
        </w:rPr>
        <w:t>磋商项目名称：</w:t>
      </w:r>
      <w:r>
        <w:rPr>
          <w:rFonts w:hint="eastAsia" w:ascii="宋体" w:hAnsi="宋体" w:cs="宋体"/>
          <w:sz w:val="24"/>
          <w:u w:val="single"/>
        </w:rPr>
        <w:t xml:space="preserve">                                                </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rPr>
          <w:rFonts w:ascii="宋体" w:hAnsi="宋体" w:cs="宋体"/>
          <w:sz w:val="24"/>
        </w:rPr>
      </w:pPr>
      <w:r>
        <w:rPr>
          <w:rFonts w:hint="eastAsia" w:ascii="宋体" w:hAnsi="宋体" w:cs="宋体"/>
          <w:sz w:val="24"/>
        </w:rPr>
        <w:t>致：</w:t>
      </w:r>
      <w:r>
        <w:rPr>
          <w:rFonts w:hint="eastAsia" w:ascii="宋体" w:hAnsi="宋体" w:cs="宋体"/>
          <w:sz w:val="24"/>
          <w:u w:val="single"/>
        </w:rPr>
        <w:t xml:space="preserve">                     </w:t>
      </w:r>
      <w:r>
        <w:rPr>
          <w:rFonts w:hint="eastAsia" w:ascii="宋体" w:hAnsi="宋体" w:cs="宋体"/>
          <w:sz w:val="24"/>
        </w:rPr>
        <w:t>（采购代理机构名称）：</w:t>
      </w:r>
    </w:p>
    <w:p>
      <w:pPr>
        <w:tabs>
          <w:tab w:val="left" w:pos="6300"/>
        </w:tabs>
        <w:snapToGrid w:val="0"/>
        <w:spacing w:line="500" w:lineRule="exact"/>
        <w:ind w:firstLine="570"/>
        <w:rPr>
          <w:rFonts w:ascii="宋体" w:hAnsi="宋体" w:cs="宋体"/>
          <w:sz w:val="24"/>
        </w:rPr>
      </w:pPr>
      <w:r>
        <w:rPr>
          <w:rFonts w:hint="eastAsia" w:ascii="宋体" w:hAnsi="宋体" w:cs="宋体"/>
          <w:sz w:val="24"/>
          <w:u w:val="single"/>
        </w:rPr>
        <w:t xml:space="preserve">        </w:t>
      </w:r>
      <w:r>
        <w:rPr>
          <w:rFonts w:hint="eastAsia" w:ascii="宋体" w:hAnsi="宋体" w:cs="宋体"/>
          <w:sz w:val="24"/>
        </w:rPr>
        <w:t>（法定代表人姓名）在</w:t>
      </w:r>
      <w:r>
        <w:rPr>
          <w:rFonts w:hint="eastAsia" w:ascii="宋体" w:hAnsi="宋体" w:cs="宋体"/>
          <w:sz w:val="24"/>
          <w:u w:val="single"/>
        </w:rPr>
        <w:t xml:space="preserve">                       </w:t>
      </w:r>
      <w:r>
        <w:rPr>
          <w:rFonts w:hint="eastAsia" w:ascii="宋体" w:hAnsi="宋体" w:cs="宋体"/>
          <w:sz w:val="24"/>
        </w:rPr>
        <w:t>（供应商名称）任</w:t>
      </w:r>
      <w:r>
        <w:rPr>
          <w:rFonts w:hint="eastAsia" w:ascii="宋体" w:hAnsi="宋体" w:cs="宋体"/>
          <w:sz w:val="24"/>
          <w:u w:val="single"/>
        </w:rPr>
        <w:t xml:space="preserve">    </w:t>
      </w:r>
      <w:r>
        <w:rPr>
          <w:rFonts w:hint="eastAsia" w:ascii="宋体" w:hAnsi="宋体" w:cs="宋体"/>
          <w:sz w:val="24"/>
        </w:rPr>
        <w:t>（职务名称）职务，是（供应商名称）</w:t>
      </w:r>
      <w:r>
        <w:rPr>
          <w:rFonts w:hint="eastAsia" w:ascii="宋体" w:hAnsi="宋体" w:cs="宋体"/>
          <w:sz w:val="24"/>
          <w:u w:val="single"/>
        </w:rPr>
        <w:t xml:space="preserve">              </w:t>
      </w:r>
      <w:r>
        <w:rPr>
          <w:rFonts w:hint="eastAsia" w:ascii="宋体" w:hAnsi="宋体" w:cs="宋体"/>
          <w:sz w:val="24"/>
        </w:rPr>
        <w:t>的法定代表人。</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r>
        <w:rPr>
          <w:rFonts w:hint="eastAsia" w:ascii="宋体" w:hAnsi="宋体" w:cs="宋体"/>
          <w:sz w:val="24"/>
        </w:rPr>
        <w:t>特此证明。</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r>
        <w:rPr>
          <w:rFonts w:hint="eastAsia" w:ascii="宋体" w:hAnsi="宋体" w:cs="宋体"/>
          <w:sz w:val="24"/>
        </w:rPr>
        <w:t xml:space="preserve">                                             （供应商公章）</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r>
        <w:rPr>
          <w:rFonts w:hint="eastAsia" w:ascii="宋体" w:hAnsi="宋体" w:cs="宋体"/>
          <w:sz w:val="24"/>
        </w:rPr>
        <w:t xml:space="preserve">                                             年   月   日</w:t>
      </w:r>
    </w:p>
    <w:p>
      <w:pPr>
        <w:tabs>
          <w:tab w:val="left" w:pos="6300"/>
        </w:tabs>
        <w:snapToGrid w:val="0"/>
        <w:spacing w:line="500" w:lineRule="exact"/>
        <w:ind w:firstLine="570"/>
        <w:rPr>
          <w:rFonts w:ascii="宋体" w:hAnsi="宋体" w:cs="宋体"/>
          <w:sz w:val="24"/>
        </w:rPr>
      </w:pPr>
      <w:r>
        <w:rPr>
          <w:rFonts w:hint="eastAsia" w:ascii="宋体" w:hAnsi="宋体" w:cs="宋体"/>
          <w:sz w:val="24"/>
        </w:rPr>
        <w:t>法定代表人电话：XXXXXXX      电子邮箱：XXXXXX@XXXXX（若授权他人办理并签署响应文件的可不填写）</w:t>
      </w:r>
    </w:p>
    <w:p>
      <w:pPr>
        <w:tabs>
          <w:tab w:val="left" w:pos="6300"/>
        </w:tabs>
        <w:snapToGrid w:val="0"/>
        <w:spacing w:line="500" w:lineRule="exact"/>
        <w:ind w:firstLine="570"/>
        <w:rPr>
          <w:rFonts w:ascii="宋体" w:hAnsi="宋体" w:cs="宋体"/>
          <w:sz w:val="24"/>
        </w:rPr>
      </w:pPr>
      <w:r>
        <w:rPr>
          <w:rFonts w:hint="eastAsia" w:ascii="宋体" w:hAnsi="宋体" w:cs="宋体"/>
          <w:sz w:val="24"/>
        </w:rPr>
        <w:t>（附：法定代表人身份证正反面复印件）</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snapToGrid w:val="0"/>
        <w:spacing w:line="400" w:lineRule="exact"/>
        <w:ind w:firstLine="560" w:firstLineChars="200"/>
        <w:rPr>
          <w:rFonts w:ascii="宋体" w:hAnsi="宋体" w:cs="宋体"/>
          <w:sz w:val="24"/>
          <w:szCs w:val="24"/>
        </w:rPr>
      </w:pPr>
      <w:r>
        <w:rPr>
          <w:rFonts w:hint="eastAsia" w:ascii="宋体" w:hAnsi="宋体" w:cs="宋体"/>
        </w:rPr>
        <w:br w:type="column"/>
      </w:r>
      <w:r>
        <w:rPr>
          <w:rFonts w:hint="eastAsia" w:ascii="宋体" w:hAnsi="宋体" w:cs="宋体"/>
          <w:sz w:val="24"/>
          <w:szCs w:val="24"/>
        </w:rPr>
        <w:t>（三）法定代表人授权委托书（格式）</w:t>
      </w:r>
    </w:p>
    <w:p>
      <w:pPr>
        <w:tabs>
          <w:tab w:val="left" w:pos="6300"/>
        </w:tabs>
        <w:snapToGrid w:val="0"/>
        <w:spacing w:line="500" w:lineRule="exact"/>
        <w:ind w:firstLine="570"/>
        <w:rPr>
          <w:rFonts w:ascii="宋体" w:hAnsi="宋体" w:cs="宋体"/>
          <w:sz w:val="24"/>
        </w:rPr>
      </w:pPr>
      <w:r>
        <w:rPr>
          <w:rFonts w:hint="eastAsia" w:ascii="宋体" w:hAnsi="宋体" w:cs="宋体"/>
          <w:sz w:val="24"/>
        </w:rPr>
        <w:t xml:space="preserve">    </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szCs w:val="28"/>
        </w:rPr>
        <w:t>磋商项目名称</w:t>
      </w:r>
      <w:r>
        <w:rPr>
          <w:rFonts w:hint="eastAsia" w:ascii="宋体" w:hAnsi="宋体" w:cs="宋体"/>
          <w:sz w:val="24"/>
        </w:rPr>
        <w:t>：</w:t>
      </w:r>
      <w:r>
        <w:rPr>
          <w:rFonts w:hint="eastAsia" w:ascii="宋体" w:hAnsi="宋体" w:cs="宋体"/>
          <w:sz w:val="24"/>
          <w:u w:val="single"/>
        </w:rPr>
        <w:t xml:space="preserve">                                                </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rPr>
          <w:rFonts w:ascii="宋体" w:hAnsi="宋体" w:cs="宋体"/>
          <w:sz w:val="24"/>
        </w:rPr>
      </w:pPr>
      <w:r>
        <w:rPr>
          <w:rFonts w:hint="eastAsia" w:ascii="宋体" w:hAnsi="宋体" w:cs="宋体"/>
          <w:sz w:val="24"/>
        </w:rPr>
        <w:t>致：</w:t>
      </w:r>
      <w:r>
        <w:rPr>
          <w:rFonts w:hint="eastAsia" w:ascii="宋体" w:hAnsi="宋体" w:cs="宋体"/>
          <w:sz w:val="24"/>
          <w:u w:val="single"/>
        </w:rPr>
        <w:t xml:space="preserve">                     </w:t>
      </w:r>
      <w:r>
        <w:rPr>
          <w:rFonts w:hint="eastAsia" w:ascii="宋体" w:hAnsi="宋体" w:cs="宋体"/>
          <w:sz w:val="24"/>
        </w:rPr>
        <w:t>（采购代理机构名称）：</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u w:val="single"/>
        </w:rPr>
        <w:t xml:space="preserve">            </w:t>
      </w:r>
      <w:r>
        <w:rPr>
          <w:rFonts w:hint="eastAsia" w:ascii="宋体" w:hAnsi="宋体" w:cs="宋体"/>
          <w:sz w:val="24"/>
        </w:rPr>
        <w:t>（供应商法定代表人名称）是</w:t>
      </w:r>
      <w:r>
        <w:rPr>
          <w:rFonts w:hint="eastAsia" w:ascii="宋体" w:hAnsi="宋体" w:cs="宋体"/>
          <w:sz w:val="24"/>
          <w:u w:val="single"/>
        </w:rPr>
        <w:t xml:space="preserve">                    </w:t>
      </w:r>
      <w:r>
        <w:rPr>
          <w:rFonts w:hint="eastAsia" w:ascii="宋体" w:hAnsi="宋体" w:cs="宋体"/>
          <w:sz w:val="24"/>
        </w:rPr>
        <w:t>（供应商名称）的法定代表人，特授权</w:t>
      </w:r>
      <w:r>
        <w:rPr>
          <w:rFonts w:hint="eastAsia" w:ascii="宋体" w:hAnsi="宋体" w:cs="宋体"/>
          <w:sz w:val="24"/>
          <w:u w:val="single"/>
        </w:rPr>
        <w:t xml:space="preserve">          </w:t>
      </w:r>
      <w:r>
        <w:rPr>
          <w:rFonts w:hint="eastAsia" w:ascii="宋体" w:hAnsi="宋体" w:cs="宋体"/>
          <w:sz w:val="24"/>
        </w:rPr>
        <w:t>（被授权人姓名及身份证代码）代表我单位全权办理上述项目的磋商、签约等具体工作，并签署全部有关文件、协议及合同。</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我单位对被授权人的</w:t>
      </w:r>
      <w:r>
        <w:rPr>
          <w:rFonts w:hint="eastAsia" w:ascii="宋体" w:hAnsi="宋体" w:cs="宋体"/>
          <w:sz w:val="24"/>
          <w:szCs w:val="28"/>
        </w:rPr>
        <w:t>签署</w:t>
      </w:r>
      <w:r>
        <w:rPr>
          <w:rFonts w:hint="eastAsia" w:ascii="宋体" w:hAnsi="宋体" w:cs="宋体"/>
          <w:sz w:val="24"/>
        </w:rPr>
        <w:t>负全部责任。</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在撤销授权的书面通知以前，本授权书一直有效。被授权人在授权书有效期内签署的所有文件不因授权的撤销而失效。</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r>
        <w:rPr>
          <w:rFonts w:hint="eastAsia" w:ascii="宋体" w:hAnsi="宋体" w:cs="宋体"/>
          <w:sz w:val="24"/>
        </w:rPr>
        <w:t>被授权人：                                 供应商法定代表人：</w:t>
      </w:r>
    </w:p>
    <w:p>
      <w:pPr>
        <w:tabs>
          <w:tab w:val="left" w:pos="6300"/>
        </w:tabs>
        <w:snapToGrid w:val="0"/>
        <w:spacing w:line="500" w:lineRule="exact"/>
        <w:ind w:firstLine="570"/>
        <w:rPr>
          <w:rFonts w:ascii="宋体" w:hAnsi="宋体" w:cs="宋体"/>
          <w:sz w:val="24"/>
          <w:szCs w:val="28"/>
        </w:rPr>
      </w:pPr>
      <w:r>
        <w:rPr>
          <w:rFonts w:hint="eastAsia" w:ascii="宋体" w:hAnsi="宋体" w:cs="宋体"/>
          <w:sz w:val="24"/>
          <w:szCs w:val="28"/>
        </w:rPr>
        <w:t>（签署或盖章）                                （签署或盖章）</w:t>
      </w:r>
    </w:p>
    <w:p>
      <w:pPr>
        <w:tabs>
          <w:tab w:val="left" w:pos="6300"/>
        </w:tabs>
        <w:snapToGrid w:val="0"/>
        <w:spacing w:line="500" w:lineRule="exact"/>
        <w:ind w:firstLine="570"/>
        <w:rPr>
          <w:rFonts w:ascii="宋体" w:hAnsi="宋体" w:cs="宋体"/>
          <w:sz w:val="24"/>
          <w:szCs w:val="28"/>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r>
        <w:rPr>
          <w:rFonts w:hint="eastAsia" w:ascii="宋体" w:hAnsi="宋体" w:cs="宋体"/>
          <w:sz w:val="24"/>
        </w:rPr>
        <w:t>（附：被授权人身份证正反面复印件）</w:t>
      </w:r>
    </w:p>
    <w:p>
      <w:pPr>
        <w:tabs>
          <w:tab w:val="left" w:pos="6300"/>
        </w:tabs>
        <w:snapToGrid w:val="0"/>
        <w:spacing w:line="500" w:lineRule="exact"/>
        <w:ind w:firstLine="570"/>
        <w:rPr>
          <w:rFonts w:ascii="宋体" w:hAnsi="宋体" w:cs="宋体"/>
          <w:sz w:val="24"/>
        </w:rPr>
      </w:pPr>
      <w:r>
        <w:rPr>
          <w:rFonts w:hint="eastAsia" w:ascii="宋体" w:hAnsi="宋体" w:cs="宋体"/>
          <w:sz w:val="24"/>
        </w:rPr>
        <w:t xml:space="preserve">                                          </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right="480" w:firstLine="570"/>
        <w:jc w:val="right"/>
        <w:rPr>
          <w:rFonts w:ascii="宋体" w:hAnsi="宋体" w:cs="宋体"/>
          <w:sz w:val="24"/>
        </w:rPr>
      </w:pPr>
      <w:r>
        <w:rPr>
          <w:rFonts w:hint="eastAsia" w:ascii="宋体" w:hAnsi="宋体" w:cs="宋体"/>
          <w:sz w:val="24"/>
        </w:rPr>
        <w:t>（供应商公章）</w:t>
      </w:r>
    </w:p>
    <w:p>
      <w:pPr>
        <w:tabs>
          <w:tab w:val="left" w:pos="6300"/>
        </w:tabs>
        <w:snapToGrid w:val="0"/>
        <w:spacing w:line="500" w:lineRule="exact"/>
        <w:ind w:right="480" w:firstLine="570"/>
        <w:jc w:val="right"/>
        <w:rPr>
          <w:rFonts w:ascii="宋体" w:hAnsi="宋体" w:cs="宋体"/>
          <w:sz w:val="24"/>
        </w:rPr>
      </w:pPr>
      <w:r>
        <w:rPr>
          <w:rFonts w:hint="eastAsia" w:ascii="宋体" w:hAnsi="宋体" w:cs="宋体"/>
          <w:sz w:val="24"/>
        </w:rPr>
        <w:t>年   月   日</w:t>
      </w:r>
    </w:p>
    <w:p>
      <w:pPr>
        <w:tabs>
          <w:tab w:val="left" w:pos="6300"/>
        </w:tabs>
        <w:snapToGrid w:val="0"/>
        <w:spacing w:line="500" w:lineRule="exact"/>
        <w:ind w:right="480" w:firstLine="570"/>
        <w:jc w:val="left"/>
        <w:rPr>
          <w:rFonts w:ascii="宋体" w:hAnsi="宋体" w:cs="宋体"/>
          <w:sz w:val="24"/>
        </w:rPr>
      </w:pPr>
      <w:r>
        <w:rPr>
          <w:rFonts w:hint="eastAsia" w:ascii="宋体" w:hAnsi="宋体" w:cs="宋体"/>
          <w:sz w:val="24"/>
        </w:rPr>
        <w:t>被授权人电话：XXXXXXX     电子邮箱：XXXXXX@XXXXX（若法定代表人办理并签署响应文件的可不填写）</w:t>
      </w:r>
    </w:p>
    <w:p>
      <w:pPr>
        <w:tabs>
          <w:tab w:val="left" w:pos="6300"/>
        </w:tabs>
        <w:snapToGrid w:val="0"/>
        <w:spacing w:line="500" w:lineRule="exact"/>
        <w:ind w:right="480" w:firstLine="570"/>
        <w:jc w:val="left"/>
        <w:rPr>
          <w:rFonts w:ascii="宋体" w:hAnsi="宋体" w:cs="宋体"/>
          <w:sz w:val="24"/>
        </w:rPr>
      </w:pPr>
      <w:r>
        <w:rPr>
          <w:rFonts w:hint="eastAsia" w:ascii="宋体" w:hAnsi="宋体" w:cs="宋体"/>
          <w:sz w:val="24"/>
        </w:rPr>
        <w:t>注：</w:t>
      </w:r>
    </w:p>
    <w:p>
      <w:pPr>
        <w:tabs>
          <w:tab w:val="left" w:pos="6300"/>
        </w:tabs>
        <w:snapToGrid w:val="0"/>
        <w:spacing w:line="500" w:lineRule="exact"/>
        <w:ind w:right="480" w:firstLine="570"/>
        <w:jc w:val="left"/>
        <w:rPr>
          <w:rFonts w:ascii="宋体" w:hAnsi="宋体" w:cs="宋体"/>
          <w:sz w:val="24"/>
        </w:rPr>
      </w:pPr>
      <w:r>
        <w:rPr>
          <w:rFonts w:hint="eastAsia" w:ascii="宋体" w:hAnsi="宋体" w:cs="宋体"/>
          <w:sz w:val="24"/>
        </w:rPr>
        <w:t>1.若为法定代表人办理并签署响应文件的，不提供此文件。</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szCs w:val="24"/>
        </w:rPr>
      </w:pPr>
      <w:r>
        <w:rPr>
          <w:rFonts w:hint="eastAsia" w:ascii="宋体" w:hAnsi="宋体" w:cs="宋体"/>
        </w:rPr>
        <w:br w:type="column"/>
      </w:r>
      <w:r>
        <w:rPr>
          <w:rFonts w:hint="eastAsia" w:ascii="宋体" w:hAnsi="宋体" w:cs="宋体"/>
          <w:sz w:val="24"/>
          <w:szCs w:val="24"/>
        </w:rPr>
        <w:t>（四）</w:t>
      </w:r>
      <w:r>
        <w:rPr>
          <w:rFonts w:hint="eastAsia" w:ascii="宋体" w:hAnsi="宋体" w:cs="宋体"/>
          <w:sz w:val="24"/>
          <w:szCs w:val="28"/>
        </w:rPr>
        <w:t>基本资格条件承诺函</w:t>
      </w:r>
    </w:p>
    <w:p>
      <w:pPr>
        <w:tabs>
          <w:tab w:val="left" w:pos="6300"/>
        </w:tabs>
        <w:snapToGrid w:val="0"/>
        <w:spacing w:line="500" w:lineRule="exact"/>
        <w:ind w:firstLine="643" w:firstLineChars="200"/>
        <w:jc w:val="center"/>
        <w:rPr>
          <w:rFonts w:ascii="宋体" w:hAnsi="宋体" w:cs="宋体"/>
          <w:b/>
          <w:bCs/>
          <w:sz w:val="32"/>
          <w:szCs w:val="32"/>
        </w:rPr>
      </w:pPr>
      <w:r>
        <w:rPr>
          <w:rFonts w:hint="eastAsia" w:ascii="宋体" w:hAnsi="宋体" w:cs="宋体"/>
          <w:b/>
          <w:bCs/>
          <w:sz w:val="32"/>
          <w:szCs w:val="32"/>
        </w:rPr>
        <w:t>基本资格条件承诺函</w:t>
      </w:r>
    </w:p>
    <w:p>
      <w:pPr>
        <w:tabs>
          <w:tab w:val="left" w:pos="6300"/>
        </w:tabs>
        <w:snapToGrid w:val="0"/>
        <w:spacing w:line="530" w:lineRule="exact"/>
        <w:rPr>
          <w:rFonts w:ascii="宋体" w:hAnsi="宋体" w:cs="宋体"/>
          <w:sz w:val="24"/>
        </w:rPr>
      </w:pP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致</w:t>
      </w:r>
      <w:r>
        <w:rPr>
          <w:rFonts w:hint="eastAsia" w:ascii="宋体" w:hAnsi="宋体" w:cs="宋体"/>
          <w:sz w:val="24"/>
          <w:u w:val="single"/>
        </w:rPr>
        <w:t xml:space="preserve">                   </w:t>
      </w:r>
      <w:r>
        <w:rPr>
          <w:rFonts w:hint="eastAsia" w:ascii="宋体" w:hAnsi="宋体" w:cs="宋体"/>
          <w:sz w:val="24"/>
        </w:rPr>
        <w:t>（采购代理机构名称）：</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（供应商名称）郑重承诺：</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1.我方具有良好的商业信誉和健全的财务会计制度，具有履行合同所必需的设备和专业技术能力，具</w:t>
      </w:r>
      <w:r>
        <w:rPr>
          <w:rFonts w:hint="eastAsia" w:ascii="宋体" w:hAnsi="宋体" w:cs="宋体"/>
          <w:sz w:val="24"/>
          <w:lang w:val="zh-CN"/>
        </w:rPr>
        <w:t>有依法缴纳税收和社会保障金的良好记录</w:t>
      </w:r>
      <w:r>
        <w:rPr>
          <w:rFonts w:hint="eastAsia" w:ascii="宋体" w:hAnsi="宋体" w:cs="宋体"/>
          <w:sz w:val="24"/>
        </w:rPr>
        <w:t>，参加本项目采购活动前三年内无重大违法活动记录。</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2.我方未列入在信用中国网站（www.creditchina.gov.cn）“失信被执行人”、“重大税收违法案件当事人名单”中，也未列入中国政府采购网（www.ccgp.gov.cn）“政府采购严重违法失信行为记录名单”中。</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3.我方在采购项目评审（评标）环节结束后，随时接受采购人、采购代理机构的检查验证，配合提供相关证明材料，证明符合《中华人民共和国政府采购法》规定的供应商基本资格条件。</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我方对以上承诺负全部法律责任。</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特此承诺。</w:t>
      </w:r>
    </w:p>
    <w:p>
      <w:pPr>
        <w:tabs>
          <w:tab w:val="left" w:pos="6300"/>
        </w:tabs>
        <w:snapToGrid w:val="0"/>
        <w:spacing w:line="500" w:lineRule="exact"/>
        <w:ind w:firstLine="480" w:firstLineChars="200"/>
        <w:rPr>
          <w:rFonts w:ascii="宋体" w:hAnsi="宋体" w:cs="宋体"/>
          <w:sz w:val="24"/>
        </w:rPr>
      </w:pPr>
    </w:p>
    <w:p>
      <w:pPr>
        <w:tabs>
          <w:tab w:val="left" w:pos="6300"/>
        </w:tabs>
        <w:snapToGrid w:val="0"/>
        <w:spacing w:line="500" w:lineRule="exact"/>
        <w:ind w:firstLine="480" w:firstLineChars="200"/>
        <w:jc w:val="right"/>
        <w:rPr>
          <w:rFonts w:ascii="宋体" w:hAnsi="宋体" w:cs="宋体"/>
          <w:sz w:val="24"/>
        </w:rPr>
      </w:pPr>
      <w:r>
        <w:rPr>
          <w:rFonts w:hint="eastAsia" w:ascii="宋体" w:hAnsi="宋体" w:cs="宋体"/>
          <w:sz w:val="24"/>
        </w:rPr>
        <w:t>（供应商公章）</w:t>
      </w:r>
    </w:p>
    <w:p>
      <w:pPr>
        <w:tabs>
          <w:tab w:val="left" w:pos="6300"/>
        </w:tabs>
        <w:snapToGrid w:val="0"/>
        <w:spacing w:line="500" w:lineRule="exact"/>
        <w:jc w:val="right"/>
        <w:rPr>
          <w:rFonts w:ascii="宋体" w:hAnsi="宋体" w:cs="宋体"/>
          <w:sz w:val="24"/>
          <w:szCs w:val="24"/>
        </w:rPr>
      </w:pPr>
      <w:r>
        <w:rPr>
          <w:rFonts w:hint="eastAsia" w:ascii="宋体" w:hAnsi="宋体" w:cs="宋体"/>
          <w:sz w:val="24"/>
        </w:rPr>
        <w:t>年   月   日</w:t>
      </w:r>
    </w:p>
    <w:p>
      <w:pPr>
        <w:snapToGrid w:val="0"/>
        <w:spacing w:line="400" w:lineRule="exact"/>
        <w:ind w:firstLine="560" w:firstLineChars="200"/>
        <w:rPr>
          <w:rFonts w:ascii="宋体" w:hAnsi="宋体" w:cs="宋体"/>
          <w:sz w:val="24"/>
          <w:szCs w:val="24"/>
        </w:rPr>
      </w:pPr>
      <w:r>
        <w:rPr>
          <w:rFonts w:hint="eastAsia" w:ascii="宋体" w:hAnsi="宋体" w:cs="宋体"/>
        </w:rPr>
        <w:br w:type="page"/>
      </w:r>
      <w:r>
        <w:rPr>
          <w:rFonts w:hint="eastAsia" w:ascii="宋体" w:hAnsi="宋体" w:cs="宋体"/>
          <w:sz w:val="24"/>
          <w:szCs w:val="24"/>
        </w:rPr>
        <w:t>（五）特定资格条件证明文件</w:t>
      </w:r>
    </w:p>
    <w:p>
      <w:pPr>
        <w:tabs>
          <w:tab w:val="left" w:pos="6300"/>
        </w:tabs>
        <w:snapToGrid w:val="0"/>
        <w:spacing w:line="400" w:lineRule="exact"/>
        <w:ind w:firstLine="480" w:firstLineChars="200"/>
        <w:rPr>
          <w:rFonts w:ascii="宋体" w:hAnsi="宋体" w:cs="宋体"/>
          <w:sz w:val="24"/>
          <w:szCs w:val="24"/>
        </w:rPr>
      </w:pPr>
    </w:p>
    <w:p>
      <w:pPr>
        <w:pStyle w:val="3"/>
        <w:adjustRightInd w:val="0"/>
        <w:snapToGrid w:val="0"/>
        <w:spacing w:before="0" w:after="0" w:line="400" w:lineRule="exact"/>
        <w:ind w:firstLine="560" w:firstLineChars="200"/>
        <w:rPr>
          <w:rFonts w:ascii="宋体" w:hAnsi="宋体" w:eastAsia="宋体" w:cs="宋体"/>
          <w:sz w:val="24"/>
        </w:rPr>
      </w:pPr>
      <w:bookmarkStart w:id="103" w:name="_Toc14422"/>
      <w:r>
        <w:rPr>
          <w:rFonts w:hint="eastAsia" w:ascii="宋体" w:hAnsi="宋体" w:eastAsia="宋体" w:cs="宋体"/>
          <w:b w:val="0"/>
          <w:sz w:val="28"/>
        </w:rPr>
        <w:br w:type="page"/>
      </w:r>
      <w:bookmarkStart w:id="104" w:name="_Toc106030910"/>
      <w:bookmarkStart w:id="105" w:name="_Toc76462354"/>
      <w:r>
        <w:rPr>
          <w:rFonts w:hint="eastAsia" w:ascii="宋体" w:hAnsi="宋体" w:eastAsia="宋体" w:cs="宋体"/>
          <w:sz w:val="24"/>
        </w:rPr>
        <w:t>五、其他资料</w:t>
      </w:r>
      <w:bookmarkEnd w:id="103"/>
      <w:bookmarkEnd w:id="104"/>
      <w:bookmarkEnd w:id="105"/>
    </w:p>
    <w:p>
      <w:pPr>
        <w:tabs>
          <w:tab w:val="left" w:pos="6300"/>
        </w:tabs>
        <w:snapToGrid w:val="0"/>
        <w:spacing w:line="400" w:lineRule="exact"/>
        <w:ind w:firstLine="480" w:firstLineChars="200"/>
        <w:rPr>
          <w:rFonts w:ascii="宋体" w:hAnsi="宋体" w:cs="宋体"/>
          <w:sz w:val="24"/>
          <w:szCs w:val="24"/>
        </w:rPr>
      </w:pPr>
      <w:r>
        <w:rPr>
          <w:rFonts w:hint="eastAsia" w:ascii="宋体" w:hAnsi="宋体" w:cs="宋体"/>
          <w:sz w:val="24"/>
          <w:szCs w:val="24"/>
        </w:rPr>
        <w:t>（一）中小企业声明函、监狱企业证明文件、残疾人福利性单位声明函</w:t>
      </w:r>
    </w:p>
    <w:p>
      <w:pPr>
        <w:tabs>
          <w:tab w:val="left" w:pos="6300"/>
        </w:tabs>
        <w:snapToGrid w:val="0"/>
        <w:spacing w:line="500" w:lineRule="exact"/>
        <w:ind w:firstLine="560" w:firstLineChars="200"/>
        <w:jc w:val="center"/>
        <w:rPr>
          <w:rFonts w:ascii="宋体" w:hAnsi="宋体" w:cs="宋体"/>
        </w:rPr>
      </w:pPr>
      <w:r>
        <w:rPr>
          <w:rFonts w:hint="eastAsia" w:ascii="宋体" w:hAnsi="宋体" w:cs="宋体"/>
        </w:rPr>
        <w:t>中小企业声明函</w:t>
      </w:r>
    </w:p>
    <w:p>
      <w:pPr>
        <w:tabs>
          <w:tab w:val="left" w:pos="6300"/>
        </w:tabs>
        <w:snapToGrid w:val="0"/>
        <w:spacing w:line="500" w:lineRule="exact"/>
        <w:ind w:firstLine="480" w:firstLineChars="200"/>
        <w:rPr>
          <w:rFonts w:ascii="宋体" w:hAnsi="宋体" w:cs="宋体"/>
          <w:sz w:val="24"/>
          <w:szCs w:val="28"/>
        </w:rPr>
      </w:pPr>
      <w:r>
        <w:rPr>
          <w:rFonts w:hint="eastAsia" w:ascii="宋体" w:hAnsi="宋体" w:cs="宋体"/>
          <w:sz w:val="24"/>
          <w:szCs w:val="28"/>
        </w:rPr>
        <w:t>本公司（联合体）郑重声明，根据《政府采购促进中小企业发展管理办法》（</w:t>
      </w:r>
      <w:r>
        <w:rPr>
          <w:rFonts w:hint="eastAsia" w:ascii="宋体" w:hAnsi="宋体" w:cs="宋体"/>
          <w:sz w:val="24"/>
          <w:szCs w:val="24"/>
        </w:rPr>
        <w:t>财库〔2020〕46号</w:t>
      </w:r>
      <w:r>
        <w:rPr>
          <w:rFonts w:hint="eastAsia" w:ascii="宋体" w:hAnsi="宋体" w:cs="宋体"/>
          <w:sz w:val="24"/>
          <w:szCs w:val="28"/>
        </w:rPr>
        <w:t>）的规定，本公司（联合体）参加</w:t>
      </w:r>
      <w:r>
        <w:rPr>
          <w:rFonts w:hint="eastAsia" w:ascii="宋体" w:hAnsi="宋体" w:cs="宋体"/>
          <w:i/>
          <w:sz w:val="24"/>
          <w:szCs w:val="28"/>
          <w:u w:val="single"/>
        </w:rPr>
        <w:t>（单位名称）</w:t>
      </w:r>
      <w:r>
        <w:rPr>
          <w:rFonts w:hint="eastAsia" w:ascii="宋体" w:hAnsi="宋体" w:cs="宋体"/>
          <w:sz w:val="24"/>
          <w:szCs w:val="28"/>
        </w:rPr>
        <w:t>的</w:t>
      </w:r>
      <w:r>
        <w:rPr>
          <w:rFonts w:hint="eastAsia" w:ascii="宋体" w:hAnsi="宋体" w:cs="宋体"/>
          <w:i/>
          <w:sz w:val="24"/>
          <w:szCs w:val="28"/>
          <w:u w:val="single"/>
        </w:rPr>
        <w:t>（项目名称）</w:t>
      </w:r>
      <w:r>
        <w:rPr>
          <w:rFonts w:hint="eastAsia" w:ascii="宋体" w:hAnsi="宋体" w:cs="宋体"/>
          <w:sz w:val="24"/>
          <w:szCs w:val="28"/>
        </w:rPr>
        <w:t>采购活动，服务全部由符合政策要求的中小企业承接。相关企业（含联合体中的中小企业、签订分包意向协议的中小企业）的具体情况如下：</w:t>
      </w:r>
    </w:p>
    <w:p>
      <w:pPr>
        <w:tabs>
          <w:tab w:val="left" w:pos="6300"/>
        </w:tabs>
        <w:snapToGrid w:val="0"/>
        <w:spacing w:line="500" w:lineRule="exact"/>
        <w:ind w:firstLine="480" w:firstLineChars="200"/>
        <w:rPr>
          <w:rFonts w:ascii="宋体" w:hAnsi="宋体" w:cs="宋体"/>
          <w:sz w:val="24"/>
          <w:szCs w:val="28"/>
        </w:rPr>
      </w:pPr>
      <w:r>
        <w:rPr>
          <w:rFonts w:hint="eastAsia" w:ascii="宋体" w:hAnsi="宋体" w:cs="宋体"/>
          <w:sz w:val="24"/>
          <w:szCs w:val="28"/>
        </w:rPr>
        <w:t>1.</w:t>
      </w:r>
      <w:r>
        <w:rPr>
          <w:rFonts w:hint="eastAsia" w:ascii="宋体" w:hAnsi="宋体" w:cs="宋体"/>
          <w:i/>
          <w:sz w:val="24"/>
          <w:szCs w:val="28"/>
          <w:u w:val="single"/>
        </w:rPr>
        <w:t>（标的名称）</w:t>
      </w:r>
      <w:r>
        <w:rPr>
          <w:rFonts w:hint="eastAsia" w:ascii="宋体" w:hAnsi="宋体" w:cs="宋体"/>
          <w:sz w:val="24"/>
          <w:szCs w:val="28"/>
        </w:rPr>
        <w:t>，属于</w:t>
      </w:r>
      <w:r>
        <w:rPr>
          <w:rFonts w:hint="eastAsia" w:ascii="宋体" w:hAnsi="宋体" w:cs="宋体"/>
          <w:i/>
          <w:sz w:val="24"/>
          <w:szCs w:val="28"/>
          <w:u w:val="single"/>
        </w:rPr>
        <w:t>（采购文件中明确的所属行业）</w:t>
      </w:r>
      <w:r>
        <w:rPr>
          <w:rFonts w:hint="eastAsia" w:ascii="宋体" w:hAnsi="宋体" w:cs="宋体"/>
          <w:sz w:val="24"/>
          <w:szCs w:val="28"/>
        </w:rPr>
        <w:t>；承接企业为</w:t>
      </w:r>
      <w:r>
        <w:rPr>
          <w:rFonts w:hint="eastAsia" w:ascii="宋体" w:hAnsi="宋体" w:cs="宋体"/>
          <w:i/>
          <w:sz w:val="24"/>
          <w:szCs w:val="28"/>
          <w:u w:val="single"/>
        </w:rPr>
        <w:t>（企业名称）</w:t>
      </w:r>
      <w:r>
        <w:rPr>
          <w:rFonts w:hint="eastAsia" w:ascii="宋体" w:hAnsi="宋体" w:cs="宋体"/>
          <w:sz w:val="24"/>
          <w:szCs w:val="28"/>
        </w:rPr>
        <w:t>，从业人员</w:t>
      </w:r>
      <w:r>
        <w:rPr>
          <w:rFonts w:hint="eastAsia" w:ascii="宋体" w:hAnsi="宋体" w:cs="宋体"/>
          <w:sz w:val="24"/>
          <w:szCs w:val="28"/>
          <w:u w:val="single"/>
        </w:rPr>
        <w:t xml:space="preserve">      </w:t>
      </w:r>
      <w:r>
        <w:rPr>
          <w:rFonts w:hint="eastAsia" w:ascii="宋体" w:hAnsi="宋体" w:cs="宋体"/>
          <w:sz w:val="24"/>
          <w:szCs w:val="28"/>
        </w:rPr>
        <w:t>人，营业收入为</w:t>
      </w:r>
      <w:r>
        <w:rPr>
          <w:rFonts w:hint="eastAsia" w:ascii="宋体" w:hAnsi="宋体" w:cs="宋体"/>
          <w:sz w:val="24"/>
          <w:szCs w:val="28"/>
          <w:u w:val="single"/>
        </w:rPr>
        <w:t xml:space="preserve">    </w:t>
      </w:r>
      <w:r>
        <w:rPr>
          <w:rFonts w:hint="eastAsia" w:ascii="宋体" w:hAnsi="宋体" w:cs="宋体"/>
          <w:sz w:val="24"/>
          <w:szCs w:val="28"/>
        </w:rPr>
        <w:t>万元，资产总额为</w:t>
      </w:r>
      <w:r>
        <w:rPr>
          <w:rFonts w:hint="eastAsia" w:ascii="宋体" w:hAnsi="宋体" w:cs="宋体"/>
          <w:sz w:val="24"/>
          <w:szCs w:val="28"/>
          <w:u w:val="single"/>
        </w:rPr>
        <w:t xml:space="preserve">    </w:t>
      </w:r>
      <w:r>
        <w:rPr>
          <w:rFonts w:hint="eastAsia" w:ascii="宋体" w:hAnsi="宋体" w:cs="宋体"/>
          <w:sz w:val="24"/>
          <w:szCs w:val="28"/>
        </w:rPr>
        <w:t>万元，属于</w:t>
      </w:r>
      <w:r>
        <w:rPr>
          <w:rFonts w:hint="eastAsia" w:ascii="宋体" w:hAnsi="宋体" w:cs="宋体"/>
          <w:i/>
          <w:sz w:val="24"/>
          <w:szCs w:val="28"/>
          <w:u w:val="single"/>
        </w:rPr>
        <w:t>（中型企业、小型企业、微型企业）</w:t>
      </w:r>
      <w:r>
        <w:rPr>
          <w:rFonts w:hint="eastAsia" w:ascii="宋体" w:hAnsi="宋体" w:cs="宋体"/>
          <w:sz w:val="24"/>
          <w:szCs w:val="28"/>
        </w:rPr>
        <w:t>；</w:t>
      </w:r>
    </w:p>
    <w:p>
      <w:pPr>
        <w:tabs>
          <w:tab w:val="left" w:pos="6300"/>
        </w:tabs>
        <w:snapToGrid w:val="0"/>
        <w:spacing w:line="500" w:lineRule="exact"/>
        <w:ind w:firstLine="480" w:firstLineChars="200"/>
        <w:rPr>
          <w:rFonts w:ascii="宋体" w:hAnsi="宋体" w:cs="宋体"/>
          <w:sz w:val="24"/>
          <w:szCs w:val="28"/>
        </w:rPr>
      </w:pPr>
      <w:r>
        <w:rPr>
          <w:rFonts w:hint="eastAsia" w:ascii="宋体" w:hAnsi="宋体" w:cs="宋体"/>
          <w:sz w:val="24"/>
          <w:szCs w:val="28"/>
        </w:rPr>
        <w:t>为本标的提供的服务人员</w:t>
      </w:r>
      <w:r>
        <w:rPr>
          <w:rFonts w:hint="eastAsia" w:ascii="宋体" w:hAnsi="宋体" w:cs="宋体"/>
          <w:sz w:val="24"/>
          <w:szCs w:val="28"/>
          <w:u w:val="single"/>
        </w:rPr>
        <w:t xml:space="preserve">   </w:t>
      </w:r>
      <w:r>
        <w:rPr>
          <w:rFonts w:hint="eastAsia" w:ascii="宋体" w:hAnsi="宋体" w:cs="宋体"/>
          <w:sz w:val="24"/>
          <w:szCs w:val="28"/>
        </w:rPr>
        <w:t>人，其中与本企业签订劳动合同</w:t>
      </w:r>
      <w:r>
        <w:rPr>
          <w:rFonts w:hint="eastAsia" w:ascii="宋体" w:hAnsi="宋体" w:cs="宋体"/>
          <w:sz w:val="24"/>
          <w:szCs w:val="28"/>
          <w:u w:val="single"/>
        </w:rPr>
        <w:t xml:space="preserve">   </w:t>
      </w:r>
      <w:r>
        <w:rPr>
          <w:rFonts w:hint="eastAsia" w:ascii="宋体" w:hAnsi="宋体" w:cs="宋体"/>
          <w:sz w:val="24"/>
          <w:szCs w:val="28"/>
        </w:rPr>
        <w:t>人，其他人员</w:t>
      </w:r>
      <w:r>
        <w:rPr>
          <w:rFonts w:hint="eastAsia" w:ascii="宋体" w:hAnsi="宋体" w:cs="宋体"/>
          <w:sz w:val="24"/>
          <w:szCs w:val="28"/>
          <w:u w:val="single"/>
        </w:rPr>
        <w:t xml:space="preserve">   </w:t>
      </w:r>
      <w:r>
        <w:rPr>
          <w:rFonts w:hint="eastAsia" w:ascii="宋体" w:hAnsi="宋体" w:cs="宋体"/>
          <w:sz w:val="24"/>
          <w:szCs w:val="28"/>
        </w:rPr>
        <w:t>人。有其他人员的不符合中小企业扶持政策（适用于服务采购项目）;</w:t>
      </w:r>
    </w:p>
    <w:p>
      <w:pPr>
        <w:tabs>
          <w:tab w:val="left" w:pos="6300"/>
        </w:tabs>
        <w:snapToGrid w:val="0"/>
        <w:spacing w:line="500" w:lineRule="exact"/>
        <w:ind w:firstLine="480" w:firstLineChars="200"/>
        <w:rPr>
          <w:rFonts w:ascii="宋体" w:hAnsi="宋体" w:cs="宋体"/>
          <w:sz w:val="24"/>
          <w:szCs w:val="28"/>
        </w:rPr>
      </w:pPr>
      <w:r>
        <w:rPr>
          <w:rFonts w:hint="eastAsia" w:ascii="宋体" w:hAnsi="宋体" w:cs="宋体"/>
          <w:sz w:val="24"/>
          <w:szCs w:val="28"/>
        </w:rPr>
        <w:t>2.</w:t>
      </w:r>
      <w:r>
        <w:rPr>
          <w:rFonts w:hint="eastAsia" w:ascii="宋体" w:hAnsi="宋体" w:cs="宋体"/>
          <w:i/>
          <w:sz w:val="24"/>
          <w:szCs w:val="28"/>
          <w:u w:val="single"/>
        </w:rPr>
        <w:t xml:space="preserve"> （标的名称）</w:t>
      </w:r>
      <w:r>
        <w:rPr>
          <w:rFonts w:hint="eastAsia" w:ascii="宋体" w:hAnsi="宋体" w:cs="宋体"/>
          <w:sz w:val="24"/>
          <w:szCs w:val="28"/>
        </w:rPr>
        <w:t>，属于</w:t>
      </w:r>
      <w:r>
        <w:rPr>
          <w:rFonts w:hint="eastAsia" w:ascii="宋体" w:hAnsi="宋体" w:cs="宋体"/>
          <w:i/>
          <w:sz w:val="24"/>
          <w:szCs w:val="28"/>
          <w:u w:val="single"/>
        </w:rPr>
        <w:t>（采购文件中明确的所属行业）</w:t>
      </w:r>
      <w:r>
        <w:rPr>
          <w:rFonts w:hint="eastAsia" w:ascii="宋体" w:hAnsi="宋体" w:cs="宋体"/>
          <w:sz w:val="24"/>
          <w:szCs w:val="28"/>
        </w:rPr>
        <w:t>；承接企业为</w:t>
      </w:r>
      <w:r>
        <w:rPr>
          <w:rFonts w:hint="eastAsia" w:ascii="宋体" w:hAnsi="宋体" w:cs="宋体"/>
          <w:i/>
          <w:sz w:val="24"/>
          <w:szCs w:val="28"/>
          <w:u w:val="single"/>
        </w:rPr>
        <w:t>（企业名称）</w:t>
      </w:r>
      <w:r>
        <w:rPr>
          <w:rFonts w:hint="eastAsia" w:ascii="宋体" w:hAnsi="宋体" w:cs="宋体"/>
          <w:sz w:val="24"/>
          <w:szCs w:val="28"/>
        </w:rPr>
        <w:t>，从业人员</w:t>
      </w:r>
      <w:r>
        <w:rPr>
          <w:rFonts w:hint="eastAsia" w:ascii="宋体" w:hAnsi="宋体" w:cs="宋体"/>
          <w:sz w:val="24"/>
          <w:szCs w:val="28"/>
          <w:u w:val="single"/>
        </w:rPr>
        <w:t xml:space="preserve">      </w:t>
      </w:r>
      <w:r>
        <w:rPr>
          <w:rFonts w:hint="eastAsia" w:ascii="宋体" w:hAnsi="宋体" w:cs="宋体"/>
          <w:sz w:val="24"/>
          <w:szCs w:val="28"/>
        </w:rPr>
        <w:t>人，营业收入为</w:t>
      </w:r>
      <w:r>
        <w:rPr>
          <w:rFonts w:hint="eastAsia" w:ascii="宋体" w:hAnsi="宋体" w:cs="宋体"/>
          <w:sz w:val="24"/>
          <w:szCs w:val="28"/>
          <w:u w:val="single"/>
        </w:rPr>
        <w:t xml:space="preserve">    </w:t>
      </w:r>
      <w:r>
        <w:rPr>
          <w:rFonts w:hint="eastAsia" w:ascii="宋体" w:hAnsi="宋体" w:cs="宋体"/>
          <w:sz w:val="24"/>
          <w:szCs w:val="28"/>
        </w:rPr>
        <w:t>万元，资产总额为</w:t>
      </w:r>
      <w:r>
        <w:rPr>
          <w:rFonts w:hint="eastAsia" w:ascii="宋体" w:hAnsi="宋体" w:cs="宋体"/>
          <w:sz w:val="24"/>
          <w:szCs w:val="28"/>
          <w:u w:val="single"/>
        </w:rPr>
        <w:t xml:space="preserve">    </w:t>
      </w:r>
      <w:r>
        <w:rPr>
          <w:rFonts w:hint="eastAsia" w:ascii="宋体" w:hAnsi="宋体" w:cs="宋体"/>
          <w:sz w:val="24"/>
          <w:szCs w:val="28"/>
        </w:rPr>
        <w:t>万元，属于</w:t>
      </w:r>
      <w:r>
        <w:rPr>
          <w:rFonts w:hint="eastAsia" w:ascii="宋体" w:hAnsi="宋体" w:cs="宋体"/>
          <w:i/>
          <w:sz w:val="24"/>
          <w:szCs w:val="28"/>
          <w:u w:val="single"/>
        </w:rPr>
        <w:t>（中型企业、小型企业、微型企业）</w:t>
      </w:r>
      <w:r>
        <w:rPr>
          <w:rFonts w:hint="eastAsia" w:ascii="宋体" w:hAnsi="宋体" w:cs="宋体"/>
          <w:sz w:val="24"/>
          <w:szCs w:val="28"/>
        </w:rPr>
        <w:t>；</w:t>
      </w:r>
    </w:p>
    <w:p>
      <w:pPr>
        <w:tabs>
          <w:tab w:val="left" w:pos="6300"/>
        </w:tabs>
        <w:snapToGrid w:val="0"/>
        <w:spacing w:line="500" w:lineRule="exact"/>
        <w:ind w:firstLine="480" w:firstLineChars="200"/>
        <w:rPr>
          <w:rFonts w:ascii="宋体" w:hAnsi="宋体" w:cs="宋体"/>
          <w:sz w:val="24"/>
          <w:szCs w:val="28"/>
        </w:rPr>
      </w:pPr>
      <w:r>
        <w:rPr>
          <w:rFonts w:hint="eastAsia" w:ascii="宋体" w:hAnsi="宋体" w:cs="宋体"/>
          <w:sz w:val="24"/>
          <w:szCs w:val="28"/>
        </w:rPr>
        <w:t>为本标的提供的服务人员</w:t>
      </w:r>
      <w:r>
        <w:rPr>
          <w:rFonts w:hint="eastAsia" w:ascii="宋体" w:hAnsi="宋体" w:cs="宋体"/>
          <w:sz w:val="24"/>
          <w:szCs w:val="28"/>
          <w:u w:val="single"/>
        </w:rPr>
        <w:t xml:space="preserve">   </w:t>
      </w:r>
      <w:r>
        <w:rPr>
          <w:rFonts w:hint="eastAsia" w:ascii="宋体" w:hAnsi="宋体" w:cs="宋体"/>
          <w:sz w:val="24"/>
          <w:szCs w:val="28"/>
        </w:rPr>
        <w:t>人，其中与本企业签订劳动合同</w:t>
      </w:r>
      <w:r>
        <w:rPr>
          <w:rFonts w:hint="eastAsia" w:ascii="宋体" w:hAnsi="宋体" w:cs="宋体"/>
          <w:sz w:val="24"/>
          <w:szCs w:val="28"/>
          <w:u w:val="single"/>
        </w:rPr>
        <w:t xml:space="preserve">   </w:t>
      </w:r>
      <w:r>
        <w:rPr>
          <w:rFonts w:hint="eastAsia" w:ascii="宋体" w:hAnsi="宋体" w:cs="宋体"/>
          <w:sz w:val="24"/>
          <w:szCs w:val="28"/>
        </w:rPr>
        <w:t>人，其他人员</w:t>
      </w:r>
      <w:r>
        <w:rPr>
          <w:rFonts w:hint="eastAsia" w:ascii="宋体" w:hAnsi="宋体" w:cs="宋体"/>
          <w:sz w:val="24"/>
          <w:szCs w:val="28"/>
          <w:u w:val="single"/>
        </w:rPr>
        <w:t xml:space="preserve">   </w:t>
      </w:r>
      <w:r>
        <w:rPr>
          <w:rFonts w:hint="eastAsia" w:ascii="宋体" w:hAnsi="宋体" w:cs="宋体"/>
          <w:sz w:val="24"/>
          <w:szCs w:val="28"/>
        </w:rPr>
        <w:t>人。有其他人员的不符合中小企业扶持政策（适用于服务采购项目）;</w:t>
      </w:r>
    </w:p>
    <w:p>
      <w:pPr>
        <w:tabs>
          <w:tab w:val="left" w:pos="6300"/>
        </w:tabs>
        <w:snapToGrid w:val="0"/>
        <w:spacing w:line="500" w:lineRule="exact"/>
        <w:ind w:firstLine="480" w:firstLineChars="200"/>
        <w:rPr>
          <w:rFonts w:ascii="宋体" w:hAnsi="宋体" w:cs="宋体"/>
          <w:sz w:val="24"/>
          <w:szCs w:val="28"/>
        </w:rPr>
      </w:pPr>
      <w:r>
        <w:rPr>
          <w:rFonts w:hint="eastAsia" w:ascii="宋体" w:hAnsi="宋体" w:cs="宋体"/>
          <w:sz w:val="24"/>
          <w:szCs w:val="28"/>
        </w:rPr>
        <w:t>……</w:t>
      </w:r>
    </w:p>
    <w:p>
      <w:pPr>
        <w:tabs>
          <w:tab w:val="left" w:pos="6300"/>
        </w:tabs>
        <w:snapToGrid w:val="0"/>
        <w:spacing w:line="500" w:lineRule="exact"/>
        <w:ind w:firstLine="480" w:firstLineChars="200"/>
        <w:rPr>
          <w:rFonts w:ascii="宋体" w:hAnsi="宋体" w:cs="宋体"/>
          <w:sz w:val="24"/>
          <w:szCs w:val="28"/>
        </w:rPr>
      </w:pPr>
      <w:r>
        <w:rPr>
          <w:rFonts w:hint="eastAsia" w:ascii="宋体" w:hAnsi="宋体" w:cs="宋体"/>
          <w:sz w:val="24"/>
          <w:szCs w:val="28"/>
        </w:rPr>
        <w:t>以上企业，不属于大企业的分支机构，不存在控股股东为大企业的情形，也不存在与大企业的负责人为同一人的情形。</w:t>
      </w:r>
    </w:p>
    <w:p>
      <w:pPr>
        <w:tabs>
          <w:tab w:val="left" w:pos="6300"/>
        </w:tabs>
        <w:snapToGrid w:val="0"/>
        <w:spacing w:line="500" w:lineRule="exact"/>
        <w:ind w:firstLine="480" w:firstLineChars="200"/>
        <w:rPr>
          <w:rFonts w:ascii="宋体" w:hAnsi="宋体" w:cs="宋体"/>
          <w:sz w:val="24"/>
          <w:szCs w:val="28"/>
        </w:rPr>
      </w:pPr>
      <w:r>
        <w:rPr>
          <w:rFonts w:hint="eastAsia" w:ascii="宋体" w:hAnsi="宋体" w:cs="宋体"/>
          <w:sz w:val="24"/>
          <w:szCs w:val="28"/>
        </w:rPr>
        <w:t>本企业对上述声明内容的真实性负责。如有虚假，将依法承担相应责任。</w:t>
      </w:r>
    </w:p>
    <w:p>
      <w:pPr>
        <w:tabs>
          <w:tab w:val="left" w:pos="6300"/>
        </w:tabs>
        <w:snapToGrid w:val="0"/>
        <w:spacing w:line="500" w:lineRule="exact"/>
        <w:ind w:firstLine="480" w:firstLineChars="200"/>
        <w:rPr>
          <w:rFonts w:ascii="宋体" w:hAnsi="宋体" w:cs="宋体"/>
          <w:sz w:val="24"/>
          <w:szCs w:val="28"/>
        </w:rPr>
      </w:pPr>
      <w:r>
        <w:rPr>
          <w:rFonts w:hint="eastAsia" w:ascii="宋体" w:hAnsi="宋体" w:cs="宋体"/>
          <w:sz w:val="24"/>
          <w:szCs w:val="28"/>
        </w:rPr>
        <w:t xml:space="preserve">                                                    </w:t>
      </w:r>
    </w:p>
    <w:p>
      <w:pPr>
        <w:tabs>
          <w:tab w:val="left" w:pos="6300"/>
        </w:tabs>
        <w:snapToGrid w:val="0"/>
        <w:spacing w:line="500" w:lineRule="exact"/>
        <w:ind w:firstLine="6120" w:firstLineChars="2550"/>
        <w:rPr>
          <w:rFonts w:ascii="宋体" w:hAnsi="宋体" w:cs="宋体"/>
          <w:sz w:val="24"/>
          <w:szCs w:val="28"/>
        </w:rPr>
      </w:pPr>
      <w:r>
        <w:rPr>
          <w:rFonts w:hint="eastAsia" w:ascii="宋体" w:hAnsi="宋体" w:cs="宋体"/>
          <w:sz w:val="24"/>
          <w:szCs w:val="28"/>
        </w:rPr>
        <w:t xml:space="preserve">企业名称（盖章）： </w:t>
      </w:r>
    </w:p>
    <w:p>
      <w:pPr>
        <w:tabs>
          <w:tab w:val="left" w:pos="6300"/>
        </w:tabs>
        <w:snapToGrid w:val="0"/>
        <w:spacing w:line="500" w:lineRule="exact"/>
        <w:ind w:right="784" w:firstLine="6120" w:firstLineChars="2550"/>
        <w:rPr>
          <w:rFonts w:ascii="宋体" w:hAnsi="宋体" w:cs="宋体"/>
          <w:sz w:val="24"/>
        </w:rPr>
      </w:pPr>
      <w:r>
        <w:rPr>
          <w:rFonts w:hint="eastAsia" w:ascii="宋体" w:hAnsi="宋体" w:cs="宋体"/>
          <w:sz w:val="24"/>
          <w:szCs w:val="28"/>
        </w:rPr>
        <w:t>日期：</w:t>
      </w:r>
    </w:p>
    <w:p>
      <w:pPr>
        <w:tabs>
          <w:tab w:val="left" w:pos="6300"/>
        </w:tabs>
        <w:snapToGrid w:val="0"/>
        <w:rPr>
          <w:rFonts w:ascii="宋体" w:hAnsi="宋体" w:cs="宋体"/>
          <w:kern w:val="0"/>
          <w:sz w:val="21"/>
          <w:szCs w:val="21"/>
        </w:rPr>
      </w:pPr>
      <w:r>
        <w:rPr>
          <w:rFonts w:hint="eastAsia" w:ascii="宋体" w:hAnsi="宋体" w:cs="宋体"/>
          <w:kern w:val="0"/>
          <w:sz w:val="21"/>
          <w:szCs w:val="21"/>
        </w:rPr>
        <w:t>填写时应注意以下事项：</w:t>
      </w:r>
    </w:p>
    <w:p>
      <w:pPr>
        <w:tabs>
          <w:tab w:val="left" w:pos="6300"/>
        </w:tabs>
        <w:snapToGrid w:val="0"/>
        <w:ind w:firstLine="420" w:firstLineChars="200"/>
        <w:rPr>
          <w:rFonts w:ascii="宋体" w:hAnsi="宋体" w:cs="宋体"/>
          <w:kern w:val="0"/>
          <w:sz w:val="21"/>
          <w:szCs w:val="21"/>
        </w:rPr>
      </w:pPr>
      <w:r>
        <w:rPr>
          <w:rFonts w:hint="eastAsia" w:ascii="宋体" w:hAnsi="宋体" w:cs="宋体"/>
          <w:kern w:val="0"/>
          <w:sz w:val="21"/>
          <w:szCs w:val="21"/>
        </w:rPr>
        <w:t>1.从业人员、营业收入、资产总额填报上一年度数据，无上一年度数据的新成立企业可不填报。</w:t>
      </w:r>
    </w:p>
    <w:p>
      <w:pPr>
        <w:tabs>
          <w:tab w:val="left" w:pos="6300"/>
        </w:tabs>
        <w:snapToGrid w:val="0"/>
        <w:ind w:firstLine="422" w:firstLineChars="200"/>
        <w:rPr>
          <w:rFonts w:ascii="宋体" w:hAnsi="宋体" w:cs="宋体"/>
          <w:b/>
          <w:kern w:val="0"/>
          <w:sz w:val="21"/>
          <w:szCs w:val="21"/>
        </w:rPr>
      </w:pPr>
      <w:r>
        <w:rPr>
          <w:rFonts w:hint="eastAsia" w:ascii="宋体" w:hAnsi="宋体" w:cs="宋体"/>
          <w:b/>
          <w:kern w:val="0"/>
          <w:sz w:val="21"/>
          <w:szCs w:val="21"/>
        </w:rPr>
        <w:t>2.中小企业应当按照《中小企业划型标准规定》（工信部联企业〔2011〕300号），如实填写并提交《中小企业声明函》。</w:t>
      </w:r>
    </w:p>
    <w:p>
      <w:pPr>
        <w:tabs>
          <w:tab w:val="left" w:pos="6300"/>
        </w:tabs>
        <w:snapToGrid w:val="0"/>
        <w:ind w:firstLine="422" w:firstLineChars="200"/>
        <w:rPr>
          <w:rFonts w:ascii="宋体" w:hAnsi="宋体" w:cs="宋体"/>
          <w:b/>
          <w:kern w:val="0"/>
          <w:sz w:val="21"/>
          <w:szCs w:val="21"/>
        </w:rPr>
      </w:pPr>
      <w:r>
        <w:rPr>
          <w:rFonts w:hint="eastAsia" w:ascii="宋体" w:hAnsi="宋体" w:cs="宋体"/>
          <w:b/>
          <w:kern w:val="0"/>
          <w:sz w:val="21"/>
          <w:szCs w:val="21"/>
        </w:rPr>
        <w:t>3.供应商填写《中小企业声明函》中所属行业时，应与采购文件第一篇“采购标的对应的中小企业划分标准所属行业”中填写的所属行业一致。</w:t>
      </w:r>
    </w:p>
    <w:p>
      <w:pPr>
        <w:tabs>
          <w:tab w:val="left" w:pos="6300"/>
        </w:tabs>
        <w:snapToGrid w:val="0"/>
        <w:ind w:firstLine="422" w:firstLineChars="200"/>
        <w:rPr>
          <w:rFonts w:ascii="宋体" w:hAnsi="宋体" w:cs="宋体"/>
          <w:b/>
          <w:kern w:val="0"/>
          <w:sz w:val="21"/>
          <w:szCs w:val="21"/>
        </w:rPr>
      </w:pPr>
      <w:r>
        <w:rPr>
          <w:rFonts w:hint="eastAsia" w:ascii="宋体" w:hAnsi="宋体" w:cs="宋体"/>
          <w:b/>
          <w:kern w:val="0"/>
          <w:sz w:val="21"/>
          <w:szCs w:val="21"/>
        </w:rPr>
        <w:t>4.本声明函“企业名称（盖章）”处为供应商盖章。</w:t>
      </w:r>
    </w:p>
    <w:p>
      <w:pPr>
        <w:tabs>
          <w:tab w:val="left" w:pos="6300"/>
        </w:tabs>
        <w:snapToGrid w:val="0"/>
        <w:ind w:firstLine="420" w:firstLineChars="200"/>
        <w:rPr>
          <w:rFonts w:ascii="宋体" w:hAnsi="宋体" w:cs="宋体"/>
          <w:kern w:val="0"/>
          <w:sz w:val="21"/>
          <w:szCs w:val="21"/>
        </w:rPr>
        <w:sectPr>
          <w:pgSz w:w="11907" w:h="16840"/>
          <w:pgMar w:top="1417" w:right="1417" w:bottom="1417" w:left="1417" w:header="851" w:footer="992" w:gutter="0"/>
          <w:cols w:space="0" w:num="1"/>
          <w:docGrid w:linePitch="380" w:charSpace="0"/>
        </w:sectPr>
      </w:pPr>
    </w:p>
    <w:p>
      <w:pPr>
        <w:tabs>
          <w:tab w:val="left" w:pos="6300"/>
        </w:tabs>
        <w:snapToGrid w:val="0"/>
        <w:ind w:firstLine="420" w:firstLineChars="200"/>
        <w:rPr>
          <w:rFonts w:ascii="宋体" w:hAnsi="宋体" w:cs="宋体"/>
          <w:kern w:val="0"/>
          <w:sz w:val="21"/>
          <w:szCs w:val="21"/>
        </w:rPr>
      </w:pPr>
      <w:r>
        <w:rPr>
          <w:rFonts w:hint="eastAsia" w:ascii="宋体" w:hAnsi="宋体" w:cs="宋体"/>
          <w:kern w:val="0"/>
          <w:sz w:val="21"/>
          <w:szCs w:val="21"/>
        </w:rPr>
        <w:t>注：各行业划型标准：</w:t>
      </w:r>
    </w:p>
    <w:p>
      <w:pPr>
        <w:tabs>
          <w:tab w:val="left" w:pos="6300"/>
        </w:tabs>
        <w:snapToGrid w:val="0"/>
        <w:ind w:firstLine="420" w:firstLineChars="200"/>
        <w:rPr>
          <w:rFonts w:ascii="宋体" w:hAnsi="宋体" w:cs="宋体"/>
          <w:kern w:val="0"/>
          <w:sz w:val="21"/>
          <w:szCs w:val="21"/>
        </w:rPr>
      </w:pPr>
      <w:r>
        <w:rPr>
          <w:rFonts w:hint="eastAsia" w:ascii="宋体" w:hAnsi="宋体" w:cs="宋体"/>
          <w:kern w:val="0"/>
          <w:sz w:val="21"/>
          <w:szCs w:val="21"/>
        </w:rPr>
        <w:t>（一）农、林、牧、渔业。营业收入20000万元以下的为中小微型企业。其中，营业收入500万元及以上的为中型企业，营业收入50万元及以上的为小型企业，营业收入50万元以下的为微型企业。</w:t>
      </w:r>
    </w:p>
    <w:p>
      <w:pPr>
        <w:tabs>
          <w:tab w:val="left" w:pos="6300"/>
        </w:tabs>
        <w:snapToGrid w:val="0"/>
        <w:ind w:firstLine="420" w:firstLineChars="200"/>
        <w:rPr>
          <w:rFonts w:ascii="宋体" w:hAnsi="宋体" w:cs="宋体"/>
          <w:kern w:val="0"/>
          <w:sz w:val="21"/>
          <w:szCs w:val="21"/>
        </w:rPr>
      </w:pPr>
      <w:r>
        <w:rPr>
          <w:rFonts w:hint="eastAsia" w:ascii="宋体" w:hAnsi="宋体" w:cs="宋体"/>
          <w:kern w:val="0"/>
          <w:sz w:val="21"/>
          <w:szCs w:val="21"/>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tabs>
          <w:tab w:val="left" w:pos="6300"/>
        </w:tabs>
        <w:snapToGrid w:val="0"/>
        <w:ind w:firstLine="420" w:firstLineChars="200"/>
        <w:rPr>
          <w:rFonts w:ascii="宋体" w:hAnsi="宋体" w:cs="宋体"/>
          <w:kern w:val="0"/>
          <w:sz w:val="21"/>
          <w:szCs w:val="21"/>
        </w:rPr>
      </w:pPr>
      <w:r>
        <w:rPr>
          <w:rFonts w:hint="eastAsia" w:ascii="宋体" w:hAnsi="宋体" w:cs="宋体"/>
          <w:kern w:val="0"/>
          <w:sz w:val="21"/>
          <w:szCs w:val="21"/>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tabs>
          <w:tab w:val="left" w:pos="6300"/>
        </w:tabs>
        <w:snapToGrid w:val="0"/>
        <w:ind w:firstLine="420" w:firstLineChars="200"/>
        <w:rPr>
          <w:rFonts w:ascii="宋体" w:hAnsi="宋体" w:cs="宋体"/>
          <w:kern w:val="0"/>
          <w:sz w:val="21"/>
          <w:szCs w:val="21"/>
        </w:rPr>
      </w:pPr>
      <w:r>
        <w:rPr>
          <w:rFonts w:hint="eastAsia" w:ascii="宋体" w:hAnsi="宋体" w:cs="宋体"/>
          <w:kern w:val="0"/>
          <w:sz w:val="21"/>
          <w:szCs w:val="21"/>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tabs>
          <w:tab w:val="left" w:pos="6300"/>
        </w:tabs>
        <w:snapToGrid w:val="0"/>
        <w:ind w:firstLine="420" w:firstLineChars="200"/>
        <w:rPr>
          <w:rFonts w:ascii="宋体" w:hAnsi="宋体" w:cs="宋体"/>
          <w:kern w:val="0"/>
          <w:sz w:val="21"/>
          <w:szCs w:val="21"/>
        </w:rPr>
      </w:pPr>
      <w:r>
        <w:rPr>
          <w:rFonts w:hint="eastAsia" w:ascii="宋体" w:hAnsi="宋体" w:cs="宋体"/>
          <w:kern w:val="0"/>
          <w:sz w:val="21"/>
          <w:szCs w:val="21"/>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宋体" w:hAnsi="宋体" w:cs="宋体"/>
          <w:kern w:val="0"/>
          <w:sz w:val="21"/>
          <w:szCs w:val="21"/>
        </w:rPr>
      </w:pPr>
      <w:r>
        <w:rPr>
          <w:rFonts w:hint="eastAsia" w:ascii="宋体" w:hAnsi="宋体" w:cs="宋体"/>
          <w:kern w:val="0"/>
          <w:sz w:val="21"/>
          <w:szCs w:val="21"/>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tabs>
          <w:tab w:val="left" w:pos="6300"/>
        </w:tabs>
        <w:snapToGrid w:val="0"/>
        <w:ind w:firstLine="420" w:firstLineChars="200"/>
        <w:rPr>
          <w:rFonts w:ascii="宋体" w:hAnsi="宋体" w:cs="宋体"/>
          <w:kern w:val="0"/>
          <w:sz w:val="21"/>
          <w:szCs w:val="21"/>
        </w:rPr>
      </w:pPr>
      <w:r>
        <w:rPr>
          <w:rFonts w:hint="eastAsia" w:ascii="宋体" w:hAnsi="宋体" w:cs="宋体"/>
          <w:kern w:val="0"/>
          <w:sz w:val="21"/>
          <w:szCs w:val="21"/>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tabs>
          <w:tab w:val="left" w:pos="6300"/>
        </w:tabs>
        <w:snapToGrid w:val="0"/>
        <w:ind w:firstLine="420" w:firstLineChars="200"/>
        <w:rPr>
          <w:rFonts w:ascii="宋体" w:hAnsi="宋体" w:cs="宋体"/>
          <w:kern w:val="0"/>
          <w:sz w:val="21"/>
          <w:szCs w:val="21"/>
        </w:rPr>
      </w:pPr>
      <w:r>
        <w:rPr>
          <w:rFonts w:hint="eastAsia" w:ascii="宋体" w:hAnsi="宋体" w:cs="宋体"/>
          <w:kern w:val="0"/>
          <w:sz w:val="21"/>
          <w:szCs w:val="21"/>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tabs>
          <w:tab w:val="left" w:pos="6300"/>
        </w:tabs>
        <w:snapToGrid w:val="0"/>
        <w:ind w:firstLine="420" w:firstLineChars="200"/>
        <w:rPr>
          <w:rFonts w:ascii="宋体" w:hAnsi="宋体" w:cs="宋体"/>
          <w:kern w:val="0"/>
          <w:sz w:val="21"/>
          <w:szCs w:val="21"/>
        </w:rPr>
      </w:pPr>
      <w:r>
        <w:rPr>
          <w:rFonts w:hint="eastAsia" w:ascii="宋体" w:hAnsi="宋体" w:cs="宋体"/>
          <w:kern w:val="0"/>
          <w:sz w:val="21"/>
          <w:szCs w:val="21"/>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宋体" w:hAnsi="宋体" w:cs="宋体"/>
          <w:kern w:val="0"/>
          <w:sz w:val="21"/>
          <w:szCs w:val="21"/>
        </w:rPr>
      </w:pPr>
      <w:r>
        <w:rPr>
          <w:rFonts w:hint="eastAsia" w:ascii="宋体" w:hAnsi="宋体" w:cs="宋体"/>
          <w:kern w:val="0"/>
          <w:sz w:val="21"/>
          <w:szCs w:val="21"/>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宋体" w:hAnsi="宋体" w:cs="宋体"/>
          <w:kern w:val="0"/>
          <w:sz w:val="21"/>
          <w:szCs w:val="21"/>
        </w:rPr>
      </w:pPr>
      <w:r>
        <w:rPr>
          <w:rFonts w:hint="eastAsia" w:ascii="宋体" w:hAnsi="宋体" w:cs="宋体"/>
          <w:kern w:val="0"/>
          <w:sz w:val="21"/>
          <w:szCs w:val="21"/>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宋体" w:hAnsi="宋体" w:cs="宋体"/>
          <w:kern w:val="0"/>
          <w:sz w:val="21"/>
          <w:szCs w:val="21"/>
        </w:rPr>
      </w:pPr>
      <w:r>
        <w:rPr>
          <w:rFonts w:hint="eastAsia" w:ascii="宋体" w:hAnsi="宋体" w:cs="宋体"/>
          <w:kern w:val="0"/>
          <w:sz w:val="21"/>
          <w:szCs w:val="21"/>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tabs>
          <w:tab w:val="left" w:pos="6300"/>
        </w:tabs>
        <w:snapToGrid w:val="0"/>
        <w:ind w:firstLine="420" w:firstLineChars="200"/>
        <w:rPr>
          <w:rFonts w:ascii="宋体" w:hAnsi="宋体" w:cs="宋体"/>
          <w:kern w:val="0"/>
          <w:sz w:val="21"/>
          <w:szCs w:val="21"/>
        </w:rPr>
      </w:pPr>
      <w:r>
        <w:rPr>
          <w:rFonts w:hint="eastAsia" w:ascii="宋体" w:hAnsi="宋体" w:cs="宋体"/>
          <w:kern w:val="0"/>
          <w:sz w:val="21"/>
          <w:szCs w:val="21"/>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tabs>
          <w:tab w:val="left" w:pos="6300"/>
        </w:tabs>
        <w:snapToGrid w:val="0"/>
        <w:ind w:firstLine="420" w:firstLineChars="200"/>
        <w:rPr>
          <w:rFonts w:ascii="宋体" w:hAnsi="宋体" w:cs="宋体"/>
          <w:kern w:val="0"/>
          <w:sz w:val="21"/>
          <w:szCs w:val="21"/>
        </w:rPr>
      </w:pPr>
      <w:r>
        <w:rPr>
          <w:rFonts w:hint="eastAsia" w:ascii="宋体" w:hAnsi="宋体" w:cs="宋体"/>
          <w:kern w:val="0"/>
          <w:sz w:val="21"/>
          <w:szCs w:val="21"/>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tabs>
          <w:tab w:val="left" w:pos="6300"/>
        </w:tabs>
        <w:snapToGrid w:val="0"/>
        <w:ind w:firstLine="420" w:firstLineChars="200"/>
        <w:rPr>
          <w:rFonts w:ascii="宋体" w:hAnsi="宋体" w:cs="宋体"/>
          <w:kern w:val="0"/>
          <w:sz w:val="21"/>
          <w:szCs w:val="21"/>
        </w:rPr>
      </w:pPr>
      <w:r>
        <w:rPr>
          <w:rFonts w:hint="eastAsia" w:ascii="宋体" w:hAnsi="宋体" w:cs="宋体"/>
          <w:kern w:val="0"/>
          <w:sz w:val="21"/>
          <w:szCs w:val="21"/>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tabs>
          <w:tab w:val="left" w:pos="6300"/>
        </w:tabs>
        <w:snapToGrid w:val="0"/>
        <w:spacing w:line="360" w:lineRule="auto"/>
        <w:ind w:firstLine="570"/>
        <w:jc w:val="left"/>
        <w:rPr>
          <w:rFonts w:ascii="宋体" w:hAnsi="宋体" w:cs="宋体"/>
          <w:sz w:val="24"/>
          <w:szCs w:val="24"/>
        </w:rPr>
      </w:pPr>
      <w:r>
        <w:rPr>
          <w:rFonts w:hint="eastAsia" w:ascii="宋体" w:hAnsi="宋体" w:cs="宋体"/>
          <w:kern w:val="0"/>
          <w:sz w:val="21"/>
          <w:szCs w:val="21"/>
        </w:rPr>
        <w:t>（十六）其他未列明行业。从业人员300人以下的为中小微型企业。其中，从业人员100人及以上的为中型企业；从业人员10人及以上的为小型企业；从业人员10人以下的为微型企业。</w:t>
      </w:r>
    </w:p>
    <w:p>
      <w:pPr>
        <w:tabs>
          <w:tab w:val="left" w:pos="6300"/>
        </w:tabs>
        <w:snapToGrid w:val="0"/>
        <w:spacing w:line="360" w:lineRule="auto"/>
        <w:ind w:firstLine="570"/>
        <w:jc w:val="left"/>
        <w:rPr>
          <w:rFonts w:ascii="宋体" w:hAnsi="宋体" w:cs="宋体"/>
          <w:sz w:val="24"/>
          <w:szCs w:val="24"/>
        </w:rPr>
      </w:pPr>
    </w:p>
    <w:p>
      <w:pPr>
        <w:tabs>
          <w:tab w:val="left" w:pos="6300"/>
        </w:tabs>
        <w:snapToGrid w:val="0"/>
        <w:spacing w:line="360" w:lineRule="auto"/>
        <w:ind w:firstLine="570"/>
        <w:jc w:val="left"/>
        <w:rPr>
          <w:rFonts w:ascii="宋体" w:hAnsi="宋体" w:cs="宋体"/>
          <w:sz w:val="24"/>
          <w:szCs w:val="24"/>
        </w:rPr>
      </w:pPr>
    </w:p>
    <w:p>
      <w:pPr>
        <w:tabs>
          <w:tab w:val="left" w:pos="6300"/>
        </w:tabs>
        <w:snapToGrid w:val="0"/>
        <w:spacing w:line="500" w:lineRule="exact"/>
        <w:ind w:firstLine="560" w:firstLineChars="200"/>
        <w:jc w:val="center"/>
        <w:rPr>
          <w:rFonts w:ascii="宋体" w:hAnsi="宋体" w:cs="宋体"/>
        </w:rPr>
      </w:pPr>
      <w:r>
        <w:rPr>
          <w:rFonts w:hint="eastAsia" w:ascii="宋体" w:hAnsi="宋体" w:cs="宋体"/>
        </w:rPr>
        <w:t>监狱企业证明文件</w:t>
      </w:r>
    </w:p>
    <w:p>
      <w:pPr>
        <w:tabs>
          <w:tab w:val="left" w:pos="6300"/>
        </w:tabs>
        <w:snapToGrid w:val="0"/>
        <w:spacing w:line="400" w:lineRule="exact"/>
        <w:ind w:firstLine="480" w:firstLineChars="200"/>
        <w:rPr>
          <w:rFonts w:ascii="宋体" w:hAnsi="宋体" w:cs="宋体"/>
          <w:sz w:val="24"/>
        </w:rPr>
      </w:pPr>
      <w:r>
        <w:rPr>
          <w:rFonts w:hint="eastAsia" w:ascii="宋体" w:hAnsi="宋体" w:cs="宋体"/>
          <w:sz w:val="24"/>
        </w:rPr>
        <w:t>以省级以上监狱管理局、戒毒管理局（含新疆生产建设兵团）出具的属于监狱企业的证明文件为准。</w:t>
      </w:r>
    </w:p>
    <w:p>
      <w:pPr>
        <w:tabs>
          <w:tab w:val="left" w:pos="6300"/>
        </w:tabs>
        <w:snapToGrid w:val="0"/>
        <w:spacing w:line="500" w:lineRule="exact"/>
        <w:ind w:firstLine="480" w:firstLineChars="200"/>
        <w:jc w:val="center"/>
        <w:rPr>
          <w:rFonts w:ascii="宋体" w:hAnsi="宋体" w:cs="宋体"/>
        </w:rPr>
      </w:pPr>
      <w:r>
        <w:rPr>
          <w:rFonts w:hint="eastAsia" w:ascii="宋体" w:hAnsi="宋体" w:cs="宋体"/>
          <w:sz w:val="24"/>
        </w:rPr>
        <w:br w:type="page"/>
      </w:r>
      <w:r>
        <w:rPr>
          <w:rFonts w:hint="eastAsia" w:ascii="宋体" w:hAnsi="宋体" w:cs="宋体"/>
        </w:rPr>
        <w:t>残疾人福利性单位声明函</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tabs>
          <w:tab w:val="left" w:pos="6300"/>
        </w:tabs>
        <w:snapToGrid w:val="0"/>
        <w:spacing w:line="500" w:lineRule="exact"/>
        <w:ind w:firstLine="480" w:firstLineChars="200"/>
        <w:rPr>
          <w:rFonts w:ascii="宋体" w:hAnsi="宋体" w:cs="宋体"/>
          <w:sz w:val="24"/>
        </w:rPr>
      </w:pPr>
    </w:p>
    <w:p>
      <w:pPr>
        <w:tabs>
          <w:tab w:val="left" w:pos="6300"/>
        </w:tabs>
        <w:snapToGrid w:val="0"/>
        <w:spacing w:line="500" w:lineRule="exact"/>
        <w:ind w:firstLine="480" w:firstLineChars="200"/>
        <w:rPr>
          <w:rFonts w:ascii="宋体" w:hAnsi="宋体" w:cs="宋体"/>
          <w:sz w:val="24"/>
        </w:rPr>
      </w:pP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 xml:space="preserve">                                                 供应商名称（盖章）：</w:t>
      </w:r>
    </w:p>
    <w:p>
      <w:pPr>
        <w:snapToGrid w:val="0"/>
        <w:spacing w:line="440" w:lineRule="exact"/>
        <w:ind w:firstLine="480" w:firstLineChars="200"/>
        <w:rPr>
          <w:rFonts w:ascii="宋体" w:hAnsi="宋体" w:cs="宋体"/>
          <w:sz w:val="24"/>
        </w:rPr>
      </w:pPr>
      <w:r>
        <w:rPr>
          <w:rFonts w:hint="eastAsia" w:ascii="宋体" w:hAnsi="宋体" w:cs="宋体"/>
          <w:sz w:val="24"/>
        </w:rPr>
        <w:t xml:space="preserve">                                                  日  期：</w:t>
      </w:r>
    </w:p>
    <w:p>
      <w:pPr>
        <w:snapToGrid w:val="0"/>
        <w:spacing w:line="440" w:lineRule="exact"/>
        <w:ind w:firstLine="480" w:firstLineChars="200"/>
        <w:rPr>
          <w:rFonts w:ascii="宋体" w:hAnsi="宋体" w:cs="宋体"/>
          <w:sz w:val="24"/>
        </w:rPr>
      </w:pPr>
    </w:p>
    <w:p>
      <w:pPr>
        <w:snapToGrid w:val="0"/>
        <w:spacing w:line="440" w:lineRule="exact"/>
        <w:ind w:firstLine="480" w:firstLineChars="200"/>
        <w:rPr>
          <w:rFonts w:ascii="宋体" w:hAnsi="宋体" w:cs="宋体"/>
          <w:sz w:val="24"/>
        </w:rPr>
      </w:pPr>
    </w:p>
    <w:p>
      <w:pPr>
        <w:snapToGrid w:val="0"/>
        <w:spacing w:line="440" w:lineRule="exact"/>
        <w:ind w:firstLine="480" w:firstLineChars="200"/>
        <w:rPr>
          <w:rFonts w:ascii="宋体" w:hAnsi="宋体" w:cs="宋体"/>
          <w:sz w:val="24"/>
        </w:rPr>
      </w:pPr>
    </w:p>
    <w:p>
      <w:pPr>
        <w:snapToGrid w:val="0"/>
        <w:spacing w:line="440" w:lineRule="exact"/>
        <w:ind w:firstLine="480" w:firstLineChars="200"/>
        <w:rPr>
          <w:rFonts w:ascii="宋体" w:hAnsi="宋体" w:cs="宋体"/>
          <w:sz w:val="24"/>
        </w:rPr>
      </w:pPr>
    </w:p>
    <w:p>
      <w:pPr>
        <w:snapToGrid w:val="0"/>
        <w:spacing w:line="440" w:lineRule="exact"/>
        <w:ind w:firstLine="480" w:firstLineChars="200"/>
        <w:rPr>
          <w:rFonts w:ascii="宋体" w:hAnsi="宋体" w:cs="宋体"/>
          <w:sz w:val="24"/>
        </w:rPr>
      </w:pPr>
    </w:p>
    <w:p>
      <w:pPr>
        <w:snapToGrid w:val="0"/>
        <w:spacing w:line="440" w:lineRule="exact"/>
        <w:ind w:firstLine="480" w:firstLineChars="200"/>
        <w:rPr>
          <w:rFonts w:ascii="宋体" w:hAnsi="宋体" w:cs="宋体"/>
          <w:sz w:val="24"/>
        </w:rPr>
      </w:pPr>
    </w:p>
    <w:p>
      <w:pPr>
        <w:snapToGrid w:val="0"/>
        <w:spacing w:line="440" w:lineRule="exact"/>
        <w:ind w:firstLine="480" w:firstLineChars="200"/>
        <w:rPr>
          <w:rFonts w:ascii="宋体" w:hAnsi="宋体" w:cs="宋体"/>
          <w:sz w:val="24"/>
        </w:rPr>
      </w:pPr>
    </w:p>
    <w:p>
      <w:pPr>
        <w:snapToGrid w:val="0"/>
        <w:spacing w:line="440" w:lineRule="exact"/>
        <w:ind w:firstLine="480" w:firstLineChars="200"/>
        <w:rPr>
          <w:rFonts w:ascii="宋体" w:hAnsi="宋体" w:cs="宋体"/>
          <w:sz w:val="24"/>
        </w:rPr>
      </w:pPr>
    </w:p>
    <w:p>
      <w:pPr>
        <w:snapToGrid w:val="0"/>
        <w:spacing w:line="440" w:lineRule="exact"/>
        <w:ind w:firstLine="480" w:firstLineChars="200"/>
        <w:rPr>
          <w:rFonts w:ascii="宋体" w:hAnsi="宋体" w:cs="宋体"/>
          <w:sz w:val="24"/>
        </w:rPr>
      </w:pPr>
    </w:p>
    <w:p>
      <w:pPr>
        <w:snapToGrid w:val="0"/>
        <w:spacing w:line="440" w:lineRule="exact"/>
        <w:ind w:firstLine="480" w:firstLineChars="200"/>
        <w:rPr>
          <w:rFonts w:ascii="宋体" w:hAnsi="宋体" w:cs="宋体"/>
          <w:sz w:val="24"/>
        </w:rPr>
      </w:pPr>
    </w:p>
    <w:p>
      <w:pPr>
        <w:snapToGrid w:val="0"/>
        <w:spacing w:line="440" w:lineRule="exact"/>
        <w:ind w:firstLine="480" w:firstLineChars="200"/>
        <w:rPr>
          <w:rFonts w:ascii="宋体" w:hAnsi="宋体" w:cs="宋体"/>
          <w:sz w:val="24"/>
        </w:rPr>
      </w:pPr>
    </w:p>
    <w:p>
      <w:pPr>
        <w:snapToGrid w:val="0"/>
        <w:spacing w:line="440" w:lineRule="exact"/>
        <w:ind w:firstLine="480" w:firstLineChars="200"/>
        <w:rPr>
          <w:rFonts w:ascii="宋体" w:hAnsi="宋体" w:cs="宋体"/>
          <w:sz w:val="24"/>
        </w:rPr>
      </w:pPr>
    </w:p>
    <w:p>
      <w:pPr>
        <w:snapToGrid w:val="0"/>
        <w:spacing w:line="440" w:lineRule="exact"/>
        <w:ind w:firstLine="480" w:firstLineChars="200"/>
        <w:rPr>
          <w:rFonts w:ascii="宋体" w:hAnsi="宋体" w:cs="宋体"/>
          <w:sz w:val="24"/>
        </w:rPr>
      </w:pPr>
      <w:r>
        <w:rPr>
          <w:rFonts w:hint="eastAsia" w:ascii="宋体" w:hAnsi="宋体" w:cs="宋体"/>
          <w:kern w:val="0"/>
          <w:sz w:val="24"/>
        </w:rPr>
        <w:t>若成交供应商为残疾人福利性单位的，将在结果公告时公告其《残疾人福利性单位声明函》。</w:t>
      </w:r>
    </w:p>
    <w:p>
      <w:pPr>
        <w:snapToGrid w:val="0"/>
        <w:spacing w:line="440" w:lineRule="exact"/>
        <w:ind w:firstLine="480" w:firstLineChars="200"/>
        <w:rPr>
          <w:rFonts w:ascii="宋体" w:hAnsi="宋体" w:cs="宋体"/>
          <w:sz w:val="24"/>
        </w:rPr>
      </w:pPr>
    </w:p>
    <w:p>
      <w:pPr>
        <w:snapToGrid w:val="0"/>
        <w:spacing w:line="400" w:lineRule="exact"/>
        <w:ind w:firstLine="480" w:firstLineChars="200"/>
        <w:rPr>
          <w:rFonts w:ascii="宋体" w:hAnsi="宋体" w:cs="宋体"/>
          <w:sz w:val="24"/>
          <w:szCs w:val="24"/>
        </w:rPr>
      </w:pPr>
      <w:r>
        <w:rPr>
          <w:rFonts w:hint="eastAsia" w:ascii="宋体" w:hAnsi="宋体" w:cs="宋体"/>
          <w:sz w:val="24"/>
          <w:szCs w:val="24"/>
        </w:rPr>
        <w:br w:type="page"/>
      </w:r>
      <w:r>
        <w:rPr>
          <w:rFonts w:hint="eastAsia" w:ascii="宋体" w:hAnsi="宋体" w:cs="宋体"/>
          <w:sz w:val="24"/>
          <w:szCs w:val="24"/>
        </w:rPr>
        <w:t>（二）其他与项目有关的资料</w:t>
      </w:r>
    </w:p>
    <w:p>
      <w:pPr>
        <w:spacing w:line="400" w:lineRule="exact"/>
        <w:ind w:firstLine="480" w:firstLineChars="200"/>
        <w:rPr>
          <w:rFonts w:ascii="宋体" w:hAnsi="宋体" w:cs="宋体"/>
          <w:sz w:val="24"/>
          <w:szCs w:val="24"/>
        </w:rPr>
      </w:pPr>
      <w:r>
        <w:rPr>
          <w:rFonts w:hint="eastAsia" w:ascii="宋体" w:hAnsi="宋体" w:cs="宋体"/>
          <w:sz w:val="24"/>
          <w:szCs w:val="24"/>
        </w:rPr>
        <w:t>其他与项目有关的资料（自附）：供应商总体情况介绍、其他与本项目有关的资料等。</w:t>
      </w:r>
    </w:p>
    <w:p>
      <w:pPr>
        <w:spacing w:line="360" w:lineRule="auto"/>
        <w:ind w:firstLine="480" w:firstLineChars="200"/>
        <w:rPr>
          <w:rFonts w:ascii="宋体" w:hAnsi="宋体" w:cs="宋体"/>
          <w:sz w:val="24"/>
          <w:szCs w:val="24"/>
        </w:rPr>
      </w:pPr>
    </w:p>
    <w:p>
      <w:pPr>
        <w:spacing w:line="360" w:lineRule="auto"/>
        <w:ind w:firstLine="480" w:firstLineChars="200"/>
        <w:jc w:val="center"/>
        <w:rPr>
          <w:rFonts w:ascii="宋体" w:hAnsi="宋体" w:cs="宋体"/>
          <w:sz w:val="24"/>
          <w:szCs w:val="24"/>
        </w:rPr>
      </w:pPr>
    </w:p>
    <w:p>
      <w:pPr>
        <w:spacing w:line="360" w:lineRule="auto"/>
        <w:ind w:firstLine="480" w:firstLineChars="200"/>
        <w:jc w:val="center"/>
        <w:rPr>
          <w:rFonts w:ascii="宋体" w:hAnsi="宋体" w:cs="宋体"/>
          <w:sz w:val="24"/>
          <w:szCs w:val="24"/>
        </w:rPr>
      </w:pPr>
    </w:p>
    <w:p>
      <w:pPr>
        <w:spacing w:line="360" w:lineRule="auto"/>
        <w:ind w:firstLine="480" w:firstLineChars="200"/>
        <w:jc w:val="center"/>
        <w:rPr>
          <w:rFonts w:ascii="宋体" w:hAnsi="宋体" w:cs="宋体"/>
          <w:sz w:val="24"/>
          <w:szCs w:val="24"/>
        </w:rPr>
      </w:pPr>
    </w:p>
    <w:p>
      <w:pPr>
        <w:spacing w:line="360" w:lineRule="auto"/>
        <w:ind w:firstLine="480" w:firstLineChars="200"/>
        <w:jc w:val="center"/>
        <w:rPr>
          <w:rFonts w:ascii="宋体" w:hAnsi="宋体" w:cs="宋体"/>
          <w:sz w:val="24"/>
          <w:szCs w:val="24"/>
        </w:rPr>
      </w:pPr>
    </w:p>
    <w:p>
      <w:pPr>
        <w:spacing w:line="360" w:lineRule="auto"/>
        <w:ind w:firstLine="480" w:firstLineChars="200"/>
        <w:jc w:val="center"/>
        <w:rPr>
          <w:rFonts w:ascii="宋体" w:hAnsi="宋体" w:cs="宋体"/>
          <w:sz w:val="24"/>
          <w:szCs w:val="24"/>
        </w:rPr>
      </w:pPr>
    </w:p>
    <w:p>
      <w:pPr>
        <w:spacing w:line="360" w:lineRule="auto"/>
        <w:ind w:firstLine="480" w:firstLineChars="200"/>
        <w:jc w:val="center"/>
        <w:rPr>
          <w:rFonts w:ascii="宋体" w:hAnsi="宋体" w:cs="宋体"/>
          <w:sz w:val="24"/>
          <w:szCs w:val="24"/>
        </w:rPr>
      </w:pPr>
    </w:p>
    <w:p>
      <w:pPr>
        <w:spacing w:line="360" w:lineRule="auto"/>
        <w:ind w:firstLine="480" w:firstLineChars="200"/>
        <w:jc w:val="center"/>
        <w:rPr>
          <w:rFonts w:ascii="宋体" w:hAnsi="宋体" w:cs="宋体"/>
          <w:sz w:val="24"/>
          <w:szCs w:val="24"/>
        </w:rPr>
      </w:pPr>
    </w:p>
    <w:p>
      <w:pPr>
        <w:spacing w:line="360" w:lineRule="auto"/>
        <w:ind w:firstLine="480" w:firstLineChars="200"/>
        <w:jc w:val="center"/>
        <w:rPr>
          <w:rFonts w:ascii="宋体" w:hAnsi="宋体" w:cs="宋体"/>
          <w:sz w:val="24"/>
          <w:szCs w:val="24"/>
        </w:rPr>
      </w:pPr>
    </w:p>
    <w:p>
      <w:pPr>
        <w:spacing w:line="360" w:lineRule="auto"/>
        <w:ind w:firstLine="480" w:firstLineChars="200"/>
        <w:jc w:val="center"/>
        <w:rPr>
          <w:rFonts w:ascii="宋体" w:hAnsi="宋体" w:cs="宋体"/>
          <w:sz w:val="24"/>
          <w:szCs w:val="24"/>
        </w:rPr>
      </w:pPr>
    </w:p>
    <w:p>
      <w:pPr>
        <w:spacing w:line="360" w:lineRule="auto"/>
        <w:ind w:firstLine="480" w:firstLineChars="200"/>
        <w:jc w:val="center"/>
        <w:rPr>
          <w:rFonts w:ascii="宋体" w:hAnsi="宋体" w:cs="宋体"/>
          <w:sz w:val="24"/>
          <w:szCs w:val="24"/>
        </w:rPr>
      </w:pPr>
    </w:p>
    <w:p>
      <w:pPr>
        <w:spacing w:line="360" w:lineRule="auto"/>
        <w:ind w:firstLine="480" w:firstLineChars="200"/>
        <w:jc w:val="center"/>
        <w:rPr>
          <w:rFonts w:ascii="宋体" w:hAnsi="宋体" w:cs="宋体"/>
          <w:sz w:val="24"/>
          <w:szCs w:val="24"/>
        </w:rPr>
      </w:pPr>
    </w:p>
    <w:p>
      <w:pPr>
        <w:spacing w:line="360" w:lineRule="auto"/>
        <w:ind w:firstLine="480" w:firstLineChars="200"/>
        <w:jc w:val="center"/>
        <w:outlineLvl w:val="0"/>
        <w:rPr>
          <w:rFonts w:ascii="宋体" w:hAnsi="宋体" w:cs="宋体"/>
        </w:rPr>
      </w:pPr>
      <w:r>
        <w:rPr>
          <w:rFonts w:hint="eastAsia" w:ascii="宋体" w:hAnsi="宋体" w:cs="宋体"/>
          <w:sz w:val="24"/>
          <w:szCs w:val="24"/>
        </w:rPr>
        <w:t>（结束）</w:t>
      </w:r>
    </w:p>
    <w:p>
      <w:pPr>
        <w:tabs>
          <w:tab w:val="left" w:pos="6300"/>
        </w:tabs>
        <w:snapToGrid w:val="0"/>
        <w:spacing w:line="500" w:lineRule="exact"/>
        <w:ind w:firstLine="4560" w:firstLineChars="1900"/>
        <w:rPr>
          <w:rFonts w:ascii="宋体" w:hAnsi="宋体" w:cs="宋体"/>
          <w:sz w:val="24"/>
          <w:szCs w:val="24"/>
        </w:rPr>
      </w:pPr>
    </w:p>
    <w:p>
      <w:pPr>
        <w:rPr>
          <w:rFonts w:ascii="宋体" w:hAnsi="宋体" w:cs="宋体"/>
        </w:rPr>
      </w:pPr>
    </w:p>
    <w:p/>
    <w:sectPr>
      <w:pgSz w:w="11907" w:h="16840"/>
      <w:pgMar w:top="1134" w:right="1191" w:bottom="1134" w:left="1191" w:header="851" w:footer="992" w:gutter="0"/>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1</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7"/>
      </w:rPr>
    </w:pPr>
    <w:r>
      <w:fldChar w:fldCharType="begin"/>
    </w:r>
    <w:r>
      <w:rPr>
        <w:rStyle w:val="17"/>
      </w:rPr>
      <w:instrText xml:space="preserve">PAGE  </w:instrText>
    </w:r>
    <w:r>
      <w:fldChar w:fldCharType="end"/>
    </w:r>
  </w:p>
  <w:p>
    <w:pPr>
      <w:pStyle w:val="1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7"/>
      </w:rPr>
    </w:pPr>
    <w:r>
      <w:fldChar w:fldCharType="begin"/>
    </w:r>
    <w:r>
      <w:rPr>
        <w:rStyle w:val="17"/>
      </w:rPr>
      <w:instrText xml:space="preserve">PAGE  </w:instrText>
    </w:r>
    <w:r>
      <w:fldChar w:fldCharType="end"/>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宋体" w:hAnsi="宋体"/>
        <w:sz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1</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2</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7"/>
      </w:rPr>
    </w:pPr>
    <w:r>
      <w:fldChar w:fldCharType="begin"/>
    </w:r>
    <w:r>
      <w:rPr>
        <w:rStyle w:val="17"/>
      </w:rPr>
      <w:instrText xml:space="preserve">PAGE  </w:instrText>
    </w:r>
    <w:r>
      <w:fldChar w:fldCharType="end"/>
    </w:r>
  </w:p>
  <w:p>
    <w:pPr>
      <w:pStyle w:val="1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7"/>
      </w:rPr>
    </w:pPr>
  </w:p>
  <w:p>
    <w:pPr>
      <w:pStyle w:val="10"/>
      <w:jc w:val="center"/>
      <w:rPr>
        <w:rFonts w:ascii="宋体" w:hAnsi="宋体"/>
        <w:sz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sz w:val="21"/>
        <w:szCs w:val="21"/>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14</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FlysIBAACN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iRZcrCAQAAjQMAAA4AAAAAAAAAAQAgAAAAHgEAAGRycy9lMm9Eb2MueG1sUEsF&#10;BgAAAAAGAAYAWQEAAFIFA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14</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7"/>
      </w:rPr>
    </w:pPr>
    <w:r>
      <w:fldChar w:fldCharType="begin"/>
    </w:r>
    <w:r>
      <w:rPr>
        <w:rStyle w:val="17"/>
      </w:rPr>
      <w:instrText xml:space="preserve">PAGE  </w:instrText>
    </w:r>
    <w:r>
      <w:fldChar w:fldCharType="end"/>
    </w:r>
  </w:p>
  <w:p>
    <w:pPr>
      <w:pStyle w:val="10"/>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宋体" w:hAnsi="宋体"/>
        <w:sz w:val="21"/>
        <w:szCs w:val="21"/>
      </w:rPr>
    </w:pP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27</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8zq8sIBAACN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GfM6vLCAQAAjQMAAA4AAAAAAAAAAQAgAAAAHgEAAGRycy9lMm9Eb2MueG1sUEsF&#10;BgAAAAAGAAYAWQEAAFIFA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27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pPr>
    <w:r>
      <w:rPr>
        <w:rFonts w:hint="eastAsia" w:ascii="方正仿宋_GBK" w:eastAsia="方正仿宋_GBK"/>
        <w:sz w:val="21"/>
        <w:szCs w:val="21"/>
      </w:rPr>
      <w:t xml:space="preserve">重庆市无线电监测控制中心部分窗户改造工程  </w:t>
    </w:r>
    <w:r>
      <w:rPr>
        <w:rFonts w:hint="eastAsia" w:ascii="宋体" w:hAnsi="宋体" w:cs="宋体"/>
        <w:sz w:val="21"/>
        <w:szCs w:val="21"/>
      </w:rPr>
      <w:t xml:space="preserve">        </w:t>
    </w:r>
    <w:r>
      <w:rPr>
        <w:rFonts w:hint="eastAsia" w:ascii="方正仿宋_GBK" w:eastAsia="方正仿宋_GBK"/>
        <w:sz w:val="21"/>
        <w:szCs w:val="21"/>
      </w:rPr>
      <w:t xml:space="preserve">                      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rPr>
        <w:rFonts w:ascii="宋体" w:hAnsi="宋体"/>
        <w:sz w:val="21"/>
        <w:szCs w:val="21"/>
      </w:rPr>
    </w:pPr>
    <w:r>
      <w:rPr>
        <w:rFonts w:hint="eastAsia" w:ascii="宋体" w:hAnsi="宋体"/>
        <w:sz w:val="21"/>
        <w:szCs w:val="21"/>
      </w:rPr>
      <w:t>2024年无线电频率台站监督检查服务</w:t>
    </w:r>
    <w:r>
      <w:rPr>
        <w:rFonts w:hint="eastAsia" w:ascii="宋体" w:hAnsi="宋体"/>
        <w:sz w:val="21"/>
        <w:szCs w:val="21"/>
        <w:lang w:val="en-US" w:eastAsia="zh-CN"/>
      </w:rPr>
      <w:t xml:space="preserve">                                 </w:t>
    </w:r>
    <w:r>
      <w:rPr>
        <w:rFonts w:hint="eastAsia" w:ascii="宋体" w:hAnsi="宋体"/>
        <w:sz w:val="21"/>
        <w:szCs w:val="21"/>
      </w:rPr>
      <w:t xml:space="preserve">   竞争性磋商文件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lZWExM2ExZmYwNjAxYzlkOTI5M2RiZmZjNWExODUifQ=="/>
  </w:docVars>
  <w:rsids>
    <w:rsidRoot w:val="4D111642"/>
    <w:rsid w:val="001418B7"/>
    <w:rsid w:val="00170480"/>
    <w:rsid w:val="001A2968"/>
    <w:rsid w:val="002B247F"/>
    <w:rsid w:val="003F25E9"/>
    <w:rsid w:val="009224FE"/>
    <w:rsid w:val="009C21EA"/>
    <w:rsid w:val="00B701B7"/>
    <w:rsid w:val="00C50B26"/>
    <w:rsid w:val="00D9012D"/>
    <w:rsid w:val="00E0770D"/>
    <w:rsid w:val="00FB072D"/>
    <w:rsid w:val="01121891"/>
    <w:rsid w:val="011B0745"/>
    <w:rsid w:val="01211AD4"/>
    <w:rsid w:val="01341807"/>
    <w:rsid w:val="01483505"/>
    <w:rsid w:val="01C8724C"/>
    <w:rsid w:val="01FB2325"/>
    <w:rsid w:val="02074EB9"/>
    <w:rsid w:val="020A1BA1"/>
    <w:rsid w:val="021653B1"/>
    <w:rsid w:val="02351205"/>
    <w:rsid w:val="0256755B"/>
    <w:rsid w:val="027520D7"/>
    <w:rsid w:val="02881E0B"/>
    <w:rsid w:val="028E13EB"/>
    <w:rsid w:val="029E6C1C"/>
    <w:rsid w:val="02D231EC"/>
    <w:rsid w:val="02E4100B"/>
    <w:rsid w:val="02EE3EBE"/>
    <w:rsid w:val="03575C81"/>
    <w:rsid w:val="035D047B"/>
    <w:rsid w:val="03762364"/>
    <w:rsid w:val="03836A76"/>
    <w:rsid w:val="038A1BB2"/>
    <w:rsid w:val="03905CE5"/>
    <w:rsid w:val="04096F7B"/>
    <w:rsid w:val="040A553D"/>
    <w:rsid w:val="04267B2D"/>
    <w:rsid w:val="042E69E2"/>
    <w:rsid w:val="044C6E68"/>
    <w:rsid w:val="045521C0"/>
    <w:rsid w:val="048B5BE2"/>
    <w:rsid w:val="04CE5ACF"/>
    <w:rsid w:val="04FF3DFE"/>
    <w:rsid w:val="05447264"/>
    <w:rsid w:val="05776166"/>
    <w:rsid w:val="05981372"/>
    <w:rsid w:val="05D45367"/>
    <w:rsid w:val="06141C07"/>
    <w:rsid w:val="06190FCC"/>
    <w:rsid w:val="062D7F7A"/>
    <w:rsid w:val="06475B39"/>
    <w:rsid w:val="068723D9"/>
    <w:rsid w:val="068C6DFC"/>
    <w:rsid w:val="06AD62E4"/>
    <w:rsid w:val="06C23411"/>
    <w:rsid w:val="06EC2F91"/>
    <w:rsid w:val="073B52FD"/>
    <w:rsid w:val="074958E1"/>
    <w:rsid w:val="075524D7"/>
    <w:rsid w:val="075B5D40"/>
    <w:rsid w:val="07C5765D"/>
    <w:rsid w:val="07E3619C"/>
    <w:rsid w:val="080E25CD"/>
    <w:rsid w:val="08144141"/>
    <w:rsid w:val="08347C55"/>
    <w:rsid w:val="08504A7B"/>
    <w:rsid w:val="08DC58E8"/>
    <w:rsid w:val="08FF6B9F"/>
    <w:rsid w:val="091A108D"/>
    <w:rsid w:val="096C6E0A"/>
    <w:rsid w:val="096D3B08"/>
    <w:rsid w:val="098A40DA"/>
    <w:rsid w:val="09DE0562"/>
    <w:rsid w:val="09EB2988"/>
    <w:rsid w:val="0A2F75F7"/>
    <w:rsid w:val="0A4725AB"/>
    <w:rsid w:val="0AB15C77"/>
    <w:rsid w:val="0AE61F1B"/>
    <w:rsid w:val="0B3D750A"/>
    <w:rsid w:val="0B6B3C79"/>
    <w:rsid w:val="0B770C6E"/>
    <w:rsid w:val="0B81389B"/>
    <w:rsid w:val="0B845139"/>
    <w:rsid w:val="0B8769D7"/>
    <w:rsid w:val="0BAA6037"/>
    <w:rsid w:val="0C4D5E73"/>
    <w:rsid w:val="0C7D3C8D"/>
    <w:rsid w:val="0C7E7DDA"/>
    <w:rsid w:val="0CA27F6D"/>
    <w:rsid w:val="0CB24D02"/>
    <w:rsid w:val="0CF14A50"/>
    <w:rsid w:val="0D197B03"/>
    <w:rsid w:val="0D3037CB"/>
    <w:rsid w:val="0D38267F"/>
    <w:rsid w:val="0D7C6A10"/>
    <w:rsid w:val="0D8238FA"/>
    <w:rsid w:val="0D8B0A01"/>
    <w:rsid w:val="0D8E229F"/>
    <w:rsid w:val="0E1A1D85"/>
    <w:rsid w:val="0E395B6A"/>
    <w:rsid w:val="0E4A4418"/>
    <w:rsid w:val="0E4F5ED2"/>
    <w:rsid w:val="0E941B37"/>
    <w:rsid w:val="0F1C61BC"/>
    <w:rsid w:val="0F4757AF"/>
    <w:rsid w:val="0F4B48EC"/>
    <w:rsid w:val="0F4C2412"/>
    <w:rsid w:val="0FA21F5A"/>
    <w:rsid w:val="0FAB4813"/>
    <w:rsid w:val="0FD3043D"/>
    <w:rsid w:val="1021389E"/>
    <w:rsid w:val="102D240F"/>
    <w:rsid w:val="107F2A45"/>
    <w:rsid w:val="108A31F2"/>
    <w:rsid w:val="10D208A6"/>
    <w:rsid w:val="1173012A"/>
    <w:rsid w:val="1175098F"/>
    <w:rsid w:val="119C0B35"/>
    <w:rsid w:val="11A402E3"/>
    <w:rsid w:val="11CA3855"/>
    <w:rsid w:val="11FE3E97"/>
    <w:rsid w:val="12015736"/>
    <w:rsid w:val="12237479"/>
    <w:rsid w:val="124E024F"/>
    <w:rsid w:val="134C6EAE"/>
    <w:rsid w:val="136E2957"/>
    <w:rsid w:val="140E413A"/>
    <w:rsid w:val="14172FEE"/>
    <w:rsid w:val="143040B0"/>
    <w:rsid w:val="14353475"/>
    <w:rsid w:val="144501AE"/>
    <w:rsid w:val="147541B9"/>
    <w:rsid w:val="14832432"/>
    <w:rsid w:val="148D32B1"/>
    <w:rsid w:val="1548367B"/>
    <w:rsid w:val="15690A3B"/>
    <w:rsid w:val="15951F88"/>
    <w:rsid w:val="16027CCE"/>
    <w:rsid w:val="161517B0"/>
    <w:rsid w:val="164B6F7F"/>
    <w:rsid w:val="166B5873"/>
    <w:rsid w:val="16B73C96"/>
    <w:rsid w:val="16C3120C"/>
    <w:rsid w:val="16E054FE"/>
    <w:rsid w:val="170E522D"/>
    <w:rsid w:val="1719159F"/>
    <w:rsid w:val="171C4DC0"/>
    <w:rsid w:val="172A51E5"/>
    <w:rsid w:val="17366064"/>
    <w:rsid w:val="173C2D6C"/>
    <w:rsid w:val="176522C3"/>
    <w:rsid w:val="176B2C78"/>
    <w:rsid w:val="178A7F7B"/>
    <w:rsid w:val="17C76AD9"/>
    <w:rsid w:val="18045DC2"/>
    <w:rsid w:val="18057602"/>
    <w:rsid w:val="180715CC"/>
    <w:rsid w:val="18095344"/>
    <w:rsid w:val="185F15B7"/>
    <w:rsid w:val="188E75F7"/>
    <w:rsid w:val="189E1D70"/>
    <w:rsid w:val="18AD3F21"/>
    <w:rsid w:val="18B90B18"/>
    <w:rsid w:val="18C15C1F"/>
    <w:rsid w:val="18D95943"/>
    <w:rsid w:val="18E0157E"/>
    <w:rsid w:val="18E611E1"/>
    <w:rsid w:val="194720B3"/>
    <w:rsid w:val="19616ABA"/>
    <w:rsid w:val="197C1B46"/>
    <w:rsid w:val="19810F0A"/>
    <w:rsid w:val="198F7ACB"/>
    <w:rsid w:val="19DA052C"/>
    <w:rsid w:val="19F31E08"/>
    <w:rsid w:val="19FF69FF"/>
    <w:rsid w:val="1A136006"/>
    <w:rsid w:val="1A4268EB"/>
    <w:rsid w:val="1AB64BE3"/>
    <w:rsid w:val="1ABD39A5"/>
    <w:rsid w:val="1B000189"/>
    <w:rsid w:val="1B083691"/>
    <w:rsid w:val="1B590390"/>
    <w:rsid w:val="1B5C1C2F"/>
    <w:rsid w:val="1BB750B7"/>
    <w:rsid w:val="1BDC5034"/>
    <w:rsid w:val="1BE66D75"/>
    <w:rsid w:val="1BED22B2"/>
    <w:rsid w:val="1BF43C15"/>
    <w:rsid w:val="1C34578A"/>
    <w:rsid w:val="1C4526C3"/>
    <w:rsid w:val="1C6734C7"/>
    <w:rsid w:val="1C9B22E3"/>
    <w:rsid w:val="1CBA3085"/>
    <w:rsid w:val="1CBB4733"/>
    <w:rsid w:val="1CC25AC1"/>
    <w:rsid w:val="1CCA041B"/>
    <w:rsid w:val="1CCC47B9"/>
    <w:rsid w:val="1CF635E9"/>
    <w:rsid w:val="1D954F84"/>
    <w:rsid w:val="1DD82FFB"/>
    <w:rsid w:val="1DEA52D0"/>
    <w:rsid w:val="1DED4DC0"/>
    <w:rsid w:val="1DFB50CA"/>
    <w:rsid w:val="1E326C77"/>
    <w:rsid w:val="1E392745"/>
    <w:rsid w:val="1E412CB1"/>
    <w:rsid w:val="1E566655"/>
    <w:rsid w:val="1E6C03DB"/>
    <w:rsid w:val="1E7E3C6A"/>
    <w:rsid w:val="1F522F68"/>
    <w:rsid w:val="1F830AA6"/>
    <w:rsid w:val="1F8E7E31"/>
    <w:rsid w:val="1FA53BA4"/>
    <w:rsid w:val="1FB42039"/>
    <w:rsid w:val="201F5ED2"/>
    <w:rsid w:val="202D3B9A"/>
    <w:rsid w:val="2049139E"/>
    <w:rsid w:val="206A6B9C"/>
    <w:rsid w:val="20831A0C"/>
    <w:rsid w:val="208714FC"/>
    <w:rsid w:val="20C77ED3"/>
    <w:rsid w:val="20E44427"/>
    <w:rsid w:val="210F3D49"/>
    <w:rsid w:val="21244F9D"/>
    <w:rsid w:val="212C3E51"/>
    <w:rsid w:val="21745CAF"/>
    <w:rsid w:val="21920595"/>
    <w:rsid w:val="21E64000"/>
    <w:rsid w:val="220D5A31"/>
    <w:rsid w:val="221E19EC"/>
    <w:rsid w:val="224A458F"/>
    <w:rsid w:val="22657031"/>
    <w:rsid w:val="228A7081"/>
    <w:rsid w:val="229972C4"/>
    <w:rsid w:val="22A16C01"/>
    <w:rsid w:val="22BB36DF"/>
    <w:rsid w:val="22C070AD"/>
    <w:rsid w:val="22EE67C3"/>
    <w:rsid w:val="22EF1233"/>
    <w:rsid w:val="22FC5438"/>
    <w:rsid w:val="23390004"/>
    <w:rsid w:val="23A67EEB"/>
    <w:rsid w:val="23A93537"/>
    <w:rsid w:val="23F22CE8"/>
    <w:rsid w:val="243E2735"/>
    <w:rsid w:val="24576D8A"/>
    <w:rsid w:val="24771887"/>
    <w:rsid w:val="247D50F0"/>
    <w:rsid w:val="24830B6A"/>
    <w:rsid w:val="24831FDA"/>
    <w:rsid w:val="24834AFF"/>
    <w:rsid w:val="24A77432"/>
    <w:rsid w:val="24C85C3F"/>
    <w:rsid w:val="25007ACF"/>
    <w:rsid w:val="250749B9"/>
    <w:rsid w:val="250F386E"/>
    <w:rsid w:val="251A4676"/>
    <w:rsid w:val="254623A4"/>
    <w:rsid w:val="25592D3B"/>
    <w:rsid w:val="255C6DE6"/>
    <w:rsid w:val="2580209E"/>
    <w:rsid w:val="258424AE"/>
    <w:rsid w:val="25891872"/>
    <w:rsid w:val="25DC5E46"/>
    <w:rsid w:val="25E76599"/>
    <w:rsid w:val="26087D12"/>
    <w:rsid w:val="263537A8"/>
    <w:rsid w:val="26355556"/>
    <w:rsid w:val="2655379D"/>
    <w:rsid w:val="26571970"/>
    <w:rsid w:val="26C1503C"/>
    <w:rsid w:val="26D057A2"/>
    <w:rsid w:val="26FB1FDD"/>
    <w:rsid w:val="26FD2518"/>
    <w:rsid w:val="27000148"/>
    <w:rsid w:val="272D0F38"/>
    <w:rsid w:val="274E68CF"/>
    <w:rsid w:val="27873B8F"/>
    <w:rsid w:val="27CB6E32"/>
    <w:rsid w:val="283614C6"/>
    <w:rsid w:val="28575C58"/>
    <w:rsid w:val="28675C50"/>
    <w:rsid w:val="287F21FE"/>
    <w:rsid w:val="28EF40E2"/>
    <w:rsid w:val="28F11C08"/>
    <w:rsid w:val="294F3422"/>
    <w:rsid w:val="294F4B81"/>
    <w:rsid w:val="295B6C06"/>
    <w:rsid w:val="296F5223"/>
    <w:rsid w:val="2976210D"/>
    <w:rsid w:val="297840D8"/>
    <w:rsid w:val="299B6018"/>
    <w:rsid w:val="29AA1DB7"/>
    <w:rsid w:val="29FD282F"/>
    <w:rsid w:val="2AA84549"/>
    <w:rsid w:val="2AC33130"/>
    <w:rsid w:val="2AFB42C1"/>
    <w:rsid w:val="2B0F6376"/>
    <w:rsid w:val="2B9B22FF"/>
    <w:rsid w:val="2B9B40AD"/>
    <w:rsid w:val="2BBA09D7"/>
    <w:rsid w:val="2BD80E27"/>
    <w:rsid w:val="2BF61FAE"/>
    <w:rsid w:val="2BFC2739"/>
    <w:rsid w:val="2C063C1D"/>
    <w:rsid w:val="2C0B4EFB"/>
    <w:rsid w:val="2C0E2AD1"/>
    <w:rsid w:val="2C1E07A6"/>
    <w:rsid w:val="2C2E6CCF"/>
    <w:rsid w:val="2C3F6DD8"/>
    <w:rsid w:val="2C965357"/>
    <w:rsid w:val="2D004D70"/>
    <w:rsid w:val="2D197980"/>
    <w:rsid w:val="2D656721"/>
    <w:rsid w:val="2DA90D03"/>
    <w:rsid w:val="2DC154FE"/>
    <w:rsid w:val="2DCE3661"/>
    <w:rsid w:val="2DF857E7"/>
    <w:rsid w:val="2E1F7B32"/>
    <w:rsid w:val="2E312AA7"/>
    <w:rsid w:val="2E4F528A"/>
    <w:rsid w:val="2E530C6F"/>
    <w:rsid w:val="2E54477C"/>
    <w:rsid w:val="2E960B5C"/>
    <w:rsid w:val="2EDB0C99"/>
    <w:rsid w:val="2EFE507F"/>
    <w:rsid w:val="2F49095D"/>
    <w:rsid w:val="2F4D5ED7"/>
    <w:rsid w:val="2F5C1DA5"/>
    <w:rsid w:val="2F8F33C5"/>
    <w:rsid w:val="2F94153F"/>
    <w:rsid w:val="2FD44032"/>
    <w:rsid w:val="30137EAD"/>
    <w:rsid w:val="30354AD0"/>
    <w:rsid w:val="304E6BEB"/>
    <w:rsid w:val="309F0EB8"/>
    <w:rsid w:val="30C9249B"/>
    <w:rsid w:val="30CC0E2D"/>
    <w:rsid w:val="30D53BBD"/>
    <w:rsid w:val="30E262DA"/>
    <w:rsid w:val="312F7772"/>
    <w:rsid w:val="31771119"/>
    <w:rsid w:val="31807FCD"/>
    <w:rsid w:val="321921D0"/>
    <w:rsid w:val="3234700A"/>
    <w:rsid w:val="326B7E18"/>
    <w:rsid w:val="32961084"/>
    <w:rsid w:val="32CB5278"/>
    <w:rsid w:val="32D4660A"/>
    <w:rsid w:val="32D802C5"/>
    <w:rsid w:val="32DF2AD1"/>
    <w:rsid w:val="32E8504F"/>
    <w:rsid w:val="33030EB6"/>
    <w:rsid w:val="33233306"/>
    <w:rsid w:val="33354DE7"/>
    <w:rsid w:val="338F1359"/>
    <w:rsid w:val="33AF4B9A"/>
    <w:rsid w:val="33CC0B91"/>
    <w:rsid w:val="33D62126"/>
    <w:rsid w:val="33FB4AD5"/>
    <w:rsid w:val="340A1DD0"/>
    <w:rsid w:val="342235BE"/>
    <w:rsid w:val="34384B8F"/>
    <w:rsid w:val="34457947"/>
    <w:rsid w:val="345A2D11"/>
    <w:rsid w:val="34747D11"/>
    <w:rsid w:val="347B7FE6"/>
    <w:rsid w:val="34A05B77"/>
    <w:rsid w:val="34AC1CED"/>
    <w:rsid w:val="34BF705E"/>
    <w:rsid w:val="34FD49B2"/>
    <w:rsid w:val="352C5D76"/>
    <w:rsid w:val="3538296D"/>
    <w:rsid w:val="35524794"/>
    <w:rsid w:val="35777939"/>
    <w:rsid w:val="3583008C"/>
    <w:rsid w:val="35E120F0"/>
    <w:rsid w:val="36243D90"/>
    <w:rsid w:val="36536868"/>
    <w:rsid w:val="365E4655"/>
    <w:rsid w:val="367D30C1"/>
    <w:rsid w:val="36C22E36"/>
    <w:rsid w:val="36D16BD5"/>
    <w:rsid w:val="36DF20DA"/>
    <w:rsid w:val="37215DAE"/>
    <w:rsid w:val="373E0FF5"/>
    <w:rsid w:val="37695498"/>
    <w:rsid w:val="378C4F44"/>
    <w:rsid w:val="37C2196A"/>
    <w:rsid w:val="38090469"/>
    <w:rsid w:val="381365AB"/>
    <w:rsid w:val="384D2BD3"/>
    <w:rsid w:val="38514471"/>
    <w:rsid w:val="389600D6"/>
    <w:rsid w:val="38B706D0"/>
    <w:rsid w:val="38C435DA"/>
    <w:rsid w:val="39055858"/>
    <w:rsid w:val="39075784"/>
    <w:rsid w:val="3925145A"/>
    <w:rsid w:val="392A3BCE"/>
    <w:rsid w:val="39962ABD"/>
    <w:rsid w:val="39CE7ABF"/>
    <w:rsid w:val="39CF0051"/>
    <w:rsid w:val="39DC5FBD"/>
    <w:rsid w:val="39E81604"/>
    <w:rsid w:val="39FE51E3"/>
    <w:rsid w:val="3A013C75"/>
    <w:rsid w:val="3A286730"/>
    <w:rsid w:val="3A5E4C24"/>
    <w:rsid w:val="3A6467EB"/>
    <w:rsid w:val="3AB22C9D"/>
    <w:rsid w:val="3AB962FE"/>
    <w:rsid w:val="3AE74C19"/>
    <w:rsid w:val="3AEA355D"/>
    <w:rsid w:val="3AF47336"/>
    <w:rsid w:val="3B084B8F"/>
    <w:rsid w:val="3B0C7A06"/>
    <w:rsid w:val="3B1874C8"/>
    <w:rsid w:val="3BDA477E"/>
    <w:rsid w:val="3BF53366"/>
    <w:rsid w:val="3BFA4E20"/>
    <w:rsid w:val="3C3436C9"/>
    <w:rsid w:val="3C5E715D"/>
    <w:rsid w:val="3CA01523"/>
    <w:rsid w:val="3D000214"/>
    <w:rsid w:val="3D267045"/>
    <w:rsid w:val="3D2C1009"/>
    <w:rsid w:val="3D4A7E6B"/>
    <w:rsid w:val="3D5F396D"/>
    <w:rsid w:val="3D70729D"/>
    <w:rsid w:val="3D727212"/>
    <w:rsid w:val="3DA2727F"/>
    <w:rsid w:val="3DAE1A1E"/>
    <w:rsid w:val="3DD17033"/>
    <w:rsid w:val="3E5C591E"/>
    <w:rsid w:val="3E9C21BE"/>
    <w:rsid w:val="3EB412B6"/>
    <w:rsid w:val="3EDD320E"/>
    <w:rsid w:val="3F073ADC"/>
    <w:rsid w:val="3F213B83"/>
    <w:rsid w:val="3F7722E4"/>
    <w:rsid w:val="3FBE44C2"/>
    <w:rsid w:val="401A15ED"/>
    <w:rsid w:val="402F139F"/>
    <w:rsid w:val="40381A73"/>
    <w:rsid w:val="40582115"/>
    <w:rsid w:val="40890521"/>
    <w:rsid w:val="408B24EB"/>
    <w:rsid w:val="408D131B"/>
    <w:rsid w:val="40CD6240"/>
    <w:rsid w:val="40E77640"/>
    <w:rsid w:val="40E97C90"/>
    <w:rsid w:val="40FB7670"/>
    <w:rsid w:val="41087697"/>
    <w:rsid w:val="41474664"/>
    <w:rsid w:val="415B4202"/>
    <w:rsid w:val="419D0727"/>
    <w:rsid w:val="41A906BB"/>
    <w:rsid w:val="41B96BE3"/>
    <w:rsid w:val="41D8350E"/>
    <w:rsid w:val="41F320F5"/>
    <w:rsid w:val="423821FE"/>
    <w:rsid w:val="42507F9E"/>
    <w:rsid w:val="42CB59A5"/>
    <w:rsid w:val="430F7403"/>
    <w:rsid w:val="4391606A"/>
    <w:rsid w:val="43CA157C"/>
    <w:rsid w:val="43E10A94"/>
    <w:rsid w:val="43FB1735"/>
    <w:rsid w:val="448D4A83"/>
    <w:rsid w:val="44C304A5"/>
    <w:rsid w:val="44C67F95"/>
    <w:rsid w:val="44F4000D"/>
    <w:rsid w:val="450008A9"/>
    <w:rsid w:val="458F482B"/>
    <w:rsid w:val="45AA255A"/>
    <w:rsid w:val="45BD3146"/>
    <w:rsid w:val="45D25226"/>
    <w:rsid w:val="45D3296A"/>
    <w:rsid w:val="46187218"/>
    <w:rsid w:val="462D312D"/>
    <w:rsid w:val="46607F75"/>
    <w:rsid w:val="466B2BA2"/>
    <w:rsid w:val="466C691A"/>
    <w:rsid w:val="46963997"/>
    <w:rsid w:val="46D06EA9"/>
    <w:rsid w:val="46E666CD"/>
    <w:rsid w:val="473B1E9E"/>
    <w:rsid w:val="473D02AB"/>
    <w:rsid w:val="47BC11DC"/>
    <w:rsid w:val="47CD2F73"/>
    <w:rsid w:val="47DD7AD0"/>
    <w:rsid w:val="47E14CCD"/>
    <w:rsid w:val="47EB386F"/>
    <w:rsid w:val="486F624E"/>
    <w:rsid w:val="48895562"/>
    <w:rsid w:val="48DB4989"/>
    <w:rsid w:val="48EB351F"/>
    <w:rsid w:val="48FE32B5"/>
    <w:rsid w:val="49973CAE"/>
    <w:rsid w:val="49AD5AB1"/>
    <w:rsid w:val="49B16DC9"/>
    <w:rsid w:val="49EA0282"/>
    <w:rsid w:val="49F94F0F"/>
    <w:rsid w:val="4A11580F"/>
    <w:rsid w:val="4A6157C2"/>
    <w:rsid w:val="4A852A8D"/>
    <w:rsid w:val="4B0C5FD6"/>
    <w:rsid w:val="4B337A07"/>
    <w:rsid w:val="4B8E7BDF"/>
    <w:rsid w:val="4BA803F5"/>
    <w:rsid w:val="4BA97CC9"/>
    <w:rsid w:val="4C143394"/>
    <w:rsid w:val="4C237A7B"/>
    <w:rsid w:val="4C334CC4"/>
    <w:rsid w:val="4C3F5480"/>
    <w:rsid w:val="4C404189"/>
    <w:rsid w:val="4C5145E8"/>
    <w:rsid w:val="4C59349D"/>
    <w:rsid w:val="4C787DC7"/>
    <w:rsid w:val="4CE90CC5"/>
    <w:rsid w:val="4CFF75D5"/>
    <w:rsid w:val="4D0E072B"/>
    <w:rsid w:val="4D111642"/>
    <w:rsid w:val="4D1B69A4"/>
    <w:rsid w:val="4D341113"/>
    <w:rsid w:val="4D4E02A1"/>
    <w:rsid w:val="4DDC6134"/>
    <w:rsid w:val="4E0F02B7"/>
    <w:rsid w:val="4E1F5137"/>
    <w:rsid w:val="4E406DDB"/>
    <w:rsid w:val="4E881E17"/>
    <w:rsid w:val="4E883E90"/>
    <w:rsid w:val="4E8D576B"/>
    <w:rsid w:val="4E9B7D9D"/>
    <w:rsid w:val="4EA2112B"/>
    <w:rsid w:val="4F0F5DDE"/>
    <w:rsid w:val="4F114B1B"/>
    <w:rsid w:val="4F530677"/>
    <w:rsid w:val="4F5C1811"/>
    <w:rsid w:val="4F9111A0"/>
    <w:rsid w:val="50011267"/>
    <w:rsid w:val="503A35E5"/>
    <w:rsid w:val="50917D04"/>
    <w:rsid w:val="509C7DFC"/>
    <w:rsid w:val="50C315E7"/>
    <w:rsid w:val="50C3182D"/>
    <w:rsid w:val="50FC089B"/>
    <w:rsid w:val="51027093"/>
    <w:rsid w:val="51223D82"/>
    <w:rsid w:val="51842D6A"/>
    <w:rsid w:val="51E8779D"/>
    <w:rsid w:val="521C2FA3"/>
    <w:rsid w:val="525A1D1D"/>
    <w:rsid w:val="52CA0C50"/>
    <w:rsid w:val="52D23FA9"/>
    <w:rsid w:val="52D811FF"/>
    <w:rsid w:val="52F34AE6"/>
    <w:rsid w:val="53560736"/>
    <w:rsid w:val="537D5CC3"/>
    <w:rsid w:val="538E6122"/>
    <w:rsid w:val="539A5707"/>
    <w:rsid w:val="53B8319F"/>
    <w:rsid w:val="53DE67F8"/>
    <w:rsid w:val="53EE4E13"/>
    <w:rsid w:val="53FD0DA4"/>
    <w:rsid w:val="53FE6D5E"/>
    <w:rsid w:val="540B47A1"/>
    <w:rsid w:val="542530EC"/>
    <w:rsid w:val="54270F5B"/>
    <w:rsid w:val="545F4DCF"/>
    <w:rsid w:val="546155E5"/>
    <w:rsid w:val="548412D3"/>
    <w:rsid w:val="54880DC3"/>
    <w:rsid w:val="54C17E31"/>
    <w:rsid w:val="54D93F4C"/>
    <w:rsid w:val="550F6DEF"/>
    <w:rsid w:val="555D3FFE"/>
    <w:rsid w:val="55760C1C"/>
    <w:rsid w:val="558A781D"/>
    <w:rsid w:val="55A2552E"/>
    <w:rsid w:val="55DF0EB7"/>
    <w:rsid w:val="55E20E4E"/>
    <w:rsid w:val="56431446"/>
    <w:rsid w:val="564C5721"/>
    <w:rsid w:val="568B7456"/>
    <w:rsid w:val="56B55774"/>
    <w:rsid w:val="56C34335"/>
    <w:rsid w:val="57120E18"/>
    <w:rsid w:val="572A730E"/>
    <w:rsid w:val="578C4726"/>
    <w:rsid w:val="57996E43"/>
    <w:rsid w:val="57DD1426"/>
    <w:rsid w:val="581F6D2F"/>
    <w:rsid w:val="583003AA"/>
    <w:rsid w:val="58333592"/>
    <w:rsid w:val="583B7EFB"/>
    <w:rsid w:val="583C0B8D"/>
    <w:rsid w:val="58564D34"/>
    <w:rsid w:val="58A027F5"/>
    <w:rsid w:val="58A04948"/>
    <w:rsid w:val="591C5F7E"/>
    <w:rsid w:val="591E5852"/>
    <w:rsid w:val="59301A29"/>
    <w:rsid w:val="59401C6C"/>
    <w:rsid w:val="59545718"/>
    <w:rsid w:val="598D6817"/>
    <w:rsid w:val="59AC5554"/>
    <w:rsid w:val="59BB12F3"/>
    <w:rsid w:val="59C3464B"/>
    <w:rsid w:val="5A1D4603"/>
    <w:rsid w:val="5A691B01"/>
    <w:rsid w:val="5A8262B5"/>
    <w:rsid w:val="5B136F0D"/>
    <w:rsid w:val="5B4A61B6"/>
    <w:rsid w:val="5BD743DE"/>
    <w:rsid w:val="5BF907F8"/>
    <w:rsid w:val="5C095E23"/>
    <w:rsid w:val="5C100AE1"/>
    <w:rsid w:val="5C334FC4"/>
    <w:rsid w:val="5C3D06E5"/>
    <w:rsid w:val="5C5123E2"/>
    <w:rsid w:val="5C744009"/>
    <w:rsid w:val="5C806824"/>
    <w:rsid w:val="5C85412C"/>
    <w:rsid w:val="5C877BB2"/>
    <w:rsid w:val="5C8C6F77"/>
    <w:rsid w:val="5CC26E3C"/>
    <w:rsid w:val="5CDA5F34"/>
    <w:rsid w:val="5D101956"/>
    <w:rsid w:val="5D1562F6"/>
    <w:rsid w:val="5D460BBE"/>
    <w:rsid w:val="5D6A3A99"/>
    <w:rsid w:val="5D982259"/>
    <w:rsid w:val="5D9C58DF"/>
    <w:rsid w:val="5DE424DB"/>
    <w:rsid w:val="5E1748FD"/>
    <w:rsid w:val="5E2751A9"/>
    <w:rsid w:val="5E2D621F"/>
    <w:rsid w:val="5E372CF5"/>
    <w:rsid w:val="5E79352B"/>
    <w:rsid w:val="5EA507C4"/>
    <w:rsid w:val="5EB033F0"/>
    <w:rsid w:val="5EB212C5"/>
    <w:rsid w:val="5ED879CC"/>
    <w:rsid w:val="5EE52C76"/>
    <w:rsid w:val="5F221E14"/>
    <w:rsid w:val="5F733846"/>
    <w:rsid w:val="5F890B4D"/>
    <w:rsid w:val="5F8D54E0"/>
    <w:rsid w:val="5F9C361C"/>
    <w:rsid w:val="5FD053D7"/>
    <w:rsid w:val="5FDB493A"/>
    <w:rsid w:val="5FFE018B"/>
    <w:rsid w:val="60063D1C"/>
    <w:rsid w:val="603B085D"/>
    <w:rsid w:val="60693996"/>
    <w:rsid w:val="60761FF7"/>
    <w:rsid w:val="60844B35"/>
    <w:rsid w:val="609F196E"/>
    <w:rsid w:val="60A07495"/>
    <w:rsid w:val="60B62814"/>
    <w:rsid w:val="60D333C6"/>
    <w:rsid w:val="60F33A68"/>
    <w:rsid w:val="611B4D6D"/>
    <w:rsid w:val="617D3332"/>
    <w:rsid w:val="61A46B11"/>
    <w:rsid w:val="61B72CE8"/>
    <w:rsid w:val="61BC3E5A"/>
    <w:rsid w:val="61EB473F"/>
    <w:rsid w:val="620D2908"/>
    <w:rsid w:val="62433EDD"/>
    <w:rsid w:val="62643CF8"/>
    <w:rsid w:val="62A0552A"/>
    <w:rsid w:val="62A67E37"/>
    <w:rsid w:val="62EF3B6B"/>
    <w:rsid w:val="630755A9"/>
    <w:rsid w:val="63456658"/>
    <w:rsid w:val="635822A8"/>
    <w:rsid w:val="63727074"/>
    <w:rsid w:val="63930A8A"/>
    <w:rsid w:val="63E16A9A"/>
    <w:rsid w:val="63E44E96"/>
    <w:rsid w:val="640146EE"/>
    <w:rsid w:val="64356146"/>
    <w:rsid w:val="645A5BAC"/>
    <w:rsid w:val="648570CD"/>
    <w:rsid w:val="64B0555C"/>
    <w:rsid w:val="64BC7A64"/>
    <w:rsid w:val="64E20F9B"/>
    <w:rsid w:val="653F705D"/>
    <w:rsid w:val="655D5279"/>
    <w:rsid w:val="65640A91"/>
    <w:rsid w:val="657A6506"/>
    <w:rsid w:val="657A6809"/>
    <w:rsid w:val="657E42BC"/>
    <w:rsid w:val="659C25B2"/>
    <w:rsid w:val="65A94A3A"/>
    <w:rsid w:val="65B512EC"/>
    <w:rsid w:val="65CB5675"/>
    <w:rsid w:val="65D2670A"/>
    <w:rsid w:val="65DF2A59"/>
    <w:rsid w:val="65EA7CFF"/>
    <w:rsid w:val="65F04A1A"/>
    <w:rsid w:val="65FF4C5D"/>
    <w:rsid w:val="6605159B"/>
    <w:rsid w:val="662A132F"/>
    <w:rsid w:val="665670AB"/>
    <w:rsid w:val="66676EF2"/>
    <w:rsid w:val="668B64F1"/>
    <w:rsid w:val="669E4476"/>
    <w:rsid w:val="66B97195"/>
    <w:rsid w:val="66D15EF7"/>
    <w:rsid w:val="674566A0"/>
    <w:rsid w:val="678E777F"/>
    <w:rsid w:val="67AE43AE"/>
    <w:rsid w:val="67B101D9"/>
    <w:rsid w:val="67B552EB"/>
    <w:rsid w:val="67C718D1"/>
    <w:rsid w:val="67C9107F"/>
    <w:rsid w:val="68257D4D"/>
    <w:rsid w:val="6841155D"/>
    <w:rsid w:val="68AD6BF3"/>
    <w:rsid w:val="68B41D2F"/>
    <w:rsid w:val="68DB72BC"/>
    <w:rsid w:val="68F760C0"/>
    <w:rsid w:val="68F9591D"/>
    <w:rsid w:val="69051B7B"/>
    <w:rsid w:val="69083E29"/>
    <w:rsid w:val="699878A2"/>
    <w:rsid w:val="69AA4EE0"/>
    <w:rsid w:val="69E40947"/>
    <w:rsid w:val="69EE74C3"/>
    <w:rsid w:val="6A106E8A"/>
    <w:rsid w:val="6A1E4597"/>
    <w:rsid w:val="6A3F387A"/>
    <w:rsid w:val="6A42336B"/>
    <w:rsid w:val="6A4610AD"/>
    <w:rsid w:val="6A662825"/>
    <w:rsid w:val="6A865CFF"/>
    <w:rsid w:val="6A9A3873"/>
    <w:rsid w:val="6AD95A7D"/>
    <w:rsid w:val="6AE14931"/>
    <w:rsid w:val="6B2A5EB5"/>
    <w:rsid w:val="6B672053"/>
    <w:rsid w:val="6B6844E7"/>
    <w:rsid w:val="6B99520C"/>
    <w:rsid w:val="6BB362CE"/>
    <w:rsid w:val="6BCD47C7"/>
    <w:rsid w:val="6BD5340E"/>
    <w:rsid w:val="6C0528A2"/>
    <w:rsid w:val="6C305B70"/>
    <w:rsid w:val="6C4007A6"/>
    <w:rsid w:val="6C4E2AF2"/>
    <w:rsid w:val="6C8639E2"/>
    <w:rsid w:val="6CD97FB6"/>
    <w:rsid w:val="6CE45D52"/>
    <w:rsid w:val="6CF6721B"/>
    <w:rsid w:val="6D162FB8"/>
    <w:rsid w:val="6D2356D5"/>
    <w:rsid w:val="6D2A2758"/>
    <w:rsid w:val="6D8343C6"/>
    <w:rsid w:val="6D8B6D44"/>
    <w:rsid w:val="6DB4457F"/>
    <w:rsid w:val="6DB97DE8"/>
    <w:rsid w:val="6DBC51E2"/>
    <w:rsid w:val="6DC05D8D"/>
    <w:rsid w:val="6DCD397F"/>
    <w:rsid w:val="6DF10192"/>
    <w:rsid w:val="6E032E11"/>
    <w:rsid w:val="6E4B63B6"/>
    <w:rsid w:val="6E867CCA"/>
    <w:rsid w:val="6EF235B1"/>
    <w:rsid w:val="6F2A2D4B"/>
    <w:rsid w:val="6F963F3C"/>
    <w:rsid w:val="6FDE3B35"/>
    <w:rsid w:val="6FF3296D"/>
    <w:rsid w:val="70161521"/>
    <w:rsid w:val="703A0CFE"/>
    <w:rsid w:val="703D6AAE"/>
    <w:rsid w:val="70710D70"/>
    <w:rsid w:val="70812E3F"/>
    <w:rsid w:val="70CE2337"/>
    <w:rsid w:val="71224B2C"/>
    <w:rsid w:val="714A76D4"/>
    <w:rsid w:val="71566079"/>
    <w:rsid w:val="7163614D"/>
    <w:rsid w:val="71B11502"/>
    <w:rsid w:val="720158B9"/>
    <w:rsid w:val="720C6738"/>
    <w:rsid w:val="729329B5"/>
    <w:rsid w:val="72AC1CC9"/>
    <w:rsid w:val="72D059B7"/>
    <w:rsid w:val="72D80D10"/>
    <w:rsid w:val="72E04F19"/>
    <w:rsid w:val="7355410F"/>
    <w:rsid w:val="735B7378"/>
    <w:rsid w:val="73797DFD"/>
    <w:rsid w:val="73BA21C4"/>
    <w:rsid w:val="73BA70E4"/>
    <w:rsid w:val="73C80D84"/>
    <w:rsid w:val="73DC038C"/>
    <w:rsid w:val="73DE2356"/>
    <w:rsid w:val="742324DB"/>
    <w:rsid w:val="743A139B"/>
    <w:rsid w:val="743B1556"/>
    <w:rsid w:val="7443665D"/>
    <w:rsid w:val="744E1D52"/>
    <w:rsid w:val="746B486A"/>
    <w:rsid w:val="746E5488"/>
    <w:rsid w:val="74850A24"/>
    <w:rsid w:val="7490551B"/>
    <w:rsid w:val="74A84D97"/>
    <w:rsid w:val="74E03DD3"/>
    <w:rsid w:val="750B0F29"/>
    <w:rsid w:val="75196C85"/>
    <w:rsid w:val="75377F70"/>
    <w:rsid w:val="756B48C1"/>
    <w:rsid w:val="75742F72"/>
    <w:rsid w:val="75812F99"/>
    <w:rsid w:val="75B024E9"/>
    <w:rsid w:val="75BA1B34"/>
    <w:rsid w:val="75CB4B5C"/>
    <w:rsid w:val="75F94F21"/>
    <w:rsid w:val="760B34E8"/>
    <w:rsid w:val="761D1EEE"/>
    <w:rsid w:val="7641097A"/>
    <w:rsid w:val="765468FF"/>
    <w:rsid w:val="76944BF2"/>
    <w:rsid w:val="769A7896"/>
    <w:rsid w:val="769F401E"/>
    <w:rsid w:val="76A827A7"/>
    <w:rsid w:val="76B077E7"/>
    <w:rsid w:val="76D35A76"/>
    <w:rsid w:val="76E23F0B"/>
    <w:rsid w:val="771C566F"/>
    <w:rsid w:val="772E00BE"/>
    <w:rsid w:val="77422BFC"/>
    <w:rsid w:val="77480B7A"/>
    <w:rsid w:val="77550B81"/>
    <w:rsid w:val="77D53A70"/>
    <w:rsid w:val="77E3618D"/>
    <w:rsid w:val="77E646EE"/>
    <w:rsid w:val="78191BAF"/>
    <w:rsid w:val="782D7408"/>
    <w:rsid w:val="782F3180"/>
    <w:rsid w:val="78436E0B"/>
    <w:rsid w:val="786848E4"/>
    <w:rsid w:val="7879089F"/>
    <w:rsid w:val="78AB19FF"/>
    <w:rsid w:val="78CB48F7"/>
    <w:rsid w:val="78EA70A7"/>
    <w:rsid w:val="78EE16A1"/>
    <w:rsid w:val="792627D5"/>
    <w:rsid w:val="79386064"/>
    <w:rsid w:val="79744265"/>
    <w:rsid w:val="7986452E"/>
    <w:rsid w:val="79CD2C51"/>
    <w:rsid w:val="79EC3E95"/>
    <w:rsid w:val="79F907CF"/>
    <w:rsid w:val="7A545120"/>
    <w:rsid w:val="7A721A4A"/>
    <w:rsid w:val="7A911AEC"/>
    <w:rsid w:val="7ACA3634"/>
    <w:rsid w:val="7B890DF9"/>
    <w:rsid w:val="7BB069E9"/>
    <w:rsid w:val="7BBD0AA3"/>
    <w:rsid w:val="7BD209F2"/>
    <w:rsid w:val="7BD81C16"/>
    <w:rsid w:val="7BE20509"/>
    <w:rsid w:val="7C067F4F"/>
    <w:rsid w:val="7CC24F7F"/>
    <w:rsid w:val="7D0A5AA1"/>
    <w:rsid w:val="7D20418F"/>
    <w:rsid w:val="7D225061"/>
    <w:rsid w:val="7D4A21B7"/>
    <w:rsid w:val="7D586CD5"/>
    <w:rsid w:val="7D751799"/>
    <w:rsid w:val="7D9817C8"/>
    <w:rsid w:val="7D9D0332"/>
    <w:rsid w:val="7E144742"/>
    <w:rsid w:val="7E4B4A8C"/>
    <w:rsid w:val="7E957AB5"/>
    <w:rsid w:val="7EE37C3B"/>
    <w:rsid w:val="7EE55BE9"/>
    <w:rsid w:val="7F0C5FC9"/>
    <w:rsid w:val="7F2350C1"/>
    <w:rsid w:val="7F895920"/>
    <w:rsid w:val="7FA31E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2"/>
    <w:basedOn w:val="4"/>
    <w:next w:val="1"/>
    <w:autoRedefine/>
    <w:qFormat/>
    <w:uiPriority w:val="0"/>
    <w:pPr>
      <w:keepNext/>
      <w:keepLines/>
      <w:spacing w:before="260" w:after="260" w:line="413" w:lineRule="auto"/>
      <w:outlineLvl w:val="1"/>
    </w:pPr>
    <w:rPr>
      <w:rFonts w:ascii="Arial" w:hAnsi="Arial" w:eastAsia="黑体"/>
      <w:b/>
      <w:sz w:val="32"/>
    </w:rPr>
  </w:style>
  <w:style w:type="paragraph" w:styleId="5">
    <w:name w:val="heading 3"/>
    <w:basedOn w:val="1"/>
    <w:next w:val="1"/>
    <w:autoRedefine/>
    <w:qFormat/>
    <w:uiPriority w:val="0"/>
    <w:pPr>
      <w:keepNext/>
      <w:keepLines/>
      <w:spacing w:before="260" w:after="260" w:line="413" w:lineRule="auto"/>
      <w:outlineLvl w:val="2"/>
    </w:pPr>
    <w:rPr>
      <w:b/>
      <w:sz w:val="32"/>
    </w:rPr>
  </w:style>
  <w:style w:type="character" w:default="1" w:styleId="16">
    <w:name w:val="Default Paragraph Font"/>
    <w:autoRedefine/>
    <w:semiHidden/>
    <w:qFormat/>
    <w:uiPriority w:val="0"/>
  </w:style>
  <w:style w:type="table" w:default="1" w:styleId="14">
    <w:name w:val="Normal Table"/>
    <w:autoRedefine/>
    <w:semiHidden/>
    <w:qFormat/>
    <w:uiPriority w:val="0"/>
    <w:tblPr>
      <w:tblCellMar>
        <w:top w:w="0" w:type="dxa"/>
        <w:left w:w="108" w:type="dxa"/>
        <w:bottom w:w="0" w:type="dxa"/>
        <w:right w:w="108" w:type="dxa"/>
      </w:tblCellMar>
    </w:tblPr>
  </w:style>
  <w:style w:type="paragraph" w:customStyle="1" w:styleId="2">
    <w:name w:val="Default"/>
    <w:autoRedefine/>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4">
    <w:name w:val="正文（绿盟科技）"/>
    <w:autoRedefine/>
    <w:qFormat/>
    <w:uiPriority w:val="0"/>
    <w:pPr>
      <w:spacing w:line="300" w:lineRule="auto"/>
    </w:pPr>
    <w:rPr>
      <w:rFonts w:ascii="Times New Roman" w:hAnsi="Times New Roman" w:eastAsia="宋体" w:cs="Times New Roman"/>
      <w:sz w:val="21"/>
      <w:szCs w:val="21"/>
      <w:lang w:val="en-US" w:eastAsia="zh-CN" w:bidi="ar-SA"/>
    </w:rPr>
  </w:style>
  <w:style w:type="paragraph" w:styleId="6">
    <w:name w:val="Body Text"/>
    <w:basedOn w:val="1"/>
    <w:next w:val="7"/>
    <w:autoRedefine/>
    <w:qFormat/>
    <w:uiPriority w:val="0"/>
    <w:rPr>
      <w:rFonts w:ascii="仿宋_GB2312" w:eastAsia="仿宋_GB2312"/>
      <w:sz w:val="32"/>
    </w:rPr>
  </w:style>
  <w:style w:type="paragraph" w:styleId="7">
    <w:name w:val="index 7"/>
    <w:basedOn w:val="1"/>
    <w:next w:val="1"/>
    <w:autoRedefine/>
    <w:qFormat/>
    <w:uiPriority w:val="0"/>
    <w:pPr>
      <w:ind w:left="2520"/>
    </w:pPr>
  </w:style>
  <w:style w:type="paragraph" w:styleId="8">
    <w:name w:val="Plain Text"/>
    <w:basedOn w:val="1"/>
    <w:autoRedefine/>
    <w:qFormat/>
    <w:uiPriority w:val="0"/>
    <w:rPr>
      <w:rFonts w:ascii="宋体" w:hAnsi="Courier New"/>
      <w:sz w:val="21"/>
    </w:rPr>
  </w:style>
  <w:style w:type="paragraph" w:styleId="9">
    <w:name w:val="Date"/>
    <w:basedOn w:val="1"/>
    <w:next w:val="1"/>
    <w:autoRedefine/>
    <w:qFormat/>
    <w:uiPriority w:val="0"/>
  </w:style>
  <w:style w:type="paragraph" w:styleId="10">
    <w:name w:val="footer"/>
    <w:basedOn w:val="1"/>
    <w:autoRedefine/>
    <w:qFormat/>
    <w:uiPriority w:val="99"/>
    <w:pPr>
      <w:tabs>
        <w:tab w:val="center" w:pos="4153"/>
        <w:tab w:val="right" w:pos="8306"/>
      </w:tabs>
      <w:snapToGrid w:val="0"/>
      <w:jc w:val="left"/>
    </w:pPr>
    <w:rPr>
      <w:sz w:val="18"/>
    </w:rPr>
  </w:style>
  <w:style w:type="paragraph" w:styleId="11">
    <w:name w:val="header"/>
    <w:basedOn w:val="1"/>
    <w:autoRedefine/>
    <w:qFormat/>
    <w:uiPriority w:val="0"/>
    <w:pPr>
      <w:pBdr>
        <w:bottom w:val="single" w:color="auto" w:sz="6" w:space="1"/>
      </w:pBdr>
      <w:tabs>
        <w:tab w:val="center" w:pos="4153"/>
        <w:tab w:val="right" w:pos="8306"/>
      </w:tabs>
      <w:snapToGrid w:val="0"/>
      <w:jc w:val="center"/>
    </w:pPr>
    <w:rPr>
      <w:sz w:val="18"/>
    </w:rPr>
  </w:style>
  <w:style w:type="paragraph" w:styleId="12">
    <w:name w:val="toc 2"/>
    <w:basedOn w:val="1"/>
    <w:next w:val="1"/>
    <w:autoRedefine/>
    <w:qFormat/>
    <w:uiPriority w:val="39"/>
    <w:pPr>
      <w:ind w:left="420" w:leftChars="200"/>
    </w:pPr>
  </w:style>
  <w:style w:type="paragraph" w:styleId="13">
    <w:name w:val="Title"/>
    <w:basedOn w:val="4"/>
    <w:autoRedefine/>
    <w:qFormat/>
    <w:uiPriority w:val="0"/>
    <w:pPr>
      <w:spacing w:line="300" w:lineRule="auto"/>
      <w:jc w:val="center"/>
      <w:outlineLvl w:val="0"/>
    </w:pPr>
    <w:rPr>
      <w:rFonts w:ascii="Times New Roman" w:hAnsi="Times New Roman" w:eastAsia="黑体" w:cs="Arial"/>
      <w:b/>
      <w:bCs/>
      <w:sz w:val="52"/>
      <w:szCs w:val="32"/>
      <w:lang w:val="en-US" w:eastAsia="zh-CN" w:bidi="ar-SA"/>
    </w:rPr>
  </w:style>
  <w:style w:type="table" w:styleId="15">
    <w:name w:val="Table Grid"/>
    <w:basedOn w:val="1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autoRedefine/>
    <w:qFormat/>
    <w:uiPriority w:val="0"/>
  </w:style>
  <w:style w:type="character" w:styleId="18">
    <w:name w:val="Hyperlink"/>
    <w:autoRedefine/>
    <w:qFormat/>
    <w:uiPriority w:val="99"/>
    <w:rPr>
      <w:color w:val="0000FF"/>
      <w:u w:val="single"/>
    </w:rPr>
  </w:style>
  <w:style w:type="paragraph" w:customStyle="1" w:styleId="19">
    <w:name w:val="图例"/>
    <w:basedOn w:val="1"/>
    <w:autoRedefine/>
    <w:qFormat/>
    <w:uiPriority w:val="0"/>
    <w:pPr>
      <w:spacing w:before="120" w:after="120" w:line="360" w:lineRule="auto"/>
      <w:jc w:val="center"/>
    </w:pPr>
    <w:rPr>
      <w:rFonts w:eastAsia="仿宋_GB2312"/>
      <w:b/>
      <w:sz w:val="24"/>
    </w:rPr>
  </w:style>
  <w:style w:type="paragraph" w:customStyle="1" w:styleId="20">
    <w:name w:val="1"/>
    <w:basedOn w:val="1"/>
    <w:next w:val="8"/>
    <w:autoRedefine/>
    <w:qFormat/>
    <w:uiPriority w:val="0"/>
    <w:rPr>
      <w:rFonts w:ascii="宋体" w:hAnsi="Courier New"/>
      <w:sz w:val="21"/>
    </w:rPr>
  </w:style>
  <w:style w:type="paragraph" w:customStyle="1" w:styleId="21">
    <w:name w:val="TOC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22">
    <w:name w:val="无间隔2"/>
    <w:autoRedefine/>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23">
    <w:name w:val="标题 0（绿盟科技）"/>
    <w:basedOn w:val="13"/>
    <w:autoRedefine/>
    <w:qFormat/>
    <w:uiPriority w:val="0"/>
    <w:pPr>
      <w:keepNext/>
      <w:keepLines/>
      <w:widowControl w:val="0"/>
      <w:spacing w:line="300" w:lineRule="auto"/>
      <w:jc w:val="center"/>
      <w:outlineLvl w:val="0"/>
    </w:pPr>
    <w:rPr>
      <w:rFonts w:ascii="Times New Roman" w:hAnsi="Times New Roman" w:eastAsia="黑体" w:cs="Arial"/>
      <w:bCs w:val="0"/>
      <w:sz w:val="52"/>
      <w:szCs w:val="32"/>
      <w:lang w:val="en-US" w:eastAsia="zh-CN" w:bidi="ar-SA"/>
    </w:rPr>
  </w:style>
  <w:style w:type="character" w:customStyle="1" w:styleId="24">
    <w:name w:val="font11"/>
    <w:basedOn w:val="16"/>
    <w:autoRedefine/>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2024-01-19T08:29:00Z</dcterms:created>
  <dc:creator>攀钢集团</dc:creator>
  <cp:lastModifiedBy>攀钢集团</cp:lastModifiedBy>
  <dcterms:modified xsi:type="dcterms:W3CDTF">2024-04-15T07:51:12Z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216DEB8DF9684B428B9EB695ADBA334E_13</vt:lpwstr>
  </property>
</Properties>
</file>