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w:t>
      </w:r>
      <w:r>
        <w:rPr>
          <w:rFonts w:hint="eastAsia" w:ascii="方正黑体_GBK" w:hAnsi="仿宋" w:eastAsia="方正黑体_GBK"/>
          <w:szCs w:val="32"/>
          <w:u w:val="single"/>
          <w:lang w:val="en-US" w:eastAsia="zh-CN"/>
        </w:rPr>
        <w:t>2021年</w:t>
      </w:r>
      <w:r>
        <w:rPr>
          <w:rFonts w:hint="default" w:ascii="方正黑体_GBK" w:hAnsi="仿宋" w:eastAsia="方正黑体_GBK"/>
          <w:szCs w:val="32"/>
          <w:u w:val="single"/>
          <w:lang w:val="en" w:eastAsia="zh-CN"/>
        </w:rPr>
        <w:t>A</w:t>
      </w:r>
      <w:r>
        <w:rPr>
          <w:rFonts w:hint="eastAsia" w:ascii="方正黑体_GBK" w:hAnsi="仿宋" w:eastAsia="方正黑体_GBK"/>
          <w:szCs w:val="32"/>
          <w:u w:val="single"/>
          <w:lang w:val="en-US" w:eastAsia="zh-CN"/>
        </w:rPr>
        <w:t>15</w:t>
      </w:r>
      <w:r>
        <w:rPr>
          <w:rFonts w:hint="eastAsia" w:ascii="方正黑体_GBK" w:hAnsi="仿宋" w:eastAsia="方正黑体_GBK"/>
          <w:szCs w:val="32"/>
          <w:u w:val="single"/>
          <w:lang w:val="en" w:eastAsia="zh-CN"/>
        </w:rPr>
        <w:t>号</w:t>
      </w:r>
      <w:r>
        <w:rPr>
          <w:rFonts w:hint="eastAsia" w:ascii="方正黑体_GBK" w:hAnsi="仿宋" w:eastAsia="方正黑体_GBK"/>
          <w:szCs w:val="32"/>
          <w:u w:val="single"/>
        </w:rPr>
        <w:t>　　　　　　　　　</w:t>
      </w:r>
      <w:r>
        <w:rPr>
          <w:rFonts w:hint="eastAsia" w:ascii="方正黑体_GBK" w:hAnsi="黑体" w:eastAsia="方正黑体_GBK"/>
          <w:szCs w:val="32"/>
          <w:u w:val="single"/>
        </w:rPr>
        <w:t>　</w:t>
      </w:r>
    </w:p>
    <w:p>
      <w:pPr>
        <w:overflowPunct w:val="0"/>
        <w:spacing w:line="520" w:lineRule="exact"/>
        <w:rPr>
          <w:rFonts w:hint="eastAsia" w:ascii="方正黑体_GBK" w:hAnsi="仿宋" w:eastAsia="方正黑体_GBK"/>
          <w:szCs w:val="32"/>
          <w:u w:val="single"/>
          <w:lang w:val="en" w:eastAsia="zh-CN"/>
        </w:rPr>
      </w:pPr>
      <w:r>
        <w:rPr>
          <w:rFonts w:hint="eastAsia" w:ascii="方正黑体_GBK" w:hAnsi="黑体" w:eastAsia="方正黑体_GBK"/>
          <w:szCs w:val="32"/>
        </w:rPr>
        <w:t>二、合同名称：</w:t>
      </w:r>
      <w:r>
        <w:rPr>
          <w:rFonts w:hint="eastAsia" w:ascii="仿宋" w:hAnsi="仿宋" w:eastAsia="仿宋"/>
          <w:szCs w:val="32"/>
          <w:u w:val="single"/>
        </w:rPr>
        <w:t>　</w:t>
      </w:r>
      <w:r>
        <w:rPr>
          <w:rFonts w:hint="eastAsia" w:ascii="方正黑体_GBK" w:hAnsi="仿宋" w:eastAsia="方正黑体_GBK"/>
          <w:szCs w:val="32"/>
          <w:u w:val="single"/>
          <w:lang w:val="en-US" w:eastAsia="zh-CN"/>
        </w:rPr>
        <w:t>《重庆市城镇天然气发展“十四五”规划》（含规划环评）编制政府采购项目</w:t>
      </w:r>
      <w:r>
        <w:rPr>
          <w:rFonts w:hint="eastAsia" w:ascii="方正黑体_GBK" w:hAnsi="仿宋" w:eastAsia="方正黑体_GBK"/>
          <w:szCs w:val="32"/>
          <w:u w:val="single"/>
          <w:lang w:val="en" w:eastAsia="zh-CN"/>
        </w:rPr>
        <w:t>　</w:t>
      </w:r>
    </w:p>
    <w:p>
      <w:pPr>
        <w:overflowPunct w:val="0"/>
        <w:spacing w:line="520" w:lineRule="exact"/>
        <w:rPr>
          <w:rFonts w:hint="default" w:ascii="仿宋" w:hAnsi="仿宋" w:eastAsia="仿宋"/>
          <w:szCs w:val="32"/>
          <w:u w:val="single"/>
          <w:lang w:val="en-US"/>
        </w:rPr>
      </w:pPr>
      <w:r>
        <w:rPr>
          <w:rFonts w:hint="eastAsia" w:ascii="方正黑体_GBK" w:hAnsi="黑体" w:eastAsia="方正黑体_GBK"/>
          <w:szCs w:val="32"/>
        </w:rPr>
        <w:t>三、项目编号：</w:t>
      </w:r>
      <w:r>
        <w:rPr>
          <w:color w:val="000000"/>
          <w:szCs w:val="32"/>
          <w:shd w:val="clear" w:color="auto" w:fill="FFFFFF"/>
        </w:rPr>
        <w:t>CQ</w:t>
      </w:r>
      <w:r>
        <w:rPr>
          <w:rFonts w:hint="eastAsia"/>
          <w:color w:val="000000"/>
          <w:szCs w:val="32"/>
          <w:shd w:val="clear" w:color="auto" w:fill="FFFFFF"/>
          <w:lang w:val="en-US" w:eastAsia="zh-CN"/>
        </w:rPr>
        <w:t>CBJQ2102-015</w:t>
      </w:r>
    </w:p>
    <w:p>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方正黑体_GBK" w:hAnsi="仿宋" w:eastAsia="方正黑体_GBK"/>
          <w:szCs w:val="32"/>
          <w:u w:val="single"/>
          <w:lang w:val="en-US" w:eastAsia="zh-CN"/>
        </w:rPr>
        <w:t>　《重庆市城镇天然气发展“十四五”规划》（含规划环评）编制项目</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　　</w:t>
      </w:r>
      <w:r>
        <w:rPr>
          <w:rFonts w:hint="eastAsia" w:ascii="方正仿宋_GBK" w:hAnsi="方正仿宋_GBK" w:cs="方正仿宋_GBK"/>
          <w:szCs w:val="32"/>
          <w:u w:val="single"/>
          <w:lang w:eastAsia="zh-CN"/>
        </w:rPr>
        <w:t>重庆市经济和信息化委员会</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r>
        <w:rPr>
          <w:rFonts w:hint="eastAsia" w:ascii="方正仿宋_GBK" w:hAnsi="方正仿宋_GBK" w:cs="方正仿宋_GBK"/>
          <w:szCs w:val="32"/>
          <w:u w:val="single"/>
          <w:lang w:eastAsia="zh-CN"/>
        </w:rPr>
        <w:t>重庆市两江新区云杉南路</w:t>
      </w:r>
      <w:r>
        <w:rPr>
          <w:rFonts w:hint="eastAsia" w:ascii="方正仿宋_GBK" w:hAnsi="方正仿宋_GBK" w:cs="方正仿宋_GBK"/>
          <w:szCs w:val="32"/>
          <w:u w:val="single"/>
          <w:lang w:val="en-US" w:eastAsia="zh-CN"/>
        </w:rPr>
        <w:t>12号</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eastAsia" w:ascii="方正仿宋_GBK" w:hAnsi="方正仿宋_GBK" w:cs="方正仿宋_GBK"/>
          <w:szCs w:val="32"/>
          <w:u w:val="single"/>
          <w:lang w:eastAsia="zh-CN"/>
        </w:rPr>
        <w:t>李全</w:t>
      </w:r>
      <w:r>
        <w:rPr>
          <w:rFonts w:hint="eastAsia" w:ascii="方正仿宋_GBK" w:hAnsi="方正仿宋_GBK" w:cs="方正仿宋_GBK"/>
          <w:szCs w:val="32"/>
          <w:u w:val="single"/>
          <w:lang w:val="en-US" w:eastAsia="zh-CN"/>
        </w:rPr>
        <w:t xml:space="preserve"> 63896262</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供应商（乙方）：</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重庆能控动力技术有限公司</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r>
        <w:rPr>
          <w:rFonts w:hint="eastAsia" w:ascii="方正仿宋_GBK" w:hAnsi="方正仿宋_GBK" w:cs="方正仿宋_GBK"/>
          <w:szCs w:val="32"/>
          <w:u w:val="single"/>
          <w:lang w:eastAsia="zh-CN"/>
        </w:rPr>
        <w:t>重庆市</w:t>
      </w:r>
      <w:r>
        <w:rPr>
          <w:rFonts w:hint="eastAsia" w:ascii="方正仿宋_GBK" w:hAnsi="方正仿宋_GBK" w:cs="方正仿宋_GBK"/>
          <w:szCs w:val="32"/>
          <w:u w:val="single"/>
          <w:lang w:val="en-US" w:eastAsia="zh-CN"/>
        </w:rPr>
        <w:t>渝北区洪湖东路9号705</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朱颖炫</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13594118183</w:t>
      </w:r>
      <w:r>
        <w:rPr>
          <w:rFonts w:hint="eastAsia" w:ascii="方正仿宋_GBK" w:hAnsi="方正仿宋_GBK" w:cs="方正仿宋_GBK"/>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keepNext w:val="0"/>
        <w:keepLines w:val="0"/>
        <w:pageBreakBefore w:val="0"/>
        <w:widowControl w:val="0"/>
        <w:kinsoku/>
        <w:wordWrap/>
        <w:overflowPunct w:val="0"/>
        <w:topLinePunct w:val="0"/>
        <w:autoSpaceDE/>
        <w:autoSpaceDN/>
        <w:bidi w:val="0"/>
        <w:spacing w:line="440" w:lineRule="exact"/>
        <w:ind w:firstLine="420" w:firstLineChars="200"/>
        <w:textAlignment w:val="auto"/>
        <w:rPr>
          <w:rFonts w:hint="eastAsia" w:ascii="方正仿宋_GBK" w:hAnsi="方正仿宋_GBK" w:cs="方正仿宋_GBK" w:eastAsiaTheme="minorEastAsia"/>
          <w:szCs w:val="32"/>
          <w:lang w:eastAsia="zh-CN"/>
        </w:rPr>
      </w:pPr>
      <w:r>
        <w:rPr>
          <w:rFonts w:hint="eastAsia" w:ascii="方正仿宋_GBK" w:hAnsi="方正仿宋_GBK" w:cs="方正仿宋_GBK"/>
          <w:szCs w:val="32"/>
        </w:rPr>
        <w:t>服务标准</w:t>
      </w:r>
      <w:r>
        <w:rPr>
          <w:rFonts w:hint="eastAsia" w:ascii="方正仿宋_GBK" w:hAnsi="方正仿宋_GBK" w:cs="方正仿宋_GBK"/>
          <w:szCs w:val="32"/>
          <w:lang w:eastAsia="zh-CN"/>
        </w:rPr>
        <w:t>：</w:t>
      </w:r>
      <w:r>
        <w:rPr>
          <w:rFonts w:hint="eastAsia" w:ascii="方正仿宋_GBK" w:hAnsi="方正仿宋_GBK" w:cs="方正仿宋_GBK"/>
          <w:szCs w:val="32"/>
        </w:rPr>
        <w:t>1.开展现状调研。深入调研重庆市城镇天然气发展情况。通过线上线下相结合的方式，从基本情况、行业政策、安全生产、经营发展、市场环境、存在问题、技术创新、未来展望等方面入手，对重庆市及全国先进地区行业主管部门、重点企业深入进行调研，准确把握重庆市城镇天然气行业基础情况，发现行业发展的问题和困难，结合公众建议研判重庆城镇天然气行业发展形势、发展目标及重点任务。2.参与重点课题研究。协助开展重庆天然气发展重点课题研究。结合全国天然气发展形势、发展目标及重点任务，提出符合重庆市实际情况的天然气发展重点研究课题(不少于8个),并制定课题研究工作方案，明确课题研究目标任务，统筹协调推进课题研究进度，把控课题研究质量，同时配合参与课题研究，保证课题按期完成，确保研究成果满足质量要求。3.起草《重庆市城镇天然气发展“十四五”规划》。编制的《重庆市城镇天然气发展“十四五”规划》应符合国家相关政策方针、全国天然气发展趋势和重庆市实际，必须遵循相关法律法规。规划内容包括但不限于规划基础、规划要求、重点任务、保障措施、节能和环保等。(1)规划基础应包括但不限于总结梳理重庆市城镇天然气“十三五”发展成绩，分析阐释发展趋势、存在问题和困难等内容。(2)规划要求应包括但不限于按照国家天然气发展总体思想和政策方针，结合行业发展趋势和重庆市实际，提出指导思想、遵循原则、编制依据、发展目标等内容。(3)重点任务应包括但不限于结合国家政策、天然气行业发展趋势和我市实际，按照指导思想、遵循原则和发展目标，围绕我市城镇天然气供应、服务、安全，提出重点任务，任务内容包括天然气气源、供应方式和规模、设施布局和建设时序、设施建设用地、设施保护范围、市场化改革、数字化转型、优化营商环境、高质量发展等。(4)保障措施应包括但不限于结合国家政策、天然气行业发展趋势和我市实际，紧贴发展目标及重点任务，提出组织领导、统筹协调、政策机制、评估考核、行业监管、宣传引导等供应保障措施和安全保障措施。(5)节能和环保应包括但不限于结合国家政策、天然气行业发展趋势和我市实际，进行节能环保分析，提出节能环保措施等内容。4.起草规划编制说明。编制《重庆市城镇天然气发展“十四五”规划编制说明》,说明内容包括但不限于对规划编制过程、发展目标的确定、重点任务的确定、保障措施的提出等进行必要的说明。5.开展规划环境影响评价。按照《规划环境影响评价条例》等法律法规，开展并完成重庆市城镇天然气发展“十四五”规划的环境影响评价，评价结果需经市生态环境局审查通过。</w:t>
      </w:r>
      <w:r>
        <w:rPr>
          <w:rFonts w:hint="eastAsia" w:ascii="方正仿宋_GBK" w:hAnsi="方正仿宋_GBK" w:cs="方正仿宋_GBK"/>
          <w:szCs w:val="32"/>
          <w:lang w:val="en-US" w:eastAsia="zh-CN"/>
        </w:rPr>
        <w:t>6.</w:t>
      </w:r>
      <w:r>
        <w:rPr>
          <w:rFonts w:hint="eastAsia" w:ascii="方正仿宋_GBK" w:hAnsi="方正仿宋_GBK" w:cs="方正仿宋_GBK"/>
          <w:szCs w:val="32"/>
        </w:rPr>
        <w:t>在规划文本编制过程中，市经济信息委对规划内容和格式提出调整意见时，乙方应及时按照调整意见对规划文本进行调整，并相应调整规划文本说明。　　　　　　　　　</w:t>
      </w:r>
    </w:p>
    <w:p>
      <w:pPr>
        <w:keepNext w:val="0"/>
        <w:keepLines w:val="0"/>
        <w:pageBreakBefore w:val="0"/>
        <w:widowControl w:val="0"/>
        <w:kinsoku/>
        <w:wordWrap/>
        <w:overflowPunct w:val="0"/>
        <w:topLinePunct w:val="0"/>
        <w:autoSpaceDE/>
        <w:autoSpaceDN/>
        <w:bidi w:val="0"/>
        <w:spacing w:line="440" w:lineRule="exact"/>
        <w:ind w:firstLine="420" w:firstLineChars="200"/>
        <w:textAlignment w:val="auto"/>
        <w:rPr>
          <w:rFonts w:hint="eastAsia" w:ascii="方正仿宋_GBK" w:hAnsi="方正仿宋_GBK" w:cs="方正仿宋_GBK"/>
          <w:szCs w:val="32"/>
        </w:rPr>
      </w:pPr>
      <w:r>
        <w:rPr>
          <w:rFonts w:hint="eastAsia" w:ascii="方正仿宋_GBK" w:hAnsi="方正仿宋_GBK" w:cs="方正仿宋_GBK"/>
          <w:szCs w:val="32"/>
        </w:rPr>
        <w:t>验收标准、方法：乙方提交成果包括《重庆市城镇天然气发展“十四五”规划报告》、同步完成规划环境影响评价以及《重庆市城镇天然气发展“十四五”规划编制说明》。成果认定需获得重庆市经济和信息化委员会审定通过。甲方按照国家及行业相关标准、竞争性磁商文件规定对乙方完成情况进行验收。如验收达不到相关规定要求的，乙方应立即进行整改，整改后仍不合格的，则视为验收不合格。　　　　　　　　　</w:t>
      </w:r>
    </w:p>
    <w:p>
      <w:pPr>
        <w:keepNext w:val="0"/>
        <w:keepLines w:val="0"/>
        <w:pageBreakBefore w:val="0"/>
        <w:widowControl w:val="0"/>
        <w:kinsoku/>
        <w:wordWrap/>
        <w:overflowPunct w:val="0"/>
        <w:topLinePunct w:val="0"/>
        <w:autoSpaceDE/>
        <w:autoSpaceDN/>
        <w:bidi w:val="0"/>
        <w:spacing w:line="440" w:lineRule="exact"/>
        <w:ind w:firstLine="420" w:firstLineChars="200"/>
        <w:textAlignment w:val="auto"/>
        <w:rPr>
          <w:rFonts w:hint="eastAsia" w:ascii="方正仿宋_GBK" w:hAnsi="方正仿宋_GBK" w:cs="方正仿宋_GBK"/>
          <w:szCs w:val="32"/>
        </w:rPr>
      </w:pPr>
      <w:r>
        <w:rPr>
          <w:rFonts w:hint="eastAsia" w:ascii="方正仿宋_GBK" w:hAnsi="方正仿宋_GBK" w:cs="方正仿宋_GBK"/>
          <w:szCs w:val="32"/>
        </w:rPr>
        <w:t>服务时间</w:t>
      </w:r>
      <w:r>
        <w:rPr>
          <w:rFonts w:hint="eastAsia" w:ascii="方正仿宋_GBK" w:hAnsi="方正仿宋_GBK" w:cs="方正仿宋_GBK"/>
          <w:szCs w:val="32"/>
          <w:lang w:eastAsia="zh-CN"/>
        </w:rPr>
        <w:t>：</w:t>
      </w:r>
      <w:r>
        <w:rPr>
          <w:rFonts w:hint="eastAsia" w:ascii="方正仿宋_GBK" w:hAnsi="方正仿宋_GBK" w:cs="方正仿宋_GBK"/>
          <w:szCs w:val="32"/>
        </w:rPr>
        <w:t>乙方需在2021年9月前完成所有工作。在完成规划文本验收后，因本项目中涉及的天然气设施建设相关规划内容需由有关部门、单位共同确定，乙方后续仍将指导和辅助开展设施规划建设、保护范围等的文本修改，可能时间较长，乙方仍应按照甲方提出的内容及时间要求，无条件完成本项目所需的所有修改工作。</w:t>
      </w:r>
    </w:p>
    <w:p>
      <w:pPr>
        <w:keepNext w:val="0"/>
        <w:keepLines w:val="0"/>
        <w:pageBreakBefore w:val="0"/>
        <w:widowControl w:val="0"/>
        <w:kinsoku/>
        <w:wordWrap/>
        <w:overflowPunct w:val="0"/>
        <w:topLinePunct w:val="0"/>
        <w:autoSpaceDE/>
        <w:autoSpaceDN/>
        <w:bidi w:val="0"/>
        <w:spacing w:line="440" w:lineRule="exact"/>
        <w:ind w:firstLine="420" w:firstLineChars="200"/>
        <w:textAlignment w:val="auto"/>
        <w:rPr>
          <w:rFonts w:hint="eastAsia" w:ascii="方正仿宋_GBK" w:hAnsi="方正仿宋_GBK" w:cs="方正仿宋_GBK"/>
          <w:szCs w:val="32"/>
        </w:rPr>
      </w:pPr>
      <w:r>
        <w:rPr>
          <w:rFonts w:hint="eastAsia" w:ascii="方正仿宋_GBK" w:hAnsi="方正仿宋_GBK" w:cs="方正仿宋_GBK"/>
          <w:szCs w:val="32"/>
        </w:rPr>
        <w:t>服务</w:t>
      </w:r>
      <w:r>
        <w:rPr>
          <w:rFonts w:hint="eastAsia" w:ascii="方正仿宋_GBK" w:hAnsi="方正仿宋_GBK" w:cs="方正仿宋_GBK"/>
          <w:szCs w:val="32"/>
          <w:lang w:val="en-US" w:eastAsia="zh-CN"/>
        </w:rPr>
        <w:t>地点</w:t>
      </w:r>
      <w:r>
        <w:rPr>
          <w:rFonts w:hint="eastAsia" w:ascii="方正仿宋_GBK" w:hAnsi="方正仿宋_GBK" w:cs="方正仿宋_GBK"/>
          <w:szCs w:val="32"/>
          <w:lang w:eastAsia="zh-CN"/>
        </w:rPr>
        <w:t>：重庆市</w:t>
      </w:r>
      <w:r>
        <w:rPr>
          <w:rFonts w:hint="eastAsia" w:ascii="方正仿宋_GBK" w:hAnsi="方正仿宋_GBK" w:cs="方正仿宋_GBK"/>
          <w:szCs w:val="32"/>
        </w:rPr>
        <w:t>　　　　　　　　　　　</w:t>
      </w:r>
    </w:p>
    <w:p>
      <w:pPr>
        <w:overflowPunct w:val="0"/>
        <w:spacing w:line="520" w:lineRule="exact"/>
        <w:rPr>
          <w:rFonts w:ascii="黑体" w:hAnsi="黑体" w:eastAsia="黑体"/>
          <w:szCs w:val="32"/>
        </w:rPr>
      </w:pPr>
      <w:r>
        <w:rPr>
          <w:rFonts w:hint="eastAsia" w:ascii="方正黑体_GBK" w:hAnsi="黑体" w:eastAsia="方正黑体_GBK"/>
          <w:szCs w:val="32"/>
        </w:rPr>
        <w:t>七、验收（或终止）日期：</w:t>
      </w:r>
      <w:r>
        <w:rPr>
          <w:rFonts w:hint="eastAsia" w:ascii="仿宋" w:hAnsi="仿宋" w:eastAsia="仿宋"/>
          <w:szCs w:val="32"/>
          <w:highlight w:val="none"/>
          <w:u w:val="single"/>
        </w:rPr>
        <w:t>　</w:t>
      </w:r>
      <w:r>
        <w:rPr>
          <w:rFonts w:hint="eastAsia" w:ascii="仿宋" w:hAnsi="仿宋" w:eastAsia="仿宋"/>
          <w:szCs w:val="32"/>
          <w:highlight w:val="none"/>
          <w:u w:val="single"/>
          <w:lang w:val="en-US" w:eastAsia="zh-CN"/>
        </w:rPr>
        <w:t>2023年12月7日</w:t>
      </w:r>
      <w:r>
        <w:rPr>
          <w:rFonts w:hint="eastAsia" w:ascii="仿宋" w:hAnsi="仿宋" w:eastAsia="仿宋"/>
          <w:szCs w:val="32"/>
          <w:highlight w:val="none"/>
          <w:u w:val="single"/>
        </w:rPr>
        <w:t>　　　　　　　　　　</w:t>
      </w:r>
    </w:p>
    <w:p>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rPr>
        <w:t>　</w:t>
      </w:r>
      <w:r>
        <w:rPr>
          <w:rFonts w:hint="eastAsia" w:ascii="仿宋" w:hAnsi="仿宋" w:eastAsia="仿宋"/>
          <w:szCs w:val="32"/>
          <w:u w:val="single"/>
          <w:lang w:eastAsia="zh-CN"/>
        </w:rPr>
        <w:t>沈翱、彭运、董宁（专家组长）</w:t>
      </w:r>
      <w:r>
        <w:rPr>
          <w:rFonts w:hint="eastAsia" w:ascii="仿宋" w:hAnsi="仿宋" w:eastAsia="仿宋"/>
          <w:szCs w:val="32"/>
          <w:u w:val="single"/>
        </w:rPr>
        <w:t>　　　　　　　　　　</w:t>
      </w:r>
    </w:p>
    <w:p>
      <w:pPr>
        <w:overflowPunct w:val="0"/>
        <w:spacing w:line="520" w:lineRule="exact"/>
        <w:rPr>
          <w:rFonts w:ascii="仿宋" w:hAnsi="仿宋" w:eastAsia="仿宋"/>
          <w:szCs w:val="32"/>
          <w:u w:val="single"/>
        </w:rPr>
      </w:pPr>
      <w:r>
        <w:rPr>
          <w:rFonts w:hint="eastAsia" w:ascii="方正黑体_GBK" w:hAnsi="黑体" w:eastAsia="方正黑体_GBK"/>
          <w:szCs w:val="32"/>
        </w:rPr>
        <w:t>九、验收（或终止）意见：</w:t>
      </w:r>
      <w:r>
        <w:rPr>
          <w:rFonts w:hint="eastAsia" w:ascii="仿宋" w:hAnsi="仿宋" w:eastAsia="仿宋"/>
          <w:szCs w:val="32"/>
          <w:u w:val="single"/>
        </w:rPr>
        <w:t>　</w:t>
      </w:r>
      <w:r>
        <w:rPr>
          <w:rFonts w:hint="eastAsia" w:ascii="仿宋" w:hAnsi="仿宋" w:eastAsia="仿宋"/>
          <w:szCs w:val="32"/>
          <w:u w:val="single"/>
          <w:lang w:eastAsia="zh-CN"/>
        </w:rPr>
        <w:t>通过</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pPr>
        <w:overflowPunct w:val="0"/>
        <w:spacing w:line="520" w:lineRule="exact"/>
        <w:rPr>
          <w:rFonts w:hint="default" w:ascii="仿宋" w:hAnsi="仿宋" w:eastAsia="仿宋"/>
          <w:szCs w:val="32"/>
          <w:u w:val="single"/>
          <w:lang w:val="en-US" w:eastAsia="zh-CN"/>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原计划2021年9月30日前完成，受新冠疫情影响编制进度和验收推迟。后根据2022年5月20日专家审查意见建议，</w:t>
      </w:r>
      <w:r>
        <w:rPr>
          <w:rFonts w:hint="eastAsia" w:ascii="仿宋" w:hAnsi="仿宋" w:eastAsia="仿宋"/>
          <w:szCs w:val="32"/>
          <w:u w:val="single"/>
          <w:lang w:eastAsia="zh-CN"/>
        </w:rPr>
        <w:t>进一步完善内容</w:t>
      </w:r>
      <w:r>
        <w:rPr>
          <w:rFonts w:hint="eastAsia" w:ascii="仿宋" w:hAnsi="仿宋" w:eastAsia="仿宋"/>
          <w:szCs w:val="32"/>
          <w:u w:val="single"/>
        </w:rPr>
        <w:t>并将规划调整为《重庆市城镇天然气发展行动计划（2023-2025）》</w:t>
      </w:r>
      <w:r>
        <w:rPr>
          <w:rFonts w:hint="eastAsia" w:ascii="仿宋" w:hAnsi="仿宋" w:eastAsia="仿宋"/>
          <w:szCs w:val="32"/>
          <w:u w:val="single"/>
          <w:lang w:eastAsia="zh-CN"/>
        </w:rPr>
        <w:t>，</w:t>
      </w:r>
      <w:r>
        <w:rPr>
          <w:rFonts w:hint="eastAsia" w:ascii="仿宋" w:hAnsi="仿宋" w:eastAsia="仿宋"/>
          <w:szCs w:val="32"/>
          <w:u w:val="single"/>
        </w:rPr>
        <w:t>以深入贯彻落实习近平总书记关于燃气安全重要批示指示精神，结合全国、全市城镇燃气安全专项整治对城镇天然气行业发展和安全管理提出新的安排和要求，增强针对性、操作性。</w:t>
      </w:r>
      <w:r>
        <w:rPr>
          <w:rFonts w:hint="eastAsia" w:ascii="仿宋" w:hAnsi="仿宋" w:eastAsia="仿宋"/>
          <w:szCs w:val="32"/>
          <w:u w:val="single"/>
          <w:lang w:val="en-US" w:eastAsia="zh-CN"/>
        </w:rPr>
        <w:t>12月20日，再次组织专家、重点企业审查验收成果，同意通过验收，但供应商需按照合同“服务时间”约定，对接新型工业化、33618战略、数字重庆建设等中心工作完善《重庆市城镇天然气发展行动计划（2023-2025）》。</w:t>
      </w:r>
      <w:bookmarkStart w:id="0" w:name="_GoBack"/>
      <w:bookmarkEnd w:id="0"/>
    </w:p>
    <w:p>
      <w:pPr>
        <w:spacing w:line="578" w:lineRule="exact"/>
        <w:rPr>
          <w:rFonts w:ascii="方正仿宋_GBK" w:hAnsi="方正仿宋_GBK" w:eastAsia="方正仿宋_GBK" w:cs="方正仿宋_GBK"/>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4788" w:leftChars="2280" w:firstLine="5622"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2UwZjkzZTMzY2MzODQ2Y2IyMmVhODllZjhlY2I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074A3E"/>
    <w:rsid w:val="019E71BD"/>
    <w:rsid w:val="041C42DA"/>
    <w:rsid w:val="04B679C3"/>
    <w:rsid w:val="05F07036"/>
    <w:rsid w:val="06E00104"/>
    <w:rsid w:val="080F63D8"/>
    <w:rsid w:val="09104908"/>
    <w:rsid w:val="09341458"/>
    <w:rsid w:val="098254C2"/>
    <w:rsid w:val="0A766EDE"/>
    <w:rsid w:val="0AD64BE8"/>
    <w:rsid w:val="0AF344E1"/>
    <w:rsid w:val="0B0912D7"/>
    <w:rsid w:val="0C533B59"/>
    <w:rsid w:val="0DED371D"/>
    <w:rsid w:val="0E025194"/>
    <w:rsid w:val="10CE177B"/>
    <w:rsid w:val="13C43999"/>
    <w:rsid w:val="14ED62FD"/>
    <w:rsid w:val="152D2DCA"/>
    <w:rsid w:val="1542409B"/>
    <w:rsid w:val="15562811"/>
    <w:rsid w:val="172C5EBE"/>
    <w:rsid w:val="17740CDB"/>
    <w:rsid w:val="17875FF8"/>
    <w:rsid w:val="187168EA"/>
    <w:rsid w:val="190F5864"/>
    <w:rsid w:val="196673CA"/>
    <w:rsid w:val="19FD5FC6"/>
    <w:rsid w:val="1A0456BC"/>
    <w:rsid w:val="1A7E2D2E"/>
    <w:rsid w:val="1B2F4AEE"/>
    <w:rsid w:val="1B6E65E0"/>
    <w:rsid w:val="1C2344FA"/>
    <w:rsid w:val="1CF20EDD"/>
    <w:rsid w:val="1CF734C9"/>
    <w:rsid w:val="1DEC284C"/>
    <w:rsid w:val="1E6523AC"/>
    <w:rsid w:val="1EA27102"/>
    <w:rsid w:val="20CD6572"/>
    <w:rsid w:val="2217540A"/>
    <w:rsid w:val="22440422"/>
    <w:rsid w:val="22BB4BBB"/>
    <w:rsid w:val="29A43F32"/>
    <w:rsid w:val="2AEB3417"/>
    <w:rsid w:val="2AFC5A4D"/>
    <w:rsid w:val="2BE47802"/>
    <w:rsid w:val="31724AF1"/>
    <w:rsid w:val="31A15F24"/>
    <w:rsid w:val="324A1681"/>
    <w:rsid w:val="33F33F81"/>
    <w:rsid w:val="36FB1DF0"/>
    <w:rsid w:val="38AE614B"/>
    <w:rsid w:val="395347B5"/>
    <w:rsid w:val="39A232A0"/>
    <w:rsid w:val="39E745AA"/>
    <w:rsid w:val="3AD85223"/>
    <w:rsid w:val="3B5A6BBB"/>
    <w:rsid w:val="3D2E01D2"/>
    <w:rsid w:val="3EDA13A6"/>
    <w:rsid w:val="417B75E9"/>
    <w:rsid w:val="42F058B7"/>
    <w:rsid w:val="436109F6"/>
    <w:rsid w:val="440F6F8F"/>
    <w:rsid w:val="441A38D4"/>
    <w:rsid w:val="4504239D"/>
    <w:rsid w:val="451900C5"/>
    <w:rsid w:val="45DB7FCA"/>
    <w:rsid w:val="46306ED8"/>
    <w:rsid w:val="4A772DC3"/>
    <w:rsid w:val="4BC77339"/>
    <w:rsid w:val="4C412AF0"/>
    <w:rsid w:val="4C9236C5"/>
    <w:rsid w:val="4D8322CE"/>
    <w:rsid w:val="4E250A85"/>
    <w:rsid w:val="4FFD4925"/>
    <w:rsid w:val="50556F0A"/>
    <w:rsid w:val="505C172E"/>
    <w:rsid w:val="506405EA"/>
    <w:rsid w:val="5233039F"/>
    <w:rsid w:val="52CF6267"/>
    <w:rsid w:val="52F46F0B"/>
    <w:rsid w:val="532B6A10"/>
    <w:rsid w:val="53D8014D"/>
    <w:rsid w:val="54813591"/>
    <w:rsid w:val="55E064E0"/>
    <w:rsid w:val="56E93026"/>
    <w:rsid w:val="56F45D33"/>
    <w:rsid w:val="572C6D10"/>
    <w:rsid w:val="57875362"/>
    <w:rsid w:val="59E5E59F"/>
    <w:rsid w:val="5CA34E2E"/>
    <w:rsid w:val="5DC34279"/>
    <w:rsid w:val="5DF392A7"/>
    <w:rsid w:val="5FCD688E"/>
    <w:rsid w:val="5FF9BDAA"/>
    <w:rsid w:val="5FFE5333"/>
    <w:rsid w:val="608816D1"/>
    <w:rsid w:val="60E16CF5"/>
    <w:rsid w:val="60EF4E7F"/>
    <w:rsid w:val="640B7E04"/>
    <w:rsid w:val="648B0A32"/>
    <w:rsid w:val="665233C1"/>
    <w:rsid w:val="69AC0D42"/>
    <w:rsid w:val="6AD9688B"/>
    <w:rsid w:val="6ADB59E8"/>
    <w:rsid w:val="6B0470EF"/>
    <w:rsid w:val="6CAA294A"/>
    <w:rsid w:val="6D0E3F22"/>
    <w:rsid w:val="6F8A3233"/>
    <w:rsid w:val="72DA5C71"/>
    <w:rsid w:val="744E4660"/>
    <w:rsid w:val="753355A2"/>
    <w:rsid w:val="759F1C61"/>
    <w:rsid w:val="769F2DE8"/>
    <w:rsid w:val="76FDEB7C"/>
    <w:rsid w:val="777E53C5"/>
    <w:rsid w:val="7912281A"/>
    <w:rsid w:val="794446CD"/>
    <w:rsid w:val="79C65162"/>
    <w:rsid w:val="7C22076C"/>
    <w:rsid w:val="7C9011D9"/>
    <w:rsid w:val="7DC651C5"/>
    <w:rsid w:val="7DF350ED"/>
    <w:rsid w:val="7E8614D5"/>
    <w:rsid w:val="7F9DA0E8"/>
    <w:rsid w:val="7FCC2834"/>
    <w:rsid w:val="7FF6A4EF"/>
    <w:rsid w:val="7FF7782A"/>
    <w:rsid w:val="92DD1CEF"/>
    <w:rsid w:val="B9BFE023"/>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index 7"/>
    <w:basedOn w:val="1"/>
    <w:next w:val="1"/>
    <w:qFormat/>
    <w:uiPriority w:val="0"/>
    <w:pPr>
      <w:ind w:left="252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Indent"/>
    <w:basedOn w:val="1"/>
    <w:link w:val="14"/>
    <w:unhideWhenUsed/>
    <w:qFormat/>
    <w:uiPriority w:val="99"/>
    <w:pPr>
      <w:spacing w:after="120"/>
      <w:ind w:left="420" w:leftChars="200"/>
    </w:pPr>
    <w:rPr>
      <w:rFonts w:ascii="Calibri" w:hAnsi="Calibri"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正文文本缩进 字符"/>
    <w:basedOn w:val="10"/>
    <w:link w:val="6"/>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0</TotalTime>
  <ScaleCrop>false</ScaleCrop>
  <LinksUpToDate>false</LinksUpToDate>
  <CharactersWithSpaces>2616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沈翱</cp:lastModifiedBy>
  <cp:lastPrinted>2022-05-13T00:46:00Z</cp:lastPrinted>
  <dcterms:modified xsi:type="dcterms:W3CDTF">2023-12-27T02:04:32Z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DF9E9CC29AF24FD493B7208D1C79824A_13</vt:lpwstr>
  </property>
</Properties>
</file>