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jc w:val="center"/>
        <w:rPr>
          <w:rFonts w:ascii="方正小标宋_GBK" w:eastAsia="方正小标宋_GBK"/>
          <w:color w:val="000000"/>
          <w:kern w:val="0"/>
          <w:sz w:val="44"/>
          <w:szCs w:val="44"/>
          <w:shd w:val="clear" w:color="auto" w:fill="FFFFFF"/>
        </w:rPr>
      </w:pPr>
      <w:r>
        <w:rPr>
          <w:rFonts w:hint="eastAsia" w:ascii="方正小标宋_GBK" w:eastAsia="方正小标宋_GBK"/>
          <w:color w:val="000000"/>
          <w:kern w:val="0"/>
          <w:sz w:val="44"/>
          <w:szCs w:val="44"/>
          <w:shd w:val="clear" w:color="auto" w:fill="FFFFFF"/>
        </w:rPr>
        <w:t>履约结果公告</w:t>
      </w:r>
    </w:p>
    <w:p>
      <w:pPr>
        <w:overflowPunct w:val="0"/>
        <w:spacing w:line="520" w:lineRule="exact"/>
        <w:rPr>
          <w:rFonts w:hint="eastAsia" w:ascii="方正黑体_GBK" w:hAnsi="黑体" w:eastAsia="方正黑体_GBK"/>
          <w:szCs w:val="32"/>
        </w:rPr>
      </w:pPr>
      <w:r>
        <w:rPr>
          <w:rFonts w:hint="eastAsia" w:ascii="方正黑体_GBK" w:hAnsi="黑体" w:eastAsia="方正黑体_GBK"/>
          <w:szCs w:val="32"/>
        </w:rPr>
        <w:t>一、合同编号：</w:t>
      </w:r>
      <w:r>
        <w:rPr>
          <w:rFonts w:hint="eastAsia" w:ascii="方正黑体_GBK" w:hAnsi="仿宋" w:eastAsia="方正黑体_GBK"/>
          <w:szCs w:val="32"/>
          <w:u w:val="single"/>
          <w:lang w:val="en-US" w:eastAsia="zh-CN"/>
        </w:rPr>
        <w:t>2023年A010号</w:t>
      </w:r>
      <w:r>
        <w:rPr>
          <w:rFonts w:hint="eastAsia" w:ascii="方正黑体_GBK" w:hAnsi="仿宋" w:eastAsia="方正黑体_GBK"/>
          <w:szCs w:val="32"/>
          <w:u w:val="single"/>
        </w:rPr>
        <w:t>　　　</w:t>
      </w:r>
      <w:r>
        <w:rPr>
          <w:rFonts w:hint="eastAsia" w:ascii="方正黑体_GBK" w:hAnsi="黑体" w:eastAsia="方正黑体_GBK"/>
          <w:szCs w:val="32"/>
        </w:rPr>
        <w:t>　</w:t>
      </w:r>
    </w:p>
    <w:p>
      <w:pPr>
        <w:overflowPunct w:val="0"/>
        <w:spacing w:line="520" w:lineRule="exact"/>
        <w:rPr>
          <w:rFonts w:hint="eastAsia" w:ascii="方正黑体_GBK" w:hAnsi="仿宋" w:eastAsia="方正黑体_GBK"/>
          <w:szCs w:val="32"/>
          <w:u w:val="single"/>
          <w:lang w:val="en-US" w:eastAsia="zh-CN"/>
        </w:rPr>
      </w:pPr>
      <w:r>
        <w:rPr>
          <w:rFonts w:hint="eastAsia" w:ascii="方正黑体_GBK" w:hAnsi="黑体" w:eastAsia="方正黑体_GBK"/>
          <w:szCs w:val="32"/>
        </w:rPr>
        <w:t>二、合同名称：</w:t>
      </w:r>
      <w:r>
        <w:rPr>
          <w:rFonts w:hint="eastAsia" w:ascii="方正黑体_GBK" w:hAnsi="仿宋" w:eastAsia="方正黑体_GBK"/>
          <w:szCs w:val="32"/>
          <w:u w:val="single"/>
          <w:lang w:val="en-US" w:eastAsia="zh-CN"/>
        </w:rPr>
        <w:t>重庆市政府采购合同　</w:t>
      </w:r>
    </w:p>
    <w:p>
      <w:pPr>
        <w:overflowPunct w:val="0"/>
        <w:spacing w:line="520" w:lineRule="exact"/>
        <w:rPr>
          <w:rFonts w:hint="eastAsia" w:ascii="方正黑体_GBK" w:hAnsi="仿宋" w:eastAsia="方正黑体_GBK"/>
          <w:szCs w:val="32"/>
          <w:u w:val="single"/>
          <w:lang w:val="en-US" w:eastAsia="zh-CN"/>
        </w:rPr>
      </w:pPr>
      <w:r>
        <w:rPr>
          <w:rFonts w:hint="eastAsia" w:ascii="方正黑体_GBK" w:hAnsi="黑体" w:eastAsia="方正黑体_GBK"/>
          <w:szCs w:val="32"/>
        </w:rPr>
        <w:t>三、项目编号：</w:t>
      </w:r>
      <w:r>
        <w:rPr>
          <w:rFonts w:hint="eastAsia" w:ascii="方正黑体_GBK" w:hAnsi="仿宋" w:eastAsia="方正黑体_GBK"/>
          <w:szCs w:val="32"/>
          <w:u w:val="single"/>
          <w:lang w:val="en-US" w:eastAsia="zh-CN"/>
        </w:rPr>
        <w:t>CQCBJQ2301-011</w:t>
      </w:r>
    </w:p>
    <w:p>
      <w:pPr>
        <w:overflowPunct w:val="0"/>
        <w:spacing w:line="520" w:lineRule="exact"/>
        <w:rPr>
          <w:rFonts w:ascii="黑体" w:hAnsi="黑体" w:eastAsia="黑体"/>
          <w:szCs w:val="32"/>
        </w:rPr>
      </w:pPr>
      <w:r>
        <w:rPr>
          <w:rFonts w:hint="eastAsia" w:ascii="方正黑体_GBK" w:hAnsi="黑体" w:eastAsia="方正黑体_GBK"/>
          <w:szCs w:val="32"/>
        </w:rPr>
        <w:t>四、项目名称：</w:t>
      </w:r>
      <w:bookmarkStart w:id="0" w:name="_Hlk126785158"/>
      <w:r>
        <w:rPr>
          <w:rFonts w:hint="eastAsia" w:ascii="方正黑体_GBK" w:hAnsi="仿宋" w:eastAsia="方正黑体_GBK"/>
          <w:szCs w:val="32"/>
          <w:u w:val="single"/>
          <w:lang w:val="en-US" w:eastAsia="zh-CN"/>
        </w:rPr>
        <w:t>业余无线电管理配套服务</w:t>
      </w:r>
      <w:bookmarkEnd w:id="0"/>
      <w:r>
        <w:rPr>
          <w:rFonts w:hint="eastAsia" w:ascii="方正黑体_GBK" w:hAnsi="仿宋" w:eastAsia="方正黑体_GBK"/>
          <w:szCs w:val="32"/>
          <w:u w:val="single"/>
          <w:lang w:val="en-US" w:eastAsia="zh-CN"/>
        </w:rPr>
        <w:t>　</w:t>
      </w:r>
      <w:r>
        <w:rPr>
          <w:rFonts w:hint="eastAsia" w:ascii="仿宋" w:hAnsi="仿宋" w:eastAsia="仿宋"/>
          <w:szCs w:val="32"/>
          <w:u w:val="single"/>
        </w:rPr>
        <w:t>　</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五、合同主体</w:t>
      </w:r>
    </w:p>
    <w:p>
      <w:pPr>
        <w:keepNext w:val="0"/>
        <w:keepLines w:val="0"/>
        <w:pageBreakBefore w:val="0"/>
        <w:widowControl w:val="0"/>
        <w:kinsoku/>
        <w:wordWrap/>
        <w:overflowPunct w:val="0"/>
        <w:topLinePunct w:val="0"/>
        <w:autoSpaceDE/>
        <w:autoSpaceDN/>
        <w:bidi w:val="0"/>
        <w:adjustRightInd w:val="0"/>
        <w:snapToGrid w:val="0"/>
        <w:spacing w:line="600" w:lineRule="atLeast"/>
        <w:ind w:firstLine="420" w:firstLineChars="200"/>
        <w:textAlignment w:val="auto"/>
        <w:rPr>
          <w:rFonts w:hint="eastAsia" w:ascii="方正仿宋_GBK" w:hAnsi="方正仿宋_GBK" w:cs="方正仿宋_GBK"/>
          <w:szCs w:val="32"/>
          <w:u w:val="single"/>
        </w:rPr>
      </w:pPr>
      <w:r>
        <w:rPr>
          <w:rFonts w:hint="eastAsia" w:ascii="方正仿宋_GBK" w:hAnsi="方正仿宋_GBK" w:cs="方正仿宋_GBK"/>
          <w:szCs w:val="32"/>
        </w:rPr>
        <w:t>采购人（甲方）：</w:t>
      </w:r>
      <w:r>
        <w:rPr>
          <w:rFonts w:hint="eastAsia" w:ascii="方正黑体_GBK" w:hAnsi="仿宋" w:eastAsia="方正黑体_GBK"/>
          <w:szCs w:val="32"/>
          <w:u w:val="single"/>
          <w:lang w:val="en-US" w:eastAsia="zh-CN"/>
        </w:rPr>
        <w:t>重庆市经济和信息化委员会　</w:t>
      </w:r>
      <w:r>
        <w:rPr>
          <w:rFonts w:hint="eastAsia" w:ascii="方正仿宋_GBK" w:hAnsi="方正仿宋_GBK" w:cs="方正仿宋_GBK"/>
          <w:szCs w:val="32"/>
          <w:u w:val="single"/>
        </w:rPr>
        <w:t>　　</w:t>
      </w:r>
    </w:p>
    <w:p>
      <w:pPr>
        <w:keepNext w:val="0"/>
        <w:keepLines w:val="0"/>
        <w:pageBreakBefore w:val="0"/>
        <w:widowControl w:val="0"/>
        <w:kinsoku/>
        <w:wordWrap/>
        <w:overflowPunct w:val="0"/>
        <w:topLinePunct w:val="0"/>
        <w:autoSpaceDE/>
        <w:autoSpaceDN/>
        <w:bidi w:val="0"/>
        <w:adjustRightInd w:val="0"/>
        <w:snapToGrid w:val="0"/>
        <w:spacing w:line="600" w:lineRule="atLeast"/>
        <w:ind w:firstLine="420" w:firstLineChars="200"/>
        <w:textAlignment w:val="auto"/>
        <w:rPr>
          <w:rFonts w:hint="eastAsia" w:ascii="方正仿宋_GBK" w:hAnsi="方正仿宋_GBK" w:cs="方正仿宋_GBK"/>
          <w:szCs w:val="32"/>
          <w:u w:val="single"/>
        </w:rPr>
      </w:pPr>
      <w:r>
        <w:rPr>
          <w:rFonts w:hint="eastAsia" w:ascii="方正仿宋_GBK" w:hAnsi="方正仿宋_GBK" w:cs="方正仿宋_GBK"/>
          <w:szCs w:val="32"/>
          <w:u w:val="single"/>
        </w:rPr>
        <w:t>地址：</w:t>
      </w:r>
      <w:r>
        <w:rPr>
          <w:rFonts w:hint="eastAsia" w:ascii="方正黑体_GBK" w:hAnsi="仿宋" w:eastAsia="方正黑体_GBK"/>
          <w:szCs w:val="32"/>
          <w:u w:val="single"/>
          <w:lang w:val="en-US" w:eastAsia="zh-CN"/>
        </w:rPr>
        <w:t>重庆市两江新区云杉南路12号　</w:t>
      </w:r>
      <w:r>
        <w:rPr>
          <w:rFonts w:hint="eastAsia" w:ascii="方正仿宋_GBK" w:hAnsi="方正仿宋_GBK" w:cs="方正仿宋_GBK"/>
          <w:szCs w:val="32"/>
          <w:u w:val="single"/>
        </w:rPr>
        <w:t>　　　</w:t>
      </w:r>
    </w:p>
    <w:p>
      <w:pPr>
        <w:keepNext w:val="0"/>
        <w:keepLines w:val="0"/>
        <w:pageBreakBefore w:val="0"/>
        <w:widowControl w:val="0"/>
        <w:kinsoku/>
        <w:wordWrap/>
        <w:overflowPunct w:val="0"/>
        <w:topLinePunct w:val="0"/>
        <w:autoSpaceDE/>
        <w:autoSpaceDN/>
        <w:bidi w:val="0"/>
        <w:adjustRightInd w:val="0"/>
        <w:snapToGrid w:val="0"/>
        <w:spacing w:line="600" w:lineRule="atLeast"/>
        <w:ind w:firstLine="420" w:firstLineChars="200"/>
        <w:textAlignment w:val="auto"/>
        <w:rPr>
          <w:rFonts w:ascii="方正仿宋_GBK" w:hAnsi="方正仿宋_GBK" w:cs="方正仿宋_GBK"/>
          <w:szCs w:val="32"/>
          <w:u w:val="single"/>
        </w:rPr>
      </w:pPr>
      <w:r>
        <w:rPr>
          <w:rFonts w:hint="eastAsia" w:ascii="方正仿宋_GBK" w:hAnsi="方正仿宋_GBK" w:cs="方正仿宋_GBK"/>
          <w:szCs w:val="32"/>
        </w:rPr>
        <w:t>联系方式：</w:t>
      </w:r>
      <w:r>
        <w:rPr>
          <w:rFonts w:hint="eastAsia" w:ascii="方正黑体_GBK" w:hAnsi="仿宋" w:eastAsia="方正黑体_GBK"/>
          <w:szCs w:val="32"/>
          <w:u w:val="single"/>
          <w:lang w:val="en-US" w:eastAsia="zh-CN"/>
        </w:rPr>
        <w:t>（023）63897736　</w:t>
      </w:r>
      <w:r>
        <w:rPr>
          <w:rFonts w:hint="eastAsia" w:ascii="方正仿宋_GBK" w:hAnsi="方正仿宋_GBK" w:cs="方正仿宋_GBK"/>
          <w:szCs w:val="32"/>
          <w:u w:val="single"/>
        </w:rPr>
        <w:t>　　　</w:t>
      </w:r>
    </w:p>
    <w:p>
      <w:pPr>
        <w:keepNext w:val="0"/>
        <w:keepLines w:val="0"/>
        <w:pageBreakBefore w:val="0"/>
        <w:widowControl w:val="0"/>
        <w:kinsoku/>
        <w:wordWrap/>
        <w:overflowPunct w:val="0"/>
        <w:topLinePunct w:val="0"/>
        <w:autoSpaceDE/>
        <w:autoSpaceDN/>
        <w:bidi w:val="0"/>
        <w:adjustRightInd w:val="0"/>
        <w:snapToGrid w:val="0"/>
        <w:spacing w:line="600" w:lineRule="atLeast"/>
        <w:ind w:firstLine="420" w:firstLineChars="200"/>
        <w:textAlignment w:val="auto"/>
        <w:rPr>
          <w:rFonts w:ascii="方正仿宋_GBK" w:hAnsi="方正仿宋_GBK" w:cs="方正仿宋_GBK"/>
          <w:szCs w:val="32"/>
          <w:u w:val="single"/>
        </w:rPr>
      </w:pPr>
      <w:r>
        <w:rPr>
          <w:rFonts w:hint="eastAsia" w:ascii="方正仿宋_GBK" w:hAnsi="方正仿宋_GBK" w:cs="方正仿宋_GBK"/>
          <w:szCs w:val="32"/>
        </w:rPr>
        <w:t>供应商（乙方）：</w:t>
      </w:r>
      <w:bookmarkStart w:id="1" w:name="_Hlk118722111"/>
      <w:r>
        <w:rPr>
          <w:rFonts w:hint="eastAsia" w:ascii="方正黑体_GBK" w:hAnsi="仿宋" w:eastAsia="方正黑体_GBK"/>
          <w:szCs w:val="32"/>
          <w:u w:val="single"/>
          <w:lang w:val="en-US" w:eastAsia="zh-CN"/>
        </w:rPr>
        <w:t>重庆</w:t>
      </w:r>
      <w:bookmarkEnd w:id="1"/>
      <w:r>
        <w:rPr>
          <w:rFonts w:hint="eastAsia" w:ascii="方正黑体_GBK" w:hAnsi="仿宋" w:eastAsia="方正黑体_GBK"/>
          <w:szCs w:val="32"/>
          <w:u w:val="single"/>
          <w:lang w:val="en-US" w:eastAsia="zh-CN"/>
        </w:rPr>
        <w:t>市无线电协会　　</w:t>
      </w:r>
      <w:r>
        <w:rPr>
          <w:rFonts w:hint="eastAsia" w:ascii="方正仿宋_GBK" w:hAnsi="方正仿宋_GBK" w:cs="方正仿宋_GBK"/>
          <w:szCs w:val="32"/>
          <w:u w:val="single"/>
        </w:rPr>
        <w:t>　　　</w:t>
      </w:r>
    </w:p>
    <w:p>
      <w:pPr>
        <w:keepNext w:val="0"/>
        <w:keepLines w:val="0"/>
        <w:pageBreakBefore w:val="0"/>
        <w:widowControl w:val="0"/>
        <w:kinsoku/>
        <w:wordWrap/>
        <w:overflowPunct w:val="0"/>
        <w:topLinePunct w:val="0"/>
        <w:autoSpaceDE/>
        <w:autoSpaceDN/>
        <w:bidi w:val="0"/>
        <w:adjustRightInd w:val="0"/>
        <w:snapToGrid w:val="0"/>
        <w:spacing w:line="600" w:lineRule="atLeast"/>
        <w:ind w:firstLine="420" w:firstLineChars="200"/>
        <w:textAlignment w:val="auto"/>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黑体_GBK" w:hAnsi="仿宋" w:eastAsia="方正黑体_GBK"/>
          <w:szCs w:val="32"/>
          <w:u w:val="single"/>
          <w:lang w:val="en-US" w:eastAsia="zh-CN"/>
        </w:rPr>
        <w:t xml:space="preserve">重庆市经开区长生桥镇江峡路1号16-4-2-2 </w:t>
      </w:r>
      <w:r>
        <w:rPr>
          <w:rFonts w:hint="eastAsia" w:ascii="方正仿宋_GBK" w:hAnsi="方正仿宋_GBK" w:cs="方正仿宋_GBK"/>
          <w:szCs w:val="32"/>
          <w:u w:val="single"/>
        </w:rPr>
        <w:t>　　　</w:t>
      </w:r>
    </w:p>
    <w:p>
      <w:pPr>
        <w:keepNext w:val="0"/>
        <w:keepLines w:val="0"/>
        <w:pageBreakBefore w:val="0"/>
        <w:widowControl w:val="0"/>
        <w:kinsoku/>
        <w:wordWrap/>
        <w:topLinePunct w:val="0"/>
        <w:autoSpaceDE/>
        <w:autoSpaceDN/>
        <w:bidi w:val="0"/>
        <w:adjustRightInd w:val="0"/>
        <w:snapToGrid w:val="0"/>
        <w:spacing w:line="600" w:lineRule="atLeast"/>
        <w:ind w:firstLine="420" w:firstLineChars="200"/>
        <w:textAlignment w:val="auto"/>
        <w:rPr>
          <w:rFonts w:hint="eastAsia" w:ascii="方正黑体_GBK" w:hAnsi="仿宋" w:eastAsia="方正黑体_GBK"/>
          <w:szCs w:val="32"/>
          <w:u w:val="single"/>
          <w:lang w:val="en-US" w:eastAsia="zh-CN"/>
        </w:rPr>
      </w:pPr>
      <w:r>
        <w:rPr>
          <w:rFonts w:hint="eastAsia" w:ascii="方正仿宋_GBK" w:hAnsi="方正仿宋_GBK" w:cs="方正仿宋_GBK"/>
          <w:szCs w:val="32"/>
        </w:rPr>
        <w:t>联系方式：</w:t>
      </w:r>
      <w:r>
        <w:rPr>
          <w:rFonts w:hint="eastAsia" w:ascii="方正黑体_GBK" w:hAnsi="仿宋" w:eastAsia="方正黑体_GBK"/>
          <w:szCs w:val="32"/>
          <w:u w:val="single"/>
          <w:lang w:val="en-US" w:eastAsia="zh-CN"/>
        </w:rPr>
        <w:t>（023）67710738</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六、合同主要信息</w:t>
      </w:r>
    </w:p>
    <w:p>
      <w:pPr>
        <w:snapToGrid w:val="0"/>
        <w:spacing w:line="360" w:lineRule="auto"/>
        <w:ind w:firstLine="420" w:firstLineChars="200"/>
        <w:rPr>
          <w:rFonts w:hint="eastAsia" w:ascii="方正仿宋_GBK" w:hAnsi="方正仿宋_GBK" w:cs="方正仿宋_GBK"/>
          <w:szCs w:val="32"/>
        </w:rPr>
      </w:pPr>
      <w:r>
        <w:rPr>
          <w:rFonts w:hint="eastAsia" w:ascii="方正仿宋_GBK" w:hAnsi="方正仿宋_GBK" w:cs="方正仿宋_GBK"/>
          <w:szCs w:val="32"/>
        </w:rPr>
        <w:t>服务内容</w:t>
      </w:r>
      <w:r>
        <w:rPr>
          <w:rFonts w:hint="eastAsia" w:ascii="方正仿宋_GBK" w:hAnsi="方正仿宋_GBK" w:cs="方正仿宋_GBK"/>
          <w:szCs w:val="32"/>
          <w:lang w:eastAsia="zh-CN"/>
        </w:rPr>
        <w:t>及要求</w:t>
      </w:r>
      <w:r>
        <w:rPr>
          <w:rFonts w:hint="eastAsia" w:ascii="方正仿宋_GBK" w:hAnsi="方正仿宋_GBK" w:cs="方正仿宋_GBK"/>
          <w:szCs w:val="32"/>
        </w:rPr>
        <w:t>：</w:t>
      </w:r>
    </w:p>
    <w:p>
      <w:pPr>
        <w:snapToGrid w:val="0"/>
        <w:spacing w:line="360" w:lineRule="auto"/>
        <w:ind w:firstLine="420" w:firstLineChars="200"/>
        <w:rPr>
          <w:rFonts w:hint="eastAsia" w:ascii="宋体" w:hAnsi="宋体"/>
          <w:sz w:val="21"/>
          <w:szCs w:val="21"/>
        </w:rPr>
      </w:pPr>
      <w:r>
        <w:rPr>
          <w:rFonts w:hint="eastAsia" w:ascii="宋体" w:hAnsi="宋体"/>
          <w:sz w:val="21"/>
          <w:szCs w:val="21"/>
        </w:rPr>
        <w:t>（一）协助组织业余无线电台操作技术能力验证。</w:t>
      </w:r>
    </w:p>
    <w:p>
      <w:pPr>
        <w:snapToGrid w:val="0"/>
        <w:spacing w:line="360" w:lineRule="auto"/>
        <w:ind w:firstLine="420" w:firstLineChars="200"/>
        <w:rPr>
          <w:rFonts w:hint="eastAsia" w:ascii="宋体" w:hAnsi="宋体"/>
          <w:sz w:val="21"/>
          <w:szCs w:val="21"/>
        </w:rPr>
      </w:pPr>
      <w:r>
        <w:rPr>
          <w:rFonts w:hint="eastAsia" w:ascii="宋体" w:hAnsi="宋体"/>
          <w:sz w:val="21"/>
          <w:szCs w:val="21"/>
        </w:rPr>
        <w:t>组织4次业余无线电台操作技术能力验证或根据我市疫情防控政策组织小规模多场次能力验证（总体服务能力不少于1000人次）。具体工作包括上报考试计划方案、采用信息化手段组织实施考试等。</w:t>
      </w:r>
    </w:p>
    <w:p>
      <w:pPr>
        <w:snapToGrid w:val="0"/>
        <w:spacing w:line="360" w:lineRule="auto"/>
        <w:ind w:firstLine="420" w:firstLineChars="200"/>
        <w:rPr>
          <w:rFonts w:hint="eastAsia" w:ascii="宋体" w:hAnsi="宋体"/>
          <w:sz w:val="21"/>
          <w:szCs w:val="21"/>
        </w:rPr>
      </w:pPr>
      <w:r>
        <w:rPr>
          <w:rFonts w:hint="eastAsia" w:ascii="宋体" w:hAnsi="宋体"/>
          <w:sz w:val="21"/>
          <w:szCs w:val="21"/>
        </w:rPr>
        <w:t>1.做好考试计划安排,制定考试实施方案，经无线电管理机构同意后按计划实施，并向中国无线电协会上报考试计划。</w:t>
      </w:r>
    </w:p>
    <w:p>
      <w:pPr>
        <w:snapToGrid w:val="0"/>
        <w:spacing w:line="360" w:lineRule="auto"/>
        <w:ind w:firstLine="420" w:firstLineChars="200"/>
        <w:rPr>
          <w:rFonts w:hint="eastAsia" w:ascii="宋体" w:hAnsi="宋体"/>
          <w:sz w:val="21"/>
          <w:szCs w:val="21"/>
        </w:rPr>
      </w:pPr>
      <w:r>
        <w:rPr>
          <w:rFonts w:hint="eastAsia" w:ascii="宋体" w:hAnsi="宋体"/>
          <w:sz w:val="21"/>
          <w:szCs w:val="21"/>
        </w:rPr>
        <w:t>2.对接中国无线电协会，了解考试政策规定，接收考试题库、数据处理软件、制证软件和操作证配号数据，上传考试成绩和考生数据。</w:t>
      </w:r>
    </w:p>
    <w:p>
      <w:pPr>
        <w:snapToGrid w:val="0"/>
        <w:spacing w:line="360" w:lineRule="auto"/>
        <w:ind w:firstLine="420" w:firstLineChars="200"/>
        <w:rPr>
          <w:rFonts w:hint="eastAsia" w:ascii="宋体" w:hAnsi="宋体"/>
          <w:sz w:val="21"/>
          <w:szCs w:val="21"/>
        </w:rPr>
      </w:pPr>
      <w:r>
        <w:rPr>
          <w:rFonts w:hint="eastAsia" w:ascii="宋体" w:hAnsi="宋体"/>
          <w:sz w:val="21"/>
          <w:szCs w:val="21"/>
        </w:rPr>
        <w:t>3.组织考试报名。考前在“重庆市业余无线电信息服务系统”发布考试信息，接收考生报名，审查报名信息，受理考生咨询，统计报名情况，编制考号及考场，发布考试具体安排。</w:t>
      </w:r>
    </w:p>
    <w:p>
      <w:pPr>
        <w:snapToGrid w:val="0"/>
        <w:spacing w:line="360" w:lineRule="auto"/>
        <w:ind w:firstLine="420" w:firstLineChars="200"/>
        <w:rPr>
          <w:rFonts w:hint="eastAsia" w:ascii="宋体" w:hAnsi="宋体"/>
          <w:sz w:val="21"/>
          <w:szCs w:val="21"/>
        </w:rPr>
      </w:pPr>
      <w:r>
        <w:rPr>
          <w:rFonts w:hint="eastAsia" w:ascii="宋体" w:hAnsi="宋体"/>
          <w:sz w:val="21"/>
          <w:szCs w:val="21"/>
        </w:rPr>
        <w:t>4.组织考试，采用信息化手段组织实施考试，部署考试场地及各类引导标识和安全警示标志，确保人员车辆有序，确保不发生安全责任事故。</w:t>
      </w:r>
    </w:p>
    <w:p>
      <w:pPr>
        <w:snapToGrid w:val="0"/>
        <w:spacing w:line="360" w:lineRule="auto"/>
        <w:ind w:firstLine="420" w:firstLineChars="200"/>
        <w:rPr>
          <w:rFonts w:hint="eastAsia" w:ascii="宋体" w:hAnsi="宋体"/>
          <w:sz w:val="21"/>
          <w:szCs w:val="21"/>
        </w:rPr>
      </w:pPr>
      <w:r>
        <w:rPr>
          <w:rFonts w:hint="eastAsia" w:ascii="宋体" w:hAnsi="宋体"/>
          <w:sz w:val="21"/>
          <w:szCs w:val="21"/>
        </w:rPr>
        <w:t>5.整理考试人员信息及考试成绩，上报中国无线电协会。</w:t>
      </w:r>
    </w:p>
    <w:p>
      <w:pPr>
        <w:snapToGrid w:val="0"/>
        <w:spacing w:line="360" w:lineRule="auto"/>
        <w:ind w:firstLine="420" w:firstLineChars="200"/>
        <w:rPr>
          <w:rFonts w:hint="eastAsia" w:ascii="宋体" w:hAnsi="宋体"/>
          <w:sz w:val="21"/>
          <w:szCs w:val="21"/>
        </w:rPr>
      </w:pPr>
      <w:r>
        <w:rPr>
          <w:rFonts w:hint="eastAsia" w:ascii="宋体" w:hAnsi="宋体"/>
          <w:sz w:val="21"/>
          <w:szCs w:val="21"/>
        </w:rPr>
        <w:t>6.根据中国无线电协会指配的业余无线电台操作证号，统一打印操作证书，通过邮寄等方式送达，同时更新业余无线电台操作证书数据库。</w:t>
      </w:r>
    </w:p>
    <w:p>
      <w:pPr>
        <w:snapToGrid w:val="0"/>
        <w:spacing w:line="360" w:lineRule="auto"/>
        <w:ind w:firstLine="420" w:firstLineChars="200"/>
        <w:rPr>
          <w:rFonts w:hint="eastAsia" w:ascii="宋体" w:hAnsi="宋体"/>
          <w:sz w:val="21"/>
          <w:szCs w:val="21"/>
        </w:rPr>
      </w:pPr>
      <w:r>
        <w:rPr>
          <w:rFonts w:hint="eastAsia" w:ascii="宋体" w:hAnsi="宋体"/>
          <w:sz w:val="21"/>
          <w:szCs w:val="21"/>
        </w:rPr>
        <w:t>（二）协助开展业余无线电管理辅助性工作。</w:t>
      </w:r>
    </w:p>
    <w:p>
      <w:pPr>
        <w:snapToGrid w:val="0"/>
        <w:spacing w:line="360" w:lineRule="auto"/>
        <w:ind w:firstLine="420" w:firstLineChars="200"/>
        <w:rPr>
          <w:rFonts w:hint="eastAsia" w:ascii="宋体" w:hAnsi="宋体"/>
          <w:sz w:val="21"/>
          <w:szCs w:val="21"/>
        </w:rPr>
      </w:pPr>
      <w:r>
        <w:rPr>
          <w:rFonts w:hint="eastAsia" w:ascii="宋体" w:hAnsi="宋体"/>
          <w:sz w:val="21"/>
          <w:szCs w:val="21"/>
        </w:rPr>
        <w:t>1.协助开展业余无线电行政许可辅助性工作。对行政相对人提供相应帮助，包括但不限于指导行政许可资料的规范填写和重庆市网上办事大厅（以下简称大厅）使用流程的正确步骤，核对行政相对人在大厅提交的许可资料，协助完成数据库录入和业余无线电台执照印制等业余无线电台行政许可辅助性工作。工作时间应保证不少于每周两天，工作地点在市经济信息委无线电管理局办公室。</w:t>
      </w:r>
    </w:p>
    <w:p>
      <w:pPr>
        <w:snapToGrid w:val="0"/>
        <w:spacing w:line="360" w:lineRule="auto"/>
        <w:ind w:firstLine="420" w:firstLineChars="200"/>
        <w:rPr>
          <w:rFonts w:hint="eastAsia" w:ascii="宋体" w:hAnsi="宋体"/>
          <w:sz w:val="21"/>
          <w:szCs w:val="21"/>
        </w:rPr>
      </w:pPr>
      <w:r>
        <w:rPr>
          <w:rFonts w:hint="eastAsia" w:ascii="宋体" w:hAnsi="宋体"/>
          <w:sz w:val="21"/>
          <w:szCs w:val="21"/>
        </w:rPr>
        <w:t>2.协助开展业余无线电台呼号、执照清理工作。全面筛查执照有效期已届满未延续的电台信息，分类统计我市业余无线电台执照及呼号信息，分年度整理出清单；完成执照有效期届满三年以上的台站信息核查，通过电话告知、网络公示等方式通知相关人员办理业务。</w:t>
      </w:r>
      <w:bookmarkStart w:id="2" w:name="_GoBack"/>
      <w:bookmarkEnd w:id="2"/>
    </w:p>
    <w:p>
      <w:pPr>
        <w:snapToGrid w:val="0"/>
        <w:spacing w:line="360" w:lineRule="auto"/>
        <w:ind w:firstLine="420" w:firstLineChars="200"/>
        <w:rPr>
          <w:rFonts w:hint="eastAsia" w:ascii="宋体" w:hAnsi="宋体"/>
          <w:sz w:val="21"/>
          <w:szCs w:val="21"/>
        </w:rPr>
      </w:pPr>
      <w:r>
        <w:rPr>
          <w:rFonts w:hint="eastAsia" w:ascii="宋体" w:hAnsi="宋体"/>
          <w:sz w:val="21"/>
          <w:szCs w:val="21"/>
        </w:rPr>
        <w:t>3.协助完成业余无线电相关数据维护。协助完成业余无线电台数据库的数据日常维护；协助完成“重庆市业余无线电信息服务系统”的数据维护和日常运管，包括考试相关数据维护、定期更新业余无线电台操作证数据库和业余无线电台执照数据库数据，及时更新验证题库和出题规则等。</w:t>
      </w:r>
    </w:p>
    <w:p>
      <w:pPr>
        <w:snapToGrid w:val="0"/>
        <w:spacing w:line="360" w:lineRule="auto"/>
        <w:ind w:firstLine="420" w:firstLineChars="200"/>
        <w:rPr>
          <w:rFonts w:hint="eastAsia" w:ascii="宋体" w:hAnsi="宋体"/>
          <w:sz w:val="21"/>
          <w:szCs w:val="21"/>
        </w:rPr>
      </w:pPr>
      <w:r>
        <w:rPr>
          <w:rFonts w:hint="eastAsia" w:ascii="宋体" w:hAnsi="宋体"/>
          <w:sz w:val="21"/>
          <w:szCs w:val="21"/>
        </w:rPr>
        <w:t>（三）组织业余无线电爱好者及团队开展活动。</w:t>
      </w:r>
    </w:p>
    <w:p>
      <w:pPr>
        <w:snapToGrid w:val="0"/>
        <w:spacing w:line="360" w:lineRule="auto"/>
        <w:ind w:firstLine="420" w:firstLineChars="200"/>
        <w:rPr>
          <w:rFonts w:hint="eastAsia" w:ascii="宋体" w:hAnsi="宋体"/>
          <w:sz w:val="21"/>
          <w:szCs w:val="21"/>
        </w:rPr>
      </w:pPr>
      <w:r>
        <w:rPr>
          <w:rFonts w:hint="eastAsia" w:ascii="宋体" w:hAnsi="宋体"/>
          <w:sz w:val="21"/>
          <w:szCs w:val="21"/>
        </w:rPr>
        <w:t>1.组织实施年度业余无线电节庆祝活动，参与团队或俱乐部不少于8支（个），参与总人数不少于150人。</w:t>
      </w:r>
    </w:p>
    <w:p>
      <w:pPr>
        <w:snapToGrid w:val="0"/>
        <w:spacing w:line="360" w:lineRule="auto"/>
        <w:ind w:firstLine="420" w:firstLineChars="200"/>
        <w:rPr>
          <w:rFonts w:hint="eastAsia" w:ascii="宋体" w:hAnsi="宋体"/>
          <w:sz w:val="21"/>
          <w:szCs w:val="21"/>
        </w:rPr>
      </w:pPr>
      <w:r>
        <w:rPr>
          <w:rFonts w:hint="eastAsia" w:ascii="宋体" w:hAnsi="宋体"/>
          <w:sz w:val="21"/>
          <w:szCs w:val="21"/>
        </w:rPr>
        <w:t>2.协助开展业余无线电应急通信能力建设，组织3次应急通信演练活动（内容包括但不限于训练、演练、竞赛等，累计参与总人数不少于100人），组织1次业余无线电技术交流培训（参与人数不少于20人）。</w:t>
      </w:r>
    </w:p>
    <w:p>
      <w:pPr>
        <w:snapToGrid w:val="0"/>
        <w:spacing w:line="360" w:lineRule="auto"/>
        <w:ind w:firstLine="420" w:firstLineChars="200"/>
        <w:rPr>
          <w:rFonts w:hint="eastAsia" w:ascii="宋体" w:hAnsi="宋体"/>
          <w:sz w:val="21"/>
          <w:szCs w:val="21"/>
        </w:rPr>
      </w:pPr>
      <w:r>
        <w:rPr>
          <w:rFonts w:hint="eastAsia" w:ascii="宋体" w:hAnsi="宋体"/>
          <w:sz w:val="21"/>
          <w:szCs w:val="21"/>
        </w:rPr>
        <w:t>3.组织6场无线电知识教育活动，参与总人数不少于2000人。</w:t>
      </w:r>
    </w:p>
    <w:p>
      <w:pPr>
        <w:overflowPunct w:val="0"/>
        <w:spacing w:line="520" w:lineRule="exact"/>
        <w:ind w:firstLine="420" w:firstLineChars="200"/>
        <w:rPr>
          <w:rFonts w:ascii="方正仿宋_GBK" w:hAnsi="方正仿宋_GBK" w:cs="方正仿宋_GBK"/>
          <w:sz w:val="21"/>
          <w:szCs w:val="21"/>
        </w:rPr>
      </w:pPr>
      <w:r>
        <w:rPr>
          <w:rFonts w:hint="eastAsia" w:ascii="宋体" w:hAnsi="宋体"/>
          <w:sz w:val="21"/>
          <w:szCs w:val="21"/>
        </w:rPr>
        <w:t>4.组织1次无线电政策宣贯。</w:t>
      </w:r>
      <w:r>
        <w:rPr>
          <w:rFonts w:hint="eastAsia" w:ascii="方正仿宋_GBK" w:hAnsi="方正仿宋_GBK" w:cs="方正仿宋_GBK"/>
          <w:sz w:val="21"/>
          <w:szCs w:val="21"/>
        </w:rPr>
        <w:t>　　　　　　　　　　　</w:t>
      </w:r>
    </w:p>
    <w:p>
      <w:pPr>
        <w:overflowPunct w:val="0"/>
        <w:spacing w:line="520" w:lineRule="exact"/>
        <w:ind w:firstLine="420" w:firstLineChars="200"/>
        <w:rPr>
          <w:rFonts w:ascii="方正仿宋_GBK" w:hAnsi="方正仿宋_GBK" w:cs="方正仿宋_GBK"/>
          <w:sz w:val="21"/>
          <w:szCs w:val="21"/>
        </w:rPr>
      </w:pPr>
      <w:r>
        <w:rPr>
          <w:rFonts w:hint="eastAsia" w:ascii="方正仿宋_GBK" w:hAnsi="方正仿宋_GBK" w:cs="方正仿宋_GBK"/>
          <w:sz w:val="21"/>
          <w:szCs w:val="21"/>
        </w:rPr>
        <w:t>服务期限：</w:t>
      </w:r>
      <w:r>
        <w:rPr>
          <w:rFonts w:hint="eastAsia"/>
          <w:sz w:val="21"/>
          <w:szCs w:val="21"/>
        </w:rPr>
        <w:t>2023年11月30日前完成所有工作并通过验收</w:t>
      </w:r>
      <w:r>
        <w:rPr>
          <w:rFonts w:hint="eastAsia" w:ascii="方正仿宋_GBK" w:hAnsi="方正仿宋_GBK" w:cs="方正仿宋_GBK"/>
          <w:sz w:val="21"/>
          <w:szCs w:val="21"/>
        </w:rPr>
        <w:t>　　　　　　　　　　　</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 w:val="21"/>
          <w:szCs w:val="21"/>
        </w:rPr>
        <w:t>服务地点：</w:t>
      </w:r>
      <w:r>
        <w:rPr>
          <w:sz w:val="21"/>
          <w:szCs w:val="21"/>
        </w:rPr>
        <w:t>甲方指定或同意地点</w:t>
      </w:r>
      <w:r>
        <w:rPr>
          <w:rFonts w:hint="eastAsia" w:ascii="方正仿宋_GBK" w:hAnsi="方正仿宋_GBK" w:cs="方正仿宋_GBK"/>
          <w:sz w:val="21"/>
          <w:szCs w:val="21"/>
        </w:rPr>
        <w:t>　</w:t>
      </w:r>
      <w:r>
        <w:rPr>
          <w:rFonts w:hint="eastAsia" w:ascii="方正仿宋_GBK" w:hAnsi="方正仿宋_GBK" w:cs="方正仿宋_GBK"/>
          <w:szCs w:val="32"/>
        </w:rPr>
        <w:t>　　　　　　　　　　</w:t>
      </w:r>
    </w:p>
    <w:p>
      <w:pPr>
        <w:overflowPunct w:val="0"/>
        <w:spacing w:line="520" w:lineRule="exact"/>
        <w:rPr>
          <w:rFonts w:hint="eastAsia" w:ascii="方正黑体_GBK" w:hAnsi="仿宋" w:eastAsia="方正黑体_GBK"/>
          <w:szCs w:val="32"/>
          <w:u w:val="single"/>
          <w:lang w:val="en-US" w:eastAsia="zh-CN"/>
        </w:rPr>
      </w:pPr>
      <w:r>
        <w:rPr>
          <w:rFonts w:hint="eastAsia" w:ascii="方正黑体_GBK" w:hAnsi="黑体" w:eastAsia="方正黑体_GBK"/>
          <w:szCs w:val="32"/>
        </w:rPr>
        <w:t>七、验收日期：</w:t>
      </w:r>
      <w:r>
        <w:rPr>
          <w:rFonts w:hint="eastAsia" w:ascii="方正黑体_GBK" w:hAnsi="仿宋" w:eastAsia="方正黑体_GBK"/>
          <w:szCs w:val="32"/>
          <w:u w:val="single"/>
          <w:lang w:val="en-US" w:eastAsia="zh-CN"/>
        </w:rPr>
        <w:t>2023年11月9日　</w:t>
      </w:r>
    </w:p>
    <w:p>
      <w:pPr>
        <w:overflowPunct w:val="0"/>
        <w:spacing w:line="520" w:lineRule="exact"/>
        <w:rPr>
          <w:rFonts w:ascii="黑体" w:hAnsi="黑体" w:eastAsia="黑体"/>
          <w:szCs w:val="32"/>
        </w:rPr>
      </w:pPr>
      <w:r>
        <w:rPr>
          <w:rFonts w:hint="eastAsia" w:ascii="方正黑体_GBK" w:hAnsi="黑体" w:eastAsia="方正黑体_GBK"/>
          <w:szCs w:val="32"/>
        </w:rPr>
        <w:t>八、验收组成员：</w:t>
      </w:r>
      <w:r>
        <w:rPr>
          <w:rFonts w:hint="eastAsia" w:ascii="仿宋" w:hAnsi="仿宋" w:eastAsia="仿宋"/>
          <w:szCs w:val="32"/>
          <w:u w:val="single"/>
        </w:rPr>
        <w:t>　</w:t>
      </w:r>
      <w:r>
        <w:rPr>
          <w:rFonts w:hint="eastAsia" w:ascii="方正黑体_GBK" w:hAnsi="仿宋" w:eastAsia="方正黑体_GBK"/>
          <w:szCs w:val="32"/>
          <w:u w:val="single"/>
          <w:lang w:val="en-US" w:eastAsia="zh-CN"/>
        </w:rPr>
        <w:t>王康年、郑建宏、段红光、陶洋、王松柏　</w:t>
      </w:r>
      <w:r>
        <w:rPr>
          <w:rFonts w:hint="eastAsia" w:ascii="仿宋" w:hAnsi="仿宋" w:eastAsia="仿宋"/>
          <w:szCs w:val="32"/>
          <w:u w:val="single"/>
        </w:rPr>
        <w:t>　　　　</w:t>
      </w:r>
    </w:p>
    <w:p>
      <w:pPr>
        <w:overflowPunct w:val="0"/>
        <w:spacing w:line="520" w:lineRule="exact"/>
        <w:rPr>
          <w:rFonts w:ascii="仿宋" w:hAnsi="仿宋" w:eastAsia="仿宋"/>
          <w:szCs w:val="32"/>
          <w:u w:val="single"/>
        </w:rPr>
      </w:pPr>
      <w:r>
        <w:rPr>
          <w:rFonts w:hint="eastAsia" w:ascii="方正黑体_GBK" w:hAnsi="黑体" w:eastAsia="方正黑体_GBK"/>
          <w:szCs w:val="32"/>
        </w:rPr>
        <w:t>九、验收（或终止）意见：</w:t>
      </w:r>
      <w:r>
        <w:rPr>
          <w:rFonts w:hint="eastAsia" w:ascii="方正黑体_GBK" w:hAnsi="仿宋" w:eastAsia="方正黑体_GBK"/>
          <w:szCs w:val="32"/>
          <w:u w:val="single"/>
          <w:lang w:val="en-US" w:eastAsia="zh-CN"/>
        </w:rPr>
        <w:t>　专家组一致同意通过验收　</w:t>
      </w:r>
      <w:r>
        <w:rPr>
          <w:rFonts w:hint="eastAsia" w:ascii="仿宋" w:hAnsi="仿宋" w:eastAsia="仿宋"/>
          <w:szCs w:val="32"/>
          <w:u w:val="single"/>
        </w:rPr>
        <w:t>　　　　</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十、公告期限</w:t>
      </w:r>
    </w:p>
    <w:p>
      <w:pPr>
        <w:overflowPunct w:val="0"/>
        <w:spacing w:line="520" w:lineRule="exact"/>
        <w:ind w:firstLine="420" w:firstLineChars="200"/>
        <w:rPr>
          <w:rFonts w:ascii="仿宋" w:hAnsi="仿宋" w:eastAsia="仿宋"/>
          <w:szCs w:val="32"/>
          <w:u w:val="single"/>
        </w:rPr>
      </w:pPr>
      <w:r>
        <w:rPr>
          <w:rFonts w:hint="eastAsia"/>
          <w:color w:val="000000"/>
          <w:szCs w:val="32"/>
          <w:shd w:val="clear" w:color="auto" w:fill="FFFFFF"/>
        </w:rPr>
        <w:t>自本公告发布之日起2个工作日。</w:t>
      </w:r>
    </w:p>
    <w:p>
      <w:pPr>
        <w:overflowPunct w:val="0"/>
        <w:spacing w:line="520" w:lineRule="exact"/>
        <w:rPr>
          <w:rFonts w:ascii="方正仿宋_GBK" w:hAnsi="方正仿宋_GBK" w:eastAsia="方正仿宋_GBK" w:cs="方正仿宋_GBK"/>
          <w:sz w:val="32"/>
          <w:szCs w:val="32"/>
        </w:rPr>
      </w:pPr>
      <w:r>
        <w:rPr>
          <w:rFonts w:hint="eastAsia" w:ascii="方正黑体_GBK" w:hAnsi="黑体" w:eastAsia="方正黑体_GBK"/>
          <w:szCs w:val="32"/>
        </w:rPr>
        <w:t>十一、</w:t>
      </w:r>
      <w:r>
        <w:rPr>
          <w:rFonts w:ascii="方正黑体_GBK" w:hAnsi="黑体" w:eastAsia="方正黑体_GBK"/>
          <w:szCs w:val="32"/>
        </w:rPr>
        <w:t>其他</w:t>
      </w:r>
      <w:r>
        <w:rPr>
          <w:rFonts w:hint="eastAsia" w:ascii="方正黑体_GBK" w:hAnsi="黑体" w:eastAsia="方正黑体_GBK"/>
          <w:szCs w:val="32"/>
        </w:rPr>
        <w:t>补充事宜：</w:t>
      </w:r>
      <w:r>
        <w:rPr>
          <w:rFonts w:hint="eastAsia" w:ascii="仿宋" w:hAnsi="仿宋" w:eastAsia="仿宋"/>
          <w:szCs w:val="32"/>
          <w:u w:val="single"/>
        </w:rPr>
        <w:t>　　　　　　　　　</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7FF7782A"/>
    <w:rsid w:val="84DEB241"/>
    <w:rsid w:val="92DD1CEF"/>
    <w:rsid w:val="EAF3ECF5"/>
    <w:rsid w:val="F05B4F69"/>
    <w:rsid w:val="F97D9566"/>
    <w:rsid w:val="FDFF411C"/>
    <w:rsid w:val="FF7DBEDF"/>
    <w:rsid w:val="FFD7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5">
    <w:name w:val="annotation text"/>
    <w:basedOn w:val="1"/>
    <w:qFormat/>
    <w:uiPriority w:val="0"/>
    <w:pPr>
      <w:jc w:val="left"/>
    </w:pPr>
  </w:style>
  <w:style w:type="paragraph" w:styleId="6">
    <w:name w:val="Body Text Indent"/>
    <w:basedOn w:val="1"/>
    <w:link w:val="14"/>
    <w:unhideWhenUsed/>
    <w:qFormat/>
    <w:uiPriority w:val="99"/>
    <w:pPr>
      <w:spacing w:after="120"/>
      <w:ind w:left="420" w:leftChars="200"/>
    </w:pPr>
    <w:rPr>
      <w:rFonts w:ascii="Calibri" w:hAnsi="Calibri" w:eastAsia="宋体"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正文文本缩进 字符"/>
    <w:basedOn w:val="11"/>
    <w:link w:val="6"/>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2084</Words>
  <Characters>2132</Characters>
  <Lines>5</Lines>
  <Paragraphs>1</Paragraphs>
  <TotalTime>5</TotalTime>
  <ScaleCrop>false</ScaleCrop>
  <LinksUpToDate>false</LinksUpToDate>
  <CharactersWithSpaces>2616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jxw</cp:lastModifiedBy>
  <cp:lastPrinted>2022-05-12T16:46:00Z</cp:lastPrinted>
  <dcterms:modified xsi:type="dcterms:W3CDTF">2023-11-16T09:40:33Z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