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C5265E9">
      <w:pPr>
        <w:jc w:val="center"/>
      </w:pPr>
    </w:p>
    <w:p w14:paraId="601C7867">
      <w:pPr>
        <w:jc w:val="center"/>
      </w:pPr>
    </w:p>
    <w:p w14:paraId="3F4402AD">
      <w:pPr>
        <w:jc w:val="center"/>
        <w:outlineLvl w:val="0"/>
        <w:rPr>
          <w:sz w:val="44"/>
          <w:szCs w:val="44"/>
        </w:rPr>
      </w:pPr>
    </w:p>
    <w:p w14:paraId="2F2778F8">
      <w:pPr>
        <w:jc w:val="center"/>
        <w:outlineLvl w:val="0"/>
        <w:rPr>
          <w:rFonts w:ascii="宋体"/>
          <w:b/>
          <w:sz w:val="52"/>
          <w:szCs w:val="52"/>
        </w:rPr>
      </w:pPr>
      <w:r>
        <w:rPr>
          <w:rFonts w:hint="eastAsia" w:ascii="宋体"/>
          <w:b/>
          <w:sz w:val="52"/>
          <w:szCs w:val="52"/>
        </w:rPr>
        <w:t>无线电专网对接电子政务外网测试验证</w:t>
      </w:r>
    </w:p>
    <w:p w14:paraId="18589EEF">
      <w:pPr>
        <w:jc w:val="center"/>
        <w:outlineLvl w:val="0"/>
        <w:rPr>
          <w:rFonts w:ascii="宋体"/>
          <w:b/>
          <w:sz w:val="52"/>
          <w:szCs w:val="52"/>
        </w:rPr>
      </w:pPr>
      <w:r>
        <w:rPr>
          <w:rFonts w:hint="eastAsia" w:ascii="宋体"/>
          <w:b/>
          <w:sz w:val="52"/>
          <w:szCs w:val="52"/>
        </w:rPr>
        <w:t>政府采购项目</w:t>
      </w:r>
    </w:p>
    <w:p w14:paraId="1AD5EC53">
      <w:pPr>
        <w:outlineLvl w:val="0"/>
        <w:rPr>
          <w:rFonts w:ascii="宋体"/>
          <w:spacing w:val="80"/>
          <w:sz w:val="72"/>
          <w:szCs w:val="72"/>
        </w:rPr>
      </w:pPr>
    </w:p>
    <w:p w14:paraId="1BD7FA28">
      <w:pPr>
        <w:pStyle w:val="24"/>
      </w:pPr>
    </w:p>
    <w:p w14:paraId="47A48761">
      <w:pPr>
        <w:jc w:val="center"/>
        <w:outlineLvl w:val="0"/>
        <w:rPr>
          <w:rFonts w:ascii="宋体"/>
          <w:spacing w:val="80"/>
          <w:sz w:val="72"/>
          <w:szCs w:val="72"/>
        </w:rPr>
      </w:pPr>
    </w:p>
    <w:p w14:paraId="0DEA6C95">
      <w:pPr>
        <w:jc w:val="center"/>
        <w:outlineLvl w:val="0"/>
        <w:rPr>
          <w:spacing w:val="80"/>
          <w:sz w:val="72"/>
          <w:szCs w:val="72"/>
        </w:rPr>
      </w:pPr>
      <w:r>
        <w:rPr>
          <w:spacing w:val="80"/>
          <w:sz w:val="72"/>
          <w:szCs w:val="72"/>
        </w:rPr>
        <w:t>竞争性磋商文件</w:t>
      </w:r>
    </w:p>
    <w:p w14:paraId="75544985">
      <w:pPr>
        <w:spacing w:line="700" w:lineRule="exact"/>
        <w:jc w:val="center"/>
        <w:rPr>
          <w:sz w:val="36"/>
          <w:szCs w:val="30"/>
        </w:rPr>
      </w:pPr>
      <w:r>
        <w:rPr>
          <w:sz w:val="36"/>
          <w:szCs w:val="30"/>
        </w:rPr>
        <w:t>项目号</w:t>
      </w:r>
      <w:r>
        <w:rPr>
          <w:rFonts w:hint="eastAsia"/>
          <w:sz w:val="36"/>
          <w:szCs w:val="30"/>
        </w:rPr>
        <w:t>：C</w:t>
      </w:r>
      <w:r>
        <w:rPr>
          <w:sz w:val="36"/>
          <w:szCs w:val="30"/>
        </w:rPr>
        <w:t>QCBJQ2307-239</w:t>
      </w:r>
    </w:p>
    <w:p w14:paraId="3D9578C4">
      <w:pPr>
        <w:spacing w:line="700" w:lineRule="exact"/>
        <w:ind w:firstLine="2700" w:firstLineChars="750"/>
        <w:rPr>
          <w:rFonts w:ascii="宋体"/>
          <w:sz w:val="36"/>
          <w:szCs w:val="30"/>
        </w:rPr>
      </w:pPr>
    </w:p>
    <w:p w14:paraId="2A46BE03">
      <w:pPr>
        <w:spacing w:line="700" w:lineRule="exact"/>
        <w:jc w:val="center"/>
        <w:rPr>
          <w:rFonts w:ascii="宋体"/>
          <w:b/>
          <w:sz w:val="30"/>
          <w:szCs w:val="30"/>
        </w:rPr>
      </w:pPr>
    </w:p>
    <w:p w14:paraId="76F44584">
      <w:pPr>
        <w:spacing w:line="700" w:lineRule="exact"/>
        <w:jc w:val="center"/>
        <w:rPr>
          <w:rFonts w:ascii="宋体"/>
          <w:b/>
          <w:sz w:val="30"/>
          <w:szCs w:val="30"/>
        </w:rPr>
      </w:pPr>
    </w:p>
    <w:p w14:paraId="141BBD49">
      <w:pPr>
        <w:spacing w:line="700" w:lineRule="exact"/>
        <w:jc w:val="center"/>
        <w:rPr>
          <w:rFonts w:ascii="宋体"/>
          <w:b/>
          <w:sz w:val="30"/>
          <w:szCs w:val="30"/>
        </w:rPr>
      </w:pPr>
    </w:p>
    <w:p w14:paraId="07395564">
      <w:pPr>
        <w:spacing w:line="700" w:lineRule="exact"/>
        <w:jc w:val="center"/>
        <w:rPr>
          <w:rFonts w:ascii="宋体"/>
          <w:b/>
          <w:sz w:val="30"/>
          <w:szCs w:val="30"/>
        </w:rPr>
      </w:pPr>
    </w:p>
    <w:p w14:paraId="3D8D95D3">
      <w:pPr>
        <w:pStyle w:val="24"/>
      </w:pPr>
    </w:p>
    <w:p w14:paraId="7BB997D7">
      <w:pPr>
        <w:spacing w:line="700" w:lineRule="exact"/>
        <w:rPr>
          <w:rFonts w:ascii="宋体"/>
          <w:b/>
          <w:sz w:val="30"/>
          <w:szCs w:val="30"/>
        </w:rPr>
      </w:pPr>
    </w:p>
    <w:p w14:paraId="1A030B4B">
      <w:pPr>
        <w:spacing w:line="700" w:lineRule="exact"/>
        <w:ind w:firstLine="1440" w:firstLineChars="400"/>
        <w:jc w:val="left"/>
        <w:rPr>
          <w:sz w:val="36"/>
          <w:szCs w:val="30"/>
        </w:rPr>
      </w:pPr>
      <w:r>
        <w:rPr>
          <w:sz w:val="36"/>
          <w:szCs w:val="30"/>
        </w:rPr>
        <w:t>采</w:t>
      </w:r>
      <w:r>
        <w:rPr>
          <w:rFonts w:hint="eastAsia"/>
          <w:sz w:val="36"/>
          <w:szCs w:val="30"/>
        </w:rPr>
        <w:t xml:space="preserve"> </w:t>
      </w:r>
      <w:r>
        <w:rPr>
          <w:sz w:val="36"/>
          <w:szCs w:val="30"/>
        </w:rPr>
        <w:t xml:space="preserve">  购</w:t>
      </w:r>
      <w:r>
        <w:rPr>
          <w:rFonts w:hint="eastAsia"/>
          <w:sz w:val="36"/>
          <w:szCs w:val="30"/>
        </w:rPr>
        <w:t xml:space="preserve"> </w:t>
      </w:r>
      <w:r>
        <w:rPr>
          <w:sz w:val="36"/>
          <w:szCs w:val="30"/>
        </w:rPr>
        <w:t xml:space="preserve">  人：</w:t>
      </w:r>
      <w:r>
        <w:rPr>
          <w:rFonts w:hint="eastAsia"/>
          <w:sz w:val="36"/>
          <w:szCs w:val="30"/>
        </w:rPr>
        <w:t>重庆市无线电监测站</w:t>
      </w:r>
    </w:p>
    <w:p w14:paraId="01D4FD37">
      <w:pPr>
        <w:spacing w:line="700" w:lineRule="exact"/>
        <w:ind w:firstLine="1440" w:firstLineChars="400"/>
        <w:rPr>
          <w:sz w:val="36"/>
          <w:szCs w:val="30"/>
        </w:rPr>
      </w:pPr>
      <w:r>
        <w:rPr>
          <w:sz w:val="36"/>
          <w:szCs w:val="30"/>
        </w:rPr>
        <w:t>采购代理机构：重庆市中基致信招标代理有限公司</w:t>
      </w:r>
    </w:p>
    <w:p w14:paraId="21787BC9">
      <w:pPr>
        <w:spacing w:line="700" w:lineRule="exact"/>
        <w:jc w:val="center"/>
        <w:rPr>
          <w:sz w:val="36"/>
          <w:szCs w:val="30"/>
        </w:rPr>
        <w:sectPr>
          <w:headerReference r:id="rId4" w:type="first"/>
          <w:footerReference r:id="rId6" w:type="first"/>
          <w:headerReference r:id="rId3" w:type="default"/>
          <w:footerReference r:id="rId5" w:type="even"/>
          <w:pgSz w:w="11907" w:h="16840"/>
          <w:pgMar w:top="1134" w:right="1191" w:bottom="1134" w:left="1191" w:header="851" w:footer="992" w:gutter="0"/>
          <w:pgNumType w:fmt="numberInDash" w:start="1"/>
          <w:cols w:space="720" w:num="1"/>
          <w:docGrid w:linePitch="380" w:charSpace="-5734"/>
        </w:sectPr>
      </w:pPr>
      <w:r>
        <w:rPr>
          <w:sz w:val="36"/>
          <w:szCs w:val="30"/>
        </w:rPr>
        <w:t>二</w:t>
      </w:r>
      <w:r>
        <w:rPr>
          <w:rFonts w:hint="eastAsia"/>
          <w:sz w:val="36"/>
          <w:szCs w:val="30"/>
        </w:rPr>
        <w:t>〇</w:t>
      </w:r>
      <w:r>
        <w:rPr>
          <w:sz w:val="36"/>
          <w:szCs w:val="30"/>
        </w:rPr>
        <w:t>二</w:t>
      </w:r>
      <w:r>
        <w:rPr>
          <w:rFonts w:hint="eastAsia"/>
          <w:sz w:val="36"/>
          <w:szCs w:val="30"/>
        </w:rPr>
        <w:t>三</w:t>
      </w:r>
      <w:r>
        <w:rPr>
          <w:sz w:val="36"/>
          <w:szCs w:val="30"/>
        </w:rPr>
        <w:t>年</w:t>
      </w:r>
      <w:r>
        <w:rPr>
          <w:rFonts w:hint="eastAsia"/>
          <w:sz w:val="36"/>
          <w:szCs w:val="30"/>
        </w:rPr>
        <w:t>八</w:t>
      </w:r>
      <w:r>
        <w:rPr>
          <w:sz w:val="36"/>
          <w:szCs w:val="30"/>
        </w:rPr>
        <w:t>月</w:t>
      </w:r>
    </w:p>
    <w:p w14:paraId="322E399A">
      <w:pPr>
        <w:pageBreakBefore/>
        <w:spacing w:line="480" w:lineRule="exact"/>
        <w:jc w:val="center"/>
        <w:outlineLvl w:val="0"/>
        <w:rPr>
          <w:rFonts w:ascii="宋体"/>
          <w:sz w:val="44"/>
          <w:szCs w:val="28"/>
        </w:rPr>
      </w:pPr>
      <w:r>
        <w:rPr>
          <w:rFonts w:hint="eastAsia" w:ascii="宋体"/>
          <w:sz w:val="44"/>
          <w:szCs w:val="28"/>
        </w:rPr>
        <w:t>目   录</w:t>
      </w:r>
    </w:p>
    <w:p w14:paraId="1489E04A">
      <w:pPr>
        <w:pStyle w:val="49"/>
        <w:tabs>
          <w:tab w:val="right" w:leader="dot" w:pos="9515"/>
        </w:tabs>
        <w:ind w:left="560"/>
        <w:rPr>
          <w:rFonts w:asciiTheme="minorHAnsi" w:hAnsiTheme="minorHAnsi" w:eastAsiaTheme="minorEastAsia" w:cstheme="minorBidi"/>
          <w:sz w:val="21"/>
          <w:szCs w:val="22"/>
          <w14:ligatures w14:val="standardContextual"/>
        </w:rPr>
      </w:pPr>
      <w:r>
        <w:rPr>
          <w:rFonts w:hint="eastAsia" w:ascii="宋体"/>
          <w:sz w:val="24"/>
          <w:szCs w:val="24"/>
        </w:rPr>
        <w:fldChar w:fldCharType="begin"/>
      </w:r>
      <w:r>
        <w:rPr>
          <w:rFonts w:hint="eastAsia" w:ascii="宋体"/>
          <w:sz w:val="24"/>
          <w:szCs w:val="24"/>
        </w:rPr>
        <w:instrText xml:space="preserve"> TOC \o "1-3" \h \z </w:instrText>
      </w:r>
      <w:r>
        <w:rPr>
          <w:rFonts w:hint="eastAsia" w:ascii="宋体"/>
          <w:sz w:val="24"/>
          <w:szCs w:val="24"/>
        </w:rPr>
        <w:fldChar w:fldCharType="separate"/>
      </w:r>
      <w:r>
        <w:fldChar w:fldCharType="begin"/>
      </w:r>
      <w:r>
        <w:instrText xml:space="preserve"> HYPERLINK \l "_Toc141860845" </w:instrText>
      </w:r>
      <w:r>
        <w:fldChar w:fldCharType="separate"/>
      </w:r>
      <w:r>
        <w:rPr>
          <w:rStyle w:val="68"/>
          <w:rFonts w:ascii="宋体"/>
        </w:rPr>
        <w:t>第一篇  采购邀请书</w:t>
      </w:r>
      <w:r>
        <w:tab/>
      </w:r>
      <w:r>
        <w:fldChar w:fldCharType="begin"/>
      </w:r>
      <w:r>
        <w:instrText xml:space="preserve"> PAGEREF _Toc141860845 \h </w:instrText>
      </w:r>
      <w:r>
        <w:fldChar w:fldCharType="separate"/>
      </w:r>
      <w:r>
        <w:t>- 3 -</w:t>
      </w:r>
      <w:r>
        <w:fldChar w:fldCharType="end"/>
      </w:r>
      <w:r>
        <w:fldChar w:fldCharType="end"/>
      </w:r>
    </w:p>
    <w:p w14:paraId="086E3CCB">
      <w:pPr>
        <w:pStyle w:val="32"/>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"_Toc141860846" </w:instrText>
      </w:r>
      <w:r>
        <w:fldChar w:fldCharType="separate"/>
      </w:r>
      <w:r>
        <w:rPr>
          <w:rStyle w:val="68"/>
          <w:rFonts w:ascii="宋体"/>
        </w:rPr>
        <w:t>一、竞争性磋商内容</w:t>
      </w:r>
      <w:r>
        <w:tab/>
      </w:r>
      <w:r>
        <w:fldChar w:fldCharType="begin"/>
      </w:r>
      <w:r>
        <w:instrText xml:space="preserve"> PAGEREF _Toc141860846 \h </w:instrText>
      </w:r>
      <w:r>
        <w:fldChar w:fldCharType="separate"/>
      </w:r>
      <w:r>
        <w:t>- 3 -</w:t>
      </w:r>
      <w:r>
        <w:fldChar w:fldCharType="end"/>
      </w:r>
      <w:r>
        <w:fldChar w:fldCharType="end"/>
      </w:r>
    </w:p>
    <w:p w14:paraId="081EFD49">
      <w:pPr>
        <w:pStyle w:val="32"/>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"_Toc141860847" </w:instrText>
      </w:r>
      <w:r>
        <w:fldChar w:fldCharType="separate"/>
      </w:r>
      <w:r>
        <w:rPr>
          <w:rStyle w:val="68"/>
          <w:rFonts w:ascii="宋体"/>
        </w:rPr>
        <w:t>二、资金来源</w:t>
      </w:r>
      <w:r>
        <w:tab/>
      </w:r>
      <w:r>
        <w:fldChar w:fldCharType="begin"/>
      </w:r>
      <w:r>
        <w:instrText xml:space="preserve"> PAGEREF _Toc141860847 \h </w:instrText>
      </w:r>
      <w:r>
        <w:fldChar w:fldCharType="separate"/>
      </w:r>
      <w:r>
        <w:t>- 3 -</w:t>
      </w:r>
      <w:r>
        <w:fldChar w:fldCharType="end"/>
      </w:r>
      <w:r>
        <w:fldChar w:fldCharType="end"/>
      </w:r>
    </w:p>
    <w:p w14:paraId="27E77C37">
      <w:pPr>
        <w:pStyle w:val="32"/>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"_Toc141860848" </w:instrText>
      </w:r>
      <w:r>
        <w:fldChar w:fldCharType="separate"/>
      </w:r>
      <w:r>
        <w:rPr>
          <w:rStyle w:val="68"/>
          <w:rFonts w:ascii="宋体"/>
        </w:rPr>
        <w:t>三、供应商资格条件</w:t>
      </w:r>
      <w:r>
        <w:tab/>
      </w:r>
      <w:r>
        <w:fldChar w:fldCharType="begin"/>
      </w:r>
      <w:r>
        <w:instrText xml:space="preserve"> PAGEREF _Toc141860848 \h </w:instrText>
      </w:r>
      <w:r>
        <w:fldChar w:fldCharType="separate"/>
      </w:r>
      <w:r>
        <w:t>- 3 -</w:t>
      </w:r>
      <w:r>
        <w:fldChar w:fldCharType="end"/>
      </w:r>
      <w:r>
        <w:fldChar w:fldCharType="end"/>
      </w:r>
    </w:p>
    <w:p w14:paraId="76950146">
      <w:pPr>
        <w:pStyle w:val="32"/>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"_Toc141860849" </w:instrText>
      </w:r>
      <w:r>
        <w:fldChar w:fldCharType="separate"/>
      </w:r>
      <w:r>
        <w:rPr>
          <w:rStyle w:val="68"/>
          <w:rFonts w:ascii="宋体"/>
        </w:rPr>
        <w:t>四、磋商有关说明</w:t>
      </w:r>
      <w:r>
        <w:tab/>
      </w:r>
      <w:r>
        <w:fldChar w:fldCharType="begin"/>
      </w:r>
      <w:r>
        <w:instrText xml:space="preserve"> PAGEREF _Toc141860849 \h </w:instrText>
      </w:r>
      <w:r>
        <w:fldChar w:fldCharType="separate"/>
      </w:r>
      <w:r>
        <w:t>- 3 -</w:t>
      </w:r>
      <w:r>
        <w:fldChar w:fldCharType="end"/>
      </w:r>
      <w:r>
        <w:fldChar w:fldCharType="end"/>
      </w:r>
    </w:p>
    <w:p w14:paraId="4D5EDC94">
      <w:pPr>
        <w:pStyle w:val="32"/>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"_Toc141860850" </w:instrText>
      </w:r>
      <w:r>
        <w:fldChar w:fldCharType="separate"/>
      </w:r>
      <w:r>
        <w:rPr>
          <w:rStyle w:val="68"/>
          <w:rFonts w:ascii="宋体"/>
        </w:rPr>
        <w:t>五、磋商保证金</w:t>
      </w:r>
      <w:r>
        <w:tab/>
      </w:r>
      <w:r>
        <w:fldChar w:fldCharType="begin"/>
      </w:r>
      <w:r>
        <w:instrText xml:space="preserve"> PAGEREF _Toc141860850 \h </w:instrText>
      </w:r>
      <w:r>
        <w:fldChar w:fldCharType="separate"/>
      </w:r>
      <w:r>
        <w:t>- 4 -</w:t>
      </w:r>
      <w:r>
        <w:fldChar w:fldCharType="end"/>
      </w:r>
      <w:r>
        <w:fldChar w:fldCharType="end"/>
      </w:r>
    </w:p>
    <w:p w14:paraId="4B41073C">
      <w:pPr>
        <w:pStyle w:val="32"/>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"_Toc141860851" </w:instrText>
      </w:r>
      <w:r>
        <w:fldChar w:fldCharType="separate"/>
      </w:r>
      <w:r>
        <w:rPr>
          <w:rStyle w:val="68"/>
          <w:rFonts w:ascii="宋体"/>
        </w:rPr>
        <w:t>六、采购项目需落实的政府采购政策</w:t>
      </w:r>
      <w:r>
        <w:tab/>
      </w:r>
      <w:r>
        <w:fldChar w:fldCharType="begin"/>
      </w:r>
      <w:r>
        <w:instrText xml:space="preserve"> PAGEREF _Toc141860851 \h </w:instrText>
      </w:r>
      <w:r>
        <w:fldChar w:fldCharType="separate"/>
      </w:r>
      <w:r>
        <w:t>- 5 -</w:t>
      </w:r>
      <w:r>
        <w:fldChar w:fldCharType="end"/>
      </w:r>
      <w:r>
        <w:fldChar w:fldCharType="end"/>
      </w:r>
    </w:p>
    <w:p w14:paraId="18BF711A">
      <w:pPr>
        <w:pStyle w:val="32"/>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"_Toc141860852" </w:instrText>
      </w:r>
      <w:r>
        <w:fldChar w:fldCharType="separate"/>
      </w:r>
      <w:r>
        <w:rPr>
          <w:rStyle w:val="68"/>
          <w:rFonts w:ascii="宋体"/>
        </w:rPr>
        <w:t>七、其它有关规定</w:t>
      </w:r>
      <w:r>
        <w:tab/>
      </w:r>
      <w:r>
        <w:fldChar w:fldCharType="begin"/>
      </w:r>
      <w:r>
        <w:instrText xml:space="preserve"> PAGEREF _Toc141860852 \h </w:instrText>
      </w:r>
      <w:r>
        <w:fldChar w:fldCharType="separate"/>
      </w:r>
      <w:r>
        <w:t>- 5 -</w:t>
      </w:r>
      <w:r>
        <w:fldChar w:fldCharType="end"/>
      </w:r>
      <w:r>
        <w:fldChar w:fldCharType="end"/>
      </w:r>
    </w:p>
    <w:p w14:paraId="03629FEE">
      <w:pPr>
        <w:pStyle w:val="32"/>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"_Toc141860853" </w:instrText>
      </w:r>
      <w:r>
        <w:fldChar w:fldCharType="separate"/>
      </w:r>
      <w:r>
        <w:rPr>
          <w:rStyle w:val="68"/>
          <w:rFonts w:ascii="宋体"/>
        </w:rPr>
        <w:t>八、联系方式</w:t>
      </w:r>
      <w:r>
        <w:tab/>
      </w:r>
      <w:r>
        <w:fldChar w:fldCharType="begin"/>
      </w:r>
      <w:r>
        <w:instrText xml:space="preserve"> PAGEREF _Toc141860853 \h </w:instrText>
      </w:r>
      <w:r>
        <w:fldChar w:fldCharType="separate"/>
      </w:r>
      <w:r>
        <w:t>- 5 -</w:t>
      </w:r>
      <w:r>
        <w:fldChar w:fldCharType="end"/>
      </w:r>
      <w:r>
        <w:fldChar w:fldCharType="end"/>
      </w:r>
    </w:p>
    <w:p w14:paraId="799E2AC0">
      <w:pPr>
        <w:pStyle w:val="49"/>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"_Toc141860854" </w:instrText>
      </w:r>
      <w:r>
        <w:fldChar w:fldCharType="separate"/>
      </w:r>
      <w:r>
        <w:rPr>
          <w:rStyle w:val="68"/>
          <w:rFonts w:ascii="宋体"/>
        </w:rPr>
        <w:t>第二篇  项目服务需求</w:t>
      </w:r>
      <w:r>
        <w:tab/>
      </w:r>
      <w:r>
        <w:fldChar w:fldCharType="begin"/>
      </w:r>
      <w:r>
        <w:instrText xml:space="preserve"> PAGEREF _Toc141860854 \h </w:instrText>
      </w:r>
      <w:r>
        <w:fldChar w:fldCharType="separate"/>
      </w:r>
      <w:r>
        <w:t>- 7 -</w:t>
      </w:r>
      <w:r>
        <w:fldChar w:fldCharType="end"/>
      </w:r>
      <w:r>
        <w:fldChar w:fldCharType="end"/>
      </w:r>
    </w:p>
    <w:p w14:paraId="43DAF7EB">
      <w:pPr>
        <w:pStyle w:val="32"/>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"_Toc141860855" </w:instrText>
      </w:r>
      <w:r>
        <w:fldChar w:fldCharType="separate"/>
      </w:r>
      <w:r>
        <w:rPr>
          <w:rStyle w:val="68"/>
          <w:rFonts w:ascii="宋体"/>
        </w:rPr>
        <w:t>一、项目基本概况介绍</w:t>
      </w:r>
      <w:r>
        <w:tab/>
      </w:r>
      <w:r>
        <w:fldChar w:fldCharType="begin"/>
      </w:r>
      <w:r>
        <w:instrText xml:space="preserve"> PAGEREF _Toc141860855 \h </w:instrText>
      </w:r>
      <w:r>
        <w:fldChar w:fldCharType="separate"/>
      </w:r>
      <w:r>
        <w:t>- 7 -</w:t>
      </w:r>
      <w:r>
        <w:fldChar w:fldCharType="end"/>
      </w:r>
      <w:r>
        <w:fldChar w:fldCharType="end"/>
      </w:r>
    </w:p>
    <w:p w14:paraId="4265C910">
      <w:pPr>
        <w:pStyle w:val="32"/>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"_Toc141860856" </w:instrText>
      </w:r>
      <w:r>
        <w:fldChar w:fldCharType="separate"/>
      </w:r>
      <w:r>
        <w:rPr>
          <w:rStyle w:val="68"/>
          <w:rFonts w:ascii="宋体"/>
        </w:rPr>
        <w:t>二、技术要求</w:t>
      </w:r>
      <w:r>
        <w:tab/>
      </w:r>
      <w:r>
        <w:fldChar w:fldCharType="begin"/>
      </w:r>
      <w:r>
        <w:instrText xml:space="preserve"> PAGEREF _Toc141860856 \h </w:instrText>
      </w:r>
      <w:r>
        <w:fldChar w:fldCharType="separate"/>
      </w:r>
      <w:r>
        <w:t>- 7 -</w:t>
      </w:r>
      <w:r>
        <w:fldChar w:fldCharType="end"/>
      </w:r>
      <w:r>
        <w:fldChar w:fldCharType="end"/>
      </w:r>
    </w:p>
    <w:p w14:paraId="55DF4AB8">
      <w:pPr>
        <w:pStyle w:val="49"/>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"_Toc141860857" </w:instrText>
      </w:r>
      <w:r>
        <w:fldChar w:fldCharType="separate"/>
      </w:r>
      <w:r>
        <w:rPr>
          <w:rStyle w:val="68"/>
          <w:rFonts w:ascii="宋体"/>
        </w:rPr>
        <w:t>第三篇  项目商务需求</w:t>
      </w:r>
      <w:r>
        <w:tab/>
      </w:r>
      <w:r>
        <w:fldChar w:fldCharType="begin"/>
      </w:r>
      <w:r>
        <w:instrText xml:space="preserve"> PAGEREF _Toc141860857 \h </w:instrText>
      </w:r>
      <w:r>
        <w:fldChar w:fldCharType="separate"/>
      </w:r>
      <w:r>
        <w:t>- 12 -</w:t>
      </w:r>
      <w:r>
        <w:fldChar w:fldCharType="end"/>
      </w:r>
      <w:r>
        <w:fldChar w:fldCharType="end"/>
      </w:r>
    </w:p>
    <w:p w14:paraId="724261DD">
      <w:pPr>
        <w:pStyle w:val="32"/>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"_Toc141860858" </w:instrText>
      </w:r>
      <w:r>
        <w:fldChar w:fldCharType="separate"/>
      </w:r>
      <w:r>
        <w:rPr>
          <w:rStyle w:val="68"/>
          <w:rFonts w:hint="eastAsia" w:ascii="宋体" w:hAnsi="宋体" w:cs="宋体"/>
        </w:rPr>
        <w:t>※</w:t>
      </w:r>
      <w:r>
        <w:rPr>
          <w:rStyle w:val="68"/>
        </w:rPr>
        <w:t>一、完成时间、地点及验收方式</w:t>
      </w:r>
      <w:r>
        <w:tab/>
      </w:r>
      <w:r>
        <w:fldChar w:fldCharType="begin"/>
      </w:r>
      <w:r>
        <w:instrText xml:space="preserve"> PAGEREF _Toc141860858 \h </w:instrText>
      </w:r>
      <w:r>
        <w:fldChar w:fldCharType="separate"/>
      </w:r>
      <w:r>
        <w:t>- 12 -</w:t>
      </w:r>
      <w:r>
        <w:fldChar w:fldCharType="end"/>
      </w:r>
      <w:r>
        <w:fldChar w:fldCharType="end"/>
      </w:r>
    </w:p>
    <w:p w14:paraId="77B14023">
      <w:pPr>
        <w:pStyle w:val="32"/>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"_Toc141860859" </w:instrText>
      </w:r>
      <w:r>
        <w:fldChar w:fldCharType="separate"/>
      </w:r>
      <w:r>
        <w:rPr>
          <w:rStyle w:val="68"/>
          <w:rFonts w:hint="eastAsia" w:ascii="宋体" w:hAnsi="宋体" w:cs="宋体"/>
        </w:rPr>
        <w:t>※</w:t>
      </w:r>
      <w:r>
        <w:rPr>
          <w:rStyle w:val="68"/>
        </w:rPr>
        <w:t>二、报价要求</w:t>
      </w:r>
      <w:r>
        <w:tab/>
      </w:r>
      <w:r>
        <w:fldChar w:fldCharType="begin"/>
      </w:r>
      <w:r>
        <w:instrText xml:space="preserve"> PAGEREF _Toc141860859 \h </w:instrText>
      </w:r>
      <w:r>
        <w:fldChar w:fldCharType="separate"/>
      </w:r>
      <w:r>
        <w:t>- 12 -</w:t>
      </w:r>
      <w:r>
        <w:fldChar w:fldCharType="end"/>
      </w:r>
      <w:r>
        <w:fldChar w:fldCharType="end"/>
      </w:r>
    </w:p>
    <w:p w14:paraId="65F66B6F">
      <w:pPr>
        <w:pStyle w:val="32"/>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"_Toc141860860" </w:instrText>
      </w:r>
      <w:r>
        <w:fldChar w:fldCharType="separate"/>
      </w:r>
      <w:r>
        <w:rPr>
          <w:rStyle w:val="68"/>
        </w:rPr>
        <w:t>三、质量保证及售后服务</w:t>
      </w:r>
      <w:r>
        <w:tab/>
      </w:r>
      <w:r>
        <w:fldChar w:fldCharType="begin"/>
      </w:r>
      <w:r>
        <w:instrText xml:space="preserve"> PAGEREF _Toc141860860 \h </w:instrText>
      </w:r>
      <w:r>
        <w:fldChar w:fldCharType="separate"/>
      </w:r>
      <w:r>
        <w:t>- 12 -</w:t>
      </w:r>
      <w:r>
        <w:fldChar w:fldCharType="end"/>
      </w:r>
      <w:r>
        <w:fldChar w:fldCharType="end"/>
      </w:r>
    </w:p>
    <w:p w14:paraId="398470BE">
      <w:pPr>
        <w:pStyle w:val="32"/>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"_Toc141860861" </w:instrText>
      </w:r>
      <w:r>
        <w:fldChar w:fldCharType="separate"/>
      </w:r>
      <w:r>
        <w:rPr>
          <w:rStyle w:val="68"/>
          <w:rFonts w:hint="eastAsia" w:ascii="宋体" w:hAnsi="宋体" w:cs="宋体"/>
        </w:rPr>
        <w:t>※</w:t>
      </w:r>
      <w:r>
        <w:rPr>
          <w:rStyle w:val="68"/>
        </w:rPr>
        <w:t>四、付款方式</w:t>
      </w:r>
      <w:r>
        <w:tab/>
      </w:r>
      <w:r>
        <w:fldChar w:fldCharType="begin"/>
      </w:r>
      <w:r>
        <w:instrText xml:space="preserve"> PAGEREF _Toc141860861 \h </w:instrText>
      </w:r>
      <w:r>
        <w:fldChar w:fldCharType="separate"/>
      </w:r>
      <w:r>
        <w:t>- 12 -</w:t>
      </w:r>
      <w:r>
        <w:fldChar w:fldCharType="end"/>
      </w:r>
      <w:r>
        <w:fldChar w:fldCharType="end"/>
      </w:r>
    </w:p>
    <w:p w14:paraId="28E606AF">
      <w:pPr>
        <w:pStyle w:val="32"/>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"_Toc141860862" </w:instrText>
      </w:r>
      <w:r>
        <w:fldChar w:fldCharType="separate"/>
      </w:r>
      <w:r>
        <w:rPr>
          <w:rStyle w:val="68"/>
        </w:rPr>
        <w:t>五、知识产权</w:t>
      </w:r>
      <w:r>
        <w:tab/>
      </w:r>
      <w:r>
        <w:fldChar w:fldCharType="begin"/>
      </w:r>
      <w:r>
        <w:instrText xml:space="preserve"> PAGEREF _Toc141860862 \h </w:instrText>
      </w:r>
      <w:r>
        <w:fldChar w:fldCharType="separate"/>
      </w:r>
      <w:r>
        <w:t>- 13 -</w:t>
      </w:r>
      <w:r>
        <w:fldChar w:fldCharType="end"/>
      </w:r>
      <w:r>
        <w:fldChar w:fldCharType="end"/>
      </w:r>
    </w:p>
    <w:p w14:paraId="1B9B435D">
      <w:pPr>
        <w:pStyle w:val="32"/>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"_Toc141860863" </w:instrText>
      </w:r>
      <w:r>
        <w:fldChar w:fldCharType="separate"/>
      </w:r>
      <w:r>
        <w:rPr>
          <w:rStyle w:val="68"/>
        </w:rPr>
        <w:t>六、其他</w:t>
      </w:r>
      <w:r>
        <w:tab/>
      </w:r>
      <w:r>
        <w:fldChar w:fldCharType="begin"/>
      </w:r>
      <w:r>
        <w:instrText xml:space="preserve"> PAGEREF _Toc141860863 \h </w:instrText>
      </w:r>
      <w:r>
        <w:fldChar w:fldCharType="separate"/>
      </w:r>
      <w:r>
        <w:t>- 13 -</w:t>
      </w:r>
      <w:r>
        <w:fldChar w:fldCharType="end"/>
      </w:r>
      <w:r>
        <w:fldChar w:fldCharType="end"/>
      </w:r>
    </w:p>
    <w:p w14:paraId="2E740DD2">
      <w:pPr>
        <w:pStyle w:val="32"/>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"_Toc141860864" </w:instrText>
      </w:r>
      <w:r>
        <w:fldChar w:fldCharType="separate"/>
      </w:r>
      <w:r>
        <w:rPr>
          <w:rStyle w:val="68"/>
        </w:rPr>
        <w:t>七、保密要求</w:t>
      </w:r>
      <w:r>
        <w:tab/>
      </w:r>
      <w:r>
        <w:fldChar w:fldCharType="begin"/>
      </w:r>
      <w:r>
        <w:instrText xml:space="preserve"> PAGEREF _Toc141860864 \h </w:instrText>
      </w:r>
      <w:r>
        <w:fldChar w:fldCharType="separate"/>
      </w:r>
      <w:r>
        <w:t>- 13 -</w:t>
      </w:r>
      <w:r>
        <w:fldChar w:fldCharType="end"/>
      </w:r>
      <w:r>
        <w:fldChar w:fldCharType="end"/>
      </w:r>
    </w:p>
    <w:p w14:paraId="3542EC42">
      <w:pPr>
        <w:pStyle w:val="49"/>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"_Toc141860865" </w:instrText>
      </w:r>
      <w:r>
        <w:fldChar w:fldCharType="separate"/>
      </w:r>
      <w:r>
        <w:rPr>
          <w:rStyle w:val="68"/>
          <w:rFonts w:ascii="宋体"/>
        </w:rPr>
        <w:t>第四篇  磋商程序及方法、评审标准、无效响应和采购终止</w:t>
      </w:r>
      <w:r>
        <w:tab/>
      </w:r>
      <w:r>
        <w:fldChar w:fldCharType="begin"/>
      </w:r>
      <w:r>
        <w:instrText xml:space="preserve"> PAGEREF _Toc141860865 \h </w:instrText>
      </w:r>
      <w:r>
        <w:fldChar w:fldCharType="separate"/>
      </w:r>
      <w:r>
        <w:t>- 14 -</w:t>
      </w:r>
      <w:r>
        <w:fldChar w:fldCharType="end"/>
      </w:r>
      <w:r>
        <w:fldChar w:fldCharType="end"/>
      </w:r>
    </w:p>
    <w:p w14:paraId="636E77F1">
      <w:pPr>
        <w:pStyle w:val="32"/>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"_Toc141860866" </w:instrText>
      </w:r>
      <w:r>
        <w:fldChar w:fldCharType="separate"/>
      </w:r>
      <w:r>
        <w:rPr>
          <w:rStyle w:val="68"/>
          <w:rFonts w:ascii="宋体" w:hAnsi="宋体"/>
        </w:rPr>
        <w:t>一、磋商程序及方法</w:t>
      </w:r>
      <w:r>
        <w:tab/>
      </w:r>
      <w:r>
        <w:fldChar w:fldCharType="begin"/>
      </w:r>
      <w:r>
        <w:instrText xml:space="preserve"> PAGEREF _Toc141860866 \h </w:instrText>
      </w:r>
      <w:r>
        <w:fldChar w:fldCharType="separate"/>
      </w:r>
      <w:r>
        <w:t>- 14 -</w:t>
      </w:r>
      <w:r>
        <w:fldChar w:fldCharType="end"/>
      </w:r>
      <w:r>
        <w:fldChar w:fldCharType="end"/>
      </w:r>
    </w:p>
    <w:p w14:paraId="1FFC3BD5">
      <w:pPr>
        <w:pStyle w:val="32"/>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"_Toc141860867" </w:instrText>
      </w:r>
      <w:r>
        <w:fldChar w:fldCharType="separate"/>
      </w:r>
      <w:r>
        <w:rPr>
          <w:rStyle w:val="68"/>
          <w:rFonts w:ascii="宋体"/>
        </w:rPr>
        <w:t>二、评审标准</w:t>
      </w:r>
      <w:r>
        <w:tab/>
      </w:r>
      <w:r>
        <w:fldChar w:fldCharType="begin"/>
      </w:r>
      <w:r>
        <w:instrText xml:space="preserve"> PAGEREF _Toc141860867 \h </w:instrText>
      </w:r>
      <w:r>
        <w:fldChar w:fldCharType="separate"/>
      </w:r>
      <w:r>
        <w:t>- 16 -</w:t>
      </w:r>
      <w:r>
        <w:fldChar w:fldCharType="end"/>
      </w:r>
      <w:r>
        <w:fldChar w:fldCharType="end"/>
      </w:r>
    </w:p>
    <w:p w14:paraId="2A9027B5">
      <w:pPr>
        <w:pStyle w:val="32"/>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"_Toc141860868" </w:instrText>
      </w:r>
      <w:r>
        <w:fldChar w:fldCharType="separate"/>
      </w:r>
      <w:r>
        <w:rPr>
          <w:rStyle w:val="68"/>
          <w:rFonts w:ascii="宋体"/>
        </w:rPr>
        <w:t>三、无效响应</w:t>
      </w:r>
      <w:r>
        <w:tab/>
      </w:r>
      <w:r>
        <w:fldChar w:fldCharType="begin"/>
      </w:r>
      <w:r>
        <w:instrText xml:space="preserve"> PAGEREF _Toc141860868 \h </w:instrText>
      </w:r>
      <w:r>
        <w:fldChar w:fldCharType="separate"/>
      </w:r>
      <w:r>
        <w:t>- 18 -</w:t>
      </w:r>
      <w:r>
        <w:fldChar w:fldCharType="end"/>
      </w:r>
      <w:r>
        <w:fldChar w:fldCharType="end"/>
      </w:r>
    </w:p>
    <w:p w14:paraId="77500F9C">
      <w:pPr>
        <w:pStyle w:val="32"/>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"_Toc141860869" </w:instrText>
      </w:r>
      <w:r>
        <w:fldChar w:fldCharType="separate"/>
      </w:r>
      <w:r>
        <w:rPr>
          <w:rStyle w:val="68"/>
          <w:rFonts w:ascii="宋体"/>
        </w:rPr>
        <w:t>四、采购终止</w:t>
      </w:r>
      <w:r>
        <w:tab/>
      </w:r>
      <w:r>
        <w:fldChar w:fldCharType="begin"/>
      </w:r>
      <w:r>
        <w:instrText xml:space="preserve"> PAGEREF _Toc141860869 \h </w:instrText>
      </w:r>
      <w:r>
        <w:fldChar w:fldCharType="separate"/>
      </w:r>
      <w:r>
        <w:t>- 18 -</w:t>
      </w:r>
      <w:r>
        <w:fldChar w:fldCharType="end"/>
      </w:r>
      <w:r>
        <w:fldChar w:fldCharType="end"/>
      </w:r>
    </w:p>
    <w:p w14:paraId="5573D11A">
      <w:pPr>
        <w:pStyle w:val="49"/>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"_Toc141860870" </w:instrText>
      </w:r>
      <w:r>
        <w:fldChar w:fldCharType="separate"/>
      </w:r>
      <w:r>
        <w:rPr>
          <w:rStyle w:val="68"/>
          <w:rFonts w:ascii="宋体"/>
        </w:rPr>
        <w:t>第五篇  供应商须知</w:t>
      </w:r>
      <w:r>
        <w:tab/>
      </w:r>
      <w:r>
        <w:fldChar w:fldCharType="begin"/>
      </w:r>
      <w:r>
        <w:instrText xml:space="preserve"> PAGEREF _Toc141860870 \h </w:instrText>
      </w:r>
      <w:r>
        <w:fldChar w:fldCharType="separate"/>
      </w:r>
      <w:r>
        <w:t>- 19 -</w:t>
      </w:r>
      <w:r>
        <w:fldChar w:fldCharType="end"/>
      </w:r>
      <w:r>
        <w:fldChar w:fldCharType="end"/>
      </w:r>
    </w:p>
    <w:p w14:paraId="5729AEFB">
      <w:pPr>
        <w:pStyle w:val="32"/>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"_Toc141860871" </w:instrText>
      </w:r>
      <w:r>
        <w:fldChar w:fldCharType="separate"/>
      </w:r>
      <w:r>
        <w:rPr>
          <w:rStyle w:val="68"/>
          <w:rFonts w:ascii="宋体"/>
        </w:rPr>
        <w:t>一、磋商费用</w:t>
      </w:r>
      <w:r>
        <w:tab/>
      </w:r>
      <w:r>
        <w:fldChar w:fldCharType="begin"/>
      </w:r>
      <w:r>
        <w:instrText xml:space="preserve"> PAGEREF _Toc141860871 \h </w:instrText>
      </w:r>
      <w:r>
        <w:fldChar w:fldCharType="separate"/>
      </w:r>
      <w:r>
        <w:t>- 19 -</w:t>
      </w:r>
      <w:r>
        <w:fldChar w:fldCharType="end"/>
      </w:r>
      <w:r>
        <w:fldChar w:fldCharType="end"/>
      </w:r>
    </w:p>
    <w:p w14:paraId="752AB988">
      <w:pPr>
        <w:pStyle w:val="32"/>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"_Toc141860872" </w:instrText>
      </w:r>
      <w:r>
        <w:fldChar w:fldCharType="separate"/>
      </w:r>
      <w:r>
        <w:rPr>
          <w:rStyle w:val="68"/>
          <w:rFonts w:ascii="宋体"/>
        </w:rPr>
        <w:t>二、竞争性磋商文件</w:t>
      </w:r>
      <w:r>
        <w:tab/>
      </w:r>
      <w:r>
        <w:fldChar w:fldCharType="begin"/>
      </w:r>
      <w:r>
        <w:instrText xml:space="preserve"> PAGEREF _Toc141860872 \h </w:instrText>
      </w:r>
      <w:r>
        <w:fldChar w:fldCharType="separate"/>
      </w:r>
      <w:r>
        <w:t>- 19 -</w:t>
      </w:r>
      <w:r>
        <w:fldChar w:fldCharType="end"/>
      </w:r>
      <w:r>
        <w:fldChar w:fldCharType="end"/>
      </w:r>
    </w:p>
    <w:p w14:paraId="031C9B42">
      <w:pPr>
        <w:pStyle w:val="32"/>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"_Toc141860873" </w:instrText>
      </w:r>
      <w:r>
        <w:fldChar w:fldCharType="separate"/>
      </w:r>
      <w:r>
        <w:rPr>
          <w:rStyle w:val="68"/>
          <w:rFonts w:ascii="宋体"/>
        </w:rPr>
        <w:t>三、磋商要求</w:t>
      </w:r>
      <w:r>
        <w:tab/>
      </w:r>
      <w:r>
        <w:fldChar w:fldCharType="begin"/>
      </w:r>
      <w:r>
        <w:instrText xml:space="preserve"> PAGEREF _Toc141860873 \h </w:instrText>
      </w:r>
      <w:r>
        <w:fldChar w:fldCharType="separate"/>
      </w:r>
      <w:r>
        <w:t>- 19 -</w:t>
      </w:r>
      <w:r>
        <w:fldChar w:fldCharType="end"/>
      </w:r>
      <w:r>
        <w:fldChar w:fldCharType="end"/>
      </w:r>
    </w:p>
    <w:p w14:paraId="7B7CE866">
      <w:pPr>
        <w:pStyle w:val="32"/>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"_Toc141860874" </w:instrText>
      </w:r>
      <w:r>
        <w:fldChar w:fldCharType="separate"/>
      </w:r>
      <w:r>
        <w:rPr>
          <w:rStyle w:val="68"/>
          <w:rFonts w:ascii="宋体"/>
        </w:rPr>
        <w:t>四、成交供应商的确认和变更</w:t>
      </w:r>
      <w:r>
        <w:tab/>
      </w:r>
      <w:r>
        <w:fldChar w:fldCharType="begin"/>
      </w:r>
      <w:r>
        <w:instrText xml:space="preserve"> PAGEREF _Toc141860874 \h </w:instrText>
      </w:r>
      <w:r>
        <w:fldChar w:fldCharType="separate"/>
      </w:r>
      <w:r>
        <w:t>- 21 -</w:t>
      </w:r>
      <w:r>
        <w:fldChar w:fldCharType="end"/>
      </w:r>
      <w:r>
        <w:fldChar w:fldCharType="end"/>
      </w:r>
    </w:p>
    <w:p w14:paraId="01EC7E75">
      <w:pPr>
        <w:pStyle w:val="32"/>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"_Toc141860875" </w:instrText>
      </w:r>
      <w:r>
        <w:fldChar w:fldCharType="separate"/>
      </w:r>
      <w:r>
        <w:rPr>
          <w:rStyle w:val="68"/>
          <w:rFonts w:ascii="宋体"/>
        </w:rPr>
        <w:t>五、成交通知</w:t>
      </w:r>
      <w:r>
        <w:tab/>
      </w:r>
      <w:r>
        <w:fldChar w:fldCharType="begin"/>
      </w:r>
      <w:r>
        <w:instrText xml:space="preserve"> PAGEREF _Toc141860875 \h </w:instrText>
      </w:r>
      <w:r>
        <w:fldChar w:fldCharType="separate"/>
      </w:r>
      <w:r>
        <w:t>- 21 -</w:t>
      </w:r>
      <w:r>
        <w:fldChar w:fldCharType="end"/>
      </w:r>
      <w:r>
        <w:fldChar w:fldCharType="end"/>
      </w:r>
    </w:p>
    <w:p w14:paraId="68BBFA2F">
      <w:pPr>
        <w:pStyle w:val="32"/>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"_Toc141860876" </w:instrText>
      </w:r>
      <w:r>
        <w:fldChar w:fldCharType="separate"/>
      </w:r>
      <w:r>
        <w:rPr>
          <w:rStyle w:val="68"/>
          <w:rFonts w:ascii="宋体"/>
        </w:rPr>
        <w:t>六、关于质疑和投诉</w:t>
      </w:r>
      <w:r>
        <w:tab/>
      </w:r>
      <w:r>
        <w:fldChar w:fldCharType="begin"/>
      </w:r>
      <w:r>
        <w:instrText xml:space="preserve"> PAGEREF _Toc141860876 \h </w:instrText>
      </w:r>
      <w:r>
        <w:fldChar w:fldCharType="separate"/>
      </w:r>
      <w:r>
        <w:t>- 21 -</w:t>
      </w:r>
      <w:r>
        <w:fldChar w:fldCharType="end"/>
      </w:r>
      <w:r>
        <w:fldChar w:fldCharType="end"/>
      </w:r>
    </w:p>
    <w:p w14:paraId="0E79D950">
      <w:pPr>
        <w:pStyle w:val="32"/>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"_Toc141860877" </w:instrText>
      </w:r>
      <w:r>
        <w:fldChar w:fldCharType="separate"/>
      </w:r>
      <w:r>
        <w:rPr>
          <w:rStyle w:val="68"/>
          <w:rFonts w:ascii="宋体"/>
        </w:rPr>
        <w:t>七、采购代理服务费</w:t>
      </w:r>
      <w:r>
        <w:tab/>
      </w:r>
      <w:r>
        <w:fldChar w:fldCharType="begin"/>
      </w:r>
      <w:r>
        <w:instrText xml:space="preserve"> PAGEREF _Toc141860877 \h </w:instrText>
      </w:r>
      <w:r>
        <w:fldChar w:fldCharType="separate"/>
      </w:r>
      <w:r>
        <w:t>- 23 -</w:t>
      </w:r>
      <w:r>
        <w:fldChar w:fldCharType="end"/>
      </w:r>
      <w:r>
        <w:fldChar w:fldCharType="end"/>
      </w:r>
    </w:p>
    <w:p w14:paraId="73927C52">
      <w:pPr>
        <w:pStyle w:val="32"/>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"_Toc141860878" </w:instrText>
      </w:r>
      <w:r>
        <w:fldChar w:fldCharType="separate"/>
      </w:r>
      <w:r>
        <w:rPr>
          <w:rStyle w:val="68"/>
          <w:rFonts w:ascii="宋体"/>
        </w:rPr>
        <w:t>八、签订合同</w:t>
      </w:r>
      <w:r>
        <w:tab/>
      </w:r>
      <w:r>
        <w:fldChar w:fldCharType="begin"/>
      </w:r>
      <w:r>
        <w:instrText xml:space="preserve"> PAGEREF _Toc141860878 \h </w:instrText>
      </w:r>
      <w:r>
        <w:fldChar w:fldCharType="separate"/>
      </w:r>
      <w:r>
        <w:t>- 23 -</w:t>
      </w:r>
      <w:r>
        <w:fldChar w:fldCharType="end"/>
      </w:r>
      <w:r>
        <w:fldChar w:fldCharType="end"/>
      </w:r>
    </w:p>
    <w:p w14:paraId="55B840B6">
      <w:pPr>
        <w:pStyle w:val="49"/>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"_Toc141860879" </w:instrText>
      </w:r>
      <w:r>
        <w:fldChar w:fldCharType="separate"/>
      </w:r>
      <w:r>
        <w:rPr>
          <w:rStyle w:val="68"/>
          <w:rFonts w:ascii="宋体"/>
        </w:rPr>
        <w:t>第六篇  合同草案条款</w:t>
      </w:r>
      <w:r>
        <w:tab/>
      </w:r>
      <w:r>
        <w:fldChar w:fldCharType="begin"/>
      </w:r>
      <w:r>
        <w:instrText xml:space="preserve"> PAGEREF _Toc141860879 \h </w:instrText>
      </w:r>
      <w:r>
        <w:fldChar w:fldCharType="separate"/>
      </w:r>
      <w:r>
        <w:t>- 24 -</w:t>
      </w:r>
      <w:r>
        <w:fldChar w:fldCharType="end"/>
      </w:r>
      <w:r>
        <w:fldChar w:fldCharType="end"/>
      </w:r>
    </w:p>
    <w:p w14:paraId="189767C0">
      <w:pPr>
        <w:pStyle w:val="32"/>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"_Toc141860880" </w:instrText>
      </w:r>
      <w:r>
        <w:fldChar w:fldCharType="separate"/>
      </w:r>
      <w:r>
        <w:rPr>
          <w:rStyle w:val="68"/>
          <w:rFonts w:ascii="宋体"/>
        </w:rPr>
        <w:t>一、合同主要条款</w:t>
      </w:r>
      <w:r>
        <w:tab/>
      </w:r>
      <w:r>
        <w:fldChar w:fldCharType="begin"/>
      </w:r>
      <w:r>
        <w:instrText xml:space="preserve"> PAGEREF _Toc141860880 \h </w:instrText>
      </w:r>
      <w:r>
        <w:fldChar w:fldCharType="separate"/>
      </w:r>
      <w:r>
        <w:t>- 24 -</w:t>
      </w:r>
      <w:r>
        <w:fldChar w:fldCharType="end"/>
      </w:r>
      <w:r>
        <w:fldChar w:fldCharType="end"/>
      </w:r>
    </w:p>
    <w:p w14:paraId="0373FE3B">
      <w:pPr>
        <w:pStyle w:val="32"/>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"_Toc141860881" </w:instrText>
      </w:r>
      <w:r>
        <w:fldChar w:fldCharType="separate"/>
      </w:r>
      <w:r>
        <w:rPr>
          <w:rStyle w:val="68"/>
          <w:rFonts w:ascii="宋体"/>
        </w:rPr>
        <w:t>二、政府采购合同（格式）</w:t>
      </w:r>
      <w:r>
        <w:tab/>
      </w:r>
      <w:r>
        <w:fldChar w:fldCharType="begin"/>
      </w:r>
      <w:r>
        <w:instrText xml:space="preserve"> PAGEREF _Toc141860881 \h </w:instrText>
      </w:r>
      <w:r>
        <w:fldChar w:fldCharType="separate"/>
      </w:r>
      <w:r>
        <w:t>- 26 -</w:t>
      </w:r>
      <w:r>
        <w:fldChar w:fldCharType="end"/>
      </w:r>
      <w:r>
        <w:fldChar w:fldCharType="end"/>
      </w:r>
    </w:p>
    <w:p w14:paraId="13ECC9DE">
      <w:pPr>
        <w:pStyle w:val="49"/>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"_Toc141860882" </w:instrText>
      </w:r>
      <w:r>
        <w:fldChar w:fldCharType="separate"/>
      </w:r>
      <w:r>
        <w:rPr>
          <w:rStyle w:val="68"/>
          <w:rFonts w:ascii="宋体"/>
        </w:rPr>
        <w:t>第七篇  响应文件编制要求</w:t>
      </w:r>
      <w:r>
        <w:tab/>
      </w:r>
      <w:r>
        <w:fldChar w:fldCharType="begin"/>
      </w:r>
      <w:r>
        <w:instrText xml:space="preserve"> PAGEREF _Toc141860882 \h </w:instrText>
      </w:r>
      <w:r>
        <w:fldChar w:fldCharType="separate"/>
      </w:r>
      <w:r>
        <w:t>- 28 -</w:t>
      </w:r>
      <w:r>
        <w:fldChar w:fldCharType="end"/>
      </w:r>
      <w:r>
        <w:fldChar w:fldCharType="end"/>
      </w:r>
    </w:p>
    <w:p w14:paraId="7E091878">
      <w:pPr>
        <w:pStyle w:val="32"/>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"_Toc141860883" </w:instrText>
      </w:r>
      <w:r>
        <w:fldChar w:fldCharType="separate"/>
      </w:r>
      <w:r>
        <w:rPr>
          <w:rStyle w:val="68"/>
          <w:rFonts w:ascii="宋体" w:hAnsi="宋体"/>
        </w:rPr>
        <w:t>一、经济部分</w:t>
      </w:r>
      <w:r>
        <w:tab/>
      </w:r>
      <w:r>
        <w:fldChar w:fldCharType="begin"/>
      </w:r>
      <w:r>
        <w:instrText xml:space="preserve"> PAGEREF _Toc141860883 \h </w:instrText>
      </w:r>
      <w:r>
        <w:fldChar w:fldCharType="separate"/>
      </w:r>
      <w:r>
        <w:t>- 28 -</w:t>
      </w:r>
      <w:r>
        <w:fldChar w:fldCharType="end"/>
      </w:r>
      <w:r>
        <w:fldChar w:fldCharType="end"/>
      </w:r>
    </w:p>
    <w:p w14:paraId="3DFCB718">
      <w:pPr>
        <w:pStyle w:val="32"/>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"_Toc141860884" </w:instrText>
      </w:r>
      <w:r>
        <w:fldChar w:fldCharType="separate"/>
      </w:r>
      <w:r>
        <w:rPr>
          <w:rStyle w:val="68"/>
          <w:rFonts w:ascii="宋体" w:hAnsi="宋体"/>
        </w:rPr>
        <w:t>二、服务部分</w:t>
      </w:r>
      <w:r>
        <w:tab/>
      </w:r>
      <w:r>
        <w:fldChar w:fldCharType="begin"/>
      </w:r>
      <w:r>
        <w:instrText xml:space="preserve"> PAGEREF _Toc141860884 \h </w:instrText>
      </w:r>
      <w:r>
        <w:fldChar w:fldCharType="separate"/>
      </w:r>
      <w:r>
        <w:t>- 28 -</w:t>
      </w:r>
      <w:r>
        <w:fldChar w:fldCharType="end"/>
      </w:r>
      <w:r>
        <w:fldChar w:fldCharType="end"/>
      </w:r>
    </w:p>
    <w:p w14:paraId="2308E52B">
      <w:pPr>
        <w:pStyle w:val="32"/>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"_Toc141860885" </w:instrText>
      </w:r>
      <w:r>
        <w:fldChar w:fldCharType="separate"/>
      </w:r>
      <w:r>
        <w:rPr>
          <w:rStyle w:val="68"/>
          <w:rFonts w:ascii="宋体" w:hAnsi="宋体"/>
        </w:rPr>
        <w:t>三、商务部分</w:t>
      </w:r>
      <w:r>
        <w:tab/>
      </w:r>
      <w:r>
        <w:fldChar w:fldCharType="begin"/>
      </w:r>
      <w:r>
        <w:instrText xml:space="preserve"> PAGEREF _Toc141860885 \h </w:instrText>
      </w:r>
      <w:r>
        <w:fldChar w:fldCharType="separate"/>
      </w:r>
      <w:r>
        <w:t>- 28 -</w:t>
      </w:r>
      <w:r>
        <w:fldChar w:fldCharType="end"/>
      </w:r>
      <w:r>
        <w:fldChar w:fldCharType="end"/>
      </w:r>
    </w:p>
    <w:p w14:paraId="274C671B">
      <w:pPr>
        <w:pStyle w:val="32"/>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"_Toc141860886" </w:instrText>
      </w:r>
      <w:r>
        <w:fldChar w:fldCharType="separate"/>
      </w:r>
      <w:r>
        <w:rPr>
          <w:rStyle w:val="68"/>
          <w:rFonts w:ascii="宋体" w:hAnsi="宋体"/>
        </w:rPr>
        <w:t>四、资格条件及其他</w:t>
      </w:r>
      <w:r>
        <w:tab/>
      </w:r>
      <w:r>
        <w:fldChar w:fldCharType="begin"/>
      </w:r>
      <w:r>
        <w:instrText xml:space="preserve"> PAGEREF _Toc141860886 \h </w:instrText>
      </w:r>
      <w:r>
        <w:fldChar w:fldCharType="separate"/>
      </w:r>
      <w:r>
        <w:t>- 28 -</w:t>
      </w:r>
      <w:r>
        <w:fldChar w:fldCharType="end"/>
      </w:r>
      <w:r>
        <w:fldChar w:fldCharType="end"/>
      </w:r>
    </w:p>
    <w:p w14:paraId="391C5166">
      <w:pPr>
        <w:pStyle w:val="32"/>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"_Toc141860887" </w:instrText>
      </w:r>
      <w:r>
        <w:fldChar w:fldCharType="separate"/>
      </w:r>
      <w:r>
        <w:rPr>
          <w:rStyle w:val="68"/>
        </w:rPr>
        <w:t>五、其他资料</w:t>
      </w:r>
      <w:r>
        <w:tab/>
      </w:r>
      <w:r>
        <w:fldChar w:fldCharType="begin"/>
      </w:r>
      <w:r>
        <w:instrText xml:space="preserve"> PAGEREF _Toc141860887 \h </w:instrText>
      </w:r>
      <w:r>
        <w:fldChar w:fldCharType="separate"/>
      </w:r>
      <w:r>
        <w:t>- 36 -</w:t>
      </w:r>
      <w:r>
        <w:fldChar w:fldCharType="end"/>
      </w:r>
      <w:r>
        <w:fldChar w:fldCharType="end"/>
      </w:r>
    </w:p>
    <w:p w14:paraId="308577D9">
      <w:pPr>
        <w:pStyle w:val="49"/>
        <w:tabs>
          <w:tab w:val="right" w:leader="dot" w:pos="9402"/>
        </w:tabs>
        <w:spacing w:line="480" w:lineRule="exact"/>
        <w:ind w:left="560"/>
        <w:jc w:val="center"/>
        <w:rPr>
          <w:rFonts w:ascii="宋体"/>
          <w:sz w:val="24"/>
          <w:szCs w:val="24"/>
        </w:rPr>
        <w:sectPr>
          <w:footerReference r:id="rId7" w:type="default"/>
          <w:pgSz w:w="11907" w:h="16840"/>
          <w:pgMar w:top="1134" w:right="1191" w:bottom="1134" w:left="1191" w:header="851" w:footer="992" w:gutter="0"/>
          <w:pgNumType w:fmt="numberInDash" w:start="1"/>
          <w:cols w:space="720" w:num="1"/>
          <w:docGrid w:linePitch="380" w:charSpace="-5734"/>
        </w:sectPr>
      </w:pPr>
      <w:r>
        <w:rPr>
          <w:rFonts w:hint="eastAsia" w:ascii="宋体"/>
          <w:sz w:val="24"/>
          <w:szCs w:val="24"/>
        </w:rPr>
        <w:fldChar w:fldCharType="end"/>
      </w:r>
    </w:p>
    <w:p w14:paraId="1F96BE07">
      <w:pPr>
        <w:pStyle w:val="4"/>
        <w:spacing w:line="360" w:lineRule="auto"/>
        <w:jc w:val="center"/>
        <w:rPr>
          <w:rFonts w:ascii="宋体" w:eastAsia="宋体"/>
          <w:sz w:val="36"/>
          <w:szCs w:val="30"/>
        </w:rPr>
      </w:pPr>
      <w:bookmarkStart w:id="0" w:name="_Toc11641050"/>
      <w:bookmarkStart w:id="1" w:name="_Toc12789052"/>
      <w:bookmarkStart w:id="2" w:name="_Toc141860845"/>
      <w:r>
        <w:rPr>
          <w:rFonts w:hint="eastAsia" w:ascii="宋体" w:eastAsia="宋体"/>
          <w:sz w:val="36"/>
          <w:szCs w:val="30"/>
        </w:rPr>
        <w:t>第一篇  采购邀请书</w:t>
      </w:r>
      <w:bookmarkEnd w:id="0"/>
      <w:bookmarkEnd w:id="1"/>
      <w:bookmarkEnd w:id="2"/>
    </w:p>
    <w:p w14:paraId="7504CE42">
      <w:pPr>
        <w:snapToGrid w:val="0"/>
        <w:spacing w:line="360" w:lineRule="auto"/>
        <w:ind w:firstLine="480" w:firstLineChars="200"/>
        <w:rPr>
          <w:rFonts w:ascii="宋体"/>
          <w:sz w:val="24"/>
          <w:szCs w:val="24"/>
        </w:rPr>
      </w:pPr>
      <w:r>
        <w:rPr>
          <w:rFonts w:hint="eastAsia" w:ascii="宋体"/>
          <w:sz w:val="24"/>
          <w:szCs w:val="24"/>
        </w:rPr>
        <w:t>重庆市中基致信招标代理有限公司（以下简称：采购代理机构）接</w:t>
      </w:r>
      <w:r>
        <w:rPr>
          <w:rFonts w:ascii="宋体"/>
          <w:sz w:val="24"/>
          <w:szCs w:val="24"/>
        </w:rPr>
        <w:t>受</w:t>
      </w:r>
      <w:r>
        <w:rPr>
          <w:rFonts w:hint="eastAsia" w:ascii="宋体"/>
          <w:sz w:val="24"/>
          <w:szCs w:val="24"/>
        </w:rPr>
        <w:t>重庆市无线电监测站的委托，对无线电专网对接电子政务外网测试验证政府采购项目（项目号：</w:t>
      </w:r>
      <w:r>
        <w:rPr>
          <w:rFonts w:ascii="宋体"/>
          <w:sz w:val="24"/>
          <w:szCs w:val="24"/>
        </w:rPr>
        <w:t>CQCBJQ2307-239</w:t>
      </w:r>
      <w:r>
        <w:rPr>
          <w:rFonts w:hint="eastAsia" w:ascii="宋体"/>
          <w:sz w:val="24"/>
          <w:szCs w:val="24"/>
        </w:rPr>
        <w:t>）进行竞争性磋商采购。欢迎有资格的供应商前来参与磋商。</w:t>
      </w:r>
    </w:p>
    <w:p w14:paraId="5469B143">
      <w:pPr>
        <w:pStyle w:val="5"/>
        <w:spacing w:before="0" w:after="0" w:line="360" w:lineRule="auto"/>
        <w:ind w:firstLine="482" w:firstLineChars="200"/>
        <w:rPr>
          <w:rFonts w:ascii="宋体"/>
          <w:sz w:val="24"/>
          <w:szCs w:val="24"/>
        </w:rPr>
      </w:pPr>
      <w:bookmarkStart w:id="3" w:name="_Toc141860846"/>
      <w:bookmarkStart w:id="4" w:name="_Toc317775175"/>
      <w:bookmarkStart w:id="5" w:name="_Toc313893526"/>
      <w:r>
        <w:rPr>
          <w:rFonts w:hint="eastAsia" w:ascii="宋体"/>
          <w:sz w:val="24"/>
          <w:szCs w:val="24"/>
        </w:rPr>
        <w:t>一、竞争性磋商内容</w:t>
      </w:r>
      <w:bookmarkEnd w:id="3"/>
      <w:bookmarkEnd w:id="4"/>
      <w:bookmarkEnd w:id="5"/>
    </w:p>
    <w:tbl>
      <w:tblPr>
        <w:tblStyle w:val="62"/>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1417"/>
        <w:gridCol w:w="1418"/>
        <w:gridCol w:w="1276"/>
        <w:gridCol w:w="2409"/>
      </w:tblGrid>
      <w:tr w14:paraId="433B5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119" w:type="dxa"/>
            <w:tcBorders>
              <w:top w:val="single" w:color="auto" w:sz="4" w:space="0"/>
              <w:left w:val="single" w:color="auto" w:sz="4" w:space="0"/>
              <w:right w:val="single" w:color="auto" w:sz="4" w:space="0"/>
            </w:tcBorders>
            <w:vAlign w:val="center"/>
          </w:tcPr>
          <w:p w14:paraId="75C237C5">
            <w:pPr>
              <w:widowControl/>
              <w:jc w:val="center"/>
              <w:rPr>
                <w:rFonts w:ascii="宋体" w:cs="宋体"/>
                <w:b/>
                <w:bCs/>
                <w:kern w:val="0"/>
                <w:sz w:val="21"/>
                <w:szCs w:val="24"/>
              </w:rPr>
            </w:pPr>
            <w:bookmarkStart w:id="6" w:name="_Toc373860293"/>
            <w:bookmarkStart w:id="7" w:name="_Toc317775178"/>
            <w:r>
              <w:rPr>
                <w:rFonts w:hint="eastAsia" w:ascii="宋体" w:cs="宋体"/>
                <w:b/>
                <w:bCs/>
                <w:kern w:val="0"/>
                <w:sz w:val="21"/>
                <w:szCs w:val="24"/>
              </w:rPr>
              <w:t>项目内容</w:t>
            </w:r>
          </w:p>
        </w:tc>
        <w:tc>
          <w:tcPr>
            <w:tcW w:w="1417" w:type="dxa"/>
            <w:tcBorders>
              <w:top w:val="single" w:color="auto" w:sz="4" w:space="0"/>
              <w:left w:val="single" w:color="auto" w:sz="4" w:space="0"/>
              <w:right w:val="single" w:color="auto" w:sz="4" w:space="0"/>
            </w:tcBorders>
            <w:vAlign w:val="center"/>
          </w:tcPr>
          <w:p w14:paraId="36E27801">
            <w:pPr>
              <w:widowControl/>
              <w:jc w:val="center"/>
              <w:rPr>
                <w:rFonts w:ascii="宋体" w:cs="宋体"/>
                <w:b/>
                <w:bCs/>
                <w:kern w:val="0"/>
                <w:sz w:val="21"/>
                <w:szCs w:val="24"/>
              </w:rPr>
            </w:pPr>
            <w:r>
              <w:rPr>
                <w:rFonts w:hint="eastAsia" w:ascii="宋体" w:cs="宋体"/>
                <w:b/>
                <w:bCs/>
                <w:kern w:val="0"/>
                <w:sz w:val="21"/>
                <w:szCs w:val="24"/>
              </w:rPr>
              <w:t>最高限价</w:t>
            </w:r>
          </w:p>
          <w:p w14:paraId="29228685">
            <w:pPr>
              <w:widowControl/>
              <w:jc w:val="center"/>
              <w:rPr>
                <w:rFonts w:ascii="宋体" w:cs="宋体"/>
                <w:b/>
                <w:bCs/>
                <w:kern w:val="0"/>
                <w:sz w:val="21"/>
                <w:szCs w:val="24"/>
              </w:rPr>
            </w:pPr>
            <w:r>
              <w:rPr>
                <w:rFonts w:hint="eastAsia" w:ascii="宋体" w:cs="宋体"/>
                <w:b/>
                <w:bCs/>
                <w:kern w:val="0"/>
                <w:sz w:val="21"/>
                <w:szCs w:val="24"/>
              </w:rPr>
              <w:t>（万元）</w:t>
            </w:r>
          </w:p>
        </w:tc>
        <w:tc>
          <w:tcPr>
            <w:tcW w:w="1418" w:type="dxa"/>
            <w:tcBorders>
              <w:top w:val="single" w:color="auto" w:sz="4" w:space="0"/>
              <w:left w:val="single" w:color="auto" w:sz="4" w:space="0"/>
              <w:right w:val="single" w:color="auto" w:sz="4" w:space="0"/>
            </w:tcBorders>
            <w:vAlign w:val="center"/>
          </w:tcPr>
          <w:p w14:paraId="2C8F7316">
            <w:pPr>
              <w:widowControl/>
              <w:jc w:val="center"/>
              <w:rPr>
                <w:rFonts w:ascii="宋体" w:cs="宋体"/>
                <w:b/>
                <w:bCs/>
                <w:kern w:val="0"/>
                <w:sz w:val="21"/>
                <w:szCs w:val="24"/>
              </w:rPr>
            </w:pPr>
            <w:r>
              <w:rPr>
                <w:rFonts w:hint="eastAsia" w:ascii="宋体" w:cs="宋体"/>
                <w:b/>
                <w:bCs/>
                <w:kern w:val="0"/>
                <w:sz w:val="21"/>
                <w:szCs w:val="24"/>
              </w:rPr>
              <w:t>磋商保证金</w:t>
            </w:r>
          </w:p>
          <w:p w14:paraId="163ED382">
            <w:pPr>
              <w:widowControl/>
              <w:jc w:val="center"/>
              <w:rPr>
                <w:rFonts w:ascii="宋体" w:cs="宋体"/>
                <w:b/>
                <w:bCs/>
                <w:kern w:val="0"/>
                <w:sz w:val="21"/>
                <w:szCs w:val="24"/>
              </w:rPr>
            </w:pPr>
            <w:r>
              <w:rPr>
                <w:rFonts w:hint="eastAsia" w:ascii="宋体" w:cs="宋体"/>
                <w:b/>
                <w:bCs/>
                <w:kern w:val="0"/>
                <w:sz w:val="21"/>
                <w:szCs w:val="24"/>
              </w:rPr>
              <w:t>（万元）</w:t>
            </w:r>
          </w:p>
        </w:tc>
        <w:tc>
          <w:tcPr>
            <w:tcW w:w="1276" w:type="dxa"/>
            <w:tcBorders>
              <w:top w:val="single" w:color="auto" w:sz="4" w:space="0"/>
              <w:left w:val="single" w:color="auto" w:sz="4" w:space="0"/>
              <w:right w:val="single" w:color="auto" w:sz="4" w:space="0"/>
            </w:tcBorders>
            <w:vAlign w:val="center"/>
          </w:tcPr>
          <w:p w14:paraId="0344E4C4">
            <w:pPr>
              <w:widowControl/>
              <w:jc w:val="center"/>
              <w:rPr>
                <w:rFonts w:ascii="宋体" w:cs="宋体"/>
                <w:b/>
                <w:bCs/>
                <w:kern w:val="0"/>
                <w:sz w:val="21"/>
                <w:szCs w:val="24"/>
              </w:rPr>
            </w:pPr>
            <w:r>
              <w:rPr>
                <w:rFonts w:hint="eastAsia" w:ascii="宋体" w:cs="宋体"/>
                <w:b/>
                <w:bCs/>
                <w:kern w:val="0"/>
                <w:sz w:val="21"/>
                <w:szCs w:val="24"/>
              </w:rPr>
              <w:t>成交供应商数量（名）</w:t>
            </w:r>
          </w:p>
        </w:tc>
        <w:tc>
          <w:tcPr>
            <w:tcW w:w="2409" w:type="dxa"/>
            <w:tcBorders>
              <w:top w:val="single" w:color="auto" w:sz="4" w:space="0"/>
              <w:left w:val="single" w:color="auto" w:sz="4" w:space="0"/>
              <w:right w:val="single" w:color="auto" w:sz="4" w:space="0"/>
            </w:tcBorders>
            <w:vAlign w:val="center"/>
          </w:tcPr>
          <w:p w14:paraId="0508F212">
            <w:pPr>
              <w:widowControl/>
              <w:jc w:val="center"/>
              <w:rPr>
                <w:rFonts w:ascii="宋体" w:cs="宋体"/>
                <w:b/>
                <w:bCs/>
                <w:kern w:val="0"/>
                <w:sz w:val="21"/>
                <w:szCs w:val="24"/>
              </w:rPr>
            </w:pPr>
            <w:r>
              <w:rPr>
                <w:rFonts w:hint="eastAsia" w:ascii="宋体" w:cs="宋体"/>
                <w:b/>
                <w:bCs/>
                <w:kern w:val="0"/>
                <w:sz w:val="21"/>
                <w:szCs w:val="21"/>
              </w:rPr>
              <w:t>采购标的对应的中小企业划分标准所属行业</w:t>
            </w:r>
          </w:p>
        </w:tc>
      </w:tr>
      <w:tr w14:paraId="50457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119" w:type="dxa"/>
            <w:tcBorders>
              <w:top w:val="single" w:color="auto" w:sz="4" w:space="0"/>
              <w:left w:val="single" w:color="auto" w:sz="4" w:space="0"/>
              <w:right w:val="single" w:color="auto" w:sz="4" w:space="0"/>
            </w:tcBorders>
            <w:vAlign w:val="center"/>
          </w:tcPr>
          <w:p w14:paraId="57C117DD">
            <w:pPr>
              <w:pStyle w:val="26"/>
              <w:spacing w:line="240" w:lineRule="auto"/>
              <w:ind w:left="0"/>
              <w:jc w:val="center"/>
              <w:outlineLvl w:val="0"/>
              <w:rPr>
                <w:rFonts w:ascii="宋体"/>
                <w:sz w:val="21"/>
                <w:szCs w:val="21"/>
              </w:rPr>
            </w:pPr>
            <w:bookmarkStart w:id="8" w:name="_Hlk344477914"/>
            <w:r>
              <w:rPr>
                <w:rFonts w:hint="eastAsia" w:ascii="宋体"/>
                <w:sz w:val="21"/>
                <w:szCs w:val="21"/>
              </w:rPr>
              <w:t>无线电专网对接电子政务外网测试验证</w:t>
            </w:r>
          </w:p>
        </w:tc>
        <w:tc>
          <w:tcPr>
            <w:tcW w:w="1417" w:type="dxa"/>
            <w:tcBorders>
              <w:top w:val="single" w:color="auto" w:sz="4" w:space="0"/>
              <w:left w:val="single" w:color="auto" w:sz="4" w:space="0"/>
              <w:right w:val="single" w:color="auto" w:sz="4" w:space="0"/>
            </w:tcBorders>
            <w:vAlign w:val="center"/>
          </w:tcPr>
          <w:p w14:paraId="25BD681B">
            <w:pPr>
              <w:pStyle w:val="26"/>
              <w:spacing w:line="240" w:lineRule="auto"/>
              <w:ind w:left="0"/>
              <w:jc w:val="center"/>
              <w:outlineLvl w:val="0"/>
              <w:rPr>
                <w:rFonts w:ascii="宋体"/>
                <w:sz w:val="21"/>
                <w:szCs w:val="21"/>
              </w:rPr>
            </w:pPr>
            <w:r>
              <w:rPr>
                <w:rFonts w:hint="eastAsia" w:ascii="宋体"/>
                <w:sz w:val="21"/>
                <w:szCs w:val="21"/>
              </w:rPr>
              <w:t>37.3</w:t>
            </w:r>
          </w:p>
        </w:tc>
        <w:tc>
          <w:tcPr>
            <w:tcW w:w="1418" w:type="dxa"/>
            <w:tcBorders>
              <w:top w:val="single" w:color="auto" w:sz="4" w:space="0"/>
              <w:left w:val="single" w:color="auto" w:sz="4" w:space="0"/>
              <w:right w:val="single" w:color="auto" w:sz="4" w:space="0"/>
            </w:tcBorders>
            <w:vAlign w:val="center"/>
          </w:tcPr>
          <w:p w14:paraId="6E4FA015">
            <w:pPr>
              <w:pStyle w:val="26"/>
              <w:spacing w:line="240" w:lineRule="auto"/>
              <w:ind w:left="0"/>
              <w:jc w:val="center"/>
              <w:outlineLvl w:val="0"/>
              <w:rPr>
                <w:rFonts w:ascii="宋体"/>
                <w:sz w:val="21"/>
                <w:szCs w:val="21"/>
              </w:rPr>
            </w:pPr>
            <w:r>
              <w:rPr>
                <w:rFonts w:hint="eastAsia" w:ascii="宋体"/>
                <w:sz w:val="21"/>
                <w:szCs w:val="21"/>
              </w:rPr>
              <w:t>0</w:t>
            </w:r>
            <w:r>
              <w:rPr>
                <w:rFonts w:ascii="宋体"/>
                <w:sz w:val="21"/>
                <w:szCs w:val="21"/>
              </w:rPr>
              <w:t>.6</w:t>
            </w:r>
          </w:p>
        </w:tc>
        <w:tc>
          <w:tcPr>
            <w:tcW w:w="1276" w:type="dxa"/>
            <w:tcBorders>
              <w:top w:val="single" w:color="auto" w:sz="4" w:space="0"/>
              <w:left w:val="single" w:color="auto" w:sz="4" w:space="0"/>
              <w:right w:val="single" w:color="auto" w:sz="4" w:space="0"/>
            </w:tcBorders>
            <w:vAlign w:val="center"/>
          </w:tcPr>
          <w:p w14:paraId="7FBD4262">
            <w:pPr>
              <w:pStyle w:val="26"/>
              <w:spacing w:line="240" w:lineRule="auto"/>
              <w:ind w:left="0"/>
              <w:jc w:val="center"/>
              <w:outlineLvl w:val="0"/>
              <w:rPr>
                <w:rFonts w:ascii="宋体"/>
                <w:sz w:val="21"/>
                <w:szCs w:val="21"/>
              </w:rPr>
            </w:pPr>
            <w:r>
              <w:rPr>
                <w:rFonts w:ascii="宋体"/>
                <w:sz w:val="21"/>
                <w:szCs w:val="21"/>
              </w:rPr>
              <w:t>1</w:t>
            </w:r>
          </w:p>
        </w:tc>
        <w:tc>
          <w:tcPr>
            <w:tcW w:w="2409" w:type="dxa"/>
            <w:tcBorders>
              <w:top w:val="single" w:color="auto" w:sz="4" w:space="0"/>
              <w:left w:val="single" w:color="auto" w:sz="4" w:space="0"/>
              <w:right w:val="single" w:color="auto" w:sz="4" w:space="0"/>
            </w:tcBorders>
            <w:vAlign w:val="center"/>
          </w:tcPr>
          <w:p w14:paraId="1AA89414">
            <w:pPr>
              <w:pStyle w:val="26"/>
              <w:spacing w:line="240" w:lineRule="auto"/>
              <w:ind w:left="0"/>
              <w:jc w:val="center"/>
              <w:outlineLvl w:val="0"/>
              <w:rPr>
                <w:rFonts w:ascii="宋体"/>
                <w:sz w:val="21"/>
                <w:szCs w:val="21"/>
              </w:rPr>
            </w:pPr>
            <w:r>
              <w:rPr>
                <w:rFonts w:hint="eastAsia" w:ascii="宋体"/>
                <w:sz w:val="21"/>
                <w:szCs w:val="21"/>
              </w:rPr>
              <w:t>其他未列明行业</w:t>
            </w:r>
          </w:p>
        </w:tc>
      </w:tr>
      <w:bookmarkEnd w:id="8"/>
    </w:tbl>
    <w:p w14:paraId="148FE133">
      <w:pPr>
        <w:pStyle w:val="5"/>
        <w:spacing w:before="0" w:after="0" w:line="360" w:lineRule="auto"/>
        <w:ind w:firstLine="482" w:firstLineChars="200"/>
        <w:rPr>
          <w:rFonts w:ascii="宋体"/>
          <w:sz w:val="24"/>
          <w:szCs w:val="24"/>
        </w:rPr>
      </w:pPr>
      <w:bookmarkStart w:id="9" w:name="_Toc141860847"/>
      <w:r>
        <w:rPr>
          <w:rFonts w:hint="eastAsia" w:ascii="宋体"/>
          <w:sz w:val="24"/>
          <w:szCs w:val="24"/>
        </w:rPr>
        <w:t>二、资金来源</w:t>
      </w:r>
      <w:bookmarkEnd w:id="9"/>
    </w:p>
    <w:p w14:paraId="6EBF0BB6">
      <w:pPr>
        <w:snapToGrid w:val="0"/>
        <w:spacing w:line="360" w:lineRule="auto"/>
        <w:ind w:firstLine="480" w:firstLineChars="200"/>
        <w:rPr>
          <w:rFonts w:ascii="宋体"/>
          <w:sz w:val="24"/>
          <w:szCs w:val="24"/>
        </w:rPr>
      </w:pPr>
      <w:r>
        <w:rPr>
          <w:rFonts w:hint="eastAsia" w:ascii="宋体"/>
          <w:sz w:val="24"/>
          <w:szCs w:val="24"/>
        </w:rPr>
        <w:t>财政预算</w:t>
      </w:r>
      <w:r>
        <w:rPr>
          <w:rFonts w:ascii="宋体"/>
          <w:sz w:val="24"/>
          <w:szCs w:val="24"/>
        </w:rPr>
        <w:t>资金</w:t>
      </w:r>
      <w:r>
        <w:rPr>
          <w:rFonts w:hint="eastAsia" w:ascii="宋体"/>
          <w:sz w:val="24"/>
          <w:szCs w:val="24"/>
        </w:rPr>
        <w:t>，预算金额为 37.3  万元。</w:t>
      </w:r>
    </w:p>
    <w:bookmarkEnd w:id="6"/>
    <w:bookmarkEnd w:id="7"/>
    <w:p w14:paraId="32312913">
      <w:pPr>
        <w:pStyle w:val="5"/>
        <w:spacing w:before="0" w:after="0" w:line="360" w:lineRule="auto"/>
        <w:ind w:firstLine="482" w:firstLineChars="200"/>
        <w:rPr>
          <w:rFonts w:ascii="宋体"/>
          <w:sz w:val="24"/>
          <w:szCs w:val="24"/>
        </w:rPr>
      </w:pPr>
      <w:bookmarkStart w:id="10" w:name="_Toc75258773"/>
      <w:bookmarkStart w:id="11" w:name="_Toc141860848"/>
      <w:r>
        <w:rPr>
          <w:rFonts w:hint="eastAsia" w:ascii="宋体"/>
          <w:sz w:val="24"/>
          <w:szCs w:val="24"/>
        </w:rPr>
        <w:t>三、供应商资格条件</w:t>
      </w:r>
      <w:bookmarkEnd w:id="10"/>
      <w:bookmarkEnd w:id="11"/>
    </w:p>
    <w:p w14:paraId="23017D5E">
      <w:pPr>
        <w:snapToGrid w:val="0"/>
        <w:spacing w:line="360" w:lineRule="auto"/>
        <w:ind w:firstLine="480" w:firstLineChars="200"/>
        <w:rPr>
          <w:rFonts w:ascii="宋体"/>
          <w:sz w:val="24"/>
          <w:szCs w:val="24"/>
        </w:rPr>
      </w:pPr>
      <w:bookmarkStart w:id="12" w:name="_Toc75258774"/>
      <w:r>
        <w:rPr>
          <w:rFonts w:hint="eastAsia" w:ascii="宋体"/>
          <w:sz w:val="24"/>
          <w:szCs w:val="24"/>
        </w:rPr>
        <w:t>（一）合格供应商应满足《中华人民共和国政府采购法》第二十二条规定；</w:t>
      </w:r>
    </w:p>
    <w:p w14:paraId="0B335339">
      <w:pPr>
        <w:snapToGrid w:val="0"/>
        <w:spacing w:line="360" w:lineRule="auto"/>
        <w:ind w:firstLine="480" w:firstLineChars="200"/>
        <w:rPr>
          <w:rFonts w:ascii="宋体"/>
          <w:sz w:val="24"/>
          <w:szCs w:val="24"/>
        </w:rPr>
      </w:pPr>
      <w:r>
        <w:rPr>
          <w:rFonts w:hint="eastAsia" w:ascii="宋体"/>
          <w:sz w:val="24"/>
          <w:szCs w:val="24"/>
        </w:rPr>
        <w:t>（二）本项目的特定资格条件：无；</w:t>
      </w:r>
    </w:p>
    <w:p w14:paraId="4B0C5D8A">
      <w:pPr>
        <w:snapToGrid w:val="0"/>
        <w:spacing w:line="360" w:lineRule="auto"/>
        <w:ind w:firstLine="480" w:firstLineChars="200"/>
        <w:rPr>
          <w:rFonts w:ascii="宋体"/>
          <w:sz w:val="24"/>
          <w:szCs w:val="24"/>
        </w:rPr>
      </w:pPr>
      <w:r>
        <w:rPr>
          <w:rFonts w:hint="eastAsia" w:ascii="宋体"/>
          <w:sz w:val="24"/>
          <w:szCs w:val="24"/>
        </w:rPr>
        <w:t>（三）落实政府采购政策需满足的资格要求：无。</w:t>
      </w:r>
    </w:p>
    <w:p w14:paraId="346D5AF0">
      <w:pPr>
        <w:pStyle w:val="5"/>
        <w:spacing w:before="0" w:after="0" w:line="360" w:lineRule="auto"/>
        <w:ind w:firstLine="482" w:firstLineChars="200"/>
        <w:rPr>
          <w:rFonts w:ascii="宋体"/>
          <w:sz w:val="24"/>
          <w:szCs w:val="24"/>
        </w:rPr>
      </w:pPr>
      <w:bookmarkStart w:id="13" w:name="_Toc141860849"/>
      <w:r>
        <w:rPr>
          <w:rFonts w:hint="eastAsia" w:ascii="宋体"/>
          <w:sz w:val="24"/>
          <w:szCs w:val="24"/>
        </w:rPr>
        <w:t>四、磋商有关说明</w:t>
      </w:r>
      <w:bookmarkEnd w:id="12"/>
      <w:bookmarkEnd w:id="13"/>
    </w:p>
    <w:p w14:paraId="624680ED">
      <w:pPr>
        <w:snapToGrid w:val="0"/>
        <w:spacing w:line="360" w:lineRule="auto"/>
        <w:ind w:firstLine="480" w:firstLineChars="200"/>
        <w:rPr>
          <w:rFonts w:ascii="宋体"/>
          <w:sz w:val="24"/>
          <w:szCs w:val="24"/>
        </w:rPr>
      </w:pPr>
      <w:r>
        <w:rPr>
          <w:rFonts w:hint="eastAsia" w:ascii="宋体"/>
          <w:sz w:val="24"/>
          <w:szCs w:val="24"/>
        </w:rPr>
        <w:t>（一）凡有意参加磋商的供应商，请到重庆市经济和信息化委员会网上（https://jjxxw.cq.gov.cn/）下载本项目磋商文件以及图纸、澄清等开标前公布的所有项目资料，无论供应商领取或下载与否，均视为已知晓所有招标内容。</w:t>
      </w:r>
    </w:p>
    <w:p w14:paraId="45CCF8D6">
      <w:pPr>
        <w:snapToGrid w:val="0"/>
        <w:spacing w:line="360" w:lineRule="auto"/>
        <w:ind w:firstLine="480" w:firstLineChars="200"/>
        <w:rPr>
          <w:rFonts w:ascii="宋体"/>
          <w:sz w:val="24"/>
          <w:szCs w:val="24"/>
        </w:rPr>
      </w:pPr>
      <w:r>
        <w:rPr>
          <w:rFonts w:hint="eastAsia" w:ascii="宋体"/>
          <w:sz w:val="24"/>
          <w:szCs w:val="24"/>
        </w:rPr>
        <w:t>（二）竞争性磋商文件报名期限：</w:t>
      </w:r>
      <w:r>
        <w:rPr>
          <w:rFonts w:ascii="宋体"/>
          <w:sz w:val="24"/>
          <w:szCs w:val="24"/>
        </w:rPr>
        <w:t>202</w:t>
      </w:r>
      <w:r>
        <w:rPr>
          <w:rFonts w:hint="eastAsia" w:ascii="宋体"/>
          <w:sz w:val="24"/>
          <w:szCs w:val="24"/>
        </w:rPr>
        <w:t>3年8月2日</w:t>
      </w:r>
      <w:r>
        <w:rPr>
          <w:rFonts w:ascii="宋体"/>
          <w:sz w:val="24"/>
          <w:szCs w:val="24"/>
        </w:rPr>
        <w:t>-202</w:t>
      </w:r>
      <w:r>
        <w:rPr>
          <w:rFonts w:hint="eastAsia" w:ascii="宋体"/>
          <w:sz w:val="24"/>
          <w:szCs w:val="24"/>
        </w:rPr>
        <w:t>3年8月9日（9:</w:t>
      </w:r>
      <w:r>
        <w:rPr>
          <w:rFonts w:ascii="宋体"/>
          <w:sz w:val="24"/>
          <w:szCs w:val="24"/>
        </w:rPr>
        <w:t>00</w:t>
      </w:r>
      <w:r>
        <w:rPr>
          <w:rFonts w:hint="eastAsia" w:ascii="宋体"/>
          <w:sz w:val="24"/>
          <w:szCs w:val="24"/>
        </w:rPr>
        <w:t>-</w:t>
      </w:r>
      <w:r>
        <w:rPr>
          <w:rFonts w:ascii="宋体"/>
          <w:sz w:val="24"/>
          <w:szCs w:val="24"/>
        </w:rPr>
        <w:t>17</w:t>
      </w:r>
      <w:r>
        <w:rPr>
          <w:rFonts w:hint="eastAsia" w:ascii="宋体"/>
          <w:sz w:val="24"/>
          <w:szCs w:val="24"/>
        </w:rPr>
        <w:t>:0</w:t>
      </w:r>
      <w:r>
        <w:rPr>
          <w:rFonts w:ascii="宋体"/>
          <w:sz w:val="24"/>
          <w:szCs w:val="24"/>
        </w:rPr>
        <w:t>0</w:t>
      </w:r>
      <w:r>
        <w:rPr>
          <w:rFonts w:hint="eastAsia" w:ascii="宋体"/>
          <w:sz w:val="24"/>
          <w:szCs w:val="24"/>
        </w:rPr>
        <w:t>）。</w:t>
      </w:r>
    </w:p>
    <w:p w14:paraId="6373036E">
      <w:pPr>
        <w:snapToGrid w:val="0"/>
        <w:spacing w:line="360" w:lineRule="auto"/>
        <w:ind w:firstLine="480" w:firstLineChars="200"/>
        <w:rPr>
          <w:rFonts w:ascii="宋体"/>
          <w:sz w:val="24"/>
          <w:szCs w:val="24"/>
        </w:rPr>
      </w:pPr>
      <w:r>
        <w:rPr>
          <w:rFonts w:hint="eastAsia" w:ascii="宋体"/>
          <w:sz w:val="24"/>
          <w:szCs w:val="24"/>
        </w:rPr>
        <w:t>（三）竞争性磋商文件发售</w:t>
      </w:r>
    </w:p>
    <w:p w14:paraId="4E577D0F">
      <w:pPr>
        <w:snapToGrid w:val="0"/>
        <w:spacing w:line="360" w:lineRule="auto"/>
        <w:ind w:firstLine="480" w:firstLineChars="200"/>
        <w:rPr>
          <w:rFonts w:ascii="宋体"/>
          <w:sz w:val="24"/>
          <w:szCs w:val="24"/>
        </w:rPr>
      </w:pPr>
      <w:r>
        <w:rPr>
          <w:rFonts w:hint="eastAsia" w:ascii="宋体"/>
          <w:sz w:val="24"/>
          <w:szCs w:val="24"/>
        </w:rPr>
        <w:t>1.竞争性磋商文件报名期限内，供应商将《采购文件发售登记表》（加盖供应商公章）</w:t>
      </w:r>
      <w:r>
        <w:fldChar w:fldCharType="begin"/>
      </w:r>
      <w:r>
        <w:instrText xml:space="preserve"> HYPERLINK "mailto:及标书费转账凭证扫描后发送至hulin@cqchinabase.com" </w:instrText>
      </w:r>
      <w:r>
        <w:fldChar w:fldCharType="separate"/>
      </w:r>
      <w:r>
        <w:rPr>
          <w:rFonts w:hint="eastAsia" w:ascii="宋体"/>
          <w:sz w:val="24"/>
          <w:szCs w:val="24"/>
        </w:rPr>
        <w:t>及标书费转账凭证扫描后发送至hulin@cqchinabase.com</w:t>
      </w:r>
      <w:r>
        <w:rPr>
          <w:rFonts w:hint="eastAsia" w:ascii="宋体"/>
          <w:sz w:val="24"/>
          <w:szCs w:val="24"/>
        </w:rPr>
        <w:fldChar w:fldCharType="end"/>
      </w:r>
      <w:r>
        <w:rPr>
          <w:rFonts w:hint="eastAsia" w:ascii="宋体"/>
          <w:sz w:val="24"/>
          <w:szCs w:val="24"/>
        </w:rPr>
        <w:t>。</w:t>
      </w:r>
    </w:p>
    <w:p w14:paraId="0D658A16">
      <w:pPr>
        <w:snapToGrid w:val="0"/>
        <w:spacing w:line="360" w:lineRule="auto"/>
        <w:ind w:firstLine="480" w:firstLineChars="200"/>
        <w:rPr>
          <w:rFonts w:ascii="宋体"/>
          <w:sz w:val="24"/>
          <w:szCs w:val="24"/>
        </w:rPr>
      </w:pPr>
      <w:r>
        <w:rPr>
          <w:rFonts w:hint="eastAsia" w:ascii="宋体"/>
          <w:sz w:val="24"/>
          <w:szCs w:val="24"/>
        </w:rPr>
        <w:t>2.售价：人民币</w:t>
      </w:r>
      <w:r>
        <w:rPr>
          <w:rFonts w:hint="eastAsia" w:ascii="宋体"/>
          <w:sz w:val="24"/>
          <w:szCs w:val="24"/>
          <w:u w:val="single"/>
        </w:rPr>
        <w:t xml:space="preserve"> 300</w:t>
      </w:r>
      <w:r>
        <w:rPr>
          <w:rFonts w:hint="eastAsia" w:ascii="宋体"/>
          <w:sz w:val="24"/>
          <w:szCs w:val="24"/>
        </w:rPr>
        <w:t xml:space="preserve"> 元/分包（售后不退）</w:t>
      </w:r>
    </w:p>
    <w:p w14:paraId="0B6F151C">
      <w:pPr>
        <w:snapToGrid w:val="0"/>
        <w:spacing w:line="360" w:lineRule="auto"/>
        <w:ind w:firstLine="480" w:firstLineChars="200"/>
        <w:rPr>
          <w:rFonts w:ascii="宋体"/>
          <w:sz w:val="24"/>
          <w:szCs w:val="24"/>
        </w:rPr>
      </w:pPr>
      <w:r>
        <w:rPr>
          <w:rFonts w:hint="eastAsia" w:ascii="宋体"/>
          <w:sz w:val="24"/>
          <w:szCs w:val="24"/>
        </w:rPr>
        <w:t>3.收款账户：</w:t>
      </w:r>
    </w:p>
    <w:p w14:paraId="3F897F9B">
      <w:pPr>
        <w:snapToGrid w:val="0"/>
        <w:spacing w:line="360" w:lineRule="auto"/>
        <w:ind w:firstLine="480" w:firstLineChars="200"/>
        <w:rPr>
          <w:rFonts w:ascii="宋体"/>
          <w:sz w:val="24"/>
          <w:szCs w:val="24"/>
        </w:rPr>
      </w:pPr>
      <w:r>
        <w:rPr>
          <w:rFonts w:hint="eastAsia" w:ascii="宋体"/>
          <w:sz w:val="24"/>
          <w:szCs w:val="24"/>
        </w:rPr>
        <w:t>户  名：重庆市中基致信招标代理有限公司</w:t>
      </w:r>
    </w:p>
    <w:p w14:paraId="18F12C23">
      <w:pPr>
        <w:snapToGrid w:val="0"/>
        <w:spacing w:line="360" w:lineRule="auto"/>
        <w:ind w:firstLine="480" w:firstLineChars="200"/>
        <w:rPr>
          <w:rFonts w:ascii="宋体"/>
          <w:sz w:val="24"/>
          <w:szCs w:val="24"/>
        </w:rPr>
      </w:pPr>
      <w:r>
        <w:rPr>
          <w:rFonts w:hint="eastAsia" w:ascii="宋体"/>
          <w:sz w:val="24"/>
          <w:szCs w:val="24"/>
        </w:rPr>
        <w:t>开户 行：中国银行重庆江北支行</w:t>
      </w:r>
    </w:p>
    <w:p w14:paraId="7736F17C">
      <w:pPr>
        <w:snapToGrid w:val="0"/>
        <w:spacing w:line="360" w:lineRule="auto"/>
        <w:ind w:firstLine="480" w:firstLineChars="200"/>
        <w:rPr>
          <w:rFonts w:ascii="宋体"/>
          <w:sz w:val="24"/>
          <w:szCs w:val="24"/>
        </w:rPr>
      </w:pPr>
      <w:r>
        <w:rPr>
          <w:rFonts w:hint="eastAsia" w:ascii="宋体"/>
          <w:sz w:val="24"/>
          <w:szCs w:val="24"/>
        </w:rPr>
        <w:t>账  号：1144 6718 4234</w:t>
      </w:r>
    </w:p>
    <w:p w14:paraId="11DB19C9">
      <w:pPr>
        <w:snapToGrid w:val="0"/>
        <w:spacing w:line="360" w:lineRule="auto"/>
        <w:ind w:firstLine="480" w:firstLineChars="200"/>
        <w:rPr>
          <w:rFonts w:ascii="宋体"/>
          <w:sz w:val="24"/>
          <w:szCs w:val="24"/>
        </w:rPr>
      </w:pPr>
      <w:r>
        <w:rPr>
          <w:rFonts w:hint="eastAsia" w:ascii="宋体"/>
          <w:sz w:val="24"/>
          <w:szCs w:val="24"/>
        </w:rPr>
        <w:t>4.未进行报名的潜在供应商将不得参与磋商。</w:t>
      </w:r>
    </w:p>
    <w:p w14:paraId="1D78F1B0">
      <w:pPr>
        <w:snapToGrid w:val="0"/>
        <w:spacing w:line="360" w:lineRule="auto"/>
        <w:ind w:firstLine="480" w:firstLineChars="200"/>
        <w:rPr>
          <w:rFonts w:ascii="宋体"/>
          <w:sz w:val="24"/>
          <w:szCs w:val="24"/>
        </w:rPr>
      </w:pPr>
      <w:r>
        <w:rPr>
          <w:rFonts w:hint="eastAsia" w:ascii="宋体"/>
          <w:sz w:val="24"/>
          <w:szCs w:val="24"/>
        </w:rPr>
        <w:t>（四）供应商须满足以下三种要件，其响应文件才被接受：</w:t>
      </w:r>
    </w:p>
    <w:p w14:paraId="43DCB338">
      <w:pPr>
        <w:snapToGrid w:val="0"/>
        <w:spacing w:line="360" w:lineRule="auto"/>
        <w:ind w:firstLine="480" w:firstLineChars="200"/>
        <w:rPr>
          <w:rFonts w:ascii="宋体"/>
          <w:sz w:val="24"/>
          <w:szCs w:val="24"/>
        </w:rPr>
      </w:pPr>
      <w:r>
        <w:rPr>
          <w:rFonts w:ascii="宋体"/>
          <w:sz w:val="24"/>
          <w:szCs w:val="24"/>
        </w:rPr>
        <w:t>1.</w:t>
      </w:r>
      <w:r>
        <w:rPr>
          <w:rFonts w:hint="eastAsia" w:ascii="宋体"/>
          <w:sz w:val="24"/>
          <w:szCs w:val="24"/>
        </w:rPr>
        <w:t>完成报名；</w:t>
      </w:r>
    </w:p>
    <w:p w14:paraId="04D453B9">
      <w:pPr>
        <w:snapToGrid w:val="0"/>
        <w:spacing w:line="360" w:lineRule="auto"/>
        <w:ind w:firstLine="480" w:firstLineChars="200"/>
        <w:rPr>
          <w:rFonts w:ascii="宋体"/>
          <w:sz w:val="24"/>
          <w:szCs w:val="24"/>
        </w:rPr>
      </w:pPr>
      <w:r>
        <w:rPr>
          <w:rFonts w:ascii="宋体"/>
          <w:sz w:val="24"/>
          <w:szCs w:val="24"/>
        </w:rPr>
        <w:t>2.</w:t>
      </w:r>
      <w:r>
        <w:rPr>
          <w:rFonts w:hint="eastAsia" w:ascii="宋体"/>
          <w:sz w:val="24"/>
          <w:szCs w:val="24"/>
        </w:rPr>
        <w:t>按时递交了响应文件；</w:t>
      </w:r>
    </w:p>
    <w:p w14:paraId="609C94A8">
      <w:pPr>
        <w:snapToGrid w:val="0"/>
        <w:spacing w:line="360" w:lineRule="auto"/>
        <w:ind w:firstLine="480" w:firstLineChars="200"/>
        <w:rPr>
          <w:rFonts w:ascii="宋体"/>
          <w:sz w:val="24"/>
          <w:szCs w:val="24"/>
        </w:rPr>
      </w:pPr>
      <w:r>
        <w:rPr>
          <w:rFonts w:ascii="宋体"/>
          <w:sz w:val="24"/>
          <w:szCs w:val="24"/>
        </w:rPr>
        <w:t>3.</w:t>
      </w:r>
      <w:r>
        <w:rPr>
          <w:rFonts w:hint="eastAsia" w:ascii="宋体"/>
          <w:sz w:val="24"/>
          <w:szCs w:val="24"/>
        </w:rPr>
        <w:t>按时签到。</w:t>
      </w:r>
    </w:p>
    <w:p w14:paraId="71FFD090">
      <w:pPr>
        <w:snapToGrid w:val="0"/>
        <w:spacing w:line="360" w:lineRule="auto"/>
        <w:ind w:firstLine="480" w:firstLineChars="200"/>
        <w:rPr>
          <w:rFonts w:ascii="宋体"/>
          <w:sz w:val="24"/>
          <w:szCs w:val="24"/>
        </w:rPr>
      </w:pPr>
      <w:r>
        <w:rPr>
          <w:rFonts w:hint="eastAsia" w:ascii="宋体"/>
          <w:sz w:val="24"/>
          <w:szCs w:val="24"/>
        </w:rPr>
        <w:t>（五）递交响应文件地点：重庆市中基致信招标代理有限公司会议室</w:t>
      </w:r>
    </w:p>
    <w:p w14:paraId="7DF114DA">
      <w:pPr>
        <w:snapToGrid w:val="0"/>
        <w:spacing w:line="360" w:lineRule="auto"/>
        <w:ind w:firstLine="480" w:firstLineChars="200"/>
        <w:rPr>
          <w:rFonts w:ascii="宋体"/>
          <w:sz w:val="24"/>
          <w:szCs w:val="24"/>
        </w:rPr>
      </w:pPr>
      <w:r>
        <w:rPr>
          <w:rFonts w:hint="eastAsia" w:ascii="宋体"/>
          <w:sz w:val="24"/>
          <w:szCs w:val="24"/>
        </w:rPr>
        <w:t>（六）响应文件递交开始和截止时间：</w:t>
      </w:r>
      <w:r>
        <w:rPr>
          <w:rFonts w:ascii="宋体"/>
          <w:sz w:val="24"/>
          <w:szCs w:val="24"/>
        </w:rPr>
        <w:t>2023</w:t>
      </w:r>
      <w:r>
        <w:rPr>
          <w:rFonts w:hint="eastAsia" w:ascii="宋体"/>
          <w:sz w:val="24"/>
          <w:szCs w:val="24"/>
        </w:rPr>
        <w:t>年8月1</w:t>
      </w:r>
      <w:r>
        <w:rPr>
          <w:rFonts w:ascii="宋体"/>
          <w:sz w:val="24"/>
          <w:szCs w:val="24"/>
        </w:rPr>
        <w:t>5</w:t>
      </w:r>
      <w:r>
        <w:rPr>
          <w:rFonts w:hint="eastAsia" w:ascii="宋体"/>
          <w:sz w:val="24"/>
          <w:szCs w:val="24"/>
        </w:rPr>
        <w:t>日北京时间</w:t>
      </w:r>
      <w:r>
        <w:rPr>
          <w:rFonts w:ascii="宋体"/>
          <w:sz w:val="24"/>
          <w:szCs w:val="24"/>
        </w:rPr>
        <w:t>15</w:t>
      </w:r>
      <w:r>
        <w:rPr>
          <w:rFonts w:hint="eastAsia" w:ascii="宋体"/>
          <w:sz w:val="24"/>
          <w:szCs w:val="24"/>
        </w:rPr>
        <w:t>:</w:t>
      </w:r>
      <w:r>
        <w:rPr>
          <w:rFonts w:ascii="宋体"/>
          <w:sz w:val="24"/>
          <w:szCs w:val="24"/>
        </w:rPr>
        <w:t>00</w:t>
      </w:r>
      <w:r>
        <w:rPr>
          <w:rFonts w:hint="eastAsia" w:ascii="宋体"/>
          <w:sz w:val="24"/>
          <w:szCs w:val="24"/>
        </w:rPr>
        <w:t>-</w:t>
      </w:r>
      <w:r>
        <w:rPr>
          <w:rFonts w:ascii="宋体"/>
          <w:sz w:val="24"/>
          <w:szCs w:val="24"/>
        </w:rPr>
        <w:t>15</w:t>
      </w:r>
      <w:r>
        <w:rPr>
          <w:rFonts w:hint="eastAsia" w:ascii="宋体"/>
          <w:sz w:val="24"/>
          <w:szCs w:val="24"/>
        </w:rPr>
        <w:t>:</w:t>
      </w:r>
      <w:r>
        <w:rPr>
          <w:rFonts w:ascii="宋体"/>
          <w:sz w:val="24"/>
          <w:szCs w:val="24"/>
        </w:rPr>
        <w:t>3</w:t>
      </w:r>
      <w:r>
        <w:rPr>
          <w:rFonts w:hint="eastAsia" w:ascii="宋体"/>
          <w:sz w:val="24"/>
          <w:szCs w:val="24"/>
        </w:rPr>
        <w:t>0</w:t>
      </w:r>
    </w:p>
    <w:p w14:paraId="24B9E8CE">
      <w:pPr>
        <w:snapToGrid w:val="0"/>
        <w:spacing w:line="360" w:lineRule="auto"/>
        <w:ind w:firstLine="480" w:firstLineChars="200"/>
        <w:rPr>
          <w:rFonts w:ascii="宋体"/>
          <w:sz w:val="24"/>
          <w:szCs w:val="24"/>
        </w:rPr>
      </w:pPr>
      <w:r>
        <w:rPr>
          <w:rFonts w:hint="eastAsia" w:ascii="宋体"/>
          <w:sz w:val="24"/>
          <w:szCs w:val="24"/>
        </w:rPr>
        <w:t>（七）响应文件开启时间：</w:t>
      </w:r>
      <w:r>
        <w:rPr>
          <w:rFonts w:ascii="宋体"/>
          <w:sz w:val="24"/>
          <w:szCs w:val="24"/>
        </w:rPr>
        <w:t>2023</w:t>
      </w:r>
      <w:r>
        <w:rPr>
          <w:rFonts w:hint="eastAsia" w:ascii="宋体"/>
          <w:sz w:val="24"/>
          <w:szCs w:val="24"/>
        </w:rPr>
        <w:t>年8月1</w:t>
      </w:r>
      <w:r>
        <w:rPr>
          <w:rFonts w:ascii="宋体"/>
          <w:sz w:val="24"/>
          <w:szCs w:val="24"/>
        </w:rPr>
        <w:t>5</w:t>
      </w:r>
      <w:r>
        <w:rPr>
          <w:rFonts w:hint="eastAsia" w:ascii="宋体"/>
          <w:sz w:val="24"/>
          <w:szCs w:val="24"/>
        </w:rPr>
        <w:t>日北京时间</w:t>
      </w:r>
      <w:r>
        <w:rPr>
          <w:rFonts w:ascii="宋体"/>
          <w:sz w:val="24"/>
          <w:szCs w:val="24"/>
        </w:rPr>
        <w:t>15</w:t>
      </w:r>
      <w:r>
        <w:rPr>
          <w:rFonts w:hint="eastAsia" w:ascii="宋体"/>
          <w:sz w:val="24"/>
          <w:szCs w:val="24"/>
        </w:rPr>
        <w:t>:</w:t>
      </w:r>
      <w:r>
        <w:rPr>
          <w:rFonts w:ascii="宋体"/>
          <w:sz w:val="24"/>
          <w:szCs w:val="24"/>
        </w:rPr>
        <w:t>3</w:t>
      </w:r>
      <w:r>
        <w:rPr>
          <w:rFonts w:hint="eastAsia" w:ascii="宋体"/>
          <w:sz w:val="24"/>
          <w:szCs w:val="24"/>
        </w:rPr>
        <w:t>0</w:t>
      </w:r>
    </w:p>
    <w:p w14:paraId="0B24F930">
      <w:pPr>
        <w:pStyle w:val="5"/>
        <w:spacing w:before="0" w:after="0" w:line="360" w:lineRule="auto"/>
        <w:ind w:firstLine="482" w:firstLineChars="200"/>
        <w:rPr>
          <w:rFonts w:ascii="宋体"/>
          <w:sz w:val="24"/>
          <w:szCs w:val="24"/>
        </w:rPr>
      </w:pPr>
      <w:bookmarkStart w:id="14" w:name="_Toc75258775"/>
      <w:bookmarkStart w:id="15" w:name="_Toc373860294"/>
      <w:bookmarkStart w:id="16" w:name="_Toc141860850"/>
      <w:r>
        <w:rPr>
          <w:rFonts w:hint="eastAsia" w:ascii="宋体"/>
          <w:sz w:val="24"/>
          <w:szCs w:val="24"/>
        </w:rPr>
        <w:t>五、磋商保证金</w:t>
      </w:r>
      <w:bookmarkEnd w:id="14"/>
      <w:bookmarkEnd w:id="15"/>
      <w:bookmarkEnd w:id="16"/>
    </w:p>
    <w:p w14:paraId="24784B74">
      <w:pPr>
        <w:snapToGrid w:val="0"/>
        <w:spacing w:line="360" w:lineRule="auto"/>
        <w:ind w:firstLine="480" w:firstLineChars="200"/>
        <w:rPr>
          <w:rFonts w:ascii="宋体"/>
          <w:sz w:val="24"/>
          <w:szCs w:val="24"/>
        </w:rPr>
      </w:pPr>
      <w:bookmarkStart w:id="17" w:name="_Toc530038692"/>
      <w:r>
        <w:rPr>
          <w:rFonts w:hint="eastAsia" w:ascii="宋体"/>
          <w:sz w:val="24"/>
          <w:szCs w:val="24"/>
        </w:rPr>
        <w:t>（一）磋商保证金递交</w:t>
      </w:r>
    </w:p>
    <w:p w14:paraId="35F370A4">
      <w:pPr>
        <w:snapToGrid w:val="0"/>
        <w:spacing w:line="360" w:lineRule="auto"/>
        <w:ind w:firstLine="480" w:firstLineChars="200"/>
        <w:rPr>
          <w:rFonts w:ascii="宋体"/>
          <w:sz w:val="24"/>
          <w:szCs w:val="24"/>
        </w:rPr>
      </w:pPr>
      <w:r>
        <w:rPr>
          <w:rFonts w:hint="eastAsia" w:ascii="宋体"/>
          <w:sz w:val="24"/>
          <w:szCs w:val="24"/>
        </w:rPr>
        <w:t>供应商须按本项目规定的磋商保证金金额进行缴纳（</w:t>
      </w:r>
      <w:r>
        <w:rPr>
          <w:rFonts w:hint="eastAsia" w:ascii="宋体"/>
          <w:b/>
          <w:bCs/>
          <w:sz w:val="24"/>
          <w:szCs w:val="24"/>
        </w:rPr>
        <w:t>保证金金额详见本篇，一、竞争性磋商内容</w:t>
      </w:r>
      <w:r>
        <w:rPr>
          <w:rFonts w:hint="eastAsia" w:ascii="宋体"/>
          <w:sz w:val="24"/>
          <w:szCs w:val="24"/>
        </w:rPr>
        <w:t>），由供应商从其单位账户将磋商保证金汇至以下任一账户，磋商保证金的到账截止时间为</w:t>
      </w:r>
      <w:r>
        <w:rPr>
          <w:rFonts w:ascii="宋体"/>
          <w:sz w:val="24"/>
          <w:szCs w:val="24"/>
        </w:rPr>
        <w:t>2023</w:t>
      </w:r>
      <w:r>
        <w:rPr>
          <w:rFonts w:hint="eastAsia" w:ascii="宋体"/>
          <w:sz w:val="24"/>
          <w:szCs w:val="24"/>
        </w:rPr>
        <w:t>年8月1</w:t>
      </w:r>
      <w:r>
        <w:rPr>
          <w:rFonts w:ascii="宋体"/>
          <w:sz w:val="24"/>
          <w:szCs w:val="24"/>
        </w:rPr>
        <w:t>4</w:t>
      </w:r>
      <w:r>
        <w:rPr>
          <w:rFonts w:hint="eastAsia" w:ascii="宋体"/>
          <w:sz w:val="24"/>
          <w:szCs w:val="24"/>
        </w:rPr>
        <w:t>日17:00。缴纳保证金时必须备注项目号。</w:t>
      </w:r>
    </w:p>
    <w:p w14:paraId="573512B4">
      <w:pPr>
        <w:snapToGrid w:val="0"/>
        <w:spacing w:line="360" w:lineRule="auto"/>
        <w:ind w:firstLine="480" w:firstLineChars="200"/>
        <w:rPr>
          <w:rFonts w:ascii="宋体"/>
          <w:sz w:val="24"/>
          <w:szCs w:val="24"/>
        </w:rPr>
      </w:pPr>
      <w:r>
        <w:rPr>
          <w:rFonts w:hint="eastAsia" w:ascii="宋体"/>
          <w:sz w:val="24"/>
          <w:szCs w:val="24"/>
        </w:rPr>
        <w:t>投标保证金账户：</w:t>
      </w:r>
    </w:p>
    <w:p w14:paraId="2A1B560A">
      <w:pPr>
        <w:snapToGrid w:val="0"/>
        <w:spacing w:line="360" w:lineRule="auto"/>
        <w:ind w:firstLine="480" w:firstLineChars="200"/>
        <w:rPr>
          <w:rFonts w:ascii="宋体"/>
          <w:sz w:val="24"/>
          <w:szCs w:val="24"/>
        </w:rPr>
      </w:pPr>
      <w:r>
        <w:rPr>
          <w:rFonts w:hint="eastAsia" w:ascii="宋体"/>
          <w:sz w:val="24"/>
          <w:szCs w:val="24"/>
        </w:rPr>
        <w:t>户  名：重庆市中基致信招标代理有限公司</w:t>
      </w:r>
    </w:p>
    <w:p w14:paraId="75C07E85">
      <w:pPr>
        <w:snapToGrid w:val="0"/>
        <w:spacing w:line="360" w:lineRule="auto"/>
        <w:ind w:firstLine="480" w:firstLineChars="200"/>
        <w:rPr>
          <w:rFonts w:ascii="宋体"/>
          <w:sz w:val="24"/>
          <w:szCs w:val="24"/>
        </w:rPr>
      </w:pPr>
      <w:r>
        <w:rPr>
          <w:rFonts w:hint="eastAsia" w:ascii="宋体"/>
          <w:sz w:val="24"/>
          <w:szCs w:val="24"/>
        </w:rPr>
        <w:t>开户行：中国银行重庆江北支行</w:t>
      </w:r>
    </w:p>
    <w:p w14:paraId="74C299B1">
      <w:pPr>
        <w:snapToGrid w:val="0"/>
        <w:spacing w:line="360" w:lineRule="auto"/>
        <w:ind w:firstLine="480" w:firstLineChars="200"/>
        <w:rPr>
          <w:rFonts w:ascii="宋体"/>
          <w:sz w:val="24"/>
          <w:szCs w:val="24"/>
        </w:rPr>
      </w:pPr>
      <w:r>
        <w:rPr>
          <w:rFonts w:hint="eastAsia" w:ascii="宋体"/>
          <w:sz w:val="24"/>
          <w:szCs w:val="24"/>
        </w:rPr>
        <w:t>账  号：1144 6718 4234</w:t>
      </w:r>
    </w:p>
    <w:p w14:paraId="688F125C">
      <w:pPr>
        <w:snapToGrid w:val="0"/>
        <w:spacing w:line="360" w:lineRule="auto"/>
        <w:ind w:firstLine="480" w:firstLineChars="200"/>
        <w:rPr>
          <w:rFonts w:ascii="宋体"/>
          <w:sz w:val="24"/>
          <w:szCs w:val="24"/>
        </w:rPr>
      </w:pPr>
      <w:r>
        <w:rPr>
          <w:rFonts w:hint="eastAsia" w:ascii="宋体"/>
          <w:sz w:val="24"/>
          <w:szCs w:val="24"/>
        </w:rPr>
        <w:t>（二）保证金退还方式</w:t>
      </w:r>
    </w:p>
    <w:p w14:paraId="53C04563">
      <w:pPr>
        <w:snapToGrid w:val="0"/>
        <w:spacing w:line="360" w:lineRule="auto"/>
        <w:ind w:firstLine="480" w:firstLineChars="200"/>
        <w:rPr>
          <w:rFonts w:ascii="宋体"/>
          <w:sz w:val="24"/>
          <w:szCs w:val="24"/>
        </w:rPr>
      </w:pPr>
      <w:r>
        <w:rPr>
          <w:rFonts w:hint="eastAsia" w:ascii="宋体"/>
          <w:sz w:val="24"/>
          <w:szCs w:val="24"/>
        </w:rPr>
        <w:t>1.非成交供应商的保证金，在成交通知书发放后，由采购代理机构在五个工作日内按来款渠道直接退还。</w:t>
      </w:r>
    </w:p>
    <w:p w14:paraId="1232CB5F">
      <w:pPr>
        <w:snapToGrid w:val="0"/>
        <w:spacing w:line="360" w:lineRule="auto"/>
        <w:ind w:firstLine="480" w:firstLineChars="200"/>
        <w:rPr>
          <w:rFonts w:ascii="宋体"/>
          <w:sz w:val="24"/>
          <w:szCs w:val="24"/>
        </w:rPr>
      </w:pPr>
      <w:r>
        <w:rPr>
          <w:rFonts w:hint="eastAsia" w:ascii="宋体"/>
          <w:sz w:val="24"/>
          <w:szCs w:val="24"/>
        </w:rPr>
        <w:t>2.成交供应商的投标保证金，在成交供应商与采购人签订合同后，由采购代理机构扣除中标服务费后在五个工作日内按资金来款渠道直接退还。</w:t>
      </w:r>
    </w:p>
    <w:p w14:paraId="41B0BE46">
      <w:pPr>
        <w:snapToGrid w:val="0"/>
        <w:spacing w:line="360" w:lineRule="auto"/>
        <w:ind w:firstLine="480" w:firstLineChars="200"/>
        <w:rPr>
          <w:rFonts w:ascii="宋体"/>
          <w:sz w:val="24"/>
          <w:szCs w:val="24"/>
        </w:rPr>
      </w:pPr>
      <w:r>
        <w:rPr>
          <w:rFonts w:hint="eastAsia" w:ascii="宋体"/>
          <w:sz w:val="24"/>
          <w:szCs w:val="24"/>
        </w:rPr>
        <w:t>咨询电话：（023）88758852。</w:t>
      </w:r>
    </w:p>
    <w:p w14:paraId="34805733">
      <w:pPr>
        <w:snapToGrid w:val="0"/>
        <w:spacing w:line="360" w:lineRule="auto"/>
        <w:ind w:firstLine="480" w:firstLineChars="200"/>
        <w:rPr>
          <w:rFonts w:ascii="宋体"/>
          <w:sz w:val="24"/>
          <w:szCs w:val="24"/>
        </w:rPr>
      </w:pPr>
      <w:r>
        <w:rPr>
          <w:rFonts w:hint="eastAsia" w:ascii="宋体"/>
          <w:sz w:val="24"/>
          <w:szCs w:val="24"/>
        </w:rPr>
        <w:t>（二）保证金退还方式</w:t>
      </w:r>
    </w:p>
    <w:p w14:paraId="3A9E1C37">
      <w:pPr>
        <w:snapToGrid w:val="0"/>
        <w:spacing w:line="360" w:lineRule="auto"/>
        <w:ind w:firstLine="480" w:firstLineChars="200"/>
        <w:rPr>
          <w:rFonts w:ascii="宋体"/>
          <w:sz w:val="24"/>
          <w:szCs w:val="24"/>
        </w:rPr>
      </w:pPr>
      <w:r>
        <w:rPr>
          <w:rFonts w:hint="eastAsia" w:ascii="宋体"/>
          <w:sz w:val="24"/>
          <w:szCs w:val="24"/>
        </w:rPr>
        <w:t>1.未成交供应商的保证金，在中标通知书发放后，由采购代理机构在五个工作日内按来款渠道直接退还。</w:t>
      </w:r>
    </w:p>
    <w:p w14:paraId="5EAD37E8">
      <w:pPr>
        <w:snapToGrid w:val="0"/>
        <w:spacing w:line="360" w:lineRule="auto"/>
        <w:ind w:firstLine="480" w:firstLineChars="200"/>
        <w:rPr>
          <w:rFonts w:ascii="宋体"/>
          <w:sz w:val="24"/>
          <w:szCs w:val="24"/>
        </w:rPr>
      </w:pPr>
      <w:r>
        <w:rPr>
          <w:rFonts w:hint="eastAsia" w:ascii="宋体"/>
          <w:sz w:val="24"/>
          <w:szCs w:val="24"/>
        </w:rPr>
        <w:t>2. 成交供应商的投标保证金，在成交供应商与采购人签订合同并将合同复印件递交采购代理机构后，由采购代理机构扣除中标服务费后在五个工作日内按资金来款渠道直接退还。</w:t>
      </w:r>
    </w:p>
    <w:p w14:paraId="36469586">
      <w:pPr>
        <w:snapToGrid w:val="0"/>
        <w:spacing w:line="360" w:lineRule="auto"/>
        <w:ind w:firstLine="480" w:firstLineChars="200"/>
        <w:jc w:val="left"/>
        <w:rPr>
          <w:rFonts w:ascii="宋体"/>
          <w:sz w:val="24"/>
          <w:szCs w:val="24"/>
        </w:rPr>
      </w:pPr>
      <w:r>
        <w:rPr>
          <w:rFonts w:hint="eastAsia" w:ascii="宋体"/>
          <w:sz w:val="24"/>
          <w:szCs w:val="24"/>
        </w:rPr>
        <w:t>咨询电话：（023）88758852。</w:t>
      </w:r>
    </w:p>
    <w:p w14:paraId="4CE31224">
      <w:pPr>
        <w:pStyle w:val="5"/>
        <w:spacing w:before="0" w:after="0" w:line="360" w:lineRule="auto"/>
        <w:ind w:firstLine="482" w:firstLineChars="200"/>
        <w:rPr>
          <w:rFonts w:ascii="宋体"/>
          <w:sz w:val="24"/>
          <w:szCs w:val="24"/>
        </w:rPr>
      </w:pPr>
      <w:bookmarkStart w:id="18" w:name="_Toc75258776"/>
      <w:bookmarkStart w:id="19" w:name="_Toc141860851"/>
      <w:r>
        <w:rPr>
          <w:rFonts w:hint="eastAsia" w:ascii="宋体"/>
          <w:sz w:val="24"/>
          <w:szCs w:val="24"/>
        </w:rPr>
        <w:t>六、采购项目需落实的政府采购政策</w:t>
      </w:r>
      <w:bookmarkEnd w:id="17"/>
      <w:bookmarkEnd w:id="18"/>
      <w:bookmarkEnd w:id="19"/>
    </w:p>
    <w:p w14:paraId="3E3BCE76">
      <w:pPr>
        <w:snapToGrid w:val="0"/>
        <w:spacing w:line="360" w:lineRule="auto"/>
        <w:ind w:firstLine="480" w:firstLineChars="200"/>
        <w:rPr>
          <w:rFonts w:ascii="宋体"/>
          <w:sz w:val="24"/>
          <w:szCs w:val="24"/>
        </w:rPr>
      </w:pPr>
      <w:r>
        <w:rPr>
          <w:rFonts w:hint="eastAsia" w:ascii="宋体"/>
          <w:sz w:val="24"/>
          <w:szCs w:val="24"/>
        </w:rPr>
        <w:t>（一）按照《财政部生态环境部关于印发环境标志产品政府采购品目清单的通知》（财库〔</w:t>
      </w:r>
      <w:r>
        <w:rPr>
          <w:rFonts w:ascii="宋体"/>
          <w:sz w:val="24"/>
          <w:szCs w:val="24"/>
        </w:rPr>
        <w:t>2019</w:t>
      </w:r>
      <w:r>
        <w:rPr>
          <w:rFonts w:hint="eastAsia" w:ascii="宋体"/>
          <w:sz w:val="24"/>
          <w:szCs w:val="24"/>
        </w:rPr>
        <w:t>〕</w:t>
      </w:r>
      <w:r>
        <w:rPr>
          <w:rFonts w:ascii="宋体"/>
          <w:sz w:val="24"/>
          <w:szCs w:val="24"/>
        </w:rPr>
        <w:t>18</w:t>
      </w:r>
      <w:r>
        <w:rPr>
          <w:rFonts w:hint="eastAsia" w:ascii="宋体"/>
          <w:sz w:val="24"/>
          <w:szCs w:val="24"/>
        </w:rPr>
        <w:t>号）和《财政部发展改革委关于印发节能产品政府采购品目清单的通知》（财库〔</w:t>
      </w:r>
      <w:r>
        <w:rPr>
          <w:rFonts w:ascii="宋体"/>
          <w:sz w:val="24"/>
          <w:szCs w:val="24"/>
        </w:rPr>
        <w:t>2019</w:t>
      </w:r>
      <w:r>
        <w:rPr>
          <w:rFonts w:hint="eastAsia" w:ascii="宋体"/>
          <w:sz w:val="24"/>
          <w:szCs w:val="24"/>
        </w:rPr>
        <w:t>〕</w:t>
      </w:r>
      <w:r>
        <w:rPr>
          <w:rFonts w:ascii="宋体"/>
          <w:sz w:val="24"/>
          <w:szCs w:val="24"/>
        </w:rPr>
        <w:t>19</w:t>
      </w:r>
      <w:r>
        <w:rPr>
          <w:rFonts w:hint="eastAsia" w:ascii="宋体"/>
          <w:sz w:val="24"/>
          <w:szCs w:val="24"/>
        </w:rPr>
        <w:t>号）的规定，落实国家节能环保政策。</w:t>
      </w:r>
    </w:p>
    <w:p w14:paraId="176C677A">
      <w:pPr>
        <w:snapToGrid w:val="0"/>
        <w:spacing w:line="360" w:lineRule="auto"/>
        <w:ind w:firstLine="480" w:firstLineChars="200"/>
        <w:rPr>
          <w:rFonts w:ascii="宋体"/>
          <w:sz w:val="24"/>
          <w:szCs w:val="24"/>
        </w:rPr>
      </w:pPr>
      <w:r>
        <w:rPr>
          <w:rFonts w:hint="eastAsia" w:ascii="宋体"/>
          <w:sz w:val="24"/>
          <w:szCs w:val="24"/>
        </w:rPr>
        <w:t>（二）按照《关于印发&lt;政府采购促进中小企业发展管理办法&gt;的通知》（财库〔2020〕46号）的规定，落实促进中小企业发展政策。</w:t>
      </w:r>
    </w:p>
    <w:p w14:paraId="34CA684C">
      <w:pPr>
        <w:snapToGrid w:val="0"/>
        <w:spacing w:line="360" w:lineRule="auto"/>
        <w:ind w:firstLine="480" w:firstLineChars="200"/>
        <w:rPr>
          <w:rFonts w:ascii="宋体"/>
          <w:sz w:val="24"/>
          <w:szCs w:val="24"/>
        </w:rPr>
      </w:pPr>
      <w:r>
        <w:rPr>
          <w:rFonts w:hint="eastAsia" w:ascii="宋体"/>
          <w:sz w:val="24"/>
          <w:szCs w:val="24"/>
        </w:rPr>
        <w:t>（三）按照《财政部、司法部关于政府采购支持监狱企业发展有关问题的通知》（财库〔</w:t>
      </w:r>
      <w:r>
        <w:rPr>
          <w:rFonts w:ascii="宋体"/>
          <w:sz w:val="24"/>
          <w:szCs w:val="24"/>
        </w:rPr>
        <w:t>2014</w:t>
      </w:r>
      <w:r>
        <w:rPr>
          <w:rFonts w:hint="eastAsia" w:ascii="宋体"/>
          <w:sz w:val="24"/>
          <w:szCs w:val="24"/>
        </w:rPr>
        <w:t>〕</w:t>
      </w:r>
      <w:r>
        <w:rPr>
          <w:rFonts w:ascii="宋体"/>
          <w:sz w:val="24"/>
          <w:szCs w:val="24"/>
        </w:rPr>
        <w:t>68</w:t>
      </w:r>
      <w:r>
        <w:rPr>
          <w:rFonts w:hint="eastAsia" w:ascii="宋体"/>
          <w:sz w:val="24"/>
          <w:szCs w:val="24"/>
        </w:rPr>
        <w:t>号）的规定，落实支持监狱企业发展政策。</w:t>
      </w:r>
    </w:p>
    <w:p w14:paraId="540FEF32">
      <w:pPr>
        <w:snapToGrid w:val="0"/>
        <w:spacing w:line="360" w:lineRule="auto"/>
        <w:ind w:firstLine="480" w:firstLineChars="200"/>
        <w:rPr>
          <w:rFonts w:ascii="宋体"/>
          <w:sz w:val="24"/>
          <w:szCs w:val="24"/>
        </w:rPr>
      </w:pPr>
      <w:r>
        <w:rPr>
          <w:rFonts w:hint="eastAsia" w:ascii="宋体"/>
          <w:sz w:val="24"/>
          <w:szCs w:val="24"/>
        </w:rPr>
        <w:t>（四）按照《三部门联合发布关于促进残疾人就业政府采购政策的通知》（财库〔</w:t>
      </w:r>
      <w:r>
        <w:rPr>
          <w:rFonts w:ascii="宋体"/>
          <w:sz w:val="24"/>
          <w:szCs w:val="24"/>
        </w:rPr>
        <w:t>2017</w:t>
      </w:r>
      <w:r>
        <w:rPr>
          <w:rFonts w:hint="eastAsia" w:ascii="宋体"/>
          <w:sz w:val="24"/>
          <w:szCs w:val="24"/>
        </w:rPr>
        <w:t>〕</w:t>
      </w:r>
      <w:r>
        <w:rPr>
          <w:rFonts w:ascii="宋体"/>
          <w:sz w:val="24"/>
          <w:szCs w:val="24"/>
        </w:rPr>
        <w:t xml:space="preserve"> 141</w:t>
      </w:r>
      <w:r>
        <w:rPr>
          <w:rFonts w:hint="eastAsia" w:ascii="宋体"/>
          <w:sz w:val="24"/>
          <w:szCs w:val="24"/>
        </w:rPr>
        <w:t>号）的规定，落实支持残疾人福利性单位发展政策。</w:t>
      </w:r>
    </w:p>
    <w:p w14:paraId="025824DD">
      <w:pPr>
        <w:pStyle w:val="5"/>
        <w:spacing w:before="0" w:after="0" w:line="360" w:lineRule="auto"/>
        <w:ind w:firstLine="482" w:firstLineChars="200"/>
        <w:rPr>
          <w:rFonts w:ascii="宋体"/>
          <w:sz w:val="24"/>
          <w:szCs w:val="24"/>
        </w:rPr>
      </w:pPr>
      <w:bookmarkStart w:id="20" w:name="_Toc75258777"/>
      <w:bookmarkStart w:id="21" w:name="_Toc141860852"/>
      <w:r>
        <w:rPr>
          <w:rFonts w:hint="eastAsia" w:ascii="宋体"/>
          <w:sz w:val="24"/>
          <w:szCs w:val="24"/>
        </w:rPr>
        <w:t>七、其它有关规定</w:t>
      </w:r>
      <w:bookmarkEnd w:id="20"/>
      <w:bookmarkEnd w:id="21"/>
    </w:p>
    <w:p w14:paraId="0A8AE1A5">
      <w:pPr>
        <w:snapToGrid w:val="0"/>
        <w:spacing w:line="360" w:lineRule="auto"/>
        <w:ind w:firstLine="480" w:firstLineChars="200"/>
        <w:rPr>
          <w:rFonts w:ascii="宋体"/>
          <w:sz w:val="24"/>
          <w:szCs w:val="24"/>
        </w:rPr>
      </w:pPr>
      <w:r>
        <w:rPr>
          <w:rFonts w:hint="eastAsia" w:ascii="宋体"/>
          <w:sz w:val="24"/>
          <w:szCs w:val="24"/>
        </w:rPr>
        <w:t>（一）单位负责人为同一人或者存在直接控股、管理关系的不同供应商，不得参加同一合同项下的采购活动，否则均为无效响应。</w:t>
      </w:r>
    </w:p>
    <w:p w14:paraId="0CFF22A1">
      <w:pPr>
        <w:snapToGrid w:val="0"/>
        <w:spacing w:line="360" w:lineRule="auto"/>
        <w:ind w:firstLine="480" w:firstLineChars="200"/>
        <w:rPr>
          <w:rFonts w:ascii="宋体"/>
          <w:sz w:val="24"/>
          <w:szCs w:val="24"/>
        </w:rPr>
      </w:pPr>
      <w:r>
        <w:rPr>
          <w:rFonts w:hint="eastAsia" w:ascii="宋体"/>
          <w:sz w:val="24"/>
          <w:szCs w:val="24"/>
        </w:rPr>
        <w:t>（二）为采购项目提供整体设计、规范编制或者项目管理、监理、检测等服务的供应商，不得再参加该采购项目的其他采购活动，否则均为无效响应。</w:t>
      </w:r>
    </w:p>
    <w:p w14:paraId="32E040FD">
      <w:pPr>
        <w:snapToGrid w:val="0"/>
        <w:spacing w:line="360" w:lineRule="auto"/>
        <w:ind w:firstLine="480" w:firstLineChars="200"/>
        <w:rPr>
          <w:rFonts w:ascii="宋体"/>
          <w:sz w:val="24"/>
          <w:szCs w:val="24"/>
        </w:rPr>
      </w:pPr>
      <w:r>
        <w:rPr>
          <w:rFonts w:hint="eastAsia" w:ascii="宋体"/>
          <w:sz w:val="24"/>
          <w:szCs w:val="24"/>
        </w:rPr>
        <w:t>（三）本项目在响应文件提交截止时间前发布的竞争性磋商文件及补遗文件（如果有）一律在重庆市经济和信息化委员会网上（https://jjxxw.cq.gov.cn/）发布，请各供应商注意下载；无论供应商下载与否，均视同供应商已知晓本项目竞争性磋商文件、补遗文件（如果有）的内容。</w:t>
      </w:r>
    </w:p>
    <w:p w14:paraId="6029F191">
      <w:pPr>
        <w:snapToGrid w:val="0"/>
        <w:spacing w:line="360" w:lineRule="auto"/>
        <w:ind w:firstLine="480" w:firstLineChars="200"/>
        <w:rPr>
          <w:rFonts w:ascii="宋体"/>
          <w:sz w:val="24"/>
          <w:szCs w:val="24"/>
        </w:rPr>
      </w:pPr>
      <w:r>
        <w:rPr>
          <w:rFonts w:hint="eastAsia" w:ascii="宋体"/>
          <w:sz w:val="24"/>
          <w:szCs w:val="24"/>
        </w:rPr>
        <w:t>（四）超过响应文件截止时间递交的响应文件为无效文件，恕不接收。</w:t>
      </w:r>
    </w:p>
    <w:p w14:paraId="442541CF">
      <w:pPr>
        <w:snapToGrid w:val="0"/>
        <w:spacing w:line="360" w:lineRule="auto"/>
        <w:ind w:firstLine="480" w:firstLineChars="200"/>
        <w:rPr>
          <w:rFonts w:ascii="宋体"/>
          <w:sz w:val="24"/>
          <w:szCs w:val="24"/>
        </w:rPr>
      </w:pPr>
      <w:r>
        <w:rPr>
          <w:rFonts w:hint="eastAsia" w:ascii="宋体"/>
          <w:sz w:val="24"/>
          <w:szCs w:val="24"/>
        </w:rPr>
        <w:t>（五）磋商费用：无论磋商结果如何，供应商参与本项目磋商的所有费用均应由供应商自行承担。</w:t>
      </w:r>
    </w:p>
    <w:p w14:paraId="645A7EE2">
      <w:pPr>
        <w:snapToGrid w:val="0"/>
        <w:spacing w:line="360" w:lineRule="auto"/>
        <w:ind w:firstLine="480" w:firstLineChars="200"/>
        <w:rPr>
          <w:rFonts w:ascii="宋体"/>
          <w:sz w:val="24"/>
          <w:szCs w:val="24"/>
        </w:rPr>
      </w:pPr>
      <w:r>
        <w:rPr>
          <w:rFonts w:hint="eastAsia" w:ascii="宋体"/>
          <w:sz w:val="24"/>
          <w:szCs w:val="24"/>
        </w:rPr>
        <w:t>（六）本项目不接受联合体形式磋商。</w:t>
      </w:r>
    </w:p>
    <w:p w14:paraId="7EC29863">
      <w:pPr>
        <w:snapToGrid w:val="0"/>
        <w:spacing w:line="360" w:lineRule="auto"/>
        <w:ind w:firstLine="480" w:firstLineChars="200"/>
        <w:rPr>
          <w:rFonts w:ascii="宋体"/>
          <w:sz w:val="24"/>
          <w:szCs w:val="24"/>
        </w:rPr>
      </w:pPr>
      <w:r>
        <w:rPr>
          <w:rFonts w:hint="eastAsia" w:ascii="宋体"/>
          <w:sz w:val="24"/>
          <w:szCs w:val="24"/>
        </w:rPr>
        <w:t>（七）本项目不接受合同分包。</w:t>
      </w:r>
    </w:p>
    <w:p w14:paraId="0A5D0A93">
      <w:pPr>
        <w:snapToGrid w:val="0"/>
        <w:spacing w:line="360" w:lineRule="auto"/>
        <w:ind w:firstLine="480" w:firstLineChars="200"/>
        <w:rPr>
          <w:rFonts w:ascii="宋体"/>
          <w:sz w:val="24"/>
          <w:szCs w:val="24"/>
        </w:rPr>
      </w:pPr>
      <w:r>
        <w:rPr>
          <w:rFonts w:hint="eastAsia" w:ascii="宋体"/>
          <w:sz w:val="24"/>
          <w:szCs w:val="24"/>
        </w:rPr>
        <w:t>（八）按照《财政部关于在政府采购活动中查询及使用信用记录有关问题的通知》财库〔</w:t>
      </w:r>
      <w:r>
        <w:rPr>
          <w:rFonts w:ascii="宋体"/>
          <w:sz w:val="24"/>
          <w:szCs w:val="24"/>
        </w:rPr>
        <w:t>2016</w:t>
      </w:r>
      <w:r>
        <w:rPr>
          <w:rFonts w:hint="eastAsia" w:ascii="宋体"/>
          <w:sz w:val="24"/>
          <w:szCs w:val="24"/>
        </w:rPr>
        <w:t>〕</w:t>
      </w:r>
      <w:r>
        <w:rPr>
          <w:rFonts w:ascii="宋体"/>
          <w:sz w:val="24"/>
          <w:szCs w:val="24"/>
        </w:rPr>
        <w:t>125</w:t>
      </w:r>
      <w:r>
        <w:rPr>
          <w:rFonts w:hint="eastAsia" w:ascii="宋体"/>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14:paraId="2E6B5F94">
      <w:pPr>
        <w:pStyle w:val="5"/>
        <w:spacing w:before="0" w:after="0" w:line="360" w:lineRule="auto"/>
        <w:ind w:firstLine="482" w:firstLineChars="200"/>
        <w:rPr>
          <w:rFonts w:ascii="宋体"/>
          <w:sz w:val="24"/>
          <w:szCs w:val="24"/>
        </w:rPr>
      </w:pPr>
      <w:bookmarkStart w:id="22" w:name="_Toc141860853"/>
      <w:r>
        <w:rPr>
          <w:rFonts w:hint="eastAsia" w:ascii="宋体"/>
          <w:sz w:val="24"/>
          <w:szCs w:val="24"/>
        </w:rPr>
        <w:t>八、联系方式</w:t>
      </w:r>
      <w:bookmarkEnd w:id="22"/>
    </w:p>
    <w:p w14:paraId="683E70C1">
      <w:pPr>
        <w:snapToGrid w:val="0"/>
        <w:spacing w:line="360" w:lineRule="auto"/>
        <w:ind w:firstLine="480" w:firstLineChars="200"/>
        <w:rPr>
          <w:rFonts w:ascii="宋体"/>
          <w:sz w:val="24"/>
          <w:szCs w:val="24"/>
        </w:rPr>
      </w:pPr>
      <w:r>
        <w:rPr>
          <w:rFonts w:hint="eastAsia" w:ascii="宋体"/>
          <w:sz w:val="24"/>
          <w:szCs w:val="24"/>
        </w:rPr>
        <w:t>（一）采购人：</w:t>
      </w:r>
      <w:r>
        <w:rPr>
          <w:rFonts w:ascii="宋体"/>
          <w:sz w:val="24"/>
          <w:szCs w:val="24"/>
        </w:rPr>
        <w:t>重庆市无线电监测站</w:t>
      </w:r>
    </w:p>
    <w:p w14:paraId="3E787A99">
      <w:pPr>
        <w:snapToGrid w:val="0"/>
        <w:spacing w:line="360" w:lineRule="auto"/>
        <w:ind w:firstLine="480" w:firstLineChars="200"/>
        <w:rPr>
          <w:rFonts w:ascii="宋体"/>
          <w:sz w:val="24"/>
          <w:szCs w:val="24"/>
        </w:rPr>
      </w:pPr>
      <w:r>
        <w:rPr>
          <w:rFonts w:hint="eastAsia" w:ascii="宋体"/>
          <w:sz w:val="24"/>
          <w:szCs w:val="24"/>
        </w:rPr>
        <w:t xml:space="preserve">联系人：罗老师 </w:t>
      </w:r>
    </w:p>
    <w:p w14:paraId="2F041B4C">
      <w:pPr>
        <w:snapToGrid w:val="0"/>
        <w:spacing w:line="360" w:lineRule="auto"/>
        <w:ind w:firstLine="480" w:firstLineChars="200"/>
        <w:rPr>
          <w:rFonts w:ascii="宋体"/>
          <w:sz w:val="24"/>
          <w:szCs w:val="24"/>
        </w:rPr>
      </w:pPr>
      <w:r>
        <w:rPr>
          <w:rFonts w:hint="eastAsia" w:ascii="宋体"/>
          <w:sz w:val="24"/>
          <w:szCs w:val="24"/>
        </w:rPr>
        <w:t xml:space="preserve">电  话：（023）67710873 </w:t>
      </w:r>
    </w:p>
    <w:p w14:paraId="4B97F2AC">
      <w:pPr>
        <w:snapToGrid w:val="0"/>
        <w:spacing w:line="360" w:lineRule="auto"/>
        <w:ind w:firstLine="480" w:firstLineChars="200"/>
        <w:rPr>
          <w:rFonts w:ascii="宋体"/>
          <w:sz w:val="24"/>
          <w:szCs w:val="24"/>
        </w:rPr>
      </w:pPr>
      <w:r>
        <w:rPr>
          <w:rFonts w:hint="eastAsia" w:ascii="宋体"/>
          <w:sz w:val="24"/>
          <w:szCs w:val="24"/>
        </w:rPr>
        <w:t>传  真：（023）67710873</w:t>
      </w:r>
    </w:p>
    <w:p w14:paraId="1F4595F1">
      <w:pPr>
        <w:snapToGrid w:val="0"/>
        <w:spacing w:line="360" w:lineRule="auto"/>
        <w:ind w:firstLine="480" w:firstLineChars="200"/>
        <w:rPr>
          <w:rFonts w:ascii="宋体"/>
          <w:sz w:val="24"/>
          <w:szCs w:val="24"/>
        </w:rPr>
      </w:pPr>
      <w:r>
        <w:rPr>
          <w:rFonts w:hint="eastAsia" w:ascii="宋体"/>
          <w:sz w:val="24"/>
          <w:szCs w:val="24"/>
        </w:rPr>
        <w:t>地  址：重庆市江北区兴隆路26号数码大厦16楼</w:t>
      </w:r>
    </w:p>
    <w:p w14:paraId="4B95EFC7">
      <w:pPr>
        <w:snapToGrid w:val="0"/>
        <w:spacing w:line="360" w:lineRule="auto"/>
        <w:ind w:firstLine="480" w:firstLineChars="200"/>
        <w:rPr>
          <w:rFonts w:ascii="宋体"/>
          <w:sz w:val="24"/>
          <w:szCs w:val="24"/>
        </w:rPr>
      </w:pPr>
      <w:r>
        <w:rPr>
          <w:rFonts w:hint="eastAsia" w:ascii="宋体"/>
          <w:sz w:val="24"/>
          <w:szCs w:val="24"/>
        </w:rPr>
        <w:t>（二）采购代理机构：重庆市中基致信招标代理有限公司</w:t>
      </w:r>
    </w:p>
    <w:p w14:paraId="521C8C18">
      <w:pPr>
        <w:snapToGrid w:val="0"/>
        <w:spacing w:line="360" w:lineRule="auto"/>
        <w:ind w:firstLine="480" w:firstLineChars="200"/>
        <w:rPr>
          <w:rFonts w:ascii="宋体"/>
          <w:sz w:val="24"/>
          <w:szCs w:val="24"/>
        </w:rPr>
      </w:pPr>
      <w:r>
        <w:rPr>
          <w:rFonts w:hint="eastAsia" w:ascii="宋体"/>
          <w:sz w:val="24"/>
          <w:szCs w:val="24"/>
        </w:rPr>
        <w:t>联系人：游建伟、胡琳</w:t>
      </w:r>
    </w:p>
    <w:p w14:paraId="2C3756A7">
      <w:pPr>
        <w:snapToGrid w:val="0"/>
        <w:spacing w:line="360" w:lineRule="auto"/>
        <w:ind w:firstLine="480" w:firstLineChars="200"/>
        <w:rPr>
          <w:rFonts w:ascii="宋体"/>
          <w:sz w:val="24"/>
          <w:szCs w:val="24"/>
        </w:rPr>
      </w:pPr>
      <w:r>
        <w:rPr>
          <w:rFonts w:hint="eastAsia" w:ascii="宋体"/>
          <w:sz w:val="24"/>
          <w:szCs w:val="24"/>
        </w:rPr>
        <w:t>电  话：（023）8</w:t>
      </w:r>
      <w:r>
        <w:rPr>
          <w:rFonts w:ascii="宋体"/>
          <w:sz w:val="24"/>
          <w:szCs w:val="24"/>
        </w:rPr>
        <w:t>8758847</w:t>
      </w:r>
      <w:r>
        <w:rPr>
          <w:rFonts w:hint="eastAsia" w:ascii="宋体"/>
          <w:sz w:val="24"/>
          <w:szCs w:val="24"/>
        </w:rPr>
        <w:t>、88758852</w:t>
      </w:r>
    </w:p>
    <w:p w14:paraId="620407A7">
      <w:pPr>
        <w:snapToGrid w:val="0"/>
        <w:spacing w:line="360" w:lineRule="auto"/>
        <w:ind w:firstLine="480" w:firstLineChars="200"/>
        <w:rPr>
          <w:rFonts w:ascii="宋体"/>
          <w:sz w:val="24"/>
          <w:szCs w:val="24"/>
        </w:rPr>
      </w:pPr>
      <w:r>
        <w:rPr>
          <w:rFonts w:hint="eastAsia" w:ascii="宋体"/>
          <w:sz w:val="24"/>
          <w:szCs w:val="24"/>
        </w:rPr>
        <w:t>传  真：（023）88505947</w:t>
      </w:r>
    </w:p>
    <w:p w14:paraId="4FA67A58">
      <w:pPr>
        <w:snapToGrid w:val="0"/>
        <w:spacing w:line="360" w:lineRule="auto"/>
        <w:ind w:firstLine="480" w:firstLineChars="200"/>
        <w:rPr>
          <w:rFonts w:ascii="宋体"/>
          <w:sz w:val="24"/>
          <w:szCs w:val="24"/>
        </w:rPr>
      </w:pPr>
      <w:bookmarkStart w:id="23" w:name="_Toc180051219"/>
      <w:bookmarkStart w:id="24" w:name="_Toc178828108"/>
      <w:bookmarkStart w:id="25" w:name="_Toc216163282"/>
      <w:r>
        <w:rPr>
          <w:rFonts w:hint="eastAsia" w:ascii="宋体"/>
          <w:sz w:val="24"/>
          <w:szCs w:val="24"/>
        </w:rPr>
        <w:t>地  址：重庆市渝北区财富大道2号财富大厦A座9楼</w:t>
      </w:r>
    </w:p>
    <w:p w14:paraId="40B0524B">
      <w:pPr>
        <w:pStyle w:val="24"/>
      </w:pPr>
    </w:p>
    <w:p w14:paraId="4751D64C">
      <w:pPr>
        <w:pStyle w:val="25"/>
      </w:pPr>
    </w:p>
    <w:bookmarkEnd w:id="23"/>
    <w:bookmarkEnd w:id="24"/>
    <w:bookmarkEnd w:id="25"/>
    <w:p w14:paraId="2996ED4A">
      <w:pPr>
        <w:pStyle w:val="4"/>
        <w:pageBreakBefore/>
        <w:spacing w:line="360" w:lineRule="auto"/>
        <w:jc w:val="center"/>
        <w:rPr>
          <w:rFonts w:ascii="宋体" w:eastAsia="宋体"/>
          <w:sz w:val="36"/>
          <w:szCs w:val="30"/>
        </w:rPr>
      </w:pPr>
      <w:bookmarkStart w:id="26" w:name="_Toc141860854"/>
      <w:r>
        <w:rPr>
          <w:rFonts w:hint="eastAsia" w:ascii="宋体" w:eastAsia="宋体"/>
          <w:sz w:val="36"/>
          <w:szCs w:val="30"/>
        </w:rPr>
        <w:t>第二篇  项目服务需求</w:t>
      </w:r>
      <w:bookmarkEnd w:id="26"/>
    </w:p>
    <w:p w14:paraId="1E19F4E5">
      <w:pPr>
        <w:snapToGrid w:val="0"/>
        <w:spacing w:line="360" w:lineRule="auto"/>
        <w:ind w:firstLine="422" w:firstLineChars="200"/>
        <w:rPr>
          <w:b/>
          <w:bCs/>
          <w:color w:val="000000"/>
          <w:sz w:val="21"/>
          <w:szCs w:val="21"/>
        </w:rPr>
      </w:pPr>
      <w:bookmarkStart w:id="27" w:name="_Toc12789058"/>
      <w:r>
        <w:rPr>
          <w:rFonts w:hint="eastAsia"/>
          <w:b/>
          <w:bCs/>
          <w:color w:val="000000"/>
          <w:sz w:val="21"/>
          <w:szCs w:val="21"/>
        </w:rPr>
        <w:t>“※”标注的要求为符合性审查中的实质性要求，响应文件若不满足按无效投标处理。</w:t>
      </w:r>
    </w:p>
    <w:p w14:paraId="64D4B3D4">
      <w:pPr>
        <w:snapToGrid w:val="0"/>
        <w:spacing w:line="360" w:lineRule="auto"/>
        <w:ind w:firstLine="422" w:firstLineChars="200"/>
        <w:rPr>
          <w:rFonts w:ascii="宋体"/>
          <w:b/>
          <w:bCs/>
          <w:sz w:val="21"/>
          <w:szCs w:val="21"/>
        </w:rPr>
      </w:pPr>
      <w:r>
        <w:rPr>
          <w:rFonts w:hint="eastAsia"/>
          <w:b/>
          <w:bCs/>
          <w:color w:val="000000"/>
          <w:sz w:val="21"/>
          <w:szCs w:val="21"/>
        </w:rPr>
        <w:t>“</w:t>
      </w:r>
      <w:r>
        <w:rPr>
          <w:rFonts w:hint="eastAsia" w:ascii="宋体" w:hAnsi="宋体"/>
          <w:b/>
          <w:bCs/>
          <w:color w:val="000000"/>
          <w:sz w:val="21"/>
          <w:szCs w:val="21"/>
        </w:rPr>
        <w:t>★</w:t>
      </w:r>
      <w:r>
        <w:rPr>
          <w:rFonts w:hint="eastAsia"/>
          <w:b/>
          <w:bCs/>
          <w:color w:val="000000"/>
          <w:sz w:val="21"/>
          <w:szCs w:val="21"/>
        </w:rPr>
        <w:t>”</w:t>
      </w:r>
      <w:r>
        <w:rPr>
          <w:b/>
          <w:bCs/>
          <w:color w:val="000000"/>
          <w:sz w:val="21"/>
          <w:szCs w:val="21"/>
        </w:rPr>
        <w:t>标注的技术需求为重要技术需求，若不满足将按照评标因素中相关规定处理。</w:t>
      </w:r>
      <w:bookmarkStart w:id="28" w:name="_Toc51854594"/>
      <w:bookmarkStart w:id="29" w:name="_Toc82422009"/>
    </w:p>
    <w:p w14:paraId="4F03C686">
      <w:pPr>
        <w:pStyle w:val="5"/>
        <w:spacing w:before="0" w:after="0" w:line="360" w:lineRule="auto"/>
        <w:ind w:firstLine="482" w:firstLineChars="200"/>
        <w:rPr>
          <w:rFonts w:ascii="宋体"/>
          <w:sz w:val="24"/>
          <w:szCs w:val="24"/>
        </w:rPr>
      </w:pPr>
      <w:bookmarkStart w:id="30" w:name="_Toc141860855"/>
      <w:r>
        <w:rPr>
          <w:rFonts w:hint="eastAsia" w:ascii="宋体"/>
          <w:sz w:val="24"/>
          <w:szCs w:val="24"/>
        </w:rPr>
        <w:t>一、项目基本概况介绍</w:t>
      </w:r>
      <w:bookmarkEnd w:id="30"/>
    </w:p>
    <w:p w14:paraId="5EE3DBD8">
      <w:pPr>
        <w:snapToGrid w:val="0"/>
        <w:spacing w:line="360" w:lineRule="auto"/>
        <w:ind w:firstLine="480" w:firstLineChars="200"/>
        <w:rPr>
          <w:rFonts w:ascii="宋体"/>
          <w:sz w:val="24"/>
          <w:szCs w:val="24"/>
        </w:rPr>
      </w:pPr>
      <w:r>
        <w:rPr>
          <w:rFonts w:hint="eastAsia"/>
          <w:color w:val="000000"/>
          <w:sz w:val="24"/>
          <w:szCs w:val="24"/>
        </w:rPr>
        <w:t xml:space="preserve"> </w:t>
      </w:r>
      <w:r>
        <w:rPr>
          <w:rFonts w:hint="eastAsia" w:ascii="宋体"/>
          <w:sz w:val="24"/>
          <w:szCs w:val="24"/>
        </w:rPr>
        <w:t>为推动数据融合，提升无线电管理行政效率，采购人计划2024年开展项目建设实现我市无线电专网对接电子政务外网，实现两张网络的无线电业务数据互通。本项目的建设目的是对无线电专网对接电子政务外网的技术可行性进行工程验证，验证的内容包括：我站仙桃机房与市经信委大楼之间光纤物理连接的可靠性、系统集成方案可行性、应用层数据交互可行性、数据准确性校验策略可行性，以及对接电子政务外网的网络安全风险。</w:t>
      </w:r>
    </w:p>
    <w:p w14:paraId="6675CD26">
      <w:pPr>
        <w:snapToGrid w:val="0"/>
        <w:spacing w:line="360" w:lineRule="auto"/>
        <w:ind w:firstLine="480" w:firstLineChars="200"/>
        <w:rPr>
          <w:rFonts w:ascii="宋体"/>
          <w:sz w:val="24"/>
          <w:szCs w:val="24"/>
        </w:rPr>
      </w:pPr>
      <w:r>
        <w:rPr>
          <w:rFonts w:hint="eastAsia" w:ascii="宋体"/>
          <w:sz w:val="24"/>
          <w:szCs w:val="24"/>
        </w:rPr>
        <w:t>其次，为确保规划无线电管理基础和技术设施任务落到实处，有必要开展重庆市无线电基础和技术设施“十四五”中期评估工作，对规划中相关目标任务完成情况进行全方位的监测与评估。同时，由于规划编制具有战略性、长期性和前瞻性的特点，在实施过程中，有必要根据外部条件变化对工作措施和方法进一步调整、优化。本次评估工作有利于化解规划落实过程中的堵点、难点，加大后续实施力度，促进规划的全面实施。</w:t>
      </w:r>
    </w:p>
    <w:p w14:paraId="504C2948">
      <w:pPr>
        <w:snapToGrid w:val="0"/>
        <w:spacing w:line="360" w:lineRule="auto"/>
        <w:ind w:firstLine="480" w:firstLineChars="200"/>
        <w:rPr>
          <w:rFonts w:ascii="宋体"/>
          <w:sz w:val="24"/>
          <w:szCs w:val="24"/>
        </w:rPr>
      </w:pPr>
      <w:r>
        <w:rPr>
          <w:rFonts w:hint="eastAsia" w:ascii="宋体"/>
          <w:sz w:val="24"/>
          <w:szCs w:val="24"/>
        </w:rPr>
        <w:t>此外，本项目计划采购一套门禁系统，安装在采购人在数码大厦的办公区域。</w:t>
      </w:r>
      <w:bookmarkStart w:id="31" w:name="_Toc98855993"/>
      <w:bookmarkStart w:id="32" w:name="_Toc51854593"/>
    </w:p>
    <w:p w14:paraId="14D8A060">
      <w:pPr>
        <w:pStyle w:val="5"/>
        <w:spacing w:before="0" w:after="0" w:line="360" w:lineRule="auto"/>
        <w:ind w:firstLine="482" w:firstLineChars="200"/>
        <w:rPr>
          <w:rFonts w:ascii="宋体"/>
          <w:sz w:val="24"/>
          <w:szCs w:val="24"/>
        </w:rPr>
      </w:pPr>
      <w:bookmarkStart w:id="33" w:name="_Toc141860856"/>
      <w:r>
        <w:rPr>
          <w:rFonts w:hint="eastAsia" w:ascii="宋体"/>
          <w:sz w:val="24"/>
          <w:szCs w:val="24"/>
        </w:rPr>
        <w:t>二、</w:t>
      </w:r>
      <w:bookmarkEnd w:id="31"/>
      <w:bookmarkEnd w:id="32"/>
      <w:r>
        <w:rPr>
          <w:rFonts w:hint="eastAsia" w:ascii="宋体"/>
          <w:sz w:val="24"/>
          <w:szCs w:val="24"/>
        </w:rPr>
        <w:t>技术要求</w:t>
      </w:r>
      <w:bookmarkEnd w:id="33"/>
    </w:p>
    <w:bookmarkEnd w:id="28"/>
    <w:bookmarkEnd w:id="29"/>
    <w:p w14:paraId="558D47F5">
      <w:pPr>
        <w:snapToGrid w:val="0"/>
        <w:spacing w:line="360" w:lineRule="auto"/>
        <w:ind w:firstLine="482" w:firstLineChars="200"/>
        <w:rPr>
          <w:rFonts w:ascii="宋体"/>
          <w:b/>
          <w:bCs/>
          <w:sz w:val="24"/>
          <w:szCs w:val="24"/>
        </w:rPr>
      </w:pPr>
      <w:r>
        <w:rPr>
          <w:rFonts w:hint="eastAsia" w:ascii="宋体"/>
          <w:b/>
          <w:bCs/>
          <w:sz w:val="24"/>
          <w:szCs w:val="24"/>
        </w:rPr>
        <w:t xml:space="preserve">1. </w:t>
      </w:r>
      <w:r>
        <w:rPr>
          <w:rFonts w:ascii="宋体"/>
          <w:b/>
          <w:bCs/>
          <w:sz w:val="24"/>
          <w:szCs w:val="24"/>
        </w:rPr>
        <w:t>无线电专网对接电子政务外网测试验证</w:t>
      </w:r>
    </w:p>
    <w:p w14:paraId="280E6DFA">
      <w:pPr>
        <w:snapToGrid w:val="0"/>
        <w:spacing w:line="360" w:lineRule="auto"/>
        <w:ind w:firstLine="480" w:firstLineChars="200"/>
        <w:rPr>
          <w:rFonts w:ascii="宋体"/>
          <w:sz w:val="24"/>
          <w:szCs w:val="24"/>
        </w:rPr>
      </w:pPr>
      <w:r>
        <w:rPr>
          <w:rFonts w:hint="eastAsia" w:ascii="宋体"/>
          <w:sz w:val="24"/>
          <w:szCs w:val="24"/>
        </w:rPr>
        <w:t>1.1 概述</w:t>
      </w:r>
    </w:p>
    <w:p w14:paraId="4C9DDFD8">
      <w:pPr>
        <w:snapToGrid w:val="0"/>
        <w:spacing w:line="360" w:lineRule="auto"/>
        <w:ind w:firstLine="480" w:firstLineChars="200"/>
        <w:rPr>
          <w:rFonts w:ascii="宋体"/>
          <w:sz w:val="24"/>
          <w:szCs w:val="24"/>
        </w:rPr>
      </w:pPr>
      <w:r>
        <w:rPr>
          <w:rFonts w:hint="eastAsia" w:ascii="宋体"/>
          <w:sz w:val="24"/>
          <w:szCs w:val="24"/>
        </w:rPr>
        <w:t>成交供应商应</w:t>
      </w:r>
      <w:r>
        <w:rPr>
          <w:rFonts w:ascii="宋体"/>
          <w:sz w:val="24"/>
          <w:szCs w:val="24"/>
        </w:rPr>
        <w:t>测试验证重庆市无线电专网与电子政务外网系统集成与数据交互的可行性。</w:t>
      </w:r>
      <w:r>
        <w:rPr>
          <w:rFonts w:hint="eastAsia" w:ascii="宋体"/>
          <w:sz w:val="24"/>
          <w:szCs w:val="24"/>
        </w:rPr>
        <w:t>应</w:t>
      </w:r>
      <w:r>
        <w:rPr>
          <w:rFonts w:ascii="宋体"/>
          <w:sz w:val="24"/>
          <w:szCs w:val="24"/>
        </w:rPr>
        <w:t>实施设备集成建设和软件开发工程实践，实现网络对接，并从两端网络输入测试数据并发起数据传输，对运营商网络专线、数据摆渡系统、应用层软件</w:t>
      </w:r>
      <w:r>
        <w:rPr>
          <w:rFonts w:hint="eastAsia" w:ascii="宋体"/>
          <w:sz w:val="24"/>
          <w:szCs w:val="24"/>
        </w:rPr>
        <w:t>开发</w:t>
      </w:r>
      <w:r>
        <w:rPr>
          <w:rFonts w:ascii="宋体"/>
          <w:sz w:val="24"/>
          <w:szCs w:val="24"/>
        </w:rPr>
        <w:t>、数据校验策略等重点环节进行工程验证</w:t>
      </w:r>
      <w:r>
        <w:rPr>
          <w:rFonts w:hint="eastAsia" w:ascii="宋体"/>
          <w:sz w:val="24"/>
          <w:szCs w:val="24"/>
        </w:rPr>
        <w:t>。</w:t>
      </w:r>
      <w:r>
        <w:rPr>
          <w:rFonts w:ascii="宋体"/>
          <w:sz w:val="24"/>
          <w:szCs w:val="24"/>
        </w:rPr>
        <w:t>验证文本、文档、图片等多种形式数据传输的完整性和准确性。同时还计划开展渗透测试，从电子政务外网发起对无线电专网的渗透入侵，验证无线电专网对接电子政务外网后，</w:t>
      </w:r>
      <w:r>
        <w:rPr>
          <w:rFonts w:hint="eastAsia" w:ascii="宋体"/>
          <w:sz w:val="24"/>
          <w:szCs w:val="24"/>
        </w:rPr>
        <w:t>无线电专网</w:t>
      </w:r>
      <w:r>
        <w:rPr>
          <w:rFonts w:ascii="宋体"/>
          <w:sz w:val="24"/>
          <w:szCs w:val="24"/>
        </w:rPr>
        <w:t>网络</w:t>
      </w:r>
      <w:r>
        <w:rPr>
          <w:rFonts w:hint="eastAsia" w:ascii="宋体"/>
          <w:sz w:val="24"/>
          <w:szCs w:val="24"/>
        </w:rPr>
        <w:t>边界</w:t>
      </w:r>
      <w:r>
        <w:rPr>
          <w:rFonts w:ascii="宋体"/>
          <w:sz w:val="24"/>
          <w:szCs w:val="24"/>
        </w:rPr>
        <w:t>是否</w:t>
      </w:r>
      <w:r>
        <w:rPr>
          <w:rFonts w:hint="eastAsia" w:ascii="宋体"/>
          <w:sz w:val="24"/>
          <w:szCs w:val="24"/>
        </w:rPr>
        <w:t>安全</w:t>
      </w:r>
      <w:r>
        <w:rPr>
          <w:rFonts w:ascii="宋体"/>
          <w:sz w:val="24"/>
          <w:szCs w:val="24"/>
        </w:rPr>
        <w:t>。</w:t>
      </w:r>
    </w:p>
    <w:p w14:paraId="5FA13B02">
      <w:pPr>
        <w:snapToGrid w:val="0"/>
        <w:spacing w:line="360" w:lineRule="auto"/>
        <w:ind w:firstLine="480" w:firstLineChars="200"/>
        <w:rPr>
          <w:rFonts w:ascii="宋体"/>
          <w:sz w:val="24"/>
          <w:szCs w:val="24"/>
        </w:rPr>
      </w:pPr>
      <w:r>
        <w:rPr>
          <w:rFonts w:ascii="宋体"/>
          <w:sz w:val="24"/>
          <w:szCs w:val="24"/>
        </w:rPr>
        <w:t>通过本项目</w:t>
      </w:r>
      <w:r>
        <w:rPr>
          <w:rFonts w:hint="eastAsia" w:ascii="宋体"/>
          <w:sz w:val="24"/>
          <w:szCs w:val="24"/>
        </w:rPr>
        <w:t>工程</w:t>
      </w:r>
      <w:r>
        <w:rPr>
          <w:rFonts w:ascii="宋体"/>
          <w:sz w:val="24"/>
          <w:szCs w:val="24"/>
        </w:rPr>
        <w:t>实施，</w:t>
      </w:r>
      <w:r>
        <w:rPr>
          <w:rFonts w:hint="eastAsia" w:ascii="宋体"/>
          <w:sz w:val="24"/>
          <w:szCs w:val="24"/>
        </w:rPr>
        <w:t>论证无线电专网对接电子政务外网</w:t>
      </w:r>
      <w:r>
        <w:rPr>
          <w:rFonts w:ascii="宋体"/>
          <w:sz w:val="24"/>
          <w:szCs w:val="24"/>
        </w:rPr>
        <w:t>技术方案</w:t>
      </w:r>
      <w:r>
        <w:rPr>
          <w:rFonts w:hint="eastAsia" w:ascii="宋体"/>
          <w:sz w:val="24"/>
          <w:szCs w:val="24"/>
        </w:rPr>
        <w:t>的可行性</w:t>
      </w:r>
      <w:r>
        <w:rPr>
          <w:rFonts w:ascii="宋体"/>
          <w:sz w:val="24"/>
          <w:szCs w:val="24"/>
        </w:rPr>
        <w:t>，</w:t>
      </w:r>
      <w:r>
        <w:rPr>
          <w:rFonts w:hint="eastAsia" w:ascii="宋体"/>
          <w:sz w:val="24"/>
          <w:szCs w:val="24"/>
        </w:rPr>
        <w:t>及时发现方案中可能存在的问题和漏洞，</w:t>
      </w:r>
      <w:r>
        <w:rPr>
          <w:rFonts w:ascii="宋体"/>
          <w:sz w:val="24"/>
          <w:szCs w:val="24"/>
        </w:rPr>
        <w:t>为2024年项目初步设计和工程建设提供依据。</w:t>
      </w:r>
    </w:p>
    <w:p w14:paraId="476197E3">
      <w:pPr>
        <w:snapToGrid w:val="0"/>
        <w:spacing w:line="360" w:lineRule="auto"/>
        <w:ind w:firstLine="480" w:firstLineChars="200"/>
        <w:rPr>
          <w:rFonts w:ascii="宋体"/>
          <w:sz w:val="24"/>
          <w:szCs w:val="24"/>
        </w:rPr>
      </w:pPr>
      <w:r>
        <w:rPr>
          <w:rFonts w:hint="eastAsia" w:ascii="宋体"/>
          <w:sz w:val="24"/>
          <w:szCs w:val="24"/>
        </w:rPr>
        <w:t>★1.2</w:t>
      </w:r>
      <w:r>
        <w:rPr>
          <w:rFonts w:ascii="宋体"/>
          <w:sz w:val="24"/>
          <w:szCs w:val="24"/>
        </w:rPr>
        <w:t>系统集成</w:t>
      </w:r>
      <w:r>
        <w:rPr>
          <w:rFonts w:ascii="宋体"/>
          <w:sz w:val="24"/>
          <w:szCs w:val="24"/>
        </w:rPr>
        <w:tab/>
      </w:r>
    </w:p>
    <w:p w14:paraId="060CC958">
      <w:pPr>
        <w:snapToGrid w:val="0"/>
        <w:spacing w:line="360" w:lineRule="auto"/>
        <w:ind w:firstLine="480" w:firstLineChars="200"/>
        <w:rPr>
          <w:rFonts w:ascii="宋体"/>
          <w:sz w:val="24"/>
          <w:szCs w:val="24"/>
        </w:rPr>
      </w:pPr>
      <w:r>
        <w:rPr>
          <w:rFonts w:ascii="宋体"/>
          <w:sz w:val="24"/>
          <w:szCs w:val="24"/>
        </w:rPr>
        <w:t>项目实施期间，</w:t>
      </w:r>
      <w:r>
        <w:rPr>
          <w:rFonts w:hint="eastAsia" w:ascii="宋体"/>
          <w:sz w:val="24"/>
          <w:szCs w:val="24"/>
        </w:rPr>
        <w:t>成交供应商</w:t>
      </w:r>
      <w:r>
        <w:rPr>
          <w:rFonts w:ascii="宋体"/>
          <w:sz w:val="24"/>
          <w:szCs w:val="24"/>
        </w:rPr>
        <w:t>应租用运营商网络专线，连接我站仙桃机房与市经信委电子政务外网接入点</w:t>
      </w:r>
      <w:r>
        <w:rPr>
          <w:rFonts w:hint="eastAsia" w:ascii="宋体"/>
          <w:sz w:val="24"/>
          <w:szCs w:val="24"/>
        </w:rPr>
        <w:t>（或其它采购人指定接入点）</w:t>
      </w:r>
      <w:r>
        <w:rPr>
          <w:rFonts w:ascii="宋体"/>
          <w:sz w:val="24"/>
          <w:szCs w:val="24"/>
        </w:rPr>
        <w:t>。并提供至少1台服务器、1套数据摆渡系统（两台单向光闸及配套服务器、软件系统等组成）、1台防火墙进行系统集成。租用上述专线和设备的时间应不少于3个月</w:t>
      </w:r>
      <w:r>
        <w:rPr>
          <w:rFonts w:hint="eastAsia" w:ascii="宋体"/>
          <w:sz w:val="24"/>
          <w:szCs w:val="24"/>
        </w:rPr>
        <w:t>。</w:t>
      </w:r>
    </w:p>
    <w:p w14:paraId="3394DB55">
      <w:pPr>
        <w:snapToGrid w:val="0"/>
        <w:spacing w:line="360" w:lineRule="auto"/>
        <w:ind w:firstLine="480" w:firstLineChars="200"/>
        <w:rPr>
          <w:rFonts w:ascii="宋体"/>
          <w:sz w:val="24"/>
          <w:szCs w:val="24"/>
        </w:rPr>
      </w:pPr>
      <w:r>
        <w:rPr>
          <w:rFonts w:hint="eastAsia" w:ascii="宋体"/>
          <w:sz w:val="24"/>
          <w:szCs w:val="24"/>
        </w:rPr>
        <w:t>★1.3</w:t>
      </w:r>
      <w:r>
        <w:rPr>
          <w:rFonts w:ascii="宋体"/>
          <w:sz w:val="24"/>
          <w:szCs w:val="24"/>
        </w:rPr>
        <w:t>数据交互测试</w:t>
      </w:r>
    </w:p>
    <w:p w14:paraId="70AF25B7">
      <w:pPr>
        <w:snapToGrid w:val="0"/>
        <w:spacing w:line="360" w:lineRule="auto"/>
        <w:ind w:firstLine="480" w:firstLineChars="200"/>
        <w:rPr>
          <w:rFonts w:ascii="宋体"/>
          <w:sz w:val="24"/>
          <w:szCs w:val="24"/>
        </w:rPr>
      </w:pPr>
      <w:r>
        <w:rPr>
          <w:rFonts w:ascii="宋体"/>
          <w:sz w:val="24"/>
          <w:szCs w:val="24"/>
        </w:rPr>
        <w:t>在无线电专网和电子政务外网两端分别部署服务器，其中无线电专网端服务器由</w:t>
      </w:r>
      <w:r>
        <w:rPr>
          <w:rFonts w:hint="eastAsia" w:ascii="宋体"/>
          <w:sz w:val="24"/>
          <w:szCs w:val="24"/>
        </w:rPr>
        <w:t>采购人</w:t>
      </w:r>
      <w:r>
        <w:rPr>
          <w:rFonts w:ascii="宋体"/>
          <w:sz w:val="24"/>
          <w:szCs w:val="24"/>
        </w:rPr>
        <w:t>提供，电子政务外网端服务器由</w:t>
      </w:r>
      <w:r>
        <w:rPr>
          <w:rFonts w:hint="eastAsia" w:ascii="宋体"/>
          <w:sz w:val="24"/>
          <w:szCs w:val="24"/>
        </w:rPr>
        <w:t>成交供应商</w:t>
      </w:r>
      <w:r>
        <w:rPr>
          <w:rFonts w:ascii="宋体"/>
          <w:sz w:val="24"/>
          <w:szCs w:val="24"/>
        </w:rPr>
        <w:t>提供，服务器</w:t>
      </w:r>
      <w:r>
        <w:rPr>
          <w:rFonts w:hint="eastAsia" w:ascii="宋体"/>
          <w:sz w:val="24"/>
          <w:szCs w:val="24"/>
        </w:rPr>
        <w:t>配置</w:t>
      </w:r>
      <w:r>
        <w:rPr>
          <w:rFonts w:ascii="宋体"/>
          <w:sz w:val="24"/>
          <w:szCs w:val="24"/>
        </w:rPr>
        <w:t>应满足测试需求，可租赁云服务器。</w:t>
      </w:r>
    </w:p>
    <w:p w14:paraId="0A46D585">
      <w:pPr>
        <w:snapToGrid w:val="0"/>
        <w:spacing w:line="360" w:lineRule="auto"/>
        <w:ind w:firstLine="480" w:firstLineChars="200"/>
        <w:rPr>
          <w:rFonts w:ascii="宋体"/>
          <w:sz w:val="24"/>
          <w:szCs w:val="24"/>
        </w:rPr>
      </w:pPr>
      <w:r>
        <w:rPr>
          <w:rFonts w:hint="eastAsia" w:ascii="宋体"/>
          <w:sz w:val="24"/>
          <w:szCs w:val="24"/>
        </w:rPr>
        <w:t>成交供应商应</w:t>
      </w:r>
      <w:r>
        <w:rPr>
          <w:rFonts w:ascii="宋体"/>
          <w:sz w:val="24"/>
          <w:szCs w:val="24"/>
        </w:rPr>
        <w:t>开发测试软件</w:t>
      </w:r>
      <w:r>
        <w:rPr>
          <w:rFonts w:hint="eastAsia" w:ascii="宋体"/>
          <w:sz w:val="24"/>
          <w:szCs w:val="24"/>
        </w:rPr>
        <w:t>并</w:t>
      </w:r>
      <w:r>
        <w:rPr>
          <w:rFonts w:ascii="宋体"/>
          <w:sz w:val="24"/>
          <w:szCs w:val="24"/>
        </w:rPr>
        <w:t>部署在两端服务器，实现从两端网络</w:t>
      </w:r>
      <w:r>
        <w:rPr>
          <w:rFonts w:hint="eastAsia" w:ascii="宋体"/>
          <w:sz w:val="24"/>
          <w:szCs w:val="24"/>
        </w:rPr>
        <w:t>服务器</w:t>
      </w:r>
      <w:r>
        <w:rPr>
          <w:rFonts w:ascii="宋体"/>
          <w:sz w:val="24"/>
          <w:szCs w:val="24"/>
        </w:rPr>
        <w:t>传输测试数据，以及</w:t>
      </w:r>
      <w:r>
        <w:rPr>
          <w:rFonts w:hint="eastAsia" w:ascii="宋体"/>
          <w:sz w:val="24"/>
          <w:szCs w:val="24"/>
        </w:rPr>
        <w:t>对端服务器</w:t>
      </w:r>
      <w:r>
        <w:rPr>
          <w:rFonts w:ascii="宋体"/>
          <w:sz w:val="24"/>
          <w:szCs w:val="24"/>
        </w:rPr>
        <w:t>接收及应答。测试阶段应模拟无线电行政许可业务数据，如频率台站数据、电子证照数据、图片等，还原业务正常开展时数据交互场景。</w:t>
      </w:r>
    </w:p>
    <w:p w14:paraId="5A7A027E">
      <w:pPr>
        <w:snapToGrid w:val="0"/>
        <w:spacing w:line="360" w:lineRule="auto"/>
        <w:ind w:firstLine="480" w:firstLineChars="200"/>
        <w:rPr>
          <w:rFonts w:ascii="宋体"/>
          <w:sz w:val="24"/>
          <w:szCs w:val="24"/>
        </w:rPr>
      </w:pPr>
      <w:r>
        <w:rPr>
          <w:rFonts w:hint="eastAsia" w:ascii="宋体"/>
          <w:sz w:val="24"/>
          <w:szCs w:val="24"/>
        </w:rPr>
        <w:t>1.4</w:t>
      </w:r>
      <w:r>
        <w:rPr>
          <w:rFonts w:ascii="宋体"/>
          <w:sz w:val="24"/>
          <w:szCs w:val="24"/>
        </w:rPr>
        <w:t>数据校验</w:t>
      </w:r>
    </w:p>
    <w:p w14:paraId="15BE77F0">
      <w:pPr>
        <w:snapToGrid w:val="0"/>
        <w:spacing w:line="360" w:lineRule="auto"/>
        <w:ind w:firstLine="480" w:firstLineChars="200"/>
        <w:rPr>
          <w:rFonts w:ascii="宋体"/>
          <w:sz w:val="24"/>
          <w:szCs w:val="24"/>
        </w:rPr>
      </w:pPr>
      <w:r>
        <w:rPr>
          <w:rFonts w:hint="eastAsia" w:ascii="宋体"/>
          <w:sz w:val="24"/>
          <w:szCs w:val="24"/>
        </w:rPr>
        <w:t>成交供应商</w:t>
      </w:r>
      <w:r>
        <w:rPr>
          <w:rFonts w:ascii="宋体"/>
          <w:sz w:val="24"/>
          <w:szCs w:val="24"/>
        </w:rPr>
        <w:t>应通过一定的算法策略，校验数据的完整性和准确性。</w:t>
      </w:r>
    </w:p>
    <w:p w14:paraId="470BF5B3">
      <w:pPr>
        <w:snapToGrid w:val="0"/>
        <w:spacing w:line="360" w:lineRule="auto"/>
        <w:ind w:firstLine="480" w:firstLineChars="200"/>
        <w:rPr>
          <w:rFonts w:ascii="宋体"/>
          <w:sz w:val="24"/>
          <w:szCs w:val="24"/>
        </w:rPr>
      </w:pPr>
      <w:r>
        <w:rPr>
          <w:rFonts w:ascii="宋体"/>
          <w:sz w:val="24"/>
          <w:szCs w:val="24"/>
        </w:rPr>
        <w:t>至少应校验文件</w:t>
      </w:r>
      <w:r>
        <w:rPr>
          <w:rFonts w:hint="eastAsia" w:ascii="宋体"/>
          <w:sz w:val="24"/>
          <w:szCs w:val="24"/>
        </w:rPr>
        <w:t>和字节流</w:t>
      </w:r>
      <w:r>
        <w:rPr>
          <w:rFonts w:ascii="宋体"/>
          <w:sz w:val="24"/>
          <w:szCs w:val="24"/>
        </w:rPr>
        <w:t>（文本、PDF等、图片）等数据类型。例如通过</w:t>
      </w:r>
      <w:r>
        <w:rPr>
          <w:rFonts w:hint="eastAsia" w:ascii="宋体"/>
          <w:sz w:val="24"/>
          <w:szCs w:val="24"/>
        </w:rPr>
        <w:t>计算</w:t>
      </w:r>
      <w:r>
        <w:rPr>
          <w:rFonts w:ascii="宋体"/>
          <w:sz w:val="24"/>
          <w:szCs w:val="24"/>
        </w:rPr>
        <w:t>哈希值进行比较来实现校验</w:t>
      </w:r>
      <w:r>
        <w:rPr>
          <w:rFonts w:hint="eastAsia" w:ascii="宋体"/>
          <w:sz w:val="24"/>
          <w:szCs w:val="24"/>
        </w:rPr>
        <w:t>文件</w:t>
      </w:r>
      <w:r>
        <w:rPr>
          <w:rFonts w:ascii="宋体"/>
          <w:sz w:val="24"/>
          <w:szCs w:val="24"/>
        </w:rPr>
        <w:t>是否改变或损坏</w:t>
      </w:r>
      <w:r>
        <w:rPr>
          <w:rFonts w:hint="eastAsia" w:ascii="宋体"/>
          <w:sz w:val="24"/>
          <w:szCs w:val="24"/>
        </w:rPr>
        <w:t>，以及</w:t>
      </w:r>
      <w:r>
        <w:rPr>
          <w:rFonts w:ascii="宋体"/>
          <w:sz w:val="24"/>
          <w:szCs w:val="24"/>
        </w:rPr>
        <w:t>字节流表头添加字节长度字段等实现完整性校验。</w:t>
      </w:r>
      <w:r>
        <w:rPr>
          <w:rFonts w:hint="eastAsia" w:ascii="宋体"/>
          <w:sz w:val="24"/>
          <w:szCs w:val="24"/>
        </w:rPr>
        <w:t>成交供应</w:t>
      </w:r>
      <w:r>
        <w:rPr>
          <w:rFonts w:ascii="宋体"/>
          <w:sz w:val="24"/>
          <w:szCs w:val="24"/>
        </w:rPr>
        <w:t>可自行选择校验</w:t>
      </w:r>
      <w:r>
        <w:rPr>
          <w:rFonts w:hint="eastAsia" w:ascii="宋体"/>
          <w:sz w:val="24"/>
          <w:szCs w:val="24"/>
        </w:rPr>
        <w:t>策略</w:t>
      </w:r>
      <w:r>
        <w:rPr>
          <w:rFonts w:ascii="宋体"/>
          <w:sz w:val="24"/>
          <w:szCs w:val="24"/>
        </w:rPr>
        <w:t>。</w:t>
      </w:r>
    </w:p>
    <w:p w14:paraId="30DDA0C1">
      <w:pPr>
        <w:snapToGrid w:val="0"/>
        <w:spacing w:line="360" w:lineRule="auto"/>
        <w:ind w:firstLine="480" w:firstLineChars="200"/>
        <w:rPr>
          <w:rFonts w:ascii="宋体"/>
          <w:sz w:val="24"/>
          <w:szCs w:val="24"/>
        </w:rPr>
      </w:pPr>
      <w:r>
        <w:rPr>
          <w:rFonts w:hint="eastAsia" w:ascii="宋体"/>
          <w:sz w:val="24"/>
          <w:szCs w:val="24"/>
        </w:rPr>
        <w:t xml:space="preserve">1.5 </w:t>
      </w:r>
      <w:r>
        <w:rPr>
          <w:rFonts w:ascii="宋体"/>
          <w:sz w:val="24"/>
          <w:szCs w:val="24"/>
        </w:rPr>
        <w:t>网络安全渗透测试</w:t>
      </w:r>
    </w:p>
    <w:p w14:paraId="416CE5F4">
      <w:pPr>
        <w:snapToGrid w:val="0"/>
        <w:spacing w:line="360" w:lineRule="auto"/>
        <w:ind w:firstLine="480" w:firstLineChars="200"/>
        <w:rPr>
          <w:rFonts w:ascii="宋体"/>
          <w:sz w:val="24"/>
          <w:szCs w:val="24"/>
        </w:rPr>
      </w:pPr>
      <w:r>
        <w:rPr>
          <w:rFonts w:ascii="宋体"/>
          <w:sz w:val="24"/>
          <w:szCs w:val="24"/>
        </w:rPr>
        <w:t>开展网络安全渗透测试工作，承建单位安排安全团队从电子政务外网端向无线电专网发起网络渗透攻击，验证数据摆渡系统的边界防护能力。承建单位应在防火墙开启IP限制和未开启IP限制两种情况下，开展渗透测试。</w:t>
      </w:r>
    </w:p>
    <w:p w14:paraId="09BE9351">
      <w:pPr>
        <w:snapToGrid w:val="0"/>
        <w:spacing w:line="360" w:lineRule="auto"/>
        <w:ind w:firstLine="480" w:firstLineChars="200"/>
        <w:rPr>
          <w:rFonts w:ascii="宋体"/>
          <w:sz w:val="24"/>
          <w:szCs w:val="24"/>
        </w:rPr>
      </w:pPr>
      <w:r>
        <w:rPr>
          <w:rFonts w:hint="eastAsia" w:ascii="宋体"/>
          <w:sz w:val="24"/>
          <w:szCs w:val="24"/>
        </w:rPr>
        <w:t xml:space="preserve">1.6 </w:t>
      </w:r>
      <w:r>
        <w:rPr>
          <w:rFonts w:ascii="宋体"/>
          <w:sz w:val="24"/>
          <w:szCs w:val="24"/>
        </w:rPr>
        <w:t>编制报告</w:t>
      </w:r>
    </w:p>
    <w:p w14:paraId="6F263D73">
      <w:pPr>
        <w:snapToGrid w:val="0"/>
        <w:spacing w:line="360" w:lineRule="auto"/>
        <w:ind w:firstLine="480" w:firstLineChars="200"/>
        <w:rPr>
          <w:rFonts w:ascii="宋体"/>
          <w:sz w:val="24"/>
          <w:szCs w:val="24"/>
        </w:rPr>
      </w:pPr>
      <w:r>
        <w:rPr>
          <w:rFonts w:ascii="宋体"/>
          <w:sz w:val="24"/>
          <w:szCs w:val="24"/>
        </w:rPr>
        <w:t>测试结束后，承建单位应编制《重庆市无线电专网对接电子政务外网测试报告》，记录测试方法、实施过程以及测试结论。重点列出测试过程中发现的问题以及整改建议。</w:t>
      </w:r>
    </w:p>
    <w:p w14:paraId="2910595E">
      <w:pPr>
        <w:snapToGrid w:val="0"/>
        <w:spacing w:line="360" w:lineRule="auto"/>
        <w:ind w:firstLine="482" w:firstLineChars="200"/>
        <w:rPr>
          <w:rFonts w:ascii="宋体"/>
          <w:b/>
          <w:bCs/>
          <w:sz w:val="24"/>
          <w:szCs w:val="24"/>
        </w:rPr>
      </w:pPr>
      <w:r>
        <w:rPr>
          <w:rFonts w:hint="eastAsia" w:ascii="宋体"/>
          <w:b/>
          <w:bCs/>
          <w:sz w:val="24"/>
          <w:szCs w:val="24"/>
        </w:rPr>
        <w:t>2</w:t>
      </w:r>
      <w:r>
        <w:rPr>
          <w:rFonts w:ascii="宋体"/>
          <w:b/>
          <w:bCs/>
          <w:sz w:val="24"/>
          <w:szCs w:val="24"/>
        </w:rPr>
        <w:t>.重庆市无线电基础和技术设施“十四五”中期评估</w:t>
      </w:r>
    </w:p>
    <w:p w14:paraId="734136E6">
      <w:pPr>
        <w:snapToGrid w:val="0"/>
        <w:spacing w:line="360" w:lineRule="auto"/>
        <w:ind w:firstLine="480" w:firstLineChars="200"/>
        <w:rPr>
          <w:rFonts w:ascii="宋体"/>
          <w:sz w:val="24"/>
          <w:szCs w:val="24"/>
        </w:rPr>
      </w:pPr>
      <w:r>
        <w:rPr>
          <w:rFonts w:hint="eastAsia" w:ascii="宋体"/>
          <w:sz w:val="24"/>
          <w:szCs w:val="24"/>
        </w:rPr>
        <w:t xml:space="preserve">★2.1 </w:t>
      </w:r>
      <w:r>
        <w:rPr>
          <w:rFonts w:ascii="宋体"/>
          <w:sz w:val="24"/>
          <w:szCs w:val="24"/>
        </w:rPr>
        <w:t>评估内容</w:t>
      </w:r>
    </w:p>
    <w:p w14:paraId="27E407E6">
      <w:pPr>
        <w:snapToGrid w:val="0"/>
        <w:spacing w:line="360" w:lineRule="auto"/>
        <w:ind w:firstLine="480" w:firstLineChars="200"/>
        <w:rPr>
          <w:rFonts w:ascii="宋体"/>
          <w:sz w:val="24"/>
          <w:szCs w:val="24"/>
        </w:rPr>
      </w:pPr>
      <w:r>
        <w:rPr>
          <w:rFonts w:hint="eastAsia" w:ascii="宋体"/>
          <w:sz w:val="24"/>
          <w:szCs w:val="24"/>
        </w:rPr>
        <w:t>应</w:t>
      </w:r>
      <w:r>
        <w:rPr>
          <w:rFonts w:ascii="宋体"/>
          <w:sz w:val="24"/>
          <w:szCs w:val="24"/>
        </w:rPr>
        <w:t>对重庆市规划实施以来的无线电管理基础和技术设施工作进行全面回顾分析，梳理总结重庆市“十四五”期间无线电管理工作的开展情况和取得的成绩。</w:t>
      </w:r>
    </w:p>
    <w:p w14:paraId="720FBD39">
      <w:pPr>
        <w:snapToGrid w:val="0"/>
        <w:spacing w:line="360" w:lineRule="auto"/>
        <w:ind w:firstLine="480" w:firstLineChars="200"/>
        <w:rPr>
          <w:rFonts w:ascii="宋体"/>
          <w:sz w:val="24"/>
          <w:szCs w:val="24"/>
        </w:rPr>
      </w:pPr>
      <w:r>
        <w:rPr>
          <w:rFonts w:hint="eastAsia" w:ascii="宋体"/>
          <w:sz w:val="24"/>
          <w:szCs w:val="24"/>
        </w:rPr>
        <w:t>应</w:t>
      </w:r>
      <w:r>
        <w:rPr>
          <w:rFonts w:ascii="宋体"/>
          <w:sz w:val="24"/>
          <w:szCs w:val="24"/>
        </w:rPr>
        <w:t>从主要目标、重点任务和重大工程等方面对规划落实情况作出全面客观评估。</w:t>
      </w:r>
    </w:p>
    <w:p w14:paraId="60DB1629">
      <w:pPr>
        <w:snapToGrid w:val="0"/>
        <w:spacing w:line="360" w:lineRule="auto"/>
        <w:ind w:firstLine="480" w:firstLineChars="200"/>
        <w:rPr>
          <w:rFonts w:ascii="宋体"/>
          <w:sz w:val="24"/>
          <w:szCs w:val="24"/>
        </w:rPr>
      </w:pPr>
      <w:r>
        <w:rPr>
          <w:rFonts w:hint="eastAsia" w:ascii="宋体"/>
          <w:sz w:val="24"/>
          <w:szCs w:val="24"/>
        </w:rPr>
        <w:t>应</w:t>
      </w:r>
      <w:r>
        <w:rPr>
          <w:rFonts w:ascii="宋体"/>
          <w:sz w:val="24"/>
          <w:szCs w:val="24"/>
        </w:rPr>
        <w:t>梳理查找重庆市规划无线电管理基础和技术设施实施过程中遇到的困难和障碍，剖析原因，根据无线电管理发展的新形势、新要求、新任务，提出相应对策和建议。</w:t>
      </w:r>
    </w:p>
    <w:p w14:paraId="4FEE16CF">
      <w:pPr>
        <w:snapToGrid w:val="0"/>
        <w:spacing w:line="360" w:lineRule="auto"/>
        <w:ind w:firstLine="480" w:firstLineChars="200"/>
        <w:rPr>
          <w:rFonts w:ascii="宋体"/>
          <w:sz w:val="24"/>
          <w:szCs w:val="24"/>
        </w:rPr>
      </w:pPr>
      <w:r>
        <w:rPr>
          <w:rFonts w:hint="eastAsia" w:ascii="宋体"/>
          <w:sz w:val="24"/>
          <w:szCs w:val="24"/>
        </w:rPr>
        <w:t>应</w:t>
      </w:r>
      <w:r>
        <w:rPr>
          <w:rFonts w:ascii="宋体"/>
          <w:sz w:val="24"/>
          <w:szCs w:val="24"/>
        </w:rPr>
        <w:t>根据评估情况，从技术设施建设方面，提出重庆市规划下一步工作开展思路及相关建议。</w:t>
      </w:r>
    </w:p>
    <w:p w14:paraId="7BEDDCF6">
      <w:pPr>
        <w:snapToGrid w:val="0"/>
        <w:spacing w:line="360" w:lineRule="auto"/>
        <w:ind w:firstLine="480" w:firstLineChars="200"/>
        <w:rPr>
          <w:rFonts w:ascii="宋体"/>
          <w:sz w:val="24"/>
          <w:szCs w:val="24"/>
        </w:rPr>
      </w:pPr>
      <w:r>
        <w:rPr>
          <w:rFonts w:hint="eastAsia" w:ascii="宋体"/>
          <w:sz w:val="24"/>
          <w:szCs w:val="24"/>
        </w:rPr>
        <w:t xml:space="preserve">2.2 </w:t>
      </w:r>
      <w:r>
        <w:rPr>
          <w:rFonts w:ascii="宋体"/>
          <w:sz w:val="24"/>
          <w:szCs w:val="24"/>
        </w:rPr>
        <w:t>报告编制</w:t>
      </w:r>
    </w:p>
    <w:p w14:paraId="6F42BA6E">
      <w:pPr>
        <w:snapToGrid w:val="0"/>
        <w:spacing w:line="360" w:lineRule="auto"/>
        <w:ind w:firstLine="480" w:firstLineChars="200"/>
        <w:rPr>
          <w:rFonts w:ascii="宋体"/>
          <w:sz w:val="24"/>
          <w:szCs w:val="24"/>
        </w:rPr>
      </w:pPr>
      <w:r>
        <w:rPr>
          <w:rFonts w:hint="eastAsia" w:ascii="宋体"/>
          <w:sz w:val="24"/>
          <w:szCs w:val="24"/>
        </w:rPr>
        <w:t>成交供应商应</w:t>
      </w:r>
      <w:r>
        <w:rPr>
          <w:rFonts w:ascii="宋体"/>
          <w:sz w:val="24"/>
          <w:szCs w:val="24"/>
        </w:rPr>
        <w:t>编制《重庆市无线电基础和技术设施“十四五”中期评估》等相关材料。</w:t>
      </w:r>
    </w:p>
    <w:p w14:paraId="6DF711E8">
      <w:pPr>
        <w:snapToGrid w:val="0"/>
        <w:spacing w:line="360" w:lineRule="auto"/>
        <w:ind w:firstLine="480" w:firstLineChars="200"/>
        <w:rPr>
          <w:rFonts w:ascii="宋体"/>
          <w:sz w:val="24"/>
          <w:szCs w:val="24"/>
        </w:rPr>
      </w:pPr>
      <w:r>
        <w:rPr>
          <w:rFonts w:hint="eastAsia" w:ascii="宋体"/>
          <w:sz w:val="24"/>
          <w:szCs w:val="24"/>
        </w:rPr>
        <w:t xml:space="preserve">2.3 </w:t>
      </w:r>
      <w:r>
        <w:rPr>
          <w:rFonts w:ascii="宋体"/>
          <w:sz w:val="24"/>
          <w:szCs w:val="24"/>
        </w:rPr>
        <w:t>工作要求</w:t>
      </w:r>
    </w:p>
    <w:p w14:paraId="3A76EC8A">
      <w:pPr>
        <w:snapToGrid w:val="0"/>
        <w:spacing w:line="360" w:lineRule="auto"/>
        <w:ind w:firstLine="480" w:firstLineChars="200"/>
        <w:rPr>
          <w:rFonts w:ascii="宋体"/>
          <w:sz w:val="24"/>
          <w:szCs w:val="24"/>
        </w:rPr>
      </w:pPr>
      <w:r>
        <w:rPr>
          <w:rFonts w:hint="eastAsia" w:ascii="宋体"/>
          <w:sz w:val="24"/>
          <w:szCs w:val="24"/>
        </w:rPr>
        <w:t>成交供应商应</w:t>
      </w:r>
      <w:r>
        <w:rPr>
          <w:rFonts w:ascii="宋体"/>
          <w:sz w:val="24"/>
          <w:szCs w:val="24"/>
        </w:rPr>
        <w:t>以实地勘察、查阅资料、现场座谈等方式开展全面、深入的项目调研；项目成果</w:t>
      </w:r>
      <w:r>
        <w:rPr>
          <w:rFonts w:hint="eastAsia" w:ascii="宋体"/>
          <w:sz w:val="24"/>
          <w:szCs w:val="24"/>
        </w:rPr>
        <w:t>应</w:t>
      </w:r>
      <w:r>
        <w:rPr>
          <w:rFonts w:ascii="宋体"/>
          <w:sz w:val="24"/>
          <w:szCs w:val="24"/>
        </w:rPr>
        <w:t>通过甲方审核并通过内部验收。</w:t>
      </w:r>
    </w:p>
    <w:p w14:paraId="7F5D3C53">
      <w:pPr>
        <w:snapToGrid w:val="0"/>
        <w:spacing w:line="360" w:lineRule="auto"/>
        <w:ind w:firstLine="480" w:firstLineChars="200"/>
        <w:rPr>
          <w:rFonts w:ascii="宋体"/>
          <w:sz w:val="24"/>
          <w:szCs w:val="24"/>
        </w:rPr>
      </w:pPr>
      <w:r>
        <w:rPr>
          <w:rFonts w:hint="eastAsia" w:ascii="宋体"/>
          <w:sz w:val="24"/>
          <w:szCs w:val="24"/>
        </w:rPr>
        <w:t>3采购门禁系统</w:t>
      </w:r>
    </w:p>
    <w:p w14:paraId="36E04652">
      <w:pPr>
        <w:snapToGrid w:val="0"/>
        <w:spacing w:line="360" w:lineRule="auto"/>
        <w:ind w:firstLine="480" w:firstLineChars="200"/>
        <w:rPr>
          <w:rFonts w:ascii="宋体"/>
          <w:sz w:val="24"/>
          <w:szCs w:val="24"/>
        </w:rPr>
      </w:pPr>
      <w:r>
        <w:rPr>
          <w:rFonts w:hint="eastAsia" w:ascii="宋体"/>
          <w:sz w:val="24"/>
          <w:szCs w:val="24"/>
        </w:rPr>
        <w:t>3.1 概述</w:t>
      </w:r>
    </w:p>
    <w:p w14:paraId="54F68F87">
      <w:pPr>
        <w:snapToGrid w:val="0"/>
        <w:spacing w:line="360" w:lineRule="auto"/>
        <w:ind w:firstLine="480" w:firstLineChars="200"/>
        <w:rPr>
          <w:rFonts w:ascii="宋体"/>
          <w:sz w:val="24"/>
          <w:szCs w:val="24"/>
        </w:rPr>
      </w:pPr>
      <w:r>
        <w:rPr>
          <w:rFonts w:hint="eastAsia" w:ascii="宋体"/>
          <w:sz w:val="24"/>
          <w:szCs w:val="24"/>
        </w:rPr>
        <w:t>采购一套门禁系统，并集成安装在数码大厦15-18楼，并拆除采购人现有的门禁系统。门禁终端应安装在我站15-18楼，每层两个门各一个终端，可通过刷卡、人脸识别、指纹等方式开锁。承建单位负责安装，以及安装过程中提供辅材。</w:t>
      </w:r>
    </w:p>
    <w:p w14:paraId="11ED22C9">
      <w:pPr>
        <w:snapToGrid w:val="0"/>
        <w:spacing w:line="360" w:lineRule="auto"/>
        <w:ind w:firstLine="480" w:firstLineChars="200"/>
        <w:rPr>
          <w:rFonts w:ascii="宋体"/>
          <w:sz w:val="24"/>
          <w:szCs w:val="24"/>
        </w:rPr>
      </w:pPr>
      <w:r>
        <w:rPr>
          <w:rFonts w:hint="eastAsia" w:ascii="宋体"/>
          <w:sz w:val="24"/>
          <w:szCs w:val="24"/>
        </w:rPr>
        <w:t>3.2 门禁系统配置</w:t>
      </w:r>
    </w:p>
    <w:tbl>
      <w:tblPr>
        <w:tblStyle w:val="62"/>
        <w:tblW w:w="4998" w:type="pct"/>
        <w:tblInd w:w="0" w:type="dxa"/>
        <w:tblLayout w:type="autofit"/>
        <w:tblCellMar>
          <w:top w:w="0" w:type="dxa"/>
          <w:left w:w="108" w:type="dxa"/>
          <w:bottom w:w="0" w:type="dxa"/>
          <w:right w:w="108" w:type="dxa"/>
        </w:tblCellMar>
      </w:tblPr>
      <w:tblGrid>
        <w:gridCol w:w="671"/>
        <w:gridCol w:w="2132"/>
        <w:gridCol w:w="4964"/>
        <w:gridCol w:w="884"/>
        <w:gridCol w:w="917"/>
      </w:tblGrid>
      <w:tr w14:paraId="4CE3E4C4">
        <w:tblPrEx>
          <w:tblCellMar>
            <w:top w:w="0" w:type="dxa"/>
            <w:left w:w="108" w:type="dxa"/>
            <w:bottom w:w="0" w:type="dxa"/>
            <w:right w:w="108" w:type="dxa"/>
          </w:tblCellMar>
        </w:tblPrEx>
        <w:trPr>
          <w:trHeight w:val="270" w:hRule="atLeast"/>
        </w:trPr>
        <w:tc>
          <w:tcPr>
            <w:tcW w:w="351" w:type="pct"/>
            <w:tcBorders>
              <w:top w:val="single" w:color="auto" w:sz="4" w:space="0"/>
              <w:left w:val="single" w:color="auto" w:sz="4" w:space="0"/>
              <w:bottom w:val="dotted" w:color="auto" w:sz="0" w:space="0"/>
              <w:right w:val="single" w:color="auto" w:sz="4" w:space="0"/>
            </w:tcBorders>
            <w:shd w:val="clear" w:color="auto" w:fill="FFFFFF"/>
            <w:vAlign w:val="center"/>
          </w:tcPr>
          <w:p w14:paraId="515C2C58">
            <w:pPr>
              <w:widowControl/>
              <w:spacing w:line="240" w:lineRule="exact"/>
              <w:jc w:val="center"/>
              <w:textAlignment w:val="center"/>
              <w:rPr>
                <w:rFonts w:ascii="宋体" w:hAnsi="宋体" w:cs="微软雅黑"/>
                <w:b/>
                <w:bCs/>
                <w:color w:val="000000"/>
                <w:sz w:val="21"/>
                <w:szCs w:val="21"/>
              </w:rPr>
            </w:pPr>
            <w:r>
              <w:rPr>
                <w:rFonts w:hint="eastAsia" w:ascii="宋体" w:hAnsi="宋体" w:cs="微软雅黑"/>
                <w:b/>
                <w:bCs/>
                <w:color w:val="000000"/>
                <w:kern w:val="0"/>
                <w:sz w:val="21"/>
                <w:szCs w:val="21"/>
                <w:lang w:bidi="ar"/>
              </w:rPr>
              <w:t>序号</w:t>
            </w:r>
          </w:p>
        </w:tc>
        <w:tc>
          <w:tcPr>
            <w:tcW w:w="1114" w:type="pct"/>
            <w:tcBorders>
              <w:top w:val="single" w:color="auto" w:sz="4" w:space="0"/>
              <w:left w:val="single" w:color="auto" w:sz="4" w:space="0"/>
              <w:bottom w:val="dotted" w:color="auto" w:sz="0" w:space="0"/>
              <w:right w:val="single" w:color="auto" w:sz="4" w:space="0"/>
            </w:tcBorders>
            <w:shd w:val="clear" w:color="auto" w:fill="FFFFFF"/>
            <w:vAlign w:val="center"/>
          </w:tcPr>
          <w:p w14:paraId="581E1611">
            <w:pPr>
              <w:widowControl/>
              <w:spacing w:line="240" w:lineRule="exact"/>
              <w:jc w:val="center"/>
              <w:textAlignment w:val="center"/>
              <w:rPr>
                <w:rFonts w:ascii="宋体" w:hAnsi="宋体" w:cs="微软雅黑"/>
                <w:b/>
                <w:bCs/>
                <w:color w:val="000000"/>
                <w:sz w:val="21"/>
                <w:szCs w:val="21"/>
              </w:rPr>
            </w:pPr>
            <w:r>
              <w:rPr>
                <w:rFonts w:hint="eastAsia" w:ascii="宋体" w:hAnsi="宋体" w:cs="微软雅黑"/>
                <w:b/>
                <w:bCs/>
                <w:color w:val="000000"/>
                <w:kern w:val="0"/>
                <w:sz w:val="21"/>
                <w:szCs w:val="21"/>
                <w:lang w:bidi="ar"/>
              </w:rPr>
              <w:t>配件名称</w:t>
            </w:r>
          </w:p>
        </w:tc>
        <w:tc>
          <w:tcPr>
            <w:tcW w:w="2594" w:type="pct"/>
            <w:tcBorders>
              <w:top w:val="single" w:color="auto" w:sz="4" w:space="0"/>
              <w:left w:val="single" w:color="auto" w:sz="4" w:space="0"/>
              <w:bottom w:val="dotted" w:color="auto" w:sz="0" w:space="0"/>
              <w:right w:val="single" w:color="auto" w:sz="4" w:space="0"/>
            </w:tcBorders>
            <w:shd w:val="clear" w:color="auto" w:fill="FFFFFF"/>
            <w:vAlign w:val="center"/>
          </w:tcPr>
          <w:p w14:paraId="15416BCF">
            <w:pPr>
              <w:widowControl/>
              <w:spacing w:line="240" w:lineRule="exact"/>
              <w:jc w:val="center"/>
              <w:textAlignment w:val="center"/>
              <w:rPr>
                <w:rFonts w:ascii="宋体" w:hAnsi="宋体" w:cs="微软雅黑"/>
                <w:b/>
                <w:bCs/>
                <w:color w:val="000000"/>
                <w:sz w:val="21"/>
                <w:szCs w:val="21"/>
              </w:rPr>
            </w:pPr>
            <w:r>
              <w:rPr>
                <w:rFonts w:hint="eastAsia" w:ascii="宋体" w:hAnsi="宋体" w:cs="微软雅黑"/>
                <w:b/>
                <w:bCs/>
                <w:color w:val="000000"/>
                <w:kern w:val="0"/>
                <w:sz w:val="21"/>
                <w:szCs w:val="21"/>
                <w:lang w:bidi="ar"/>
              </w:rPr>
              <w:t>技术规格</w:t>
            </w:r>
          </w:p>
        </w:tc>
        <w:tc>
          <w:tcPr>
            <w:tcW w:w="462" w:type="pct"/>
            <w:tcBorders>
              <w:top w:val="single" w:color="auto" w:sz="4" w:space="0"/>
              <w:left w:val="single" w:color="auto" w:sz="4" w:space="0"/>
              <w:bottom w:val="dotted" w:color="auto" w:sz="0" w:space="0"/>
              <w:right w:val="single" w:color="auto" w:sz="4" w:space="0"/>
            </w:tcBorders>
            <w:shd w:val="clear" w:color="auto" w:fill="FFFFFF"/>
            <w:vAlign w:val="center"/>
          </w:tcPr>
          <w:p w14:paraId="09D1B1AE">
            <w:pPr>
              <w:widowControl/>
              <w:spacing w:line="240" w:lineRule="exact"/>
              <w:jc w:val="center"/>
              <w:textAlignment w:val="center"/>
              <w:rPr>
                <w:rFonts w:ascii="宋体" w:hAnsi="宋体" w:cs="微软雅黑"/>
                <w:b/>
                <w:bCs/>
                <w:color w:val="000000"/>
                <w:sz w:val="21"/>
                <w:szCs w:val="21"/>
              </w:rPr>
            </w:pPr>
            <w:r>
              <w:rPr>
                <w:rFonts w:hint="eastAsia" w:ascii="宋体" w:hAnsi="宋体" w:cs="微软雅黑"/>
                <w:b/>
                <w:bCs/>
                <w:color w:val="000000"/>
                <w:kern w:val="0"/>
                <w:sz w:val="21"/>
                <w:szCs w:val="21"/>
                <w:lang w:bidi="ar"/>
              </w:rPr>
              <w:t>单位</w:t>
            </w:r>
          </w:p>
        </w:tc>
        <w:tc>
          <w:tcPr>
            <w:tcW w:w="480" w:type="pct"/>
            <w:tcBorders>
              <w:top w:val="single" w:color="auto" w:sz="4" w:space="0"/>
              <w:left w:val="single" w:color="auto" w:sz="4" w:space="0"/>
              <w:bottom w:val="dotted" w:color="auto" w:sz="0" w:space="0"/>
              <w:right w:val="single" w:color="auto" w:sz="4" w:space="0"/>
            </w:tcBorders>
            <w:shd w:val="clear" w:color="auto" w:fill="FFFFFF"/>
            <w:vAlign w:val="center"/>
          </w:tcPr>
          <w:p w14:paraId="4C9A0CA5">
            <w:pPr>
              <w:widowControl/>
              <w:spacing w:line="240" w:lineRule="exact"/>
              <w:jc w:val="center"/>
              <w:textAlignment w:val="center"/>
              <w:rPr>
                <w:rFonts w:ascii="宋体" w:hAnsi="宋体" w:cs="微软雅黑"/>
                <w:b/>
                <w:bCs/>
                <w:color w:val="000000"/>
                <w:sz w:val="21"/>
                <w:szCs w:val="21"/>
              </w:rPr>
            </w:pPr>
            <w:r>
              <w:rPr>
                <w:rFonts w:hint="eastAsia" w:ascii="宋体" w:hAnsi="宋体" w:cs="微软雅黑"/>
                <w:b/>
                <w:bCs/>
                <w:color w:val="000000"/>
                <w:kern w:val="0"/>
                <w:sz w:val="21"/>
                <w:szCs w:val="21"/>
                <w:lang w:bidi="ar"/>
              </w:rPr>
              <w:t>数量</w:t>
            </w:r>
          </w:p>
        </w:tc>
      </w:tr>
      <w:tr w14:paraId="6C91025A">
        <w:tblPrEx>
          <w:tblCellMar>
            <w:top w:w="0" w:type="dxa"/>
            <w:left w:w="108" w:type="dxa"/>
            <w:bottom w:w="0" w:type="dxa"/>
            <w:right w:w="108" w:type="dxa"/>
          </w:tblCellMar>
        </w:tblPrEx>
        <w:trPr>
          <w:trHeight w:val="1640" w:hRule="atLeast"/>
        </w:trPr>
        <w:tc>
          <w:tcPr>
            <w:tcW w:w="351" w:type="pct"/>
            <w:tcBorders>
              <w:top w:val="single" w:color="000000" w:sz="4" w:space="0"/>
              <w:left w:val="single" w:color="000000" w:sz="4" w:space="0"/>
              <w:bottom w:val="single" w:color="000000" w:sz="4" w:space="0"/>
              <w:right w:val="single" w:color="000000" w:sz="4" w:space="0"/>
            </w:tcBorders>
            <w:vAlign w:val="center"/>
          </w:tcPr>
          <w:p w14:paraId="5DCC1056">
            <w:pPr>
              <w:widowControl/>
              <w:spacing w:line="240" w:lineRule="exact"/>
              <w:jc w:val="center"/>
              <w:textAlignment w:val="center"/>
              <w:rPr>
                <w:rFonts w:ascii="宋体" w:hAnsi="宋体" w:cs="微软雅黑"/>
                <w:color w:val="000000"/>
                <w:sz w:val="21"/>
                <w:szCs w:val="21"/>
              </w:rPr>
            </w:pPr>
            <w:r>
              <w:rPr>
                <w:rFonts w:hint="eastAsia" w:ascii="宋体" w:hAnsi="宋体" w:cs="微软雅黑"/>
                <w:color w:val="000000"/>
                <w:kern w:val="0"/>
                <w:sz w:val="21"/>
                <w:szCs w:val="21"/>
                <w:lang w:bidi="ar"/>
              </w:rPr>
              <w:t>1</w:t>
            </w:r>
          </w:p>
        </w:tc>
        <w:tc>
          <w:tcPr>
            <w:tcW w:w="1114" w:type="pct"/>
            <w:tcBorders>
              <w:top w:val="single" w:color="000000" w:sz="4" w:space="0"/>
              <w:left w:val="single" w:color="000000" w:sz="4" w:space="0"/>
              <w:bottom w:val="single" w:color="000000" w:sz="4" w:space="0"/>
              <w:right w:val="single" w:color="000000" w:sz="4" w:space="0"/>
            </w:tcBorders>
            <w:vAlign w:val="center"/>
          </w:tcPr>
          <w:p w14:paraId="789BAAF9">
            <w:pPr>
              <w:widowControl/>
              <w:spacing w:line="240" w:lineRule="exact"/>
              <w:jc w:val="left"/>
              <w:textAlignment w:val="center"/>
              <w:rPr>
                <w:rFonts w:ascii="宋体" w:hAnsi="宋体" w:cs="微软雅黑"/>
                <w:color w:val="000000"/>
                <w:sz w:val="21"/>
                <w:szCs w:val="21"/>
              </w:rPr>
            </w:pPr>
            <w:r>
              <w:rPr>
                <w:rFonts w:hint="eastAsia" w:ascii="宋体" w:hAnsi="宋体" w:cs="微软雅黑"/>
                <w:color w:val="000000"/>
                <w:kern w:val="0"/>
                <w:sz w:val="21"/>
                <w:szCs w:val="21"/>
                <w:lang w:bidi="ar"/>
              </w:rPr>
              <w:t>人脸门禁一体机</w:t>
            </w:r>
          </w:p>
        </w:tc>
        <w:tc>
          <w:tcPr>
            <w:tcW w:w="2594" w:type="pct"/>
            <w:tcBorders>
              <w:top w:val="single" w:color="000000" w:sz="4" w:space="0"/>
              <w:left w:val="single" w:color="000000" w:sz="4" w:space="0"/>
              <w:bottom w:val="single" w:color="000000" w:sz="4" w:space="0"/>
              <w:right w:val="single" w:color="000000" w:sz="4" w:space="0"/>
            </w:tcBorders>
            <w:vAlign w:val="center"/>
          </w:tcPr>
          <w:p w14:paraId="06FB1CB4">
            <w:pPr>
              <w:widowControl/>
              <w:spacing w:line="240" w:lineRule="exact"/>
              <w:jc w:val="left"/>
              <w:textAlignment w:val="center"/>
              <w:rPr>
                <w:rFonts w:ascii="宋体" w:hAnsi="宋体" w:cs="微软雅黑"/>
                <w:color w:val="000000"/>
                <w:kern w:val="0"/>
                <w:sz w:val="21"/>
                <w:szCs w:val="21"/>
                <w:lang w:bidi="ar"/>
              </w:rPr>
            </w:pPr>
            <w:r>
              <w:rPr>
                <w:rFonts w:hint="eastAsia" w:ascii="宋体" w:hAnsi="宋体" w:cs="微软雅黑"/>
                <w:color w:val="000000"/>
                <w:kern w:val="0"/>
                <w:sz w:val="21"/>
                <w:szCs w:val="21"/>
                <w:lang w:bidi="ar"/>
              </w:rPr>
              <w:t>不低于以下配置要求：</w:t>
            </w:r>
          </w:p>
          <w:p w14:paraId="6A88DDCF">
            <w:pPr>
              <w:widowControl/>
              <w:spacing w:line="240" w:lineRule="exact"/>
              <w:jc w:val="left"/>
              <w:textAlignment w:val="center"/>
              <w:rPr>
                <w:rFonts w:ascii="宋体" w:hAnsi="宋体" w:cs="微软雅黑"/>
                <w:color w:val="000000"/>
                <w:sz w:val="21"/>
                <w:szCs w:val="21"/>
              </w:rPr>
            </w:pPr>
            <w:r>
              <w:rPr>
                <w:rFonts w:hint="eastAsia" w:ascii="宋体" w:hAnsi="宋体" w:cs="微软雅黑"/>
                <w:color w:val="000000"/>
                <w:kern w:val="0"/>
                <w:sz w:val="21"/>
                <w:szCs w:val="21"/>
                <w:lang w:bidi="ar"/>
              </w:rPr>
              <w:t xml:space="preserve">屏幕参数： 7英寸触摸显示屏，屏幕比例9:16，屏幕分辨率600*1024； </w:t>
            </w:r>
            <w:r>
              <w:rPr>
                <w:rFonts w:hint="eastAsia" w:ascii="宋体" w:hAnsi="宋体" w:cs="微软雅黑"/>
                <w:color w:val="000000"/>
                <w:kern w:val="0"/>
                <w:sz w:val="21"/>
                <w:szCs w:val="21"/>
                <w:lang w:bidi="ar"/>
              </w:rPr>
              <w:br w:type="textWrapping"/>
            </w:r>
            <w:r>
              <w:rPr>
                <w:rFonts w:hint="eastAsia" w:ascii="宋体" w:hAnsi="宋体" w:cs="微软雅黑"/>
                <w:color w:val="000000"/>
                <w:kern w:val="0"/>
                <w:sz w:val="21"/>
                <w:szCs w:val="21"/>
                <w:lang w:bidi="ar"/>
              </w:rPr>
              <w:t xml:space="preserve">摄像头参数：采用宽动态200万双目摄像头； </w:t>
            </w:r>
            <w:r>
              <w:rPr>
                <w:rFonts w:hint="eastAsia" w:ascii="宋体" w:hAnsi="宋体" w:cs="微软雅黑"/>
                <w:color w:val="000000"/>
                <w:kern w:val="0"/>
                <w:sz w:val="21"/>
                <w:szCs w:val="21"/>
                <w:lang w:bidi="ar"/>
              </w:rPr>
              <w:br w:type="textWrapping"/>
            </w:r>
            <w:r>
              <w:rPr>
                <w:rFonts w:hint="eastAsia" w:ascii="宋体" w:hAnsi="宋体" w:cs="微软雅黑"/>
                <w:color w:val="000000"/>
                <w:kern w:val="0"/>
                <w:sz w:val="21"/>
                <w:szCs w:val="21"/>
                <w:lang w:bidi="ar"/>
              </w:rPr>
              <w:t xml:space="preserve">认证方式：支持人脸、刷卡（IC卡、手机NFC卡、CPU卡序列号/内容、身份证卡序列号）、密码认证方式，可外接身份证、指纹、蓝牙、二维码功能模块； </w:t>
            </w:r>
            <w:r>
              <w:rPr>
                <w:rFonts w:hint="eastAsia" w:ascii="宋体" w:hAnsi="宋体" w:cs="微软雅黑"/>
                <w:color w:val="000000"/>
                <w:kern w:val="0"/>
                <w:sz w:val="21"/>
                <w:szCs w:val="21"/>
                <w:lang w:bidi="ar"/>
              </w:rPr>
              <w:br w:type="textWrapping"/>
            </w:r>
            <w:r>
              <w:rPr>
                <w:rFonts w:hint="eastAsia" w:ascii="宋体" w:hAnsi="宋体" w:cs="微软雅黑"/>
                <w:color w:val="000000"/>
                <w:kern w:val="0"/>
                <w:sz w:val="21"/>
                <w:szCs w:val="21"/>
                <w:lang w:bidi="ar"/>
              </w:rPr>
              <w:t xml:space="preserve">人脸识别：采用深度学习算法，支持单人或多人识别（最多5人同时认证）功能；支持照片、视频防假；1:N人脸识别速度≤0.2s，人脸验证准确率≥99%； </w:t>
            </w:r>
            <w:r>
              <w:rPr>
                <w:rFonts w:hint="eastAsia" w:ascii="宋体" w:hAnsi="宋体" w:cs="微软雅黑"/>
                <w:color w:val="000000"/>
                <w:kern w:val="0"/>
                <w:sz w:val="21"/>
                <w:szCs w:val="21"/>
                <w:lang w:bidi="ar"/>
              </w:rPr>
              <w:br w:type="textWrapping"/>
            </w:r>
            <w:r>
              <w:rPr>
                <w:rFonts w:hint="eastAsia" w:ascii="宋体" w:hAnsi="宋体" w:cs="微软雅黑"/>
                <w:color w:val="000000"/>
                <w:kern w:val="0"/>
                <w:sz w:val="21"/>
                <w:szCs w:val="21"/>
                <w:lang w:bidi="ar"/>
              </w:rPr>
              <w:t xml:space="preserve">存储容量：本地支持10000人脸库、50000张卡，15万条事件记录； </w:t>
            </w:r>
            <w:r>
              <w:rPr>
                <w:rFonts w:hint="eastAsia" w:ascii="宋体" w:hAnsi="宋体" w:cs="微软雅黑"/>
                <w:color w:val="000000"/>
                <w:kern w:val="0"/>
                <w:sz w:val="21"/>
                <w:szCs w:val="21"/>
                <w:lang w:bidi="ar"/>
              </w:rPr>
              <w:br w:type="textWrapping"/>
            </w:r>
            <w:r>
              <w:rPr>
                <w:rFonts w:hint="eastAsia" w:ascii="宋体" w:hAnsi="宋体" w:cs="微软雅黑"/>
                <w:color w:val="000000"/>
                <w:kern w:val="0"/>
                <w:sz w:val="21"/>
                <w:szCs w:val="21"/>
                <w:lang w:bidi="ar"/>
              </w:rPr>
              <w:t xml:space="preserve">硬件接口：LAN*1、RS485*1、Wiegand * 1(支持双向)、typeC类型USB接口*1、电锁*1、门磁*1、报警输入*2、报警输出*1、开门按钮*1、SD卡槽*1（最大支持512GB）、3.5mm音频输出接口*1； </w:t>
            </w:r>
            <w:r>
              <w:rPr>
                <w:rFonts w:hint="eastAsia" w:ascii="宋体" w:hAnsi="宋体" w:cs="微软雅黑"/>
                <w:color w:val="000000"/>
                <w:kern w:val="0"/>
                <w:sz w:val="21"/>
                <w:szCs w:val="21"/>
                <w:lang w:bidi="ar"/>
              </w:rPr>
              <w:br w:type="textWrapping"/>
            </w:r>
            <w:r>
              <w:rPr>
                <w:rFonts w:hint="eastAsia" w:ascii="宋体" w:hAnsi="宋体" w:cs="微软雅黑"/>
                <w:color w:val="000000"/>
                <w:kern w:val="0"/>
                <w:sz w:val="21"/>
                <w:szCs w:val="21"/>
                <w:lang w:bidi="ar"/>
              </w:rPr>
              <w:t xml:space="preserve">通信方式及网络协议：有线网络； </w:t>
            </w:r>
            <w:r>
              <w:rPr>
                <w:rFonts w:hint="eastAsia" w:ascii="宋体" w:hAnsi="宋体" w:cs="微软雅黑"/>
                <w:color w:val="000000"/>
                <w:kern w:val="0"/>
                <w:sz w:val="21"/>
                <w:szCs w:val="21"/>
                <w:lang w:bidi="ar"/>
              </w:rPr>
              <w:br w:type="textWrapping"/>
            </w:r>
            <w:r>
              <w:rPr>
                <w:rFonts w:hint="eastAsia" w:ascii="宋体" w:hAnsi="宋体" w:cs="微软雅黑"/>
                <w:color w:val="000000"/>
                <w:kern w:val="0"/>
                <w:sz w:val="21"/>
                <w:szCs w:val="21"/>
                <w:lang w:bidi="ar"/>
              </w:rPr>
              <w:t xml:space="preserve">使用环境：IP65，室内外环境（室外使用必须搭配遮阳罩）； </w:t>
            </w:r>
            <w:r>
              <w:rPr>
                <w:rFonts w:hint="eastAsia" w:ascii="宋体" w:hAnsi="宋体" w:cs="微软雅黑"/>
                <w:color w:val="000000"/>
                <w:kern w:val="0"/>
                <w:sz w:val="21"/>
                <w:szCs w:val="21"/>
                <w:lang w:bidi="ar"/>
              </w:rPr>
              <w:br w:type="textWrapping"/>
            </w:r>
            <w:r>
              <w:rPr>
                <w:rFonts w:hint="eastAsia" w:ascii="宋体" w:hAnsi="宋体" w:cs="微软雅黑"/>
                <w:color w:val="000000"/>
                <w:kern w:val="0"/>
                <w:sz w:val="21"/>
                <w:szCs w:val="21"/>
                <w:lang w:bidi="ar"/>
              </w:rPr>
              <w:t xml:space="preserve">安装方式：壁挂安装（标配挂板，适配86底盒）； </w:t>
            </w:r>
            <w:r>
              <w:rPr>
                <w:rFonts w:hint="eastAsia" w:ascii="宋体" w:hAnsi="宋体" w:cs="微软雅黑"/>
                <w:color w:val="000000"/>
                <w:kern w:val="0"/>
                <w:sz w:val="21"/>
                <w:szCs w:val="21"/>
                <w:lang w:bidi="ar"/>
              </w:rPr>
              <w:br w:type="textWrapping"/>
            </w:r>
            <w:r>
              <w:rPr>
                <w:rFonts w:hint="eastAsia" w:ascii="宋体" w:hAnsi="宋体" w:cs="微软雅黑"/>
                <w:color w:val="000000"/>
                <w:kern w:val="0"/>
                <w:sz w:val="21"/>
                <w:szCs w:val="21"/>
                <w:lang w:bidi="ar"/>
              </w:rPr>
              <w:t xml:space="preserve">工作电压： DC12V~24V/2A（电源需另配）； </w:t>
            </w:r>
            <w:r>
              <w:rPr>
                <w:rFonts w:hint="eastAsia" w:ascii="宋体" w:hAnsi="宋体" w:cs="微软雅黑"/>
                <w:color w:val="000000"/>
                <w:kern w:val="0"/>
                <w:sz w:val="21"/>
                <w:szCs w:val="21"/>
                <w:lang w:bidi="ar"/>
              </w:rPr>
              <w:br w:type="textWrapping"/>
            </w:r>
            <w:r>
              <w:rPr>
                <w:rFonts w:hint="eastAsia" w:ascii="宋体" w:hAnsi="宋体" w:cs="微软雅黑"/>
                <w:color w:val="000000"/>
                <w:kern w:val="0"/>
                <w:sz w:val="21"/>
                <w:szCs w:val="21"/>
                <w:lang w:bidi="ar"/>
              </w:rPr>
              <w:t xml:space="preserve">功能介绍： </w:t>
            </w:r>
            <w:r>
              <w:rPr>
                <w:rFonts w:hint="eastAsia" w:ascii="宋体" w:hAnsi="宋体" w:cs="微软雅黑"/>
                <w:color w:val="000000"/>
                <w:kern w:val="0"/>
                <w:sz w:val="21"/>
                <w:szCs w:val="21"/>
                <w:lang w:bidi="ar"/>
              </w:rPr>
              <w:br w:type="textWrapping"/>
            </w:r>
            <w:r>
              <w:rPr>
                <w:rFonts w:hint="eastAsia" w:ascii="宋体" w:hAnsi="宋体" w:cs="微软雅黑"/>
                <w:color w:val="000000"/>
                <w:kern w:val="0"/>
                <w:sz w:val="21"/>
                <w:szCs w:val="21"/>
                <w:lang w:bidi="ar"/>
              </w:rPr>
              <w:t xml:space="preserve">可视对讲：支持和云平台、客户端、室内机、管理机进行可视对讲；支持配置一键呼叫室内机或管理机；支持副门口机或围墙机模式； </w:t>
            </w:r>
            <w:r>
              <w:rPr>
                <w:rFonts w:hint="eastAsia" w:ascii="宋体" w:hAnsi="宋体" w:cs="微软雅黑"/>
                <w:color w:val="000000"/>
                <w:kern w:val="0"/>
                <w:sz w:val="21"/>
                <w:szCs w:val="21"/>
                <w:lang w:bidi="ar"/>
              </w:rPr>
              <w:br w:type="textWrapping"/>
            </w:r>
            <w:r>
              <w:rPr>
                <w:rFonts w:hint="eastAsia" w:ascii="宋体" w:hAnsi="宋体" w:cs="微软雅黑"/>
                <w:color w:val="000000"/>
                <w:kern w:val="0"/>
                <w:sz w:val="21"/>
                <w:szCs w:val="21"/>
                <w:lang w:bidi="ar"/>
              </w:rPr>
              <w:t xml:space="preserve">视频预览：支持管理中心远程视频预览，支持接入NVR设备，实现视频录像，编码格式H.264； </w:t>
            </w:r>
            <w:r>
              <w:rPr>
                <w:rFonts w:hint="eastAsia" w:ascii="宋体" w:hAnsi="宋体" w:cs="微软雅黑"/>
                <w:color w:val="000000"/>
                <w:kern w:val="0"/>
                <w:sz w:val="21"/>
                <w:szCs w:val="21"/>
                <w:lang w:bidi="ar"/>
              </w:rPr>
              <w:br w:type="textWrapping"/>
            </w:r>
            <w:r>
              <w:rPr>
                <w:rFonts w:hint="eastAsia" w:ascii="宋体" w:hAnsi="宋体" w:cs="微软雅黑"/>
                <w:color w:val="000000"/>
                <w:kern w:val="0"/>
                <w:sz w:val="21"/>
                <w:szCs w:val="21"/>
                <w:lang w:bidi="ar"/>
              </w:rPr>
              <w:t xml:space="preserve">口罩检测：支持口罩检测模式，可配置提醒戴口罩模式、强制戴口罩模式，关联门禁控制； </w:t>
            </w:r>
            <w:r>
              <w:rPr>
                <w:rFonts w:hint="eastAsia" w:ascii="宋体" w:hAnsi="宋体" w:cs="微软雅黑"/>
                <w:color w:val="000000"/>
                <w:kern w:val="0"/>
                <w:sz w:val="21"/>
                <w:szCs w:val="21"/>
                <w:lang w:bidi="ar"/>
              </w:rPr>
              <w:br w:type="textWrapping"/>
            </w:r>
            <w:r>
              <w:rPr>
                <w:rFonts w:hint="eastAsia" w:ascii="宋体" w:hAnsi="宋体" w:cs="微软雅黑"/>
                <w:color w:val="000000"/>
                <w:kern w:val="0"/>
                <w:sz w:val="21"/>
                <w:szCs w:val="21"/>
                <w:lang w:bidi="ar"/>
              </w:rPr>
              <w:t xml:space="preserve">识别界面可配：识别主界面的“呼叫”、“二维码”、“密码”的按键图标可分别配置是否显示； </w:t>
            </w:r>
            <w:r>
              <w:rPr>
                <w:rFonts w:hint="eastAsia" w:ascii="宋体" w:hAnsi="宋体" w:cs="微软雅黑"/>
                <w:color w:val="000000"/>
                <w:kern w:val="0"/>
                <w:sz w:val="21"/>
                <w:szCs w:val="21"/>
                <w:lang w:bidi="ar"/>
              </w:rPr>
              <w:br w:type="textWrapping"/>
            </w:r>
            <w:r>
              <w:rPr>
                <w:rFonts w:hint="eastAsia" w:ascii="宋体" w:hAnsi="宋体" w:cs="微软雅黑"/>
                <w:color w:val="000000"/>
                <w:kern w:val="0"/>
                <w:sz w:val="21"/>
                <w:szCs w:val="21"/>
                <w:lang w:bidi="ar"/>
              </w:rPr>
              <w:t xml:space="preserve">认证结果显示可配：支持认证成功界面的“照片”、“姓名”、“工号”信息可配置是否显示； </w:t>
            </w:r>
            <w:r>
              <w:rPr>
                <w:rFonts w:hint="eastAsia" w:ascii="宋体" w:hAnsi="宋体" w:cs="微软雅黑"/>
                <w:color w:val="000000"/>
                <w:kern w:val="0"/>
                <w:sz w:val="21"/>
                <w:szCs w:val="21"/>
                <w:lang w:bidi="ar"/>
              </w:rPr>
              <w:br w:type="textWrapping"/>
            </w:r>
            <w:r>
              <w:rPr>
                <w:rFonts w:hint="eastAsia" w:ascii="宋体" w:hAnsi="宋体" w:cs="微软雅黑"/>
                <w:color w:val="000000"/>
                <w:kern w:val="0"/>
                <w:sz w:val="21"/>
                <w:szCs w:val="21"/>
                <w:lang w:bidi="ar"/>
              </w:rPr>
              <w:t xml:space="preserve">认证结果语音自定义：集成文字转语音（TTS）和语音合成技术，认证成功和认证失败的语音可以分别配置4个时间段进行自定义播报，同时认证成功的语音可叠加播报姓名； </w:t>
            </w:r>
            <w:r>
              <w:rPr>
                <w:rFonts w:hint="eastAsia" w:ascii="宋体" w:hAnsi="宋体" w:cs="微软雅黑"/>
                <w:color w:val="000000"/>
                <w:kern w:val="0"/>
                <w:sz w:val="21"/>
                <w:szCs w:val="21"/>
                <w:lang w:bidi="ar"/>
              </w:rPr>
              <w:br w:type="textWrapping"/>
            </w:r>
            <w:r>
              <w:rPr>
                <w:rFonts w:hint="eastAsia" w:ascii="宋体" w:hAnsi="宋体" w:cs="微软雅黑"/>
                <w:color w:val="000000"/>
                <w:kern w:val="0"/>
                <w:sz w:val="21"/>
                <w:szCs w:val="21"/>
                <w:lang w:bidi="ar"/>
              </w:rPr>
              <w:t xml:space="preserve">工作模式：支持广告模式、简洁模式主题模式 </w:t>
            </w:r>
            <w:r>
              <w:rPr>
                <w:rFonts w:hint="eastAsia" w:ascii="宋体" w:hAnsi="宋体" w:cs="微软雅黑"/>
                <w:color w:val="000000"/>
                <w:kern w:val="0"/>
                <w:sz w:val="21"/>
                <w:szCs w:val="21"/>
                <w:lang w:bidi="ar"/>
              </w:rPr>
              <w:br w:type="textWrapping"/>
            </w:r>
            <w:r>
              <w:rPr>
                <w:rFonts w:hint="eastAsia" w:ascii="宋体" w:hAnsi="宋体" w:cs="微软雅黑"/>
                <w:color w:val="000000"/>
                <w:kern w:val="0"/>
                <w:sz w:val="21"/>
                <w:szCs w:val="21"/>
                <w:lang w:bidi="ar"/>
              </w:rPr>
              <w:t xml:space="preserve">外接安全模块：支持通过RS485接入门控安全模块，防止主机被恶意破坏的情况下，门锁不被打开； </w:t>
            </w:r>
            <w:r>
              <w:rPr>
                <w:rFonts w:hint="eastAsia" w:ascii="宋体" w:hAnsi="宋体" w:cs="微软雅黑"/>
                <w:color w:val="000000"/>
                <w:kern w:val="0"/>
                <w:sz w:val="21"/>
                <w:szCs w:val="21"/>
                <w:lang w:bidi="ar"/>
              </w:rPr>
              <w:br w:type="textWrapping"/>
            </w:r>
            <w:r>
              <w:rPr>
                <w:rFonts w:hint="eastAsia" w:ascii="宋体" w:hAnsi="宋体" w:cs="微软雅黑"/>
                <w:color w:val="000000"/>
                <w:kern w:val="0"/>
                <w:sz w:val="21"/>
                <w:szCs w:val="21"/>
                <w:lang w:bidi="ar"/>
              </w:rPr>
              <w:t xml:space="preserve">外接读卡器：支持通过RS485或韦根（W26/W34）接口外接1个读卡器，同时可实现单门反潜回功能； </w:t>
            </w:r>
            <w:r>
              <w:rPr>
                <w:rFonts w:hint="eastAsia" w:ascii="宋体" w:hAnsi="宋体" w:cs="微软雅黑"/>
                <w:color w:val="000000"/>
                <w:kern w:val="0"/>
                <w:sz w:val="21"/>
                <w:szCs w:val="21"/>
                <w:lang w:bidi="ar"/>
              </w:rPr>
              <w:br w:type="textWrapping"/>
            </w:r>
            <w:r>
              <w:rPr>
                <w:rFonts w:hint="eastAsia" w:ascii="宋体" w:hAnsi="宋体" w:cs="微软雅黑"/>
                <w:color w:val="000000"/>
                <w:kern w:val="0"/>
                <w:sz w:val="21"/>
                <w:szCs w:val="21"/>
                <w:lang w:bidi="ar"/>
              </w:rPr>
              <w:t xml:space="preserve">读卡器模式：支持通过RS485或韦根（W26/W34）接入门禁控制器，作为读卡器模式使用； </w:t>
            </w:r>
            <w:r>
              <w:rPr>
                <w:rFonts w:hint="eastAsia" w:ascii="宋体" w:hAnsi="宋体" w:cs="微软雅黑"/>
                <w:color w:val="000000"/>
                <w:kern w:val="0"/>
                <w:sz w:val="21"/>
                <w:szCs w:val="21"/>
                <w:lang w:bidi="ar"/>
              </w:rPr>
              <w:br w:type="textWrapping"/>
            </w:r>
            <w:r>
              <w:rPr>
                <w:rFonts w:hint="eastAsia" w:ascii="宋体" w:hAnsi="宋体" w:cs="微软雅黑"/>
                <w:color w:val="000000"/>
                <w:kern w:val="0"/>
                <w:sz w:val="21"/>
                <w:szCs w:val="21"/>
                <w:lang w:bidi="ar"/>
              </w:rPr>
              <w:t xml:space="preserve">门禁计划模板：支持255组计划模板管理，128个周计划，1024个假日计划；支持常开、常闭时段管理； </w:t>
            </w:r>
            <w:r>
              <w:rPr>
                <w:rFonts w:hint="eastAsia" w:ascii="宋体" w:hAnsi="宋体" w:cs="微软雅黑"/>
                <w:color w:val="000000"/>
                <w:kern w:val="0"/>
                <w:sz w:val="21"/>
                <w:szCs w:val="21"/>
                <w:lang w:bidi="ar"/>
              </w:rPr>
              <w:br w:type="textWrapping"/>
            </w:r>
            <w:r>
              <w:rPr>
                <w:rFonts w:hint="eastAsia" w:ascii="宋体" w:hAnsi="宋体" w:cs="微软雅黑"/>
                <w:color w:val="000000"/>
                <w:kern w:val="0"/>
                <w:sz w:val="21"/>
                <w:szCs w:val="21"/>
                <w:lang w:bidi="ar"/>
              </w:rPr>
              <w:t xml:space="preserve">组合认证：刷卡+密码、刷卡+人脸、人脸+密码等组合认证方式 </w:t>
            </w:r>
            <w:r>
              <w:rPr>
                <w:rFonts w:hint="eastAsia" w:ascii="宋体" w:hAnsi="宋体" w:cs="微软雅黑"/>
                <w:color w:val="000000"/>
                <w:kern w:val="0"/>
                <w:sz w:val="21"/>
                <w:szCs w:val="21"/>
                <w:lang w:bidi="ar"/>
              </w:rPr>
              <w:br w:type="textWrapping"/>
            </w:r>
            <w:r>
              <w:rPr>
                <w:rFonts w:hint="eastAsia" w:ascii="宋体" w:hAnsi="宋体" w:cs="微软雅黑"/>
                <w:color w:val="000000"/>
                <w:kern w:val="0"/>
                <w:sz w:val="21"/>
                <w:szCs w:val="21"/>
                <w:lang w:bidi="ar"/>
              </w:rPr>
              <w:t xml:space="preserve">多重认证：支持多个人员认证（人脸、刷卡等）通过后才开门； </w:t>
            </w:r>
            <w:r>
              <w:rPr>
                <w:rFonts w:hint="eastAsia" w:ascii="宋体" w:hAnsi="宋体" w:cs="微软雅黑"/>
                <w:color w:val="000000"/>
                <w:kern w:val="0"/>
                <w:sz w:val="21"/>
                <w:szCs w:val="21"/>
                <w:lang w:bidi="ar"/>
              </w:rPr>
              <w:br w:type="textWrapping"/>
            </w:r>
            <w:r>
              <w:rPr>
                <w:rFonts w:hint="eastAsia" w:ascii="宋体" w:hAnsi="宋体" w:cs="微软雅黑"/>
                <w:color w:val="000000"/>
                <w:kern w:val="0"/>
                <w:sz w:val="21"/>
                <w:szCs w:val="21"/>
                <w:lang w:bidi="ar"/>
              </w:rPr>
              <w:t xml:space="preserve">报警功能：设备支持防拆报警、门被外力开起报警、胁迫卡和胁迫密码报警等； </w:t>
            </w:r>
            <w:r>
              <w:rPr>
                <w:rFonts w:hint="eastAsia" w:ascii="宋体" w:hAnsi="宋体" w:cs="微软雅黑"/>
                <w:color w:val="000000"/>
                <w:kern w:val="0"/>
                <w:sz w:val="21"/>
                <w:szCs w:val="21"/>
                <w:lang w:bidi="ar"/>
              </w:rPr>
              <w:br w:type="textWrapping"/>
            </w:r>
            <w:r>
              <w:rPr>
                <w:rFonts w:hint="eastAsia" w:ascii="宋体" w:hAnsi="宋体" w:cs="微软雅黑"/>
                <w:color w:val="000000"/>
                <w:kern w:val="0"/>
                <w:sz w:val="21"/>
                <w:szCs w:val="21"/>
                <w:lang w:bidi="ar"/>
              </w:rPr>
              <w:t xml:space="preserve">事件上传：在线状态下将设备认证结果信息及联动抓拍照片实时上传给平台，支持断网续传功能，设备离线状态下产生事件在与平台连接后会重新上传； </w:t>
            </w:r>
            <w:r>
              <w:rPr>
                <w:rFonts w:hint="eastAsia" w:ascii="宋体" w:hAnsi="宋体" w:cs="微软雅黑"/>
                <w:color w:val="000000"/>
                <w:kern w:val="0"/>
                <w:sz w:val="21"/>
                <w:szCs w:val="21"/>
                <w:lang w:bidi="ar"/>
              </w:rPr>
              <w:br w:type="textWrapping"/>
            </w:r>
            <w:r>
              <w:rPr>
                <w:rFonts w:hint="eastAsia" w:ascii="宋体" w:hAnsi="宋体" w:cs="微软雅黑"/>
                <w:color w:val="000000"/>
                <w:kern w:val="0"/>
                <w:sz w:val="21"/>
                <w:szCs w:val="21"/>
                <w:lang w:bidi="ar"/>
              </w:rPr>
              <w:t xml:space="preserve">单机使用：设备可进行本地管理，支持本地注册人脸、查询、设置、管理设备参数等； </w:t>
            </w:r>
            <w:r>
              <w:rPr>
                <w:rFonts w:hint="eastAsia" w:ascii="宋体" w:hAnsi="宋体" w:cs="微软雅黑"/>
                <w:color w:val="000000"/>
                <w:kern w:val="0"/>
                <w:sz w:val="21"/>
                <w:szCs w:val="21"/>
                <w:lang w:bidi="ar"/>
              </w:rPr>
              <w:br w:type="textWrapping"/>
            </w:r>
            <w:r>
              <w:rPr>
                <w:rFonts w:hint="eastAsia" w:ascii="宋体" w:hAnsi="宋体" w:cs="微软雅黑"/>
                <w:color w:val="000000"/>
                <w:kern w:val="0"/>
                <w:sz w:val="21"/>
                <w:szCs w:val="21"/>
                <w:lang w:bidi="ar"/>
              </w:rPr>
              <w:t>WEB管理：支持Web端管理，可进行人员管理、参数配置、事件查询、系统维护等操作。</w:t>
            </w:r>
          </w:p>
        </w:tc>
        <w:tc>
          <w:tcPr>
            <w:tcW w:w="462" w:type="pct"/>
            <w:tcBorders>
              <w:top w:val="single" w:color="000000" w:sz="4" w:space="0"/>
              <w:left w:val="single" w:color="000000" w:sz="4" w:space="0"/>
              <w:bottom w:val="single" w:color="000000" w:sz="4" w:space="0"/>
              <w:right w:val="single" w:color="000000" w:sz="4" w:space="0"/>
            </w:tcBorders>
            <w:vAlign w:val="center"/>
          </w:tcPr>
          <w:p w14:paraId="54ED9551">
            <w:pPr>
              <w:widowControl/>
              <w:spacing w:line="240" w:lineRule="exact"/>
              <w:jc w:val="center"/>
              <w:textAlignment w:val="center"/>
              <w:rPr>
                <w:rFonts w:ascii="宋体" w:hAnsi="宋体" w:cs="微软雅黑"/>
                <w:color w:val="000000"/>
                <w:sz w:val="21"/>
                <w:szCs w:val="21"/>
              </w:rPr>
            </w:pPr>
            <w:r>
              <w:rPr>
                <w:rFonts w:hint="eastAsia" w:ascii="宋体" w:hAnsi="宋体" w:cs="微软雅黑"/>
                <w:color w:val="000000"/>
                <w:kern w:val="0"/>
                <w:sz w:val="21"/>
                <w:szCs w:val="21"/>
                <w:lang w:bidi="ar"/>
              </w:rPr>
              <w:t>台</w:t>
            </w:r>
          </w:p>
        </w:tc>
        <w:tc>
          <w:tcPr>
            <w:tcW w:w="480" w:type="pct"/>
            <w:tcBorders>
              <w:top w:val="single" w:color="000000" w:sz="4" w:space="0"/>
              <w:left w:val="single" w:color="000000" w:sz="4" w:space="0"/>
              <w:bottom w:val="single" w:color="000000" w:sz="4" w:space="0"/>
              <w:right w:val="single" w:color="000000" w:sz="4" w:space="0"/>
            </w:tcBorders>
            <w:vAlign w:val="center"/>
          </w:tcPr>
          <w:p w14:paraId="3986344B">
            <w:pPr>
              <w:widowControl/>
              <w:spacing w:line="240" w:lineRule="exact"/>
              <w:jc w:val="center"/>
              <w:textAlignment w:val="center"/>
              <w:rPr>
                <w:rFonts w:ascii="宋体" w:hAnsi="宋体" w:cs="微软雅黑"/>
                <w:color w:val="000000"/>
                <w:sz w:val="21"/>
                <w:szCs w:val="21"/>
              </w:rPr>
            </w:pPr>
            <w:r>
              <w:rPr>
                <w:rFonts w:hint="eastAsia" w:ascii="宋体" w:hAnsi="宋体" w:cs="微软雅黑"/>
                <w:color w:val="000000"/>
                <w:kern w:val="0"/>
                <w:sz w:val="21"/>
                <w:szCs w:val="21"/>
                <w:lang w:bidi="ar"/>
              </w:rPr>
              <w:t>8</w:t>
            </w:r>
          </w:p>
        </w:tc>
      </w:tr>
      <w:tr w14:paraId="37EDC28D">
        <w:tblPrEx>
          <w:tblCellMar>
            <w:top w:w="0" w:type="dxa"/>
            <w:left w:w="108" w:type="dxa"/>
            <w:bottom w:w="0" w:type="dxa"/>
            <w:right w:w="108" w:type="dxa"/>
          </w:tblCellMar>
        </w:tblPrEx>
        <w:trPr>
          <w:trHeight w:val="1640" w:hRule="atLeast"/>
        </w:trPr>
        <w:tc>
          <w:tcPr>
            <w:tcW w:w="351" w:type="pct"/>
            <w:tcBorders>
              <w:top w:val="single" w:color="000000" w:sz="4" w:space="0"/>
              <w:left w:val="single" w:color="000000" w:sz="4" w:space="0"/>
              <w:bottom w:val="single" w:color="000000" w:sz="4" w:space="0"/>
              <w:right w:val="single" w:color="000000" w:sz="4" w:space="0"/>
            </w:tcBorders>
            <w:vAlign w:val="center"/>
          </w:tcPr>
          <w:p w14:paraId="1214201F">
            <w:pPr>
              <w:widowControl/>
              <w:spacing w:line="240" w:lineRule="exact"/>
              <w:jc w:val="center"/>
              <w:textAlignment w:val="center"/>
              <w:rPr>
                <w:rFonts w:ascii="宋体" w:hAnsi="宋体" w:cs="微软雅黑"/>
                <w:color w:val="000000"/>
                <w:sz w:val="21"/>
                <w:szCs w:val="21"/>
              </w:rPr>
            </w:pPr>
            <w:r>
              <w:rPr>
                <w:rFonts w:hint="eastAsia" w:ascii="宋体" w:hAnsi="宋体" w:cs="微软雅黑"/>
                <w:color w:val="000000"/>
                <w:kern w:val="0"/>
                <w:sz w:val="21"/>
                <w:szCs w:val="21"/>
                <w:lang w:bidi="ar"/>
              </w:rPr>
              <w:t>2</w:t>
            </w:r>
          </w:p>
        </w:tc>
        <w:tc>
          <w:tcPr>
            <w:tcW w:w="1114" w:type="pct"/>
            <w:tcBorders>
              <w:top w:val="single" w:color="000000" w:sz="4" w:space="0"/>
              <w:left w:val="single" w:color="000000" w:sz="4" w:space="0"/>
              <w:bottom w:val="single" w:color="000000" w:sz="4" w:space="0"/>
              <w:right w:val="single" w:color="000000" w:sz="4" w:space="0"/>
            </w:tcBorders>
            <w:vAlign w:val="center"/>
          </w:tcPr>
          <w:p w14:paraId="29210E9E">
            <w:pPr>
              <w:widowControl/>
              <w:spacing w:line="240" w:lineRule="exact"/>
              <w:jc w:val="left"/>
              <w:textAlignment w:val="center"/>
              <w:rPr>
                <w:rFonts w:ascii="宋体" w:hAnsi="宋体" w:cs="微软雅黑"/>
                <w:color w:val="000000"/>
                <w:sz w:val="21"/>
                <w:szCs w:val="21"/>
              </w:rPr>
            </w:pPr>
            <w:r>
              <w:rPr>
                <w:rFonts w:hint="eastAsia" w:ascii="宋体" w:hAnsi="宋体" w:cs="微软雅黑"/>
                <w:color w:val="000000"/>
                <w:kern w:val="0"/>
                <w:sz w:val="21"/>
                <w:szCs w:val="21"/>
                <w:lang w:bidi="ar"/>
              </w:rPr>
              <w:t>全数字室内机</w:t>
            </w:r>
          </w:p>
        </w:tc>
        <w:tc>
          <w:tcPr>
            <w:tcW w:w="2594" w:type="pct"/>
            <w:tcBorders>
              <w:top w:val="single" w:color="000000" w:sz="4" w:space="0"/>
              <w:left w:val="single" w:color="000000" w:sz="4" w:space="0"/>
              <w:bottom w:val="single" w:color="000000" w:sz="4" w:space="0"/>
              <w:right w:val="single" w:color="000000" w:sz="4" w:space="0"/>
            </w:tcBorders>
            <w:vAlign w:val="center"/>
          </w:tcPr>
          <w:p w14:paraId="743A9691">
            <w:pPr>
              <w:widowControl/>
              <w:spacing w:line="240" w:lineRule="exact"/>
              <w:jc w:val="left"/>
              <w:textAlignment w:val="center"/>
              <w:rPr>
                <w:rFonts w:ascii="宋体" w:hAnsi="宋体" w:cs="微软雅黑"/>
                <w:color w:val="000000"/>
                <w:kern w:val="0"/>
                <w:sz w:val="21"/>
                <w:szCs w:val="21"/>
                <w:lang w:bidi="ar"/>
              </w:rPr>
            </w:pPr>
            <w:r>
              <w:rPr>
                <w:rFonts w:hint="eastAsia" w:ascii="宋体" w:hAnsi="宋体" w:cs="微软雅黑"/>
                <w:color w:val="000000"/>
                <w:kern w:val="0"/>
                <w:sz w:val="21"/>
                <w:szCs w:val="21"/>
                <w:lang w:bidi="ar"/>
              </w:rPr>
              <w:t>不低于以下配置要求：</w:t>
            </w:r>
          </w:p>
          <w:p w14:paraId="06AF2A59">
            <w:pPr>
              <w:widowControl/>
              <w:spacing w:line="240" w:lineRule="exact"/>
              <w:jc w:val="left"/>
              <w:textAlignment w:val="center"/>
              <w:rPr>
                <w:rFonts w:ascii="宋体" w:hAnsi="宋体" w:cs="微软雅黑"/>
                <w:color w:val="000000"/>
                <w:sz w:val="21"/>
                <w:szCs w:val="21"/>
              </w:rPr>
            </w:pPr>
            <w:r>
              <w:rPr>
                <w:rFonts w:hint="eastAsia" w:ascii="宋体" w:hAnsi="宋体" w:cs="微软雅黑"/>
                <w:color w:val="000000"/>
                <w:kern w:val="0"/>
                <w:sz w:val="21"/>
                <w:szCs w:val="21"/>
                <w:lang w:bidi="ar"/>
              </w:rPr>
              <w:t xml:space="preserve">显示屏：10.1寸彩色触摸TFT LCD； </w:t>
            </w:r>
            <w:r>
              <w:rPr>
                <w:rFonts w:hint="eastAsia" w:ascii="宋体" w:hAnsi="宋体" w:cs="微软雅黑"/>
                <w:color w:val="000000"/>
                <w:kern w:val="0"/>
                <w:sz w:val="21"/>
                <w:szCs w:val="21"/>
                <w:lang w:bidi="ar"/>
              </w:rPr>
              <w:br w:type="textWrapping"/>
            </w:r>
            <w:r>
              <w:rPr>
                <w:rFonts w:hint="eastAsia" w:ascii="宋体" w:hAnsi="宋体" w:cs="微软雅黑"/>
                <w:color w:val="000000"/>
                <w:kern w:val="0"/>
                <w:sz w:val="21"/>
                <w:szCs w:val="21"/>
                <w:lang w:bidi="ar"/>
              </w:rPr>
              <w:t xml:space="preserve">显示屏分辨率：1024*600； </w:t>
            </w:r>
            <w:r>
              <w:rPr>
                <w:rFonts w:hint="eastAsia" w:ascii="宋体" w:hAnsi="宋体" w:cs="微软雅黑"/>
                <w:color w:val="000000"/>
                <w:kern w:val="0"/>
                <w:sz w:val="21"/>
                <w:szCs w:val="21"/>
                <w:lang w:bidi="ar"/>
              </w:rPr>
              <w:br w:type="textWrapping"/>
            </w:r>
            <w:r>
              <w:rPr>
                <w:rFonts w:hint="eastAsia" w:ascii="宋体" w:hAnsi="宋体" w:cs="微软雅黑"/>
                <w:color w:val="000000"/>
                <w:kern w:val="0"/>
                <w:sz w:val="21"/>
                <w:szCs w:val="21"/>
                <w:lang w:bidi="ar"/>
              </w:rPr>
              <w:t xml:space="preserve">操作方式：电容式触摸屏； </w:t>
            </w:r>
            <w:r>
              <w:rPr>
                <w:rFonts w:hint="eastAsia" w:ascii="宋体" w:hAnsi="宋体" w:cs="微软雅黑"/>
                <w:color w:val="000000"/>
                <w:kern w:val="0"/>
                <w:sz w:val="21"/>
                <w:szCs w:val="21"/>
                <w:lang w:bidi="ar"/>
              </w:rPr>
              <w:br w:type="textWrapping"/>
            </w:r>
            <w:r>
              <w:rPr>
                <w:rFonts w:hint="eastAsia" w:ascii="宋体" w:hAnsi="宋体" w:cs="微软雅黑"/>
                <w:color w:val="000000"/>
                <w:kern w:val="0"/>
                <w:sz w:val="21"/>
                <w:szCs w:val="21"/>
                <w:lang w:bidi="ar"/>
              </w:rPr>
              <w:t xml:space="preserve">支持主动查看门口机画面与门口机进行双向对讲，并可进行一键远程开门； </w:t>
            </w:r>
            <w:r>
              <w:rPr>
                <w:rFonts w:hint="eastAsia" w:ascii="宋体" w:hAnsi="宋体" w:cs="微软雅黑"/>
                <w:color w:val="000000"/>
                <w:kern w:val="0"/>
                <w:sz w:val="21"/>
                <w:szCs w:val="21"/>
                <w:lang w:bidi="ar"/>
              </w:rPr>
              <w:br w:type="textWrapping"/>
            </w:r>
            <w:r>
              <w:rPr>
                <w:rFonts w:hint="eastAsia" w:ascii="宋体" w:hAnsi="宋体" w:cs="微软雅黑"/>
                <w:color w:val="000000"/>
                <w:kern w:val="0"/>
                <w:sz w:val="21"/>
                <w:szCs w:val="21"/>
                <w:lang w:bidi="ar"/>
              </w:rPr>
              <w:t xml:space="preserve">网线供电：支持解码器网线供电； </w:t>
            </w:r>
            <w:r>
              <w:rPr>
                <w:rFonts w:hint="eastAsia" w:ascii="宋体" w:hAnsi="宋体" w:cs="微软雅黑"/>
                <w:color w:val="000000"/>
                <w:kern w:val="0"/>
                <w:sz w:val="21"/>
                <w:szCs w:val="21"/>
                <w:lang w:bidi="ar"/>
              </w:rPr>
              <w:br w:type="textWrapping"/>
            </w:r>
            <w:r>
              <w:rPr>
                <w:rFonts w:hint="eastAsia" w:ascii="宋体" w:hAnsi="宋体" w:cs="微软雅黑"/>
                <w:color w:val="000000"/>
                <w:kern w:val="0"/>
                <w:sz w:val="21"/>
                <w:szCs w:val="21"/>
                <w:lang w:bidi="ar"/>
              </w:rPr>
              <w:t xml:space="preserve">防区数：8防区； </w:t>
            </w:r>
            <w:r>
              <w:rPr>
                <w:rFonts w:hint="eastAsia" w:ascii="宋体" w:hAnsi="宋体" w:cs="微软雅黑"/>
                <w:color w:val="000000"/>
                <w:kern w:val="0"/>
                <w:sz w:val="21"/>
                <w:szCs w:val="21"/>
                <w:lang w:bidi="ar"/>
              </w:rPr>
              <w:br w:type="textWrapping"/>
            </w:r>
            <w:r>
              <w:rPr>
                <w:rFonts w:hint="eastAsia" w:ascii="宋体" w:hAnsi="宋体" w:cs="微软雅黑"/>
                <w:color w:val="000000"/>
                <w:kern w:val="0"/>
                <w:sz w:val="21"/>
                <w:szCs w:val="21"/>
                <w:lang w:bidi="ar"/>
              </w:rPr>
              <w:t xml:space="preserve">网口：10M/100M自适应以太网口； </w:t>
            </w:r>
            <w:r>
              <w:rPr>
                <w:rFonts w:hint="eastAsia" w:ascii="宋体" w:hAnsi="宋体" w:cs="微软雅黑"/>
                <w:color w:val="000000"/>
                <w:kern w:val="0"/>
                <w:sz w:val="21"/>
                <w:szCs w:val="21"/>
                <w:lang w:bidi="ar"/>
              </w:rPr>
              <w:br w:type="textWrapping"/>
            </w:r>
            <w:r>
              <w:rPr>
                <w:rFonts w:hint="eastAsia" w:ascii="宋体" w:hAnsi="宋体" w:cs="微软雅黑"/>
                <w:color w:val="000000"/>
                <w:kern w:val="0"/>
                <w:sz w:val="21"/>
                <w:szCs w:val="21"/>
                <w:lang w:bidi="ar"/>
              </w:rPr>
              <w:t xml:space="preserve">网络协议：SIP2.0、RTSP； </w:t>
            </w:r>
            <w:r>
              <w:rPr>
                <w:rFonts w:hint="eastAsia" w:ascii="宋体" w:hAnsi="宋体" w:cs="微软雅黑"/>
                <w:color w:val="000000"/>
                <w:kern w:val="0"/>
                <w:sz w:val="21"/>
                <w:szCs w:val="21"/>
                <w:lang w:bidi="ar"/>
              </w:rPr>
              <w:br w:type="textWrapping"/>
            </w:r>
            <w:r>
              <w:rPr>
                <w:rFonts w:hint="eastAsia" w:ascii="宋体" w:hAnsi="宋体" w:cs="微软雅黑"/>
                <w:color w:val="000000"/>
                <w:kern w:val="0"/>
                <w:sz w:val="21"/>
                <w:szCs w:val="21"/>
                <w:lang w:bidi="ar"/>
              </w:rPr>
              <w:t xml:space="preserve">IO输出：无； </w:t>
            </w:r>
            <w:r>
              <w:rPr>
                <w:rFonts w:hint="eastAsia" w:ascii="宋体" w:hAnsi="宋体" w:cs="微软雅黑"/>
                <w:color w:val="000000"/>
                <w:kern w:val="0"/>
                <w:sz w:val="21"/>
                <w:szCs w:val="21"/>
                <w:lang w:bidi="ar"/>
              </w:rPr>
              <w:br w:type="textWrapping"/>
            </w:r>
            <w:r>
              <w:rPr>
                <w:rFonts w:hint="eastAsia" w:ascii="宋体" w:hAnsi="宋体" w:cs="微软雅黑"/>
                <w:color w:val="000000"/>
                <w:kern w:val="0"/>
                <w:sz w:val="21"/>
                <w:szCs w:val="21"/>
                <w:lang w:bidi="ar"/>
              </w:rPr>
              <w:t xml:space="preserve">探测器供电：室内机解码器网线供电时支持输出1路12V 200mA电源用于探测器供电；  </w:t>
            </w:r>
            <w:r>
              <w:rPr>
                <w:rFonts w:hint="eastAsia" w:ascii="宋体" w:hAnsi="宋体" w:cs="微软雅黑"/>
                <w:color w:val="000000"/>
                <w:kern w:val="0"/>
                <w:sz w:val="21"/>
                <w:szCs w:val="21"/>
                <w:lang w:bidi="ar"/>
              </w:rPr>
              <w:br w:type="textWrapping"/>
            </w:r>
            <w:r>
              <w:rPr>
                <w:rFonts w:hint="eastAsia" w:ascii="宋体" w:hAnsi="宋体" w:cs="微软雅黑"/>
                <w:color w:val="000000"/>
                <w:kern w:val="0"/>
                <w:sz w:val="21"/>
                <w:szCs w:val="21"/>
                <w:lang w:bidi="ar"/>
              </w:rPr>
              <w:t xml:space="preserve">材质：PC+亚克力外壳，钢化玻璃面板 </w:t>
            </w:r>
            <w:r>
              <w:rPr>
                <w:rFonts w:hint="eastAsia" w:ascii="宋体" w:hAnsi="宋体" w:cs="微软雅黑"/>
                <w:color w:val="000000"/>
                <w:kern w:val="0"/>
                <w:sz w:val="21"/>
                <w:szCs w:val="21"/>
                <w:lang w:bidi="ar"/>
              </w:rPr>
              <w:br w:type="textWrapping"/>
            </w:r>
            <w:r>
              <w:rPr>
                <w:rFonts w:hint="eastAsia" w:ascii="宋体" w:hAnsi="宋体" w:cs="微软雅黑"/>
                <w:color w:val="000000"/>
                <w:kern w:val="0"/>
                <w:sz w:val="21"/>
                <w:szCs w:val="21"/>
                <w:lang w:bidi="ar"/>
              </w:rPr>
              <w:br w:type="textWrapping"/>
            </w:r>
            <w:r>
              <w:rPr>
                <w:rFonts w:hint="eastAsia" w:ascii="宋体" w:hAnsi="宋体" w:cs="微软雅黑"/>
                <w:color w:val="000000"/>
                <w:kern w:val="0"/>
                <w:sz w:val="21"/>
                <w:szCs w:val="21"/>
                <w:lang w:bidi="ar"/>
              </w:rPr>
              <w:t xml:space="preserve">电源：解码器网线供电或DC12V ； </w:t>
            </w:r>
            <w:r>
              <w:rPr>
                <w:rFonts w:hint="eastAsia" w:ascii="宋体" w:hAnsi="宋体" w:cs="微软雅黑"/>
                <w:color w:val="000000"/>
                <w:kern w:val="0"/>
                <w:sz w:val="21"/>
                <w:szCs w:val="21"/>
                <w:lang w:bidi="ar"/>
              </w:rPr>
              <w:br w:type="textWrapping"/>
            </w:r>
            <w:r>
              <w:rPr>
                <w:rFonts w:hint="eastAsia" w:ascii="宋体" w:hAnsi="宋体" w:cs="微软雅黑"/>
                <w:color w:val="000000"/>
                <w:kern w:val="0"/>
                <w:sz w:val="21"/>
                <w:szCs w:val="21"/>
                <w:lang w:bidi="ar"/>
              </w:rPr>
              <w:t>功耗：≤6W 。</w:t>
            </w:r>
          </w:p>
        </w:tc>
        <w:tc>
          <w:tcPr>
            <w:tcW w:w="462" w:type="pct"/>
            <w:tcBorders>
              <w:top w:val="single" w:color="000000" w:sz="4" w:space="0"/>
              <w:left w:val="single" w:color="000000" w:sz="4" w:space="0"/>
              <w:bottom w:val="single" w:color="000000" w:sz="4" w:space="0"/>
              <w:right w:val="single" w:color="000000" w:sz="4" w:space="0"/>
            </w:tcBorders>
            <w:vAlign w:val="center"/>
          </w:tcPr>
          <w:p w14:paraId="08F83A94">
            <w:pPr>
              <w:widowControl/>
              <w:spacing w:line="240" w:lineRule="exact"/>
              <w:jc w:val="center"/>
              <w:textAlignment w:val="center"/>
              <w:rPr>
                <w:rFonts w:ascii="宋体" w:hAnsi="宋体" w:cs="微软雅黑"/>
                <w:color w:val="000000"/>
                <w:sz w:val="21"/>
                <w:szCs w:val="21"/>
              </w:rPr>
            </w:pPr>
            <w:r>
              <w:rPr>
                <w:rFonts w:hint="eastAsia" w:ascii="宋体" w:hAnsi="宋体" w:cs="微软雅黑"/>
                <w:color w:val="000000"/>
                <w:kern w:val="0"/>
                <w:sz w:val="21"/>
                <w:szCs w:val="21"/>
                <w:lang w:bidi="ar"/>
              </w:rPr>
              <w:t>台</w:t>
            </w:r>
          </w:p>
        </w:tc>
        <w:tc>
          <w:tcPr>
            <w:tcW w:w="480" w:type="pct"/>
            <w:tcBorders>
              <w:top w:val="single" w:color="000000" w:sz="4" w:space="0"/>
              <w:left w:val="single" w:color="000000" w:sz="4" w:space="0"/>
              <w:bottom w:val="single" w:color="000000" w:sz="4" w:space="0"/>
              <w:right w:val="single" w:color="000000" w:sz="4" w:space="0"/>
            </w:tcBorders>
            <w:vAlign w:val="center"/>
          </w:tcPr>
          <w:p w14:paraId="35EBF39E">
            <w:pPr>
              <w:widowControl/>
              <w:spacing w:line="240" w:lineRule="exact"/>
              <w:jc w:val="center"/>
              <w:textAlignment w:val="center"/>
              <w:rPr>
                <w:rFonts w:ascii="宋体" w:hAnsi="宋体" w:cs="微软雅黑"/>
                <w:color w:val="000000"/>
                <w:sz w:val="21"/>
                <w:szCs w:val="21"/>
              </w:rPr>
            </w:pPr>
            <w:r>
              <w:rPr>
                <w:rFonts w:hint="eastAsia" w:ascii="宋体" w:hAnsi="宋体" w:cs="微软雅黑"/>
                <w:color w:val="000000"/>
                <w:kern w:val="0"/>
                <w:sz w:val="21"/>
                <w:szCs w:val="21"/>
                <w:lang w:bidi="ar"/>
              </w:rPr>
              <w:t>1</w:t>
            </w:r>
          </w:p>
        </w:tc>
      </w:tr>
      <w:tr w14:paraId="1AA9A41C">
        <w:tblPrEx>
          <w:tblCellMar>
            <w:top w:w="0" w:type="dxa"/>
            <w:left w:w="108" w:type="dxa"/>
            <w:bottom w:w="0" w:type="dxa"/>
            <w:right w:w="108" w:type="dxa"/>
          </w:tblCellMar>
        </w:tblPrEx>
        <w:trPr>
          <w:trHeight w:val="1640" w:hRule="atLeast"/>
        </w:trPr>
        <w:tc>
          <w:tcPr>
            <w:tcW w:w="351" w:type="pct"/>
            <w:tcBorders>
              <w:top w:val="single" w:color="000000" w:sz="4" w:space="0"/>
              <w:left w:val="single" w:color="000000" w:sz="4" w:space="0"/>
              <w:bottom w:val="single" w:color="000000" w:sz="4" w:space="0"/>
              <w:right w:val="single" w:color="000000" w:sz="4" w:space="0"/>
            </w:tcBorders>
            <w:vAlign w:val="center"/>
          </w:tcPr>
          <w:p w14:paraId="374D6002">
            <w:pPr>
              <w:widowControl/>
              <w:spacing w:line="240" w:lineRule="exact"/>
              <w:jc w:val="center"/>
              <w:textAlignment w:val="center"/>
              <w:rPr>
                <w:rFonts w:ascii="宋体" w:hAnsi="宋体" w:cs="微软雅黑"/>
                <w:color w:val="000000"/>
                <w:sz w:val="21"/>
                <w:szCs w:val="21"/>
              </w:rPr>
            </w:pPr>
            <w:r>
              <w:rPr>
                <w:rFonts w:hint="eastAsia" w:ascii="宋体" w:hAnsi="宋体" w:cs="微软雅黑"/>
                <w:color w:val="000000"/>
                <w:kern w:val="0"/>
                <w:sz w:val="21"/>
                <w:szCs w:val="21"/>
                <w:lang w:bidi="ar"/>
              </w:rPr>
              <w:t>3</w:t>
            </w:r>
          </w:p>
        </w:tc>
        <w:tc>
          <w:tcPr>
            <w:tcW w:w="1114" w:type="pct"/>
            <w:tcBorders>
              <w:top w:val="single" w:color="000000" w:sz="4" w:space="0"/>
              <w:left w:val="single" w:color="000000" w:sz="4" w:space="0"/>
              <w:bottom w:val="single" w:color="000000" w:sz="4" w:space="0"/>
              <w:right w:val="single" w:color="000000" w:sz="4" w:space="0"/>
            </w:tcBorders>
            <w:vAlign w:val="center"/>
          </w:tcPr>
          <w:p w14:paraId="2E68FCD4">
            <w:pPr>
              <w:widowControl/>
              <w:spacing w:line="240" w:lineRule="exact"/>
              <w:jc w:val="left"/>
              <w:textAlignment w:val="center"/>
              <w:rPr>
                <w:rFonts w:ascii="宋体" w:hAnsi="宋体" w:cs="微软雅黑"/>
                <w:color w:val="000000"/>
                <w:sz w:val="21"/>
                <w:szCs w:val="21"/>
              </w:rPr>
            </w:pPr>
            <w:r>
              <w:rPr>
                <w:rFonts w:hint="eastAsia" w:ascii="宋体" w:hAnsi="宋体" w:cs="微软雅黑"/>
                <w:color w:val="000000"/>
                <w:kern w:val="0"/>
                <w:sz w:val="21"/>
                <w:szCs w:val="21"/>
                <w:lang w:bidi="ar"/>
              </w:rPr>
              <w:t>卡片发卡器（含门禁卡100张）</w:t>
            </w:r>
          </w:p>
        </w:tc>
        <w:tc>
          <w:tcPr>
            <w:tcW w:w="2594" w:type="pct"/>
            <w:tcBorders>
              <w:top w:val="single" w:color="000000" w:sz="4" w:space="0"/>
              <w:left w:val="single" w:color="000000" w:sz="4" w:space="0"/>
              <w:bottom w:val="single" w:color="000000" w:sz="4" w:space="0"/>
              <w:right w:val="single" w:color="000000" w:sz="4" w:space="0"/>
            </w:tcBorders>
            <w:vAlign w:val="center"/>
          </w:tcPr>
          <w:p w14:paraId="0CB80B2A">
            <w:pPr>
              <w:widowControl/>
              <w:spacing w:line="240" w:lineRule="exact"/>
              <w:jc w:val="left"/>
              <w:textAlignment w:val="center"/>
              <w:rPr>
                <w:rFonts w:ascii="宋体" w:hAnsi="宋体" w:cs="微软雅黑"/>
                <w:color w:val="000000"/>
                <w:sz w:val="21"/>
                <w:szCs w:val="21"/>
              </w:rPr>
            </w:pPr>
            <w:r>
              <w:rPr>
                <w:rFonts w:hint="eastAsia" w:ascii="宋体" w:hAnsi="宋体" w:cs="微软雅黑"/>
                <w:color w:val="000000"/>
                <w:kern w:val="0"/>
                <w:sz w:val="21"/>
                <w:szCs w:val="21"/>
                <w:lang w:bidi="ar"/>
              </w:rPr>
              <w:t xml:space="preserve">支持发卡类型：ID卡、Mifare卡、身份证物料卡号（序列号）、普通CPU卡、国密CPU卡； </w:t>
            </w:r>
            <w:r>
              <w:rPr>
                <w:rFonts w:hint="eastAsia" w:ascii="宋体" w:hAnsi="宋体" w:cs="微软雅黑"/>
                <w:color w:val="000000"/>
                <w:kern w:val="0"/>
                <w:sz w:val="21"/>
                <w:szCs w:val="21"/>
                <w:lang w:bidi="ar"/>
              </w:rPr>
              <w:br w:type="textWrapping"/>
            </w:r>
            <w:r>
              <w:rPr>
                <w:rFonts w:hint="eastAsia" w:ascii="宋体" w:hAnsi="宋体" w:cs="微软雅黑"/>
                <w:color w:val="000000"/>
                <w:kern w:val="0"/>
                <w:sz w:val="21"/>
                <w:szCs w:val="21"/>
                <w:lang w:bidi="ar"/>
              </w:rPr>
              <w:t xml:space="preserve">USB2.0接口； </w:t>
            </w:r>
            <w:r>
              <w:rPr>
                <w:rFonts w:hint="eastAsia" w:ascii="宋体" w:hAnsi="宋体" w:cs="微软雅黑"/>
                <w:color w:val="000000"/>
                <w:kern w:val="0"/>
                <w:sz w:val="21"/>
                <w:szCs w:val="21"/>
                <w:lang w:bidi="ar"/>
              </w:rPr>
              <w:br w:type="textWrapping"/>
            </w:r>
            <w:r>
              <w:rPr>
                <w:rFonts w:hint="eastAsia" w:ascii="宋体" w:hAnsi="宋体" w:cs="微软雅黑"/>
                <w:color w:val="000000"/>
                <w:kern w:val="0"/>
                <w:sz w:val="21"/>
                <w:szCs w:val="21"/>
                <w:lang w:bidi="ar"/>
              </w:rPr>
              <w:t xml:space="preserve">具有2个Sim卡尺寸的PSAM卡座； </w:t>
            </w:r>
            <w:r>
              <w:rPr>
                <w:rFonts w:hint="eastAsia" w:ascii="宋体" w:hAnsi="宋体" w:cs="微软雅黑"/>
                <w:color w:val="000000"/>
                <w:kern w:val="0"/>
                <w:sz w:val="21"/>
                <w:szCs w:val="21"/>
                <w:lang w:bidi="ar"/>
              </w:rPr>
              <w:br w:type="textWrapping"/>
            </w:r>
            <w:r>
              <w:rPr>
                <w:rFonts w:hint="eastAsia" w:ascii="宋体" w:hAnsi="宋体" w:cs="微软雅黑"/>
                <w:color w:val="000000"/>
                <w:kern w:val="0"/>
                <w:sz w:val="21"/>
                <w:szCs w:val="21"/>
                <w:lang w:bidi="ar"/>
              </w:rPr>
              <w:t xml:space="preserve">工作电压：DC 5V； </w:t>
            </w:r>
            <w:r>
              <w:rPr>
                <w:rFonts w:hint="eastAsia" w:ascii="宋体" w:hAnsi="宋体" w:cs="微软雅黑"/>
                <w:color w:val="000000"/>
                <w:kern w:val="0"/>
                <w:sz w:val="21"/>
                <w:szCs w:val="21"/>
                <w:lang w:bidi="ar"/>
              </w:rPr>
              <w:br w:type="textWrapping"/>
            </w:r>
            <w:r>
              <w:rPr>
                <w:rFonts w:hint="eastAsia" w:ascii="宋体" w:hAnsi="宋体" w:cs="微软雅黑"/>
                <w:color w:val="000000"/>
                <w:kern w:val="0"/>
                <w:sz w:val="21"/>
                <w:szCs w:val="21"/>
                <w:lang w:bidi="ar"/>
              </w:rPr>
              <w:t xml:space="preserve">工作电流：0.2A； </w:t>
            </w:r>
          </w:p>
        </w:tc>
        <w:tc>
          <w:tcPr>
            <w:tcW w:w="462" w:type="pct"/>
            <w:tcBorders>
              <w:top w:val="single" w:color="000000" w:sz="4" w:space="0"/>
              <w:left w:val="single" w:color="000000" w:sz="4" w:space="0"/>
              <w:bottom w:val="single" w:color="000000" w:sz="4" w:space="0"/>
              <w:right w:val="single" w:color="000000" w:sz="4" w:space="0"/>
            </w:tcBorders>
            <w:vAlign w:val="center"/>
          </w:tcPr>
          <w:p w14:paraId="0B90FBF0">
            <w:pPr>
              <w:widowControl/>
              <w:spacing w:line="240" w:lineRule="exact"/>
              <w:jc w:val="center"/>
              <w:textAlignment w:val="center"/>
              <w:rPr>
                <w:rFonts w:ascii="宋体" w:hAnsi="宋体" w:cs="微软雅黑"/>
                <w:color w:val="000000"/>
                <w:sz w:val="21"/>
                <w:szCs w:val="21"/>
              </w:rPr>
            </w:pPr>
            <w:r>
              <w:rPr>
                <w:rFonts w:hint="eastAsia" w:ascii="宋体" w:hAnsi="宋体" w:cs="微软雅黑"/>
                <w:color w:val="000000"/>
                <w:kern w:val="0"/>
                <w:sz w:val="21"/>
                <w:szCs w:val="21"/>
                <w:lang w:bidi="ar"/>
              </w:rPr>
              <w:t>台</w:t>
            </w:r>
          </w:p>
        </w:tc>
        <w:tc>
          <w:tcPr>
            <w:tcW w:w="480" w:type="pct"/>
            <w:tcBorders>
              <w:top w:val="single" w:color="000000" w:sz="4" w:space="0"/>
              <w:left w:val="single" w:color="000000" w:sz="4" w:space="0"/>
              <w:bottom w:val="single" w:color="000000" w:sz="4" w:space="0"/>
              <w:right w:val="single" w:color="000000" w:sz="4" w:space="0"/>
            </w:tcBorders>
            <w:vAlign w:val="center"/>
          </w:tcPr>
          <w:p w14:paraId="541DEA12">
            <w:pPr>
              <w:widowControl/>
              <w:spacing w:line="240" w:lineRule="exact"/>
              <w:jc w:val="center"/>
              <w:textAlignment w:val="center"/>
              <w:rPr>
                <w:rFonts w:ascii="宋体" w:hAnsi="宋体" w:cs="微软雅黑"/>
                <w:color w:val="000000"/>
                <w:sz w:val="21"/>
                <w:szCs w:val="21"/>
              </w:rPr>
            </w:pPr>
            <w:r>
              <w:rPr>
                <w:rFonts w:hint="eastAsia" w:ascii="宋体" w:hAnsi="宋体" w:cs="微软雅黑"/>
                <w:color w:val="000000"/>
                <w:kern w:val="0"/>
                <w:sz w:val="21"/>
                <w:szCs w:val="21"/>
                <w:lang w:bidi="ar"/>
              </w:rPr>
              <w:t>1</w:t>
            </w:r>
          </w:p>
        </w:tc>
      </w:tr>
      <w:tr w14:paraId="2D8D067A">
        <w:tblPrEx>
          <w:tblCellMar>
            <w:top w:w="0" w:type="dxa"/>
            <w:left w:w="108" w:type="dxa"/>
            <w:bottom w:w="0" w:type="dxa"/>
            <w:right w:w="108" w:type="dxa"/>
          </w:tblCellMar>
        </w:tblPrEx>
        <w:trPr>
          <w:trHeight w:val="656" w:hRule="atLeast"/>
        </w:trPr>
        <w:tc>
          <w:tcPr>
            <w:tcW w:w="351" w:type="pct"/>
            <w:tcBorders>
              <w:top w:val="single" w:color="000000" w:sz="4" w:space="0"/>
              <w:left w:val="single" w:color="000000" w:sz="4" w:space="0"/>
              <w:bottom w:val="single" w:color="000000" w:sz="4" w:space="0"/>
              <w:right w:val="single" w:color="000000" w:sz="4" w:space="0"/>
            </w:tcBorders>
            <w:vAlign w:val="center"/>
          </w:tcPr>
          <w:p w14:paraId="79098B67">
            <w:pPr>
              <w:widowControl/>
              <w:spacing w:line="240" w:lineRule="exact"/>
              <w:jc w:val="center"/>
              <w:textAlignment w:val="center"/>
              <w:rPr>
                <w:rFonts w:ascii="宋体" w:hAnsi="宋体" w:cs="微软雅黑"/>
                <w:color w:val="000000"/>
                <w:sz w:val="21"/>
                <w:szCs w:val="21"/>
              </w:rPr>
            </w:pPr>
            <w:r>
              <w:rPr>
                <w:rFonts w:hint="eastAsia" w:ascii="宋体" w:hAnsi="宋体" w:cs="微软雅黑"/>
                <w:color w:val="000000"/>
                <w:kern w:val="0"/>
                <w:sz w:val="21"/>
                <w:szCs w:val="21"/>
                <w:lang w:bidi="ar"/>
              </w:rPr>
              <w:t>4</w:t>
            </w:r>
          </w:p>
        </w:tc>
        <w:tc>
          <w:tcPr>
            <w:tcW w:w="1114" w:type="pct"/>
            <w:tcBorders>
              <w:top w:val="single" w:color="000000" w:sz="4" w:space="0"/>
              <w:left w:val="single" w:color="000000" w:sz="4" w:space="0"/>
              <w:bottom w:val="single" w:color="000000" w:sz="4" w:space="0"/>
              <w:right w:val="single" w:color="000000" w:sz="4" w:space="0"/>
            </w:tcBorders>
            <w:vAlign w:val="center"/>
          </w:tcPr>
          <w:p w14:paraId="7E35E853">
            <w:pPr>
              <w:widowControl/>
              <w:spacing w:line="240" w:lineRule="exact"/>
              <w:jc w:val="left"/>
              <w:textAlignment w:val="center"/>
              <w:rPr>
                <w:rFonts w:ascii="宋体" w:hAnsi="宋体" w:cs="微软雅黑"/>
                <w:color w:val="000000"/>
                <w:sz w:val="21"/>
                <w:szCs w:val="21"/>
              </w:rPr>
            </w:pPr>
            <w:r>
              <w:rPr>
                <w:rFonts w:hint="eastAsia" w:ascii="宋体" w:hAnsi="宋体" w:cs="微软雅黑"/>
                <w:color w:val="000000"/>
                <w:kern w:val="0"/>
                <w:sz w:val="21"/>
                <w:szCs w:val="21"/>
                <w:lang w:bidi="ar"/>
              </w:rPr>
              <w:t>服务器</w:t>
            </w:r>
          </w:p>
        </w:tc>
        <w:tc>
          <w:tcPr>
            <w:tcW w:w="2594" w:type="pct"/>
            <w:tcBorders>
              <w:top w:val="single" w:color="000000" w:sz="4" w:space="0"/>
              <w:left w:val="single" w:color="000000" w:sz="4" w:space="0"/>
              <w:bottom w:val="single" w:color="000000" w:sz="4" w:space="0"/>
              <w:right w:val="single" w:color="000000" w:sz="4" w:space="0"/>
            </w:tcBorders>
            <w:vAlign w:val="center"/>
          </w:tcPr>
          <w:p w14:paraId="751EA65E">
            <w:pPr>
              <w:widowControl/>
              <w:spacing w:line="240" w:lineRule="exact"/>
              <w:jc w:val="left"/>
              <w:textAlignment w:val="center"/>
              <w:rPr>
                <w:rFonts w:ascii="宋体" w:hAnsi="宋体" w:cs="微软雅黑"/>
                <w:color w:val="000000"/>
                <w:sz w:val="21"/>
                <w:szCs w:val="21"/>
              </w:rPr>
            </w:pPr>
            <w:r>
              <w:rPr>
                <w:rFonts w:hint="eastAsia" w:ascii="宋体" w:hAnsi="宋体" w:cs="微软雅黑"/>
                <w:color w:val="000000"/>
                <w:sz w:val="21"/>
                <w:szCs w:val="21"/>
              </w:rPr>
              <w:t>配置应满足项目需求</w:t>
            </w:r>
          </w:p>
        </w:tc>
        <w:tc>
          <w:tcPr>
            <w:tcW w:w="462" w:type="pct"/>
            <w:tcBorders>
              <w:top w:val="single" w:color="000000" w:sz="4" w:space="0"/>
              <w:left w:val="single" w:color="000000" w:sz="4" w:space="0"/>
              <w:bottom w:val="single" w:color="000000" w:sz="4" w:space="0"/>
              <w:right w:val="single" w:color="000000" w:sz="4" w:space="0"/>
            </w:tcBorders>
            <w:vAlign w:val="center"/>
          </w:tcPr>
          <w:p w14:paraId="33E16BD8">
            <w:pPr>
              <w:widowControl/>
              <w:spacing w:line="240" w:lineRule="exact"/>
              <w:jc w:val="center"/>
              <w:textAlignment w:val="center"/>
              <w:rPr>
                <w:rFonts w:ascii="宋体" w:hAnsi="宋体" w:cs="微软雅黑"/>
                <w:color w:val="000000"/>
                <w:sz w:val="21"/>
                <w:szCs w:val="21"/>
              </w:rPr>
            </w:pPr>
            <w:r>
              <w:rPr>
                <w:rFonts w:hint="eastAsia" w:ascii="宋体" w:hAnsi="宋体" w:cs="微软雅黑"/>
                <w:color w:val="000000"/>
                <w:kern w:val="0"/>
                <w:sz w:val="21"/>
                <w:szCs w:val="21"/>
                <w:lang w:bidi="ar"/>
              </w:rPr>
              <w:t>台</w:t>
            </w:r>
          </w:p>
        </w:tc>
        <w:tc>
          <w:tcPr>
            <w:tcW w:w="480" w:type="pct"/>
            <w:tcBorders>
              <w:top w:val="single" w:color="000000" w:sz="4" w:space="0"/>
              <w:left w:val="single" w:color="000000" w:sz="4" w:space="0"/>
              <w:bottom w:val="single" w:color="000000" w:sz="4" w:space="0"/>
              <w:right w:val="single" w:color="000000" w:sz="4" w:space="0"/>
            </w:tcBorders>
            <w:vAlign w:val="center"/>
          </w:tcPr>
          <w:p w14:paraId="69F31582">
            <w:pPr>
              <w:widowControl/>
              <w:spacing w:line="24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r>
      <w:tr w14:paraId="4260AB9F">
        <w:tblPrEx>
          <w:tblCellMar>
            <w:top w:w="0" w:type="dxa"/>
            <w:left w:w="108" w:type="dxa"/>
            <w:bottom w:w="0" w:type="dxa"/>
            <w:right w:w="108" w:type="dxa"/>
          </w:tblCellMar>
        </w:tblPrEx>
        <w:trPr>
          <w:trHeight w:val="1200" w:hRule="atLeast"/>
        </w:trPr>
        <w:tc>
          <w:tcPr>
            <w:tcW w:w="351" w:type="pct"/>
            <w:tcBorders>
              <w:top w:val="single" w:color="000000" w:sz="4" w:space="0"/>
              <w:left w:val="single" w:color="000000" w:sz="4" w:space="0"/>
              <w:bottom w:val="single" w:color="000000" w:sz="4" w:space="0"/>
              <w:right w:val="single" w:color="000000" w:sz="4" w:space="0"/>
            </w:tcBorders>
            <w:vAlign w:val="center"/>
          </w:tcPr>
          <w:p w14:paraId="163E3F87">
            <w:pPr>
              <w:widowControl/>
              <w:spacing w:line="240" w:lineRule="exact"/>
              <w:jc w:val="center"/>
              <w:textAlignment w:val="center"/>
              <w:rPr>
                <w:rFonts w:ascii="宋体" w:hAnsi="宋体" w:cs="微软雅黑"/>
                <w:color w:val="000000"/>
                <w:sz w:val="21"/>
                <w:szCs w:val="21"/>
              </w:rPr>
            </w:pPr>
            <w:r>
              <w:rPr>
                <w:rFonts w:hint="eastAsia" w:ascii="宋体" w:hAnsi="宋体" w:cs="微软雅黑"/>
                <w:color w:val="000000"/>
                <w:kern w:val="0"/>
                <w:sz w:val="21"/>
                <w:szCs w:val="21"/>
                <w:lang w:bidi="ar"/>
              </w:rPr>
              <w:t>5</w:t>
            </w:r>
          </w:p>
        </w:tc>
        <w:tc>
          <w:tcPr>
            <w:tcW w:w="1114" w:type="pct"/>
            <w:tcBorders>
              <w:top w:val="single" w:color="000000" w:sz="4" w:space="0"/>
              <w:left w:val="single" w:color="000000" w:sz="4" w:space="0"/>
              <w:bottom w:val="single" w:color="000000" w:sz="4" w:space="0"/>
              <w:right w:val="single" w:color="000000" w:sz="4" w:space="0"/>
            </w:tcBorders>
            <w:vAlign w:val="center"/>
          </w:tcPr>
          <w:p w14:paraId="6D17E346">
            <w:pPr>
              <w:widowControl/>
              <w:spacing w:line="240" w:lineRule="exact"/>
              <w:jc w:val="left"/>
              <w:textAlignment w:val="center"/>
              <w:rPr>
                <w:rFonts w:ascii="宋体" w:hAnsi="宋体" w:cs="微软雅黑"/>
                <w:color w:val="000000"/>
                <w:sz w:val="21"/>
                <w:szCs w:val="21"/>
              </w:rPr>
            </w:pPr>
            <w:r>
              <w:rPr>
                <w:rFonts w:hint="eastAsia" w:ascii="宋体" w:hAnsi="宋体" w:cs="微软雅黑"/>
                <w:color w:val="000000"/>
                <w:kern w:val="0"/>
                <w:sz w:val="21"/>
                <w:szCs w:val="21"/>
                <w:lang w:bidi="ar"/>
              </w:rPr>
              <w:t>门禁系统软件</w:t>
            </w:r>
          </w:p>
        </w:tc>
        <w:tc>
          <w:tcPr>
            <w:tcW w:w="2594" w:type="pct"/>
            <w:tcBorders>
              <w:top w:val="single" w:color="000000" w:sz="4" w:space="0"/>
              <w:left w:val="single" w:color="000000" w:sz="4" w:space="0"/>
              <w:bottom w:val="single" w:color="000000" w:sz="4" w:space="0"/>
              <w:right w:val="single" w:color="000000" w:sz="4" w:space="0"/>
            </w:tcBorders>
            <w:vAlign w:val="center"/>
          </w:tcPr>
          <w:p w14:paraId="4876EE56">
            <w:pPr>
              <w:widowControl/>
              <w:spacing w:line="240" w:lineRule="exact"/>
              <w:jc w:val="left"/>
              <w:textAlignment w:val="center"/>
              <w:rPr>
                <w:rFonts w:ascii="宋体" w:hAnsi="宋体" w:cs="微软雅黑"/>
                <w:color w:val="000000"/>
                <w:sz w:val="21"/>
                <w:szCs w:val="21"/>
              </w:rPr>
            </w:pPr>
            <w:r>
              <w:rPr>
                <w:rFonts w:hint="eastAsia" w:ascii="宋体" w:hAnsi="宋体" w:cs="微软雅黑"/>
                <w:color w:val="000000"/>
                <w:kern w:val="0"/>
                <w:sz w:val="21"/>
                <w:szCs w:val="21"/>
                <w:lang w:bidi="ar"/>
              </w:rPr>
              <w:t>实现门禁系统管理统一化、流程化，并帮助客户实现运营安全系统，强大的数据处理能力，能管理30000个人员的门禁数据,能连接100台设备。形象而合理的操作流程融合了多年的门禁经验。自动化的用户名单管理，使得管理更科学、高效。建立在多级管理角色上的权限管理，能保证用户数据的保密性。</w:t>
            </w:r>
          </w:p>
        </w:tc>
        <w:tc>
          <w:tcPr>
            <w:tcW w:w="462" w:type="pct"/>
            <w:tcBorders>
              <w:top w:val="single" w:color="000000" w:sz="4" w:space="0"/>
              <w:left w:val="single" w:color="000000" w:sz="4" w:space="0"/>
              <w:bottom w:val="single" w:color="000000" w:sz="4" w:space="0"/>
              <w:right w:val="single" w:color="000000" w:sz="4" w:space="0"/>
            </w:tcBorders>
            <w:vAlign w:val="center"/>
          </w:tcPr>
          <w:p w14:paraId="15A24777">
            <w:pPr>
              <w:widowControl/>
              <w:spacing w:line="240" w:lineRule="exact"/>
              <w:jc w:val="center"/>
              <w:textAlignment w:val="center"/>
              <w:rPr>
                <w:rFonts w:ascii="宋体" w:hAnsi="宋体" w:cs="微软雅黑"/>
                <w:color w:val="000000"/>
                <w:sz w:val="21"/>
                <w:szCs w:val="21"/>
              </w:rPr>
            </w:pPr>
            <w:r>
              <w:rPr>
                <w:rFonts w:hint="eastAsia" w:ascii="宋体" w:hAnsi="宋体" w:cs="微软雅黑"/>
                <w:color w:val="000000"/>
                <w:kern w:val="0"/>
                <w:sz w:val="21"/>
                <w:szCs w:val="21"/>
                <w:lang w:bidi="ar"/>
              </w:rPr>
              <w:t>台</w:t>
            </w:r>
          </w:p>
        </w:tc>
        <w:tc>
          <w:tcPr>
            <w:tcW w:w="480" w:type="pct"/>
            <w:tcBorders>
              <w:top w:val="single" w:color="000000" w:sz="4" w:space="0"/>
              <w:left w:val="single" w:color="000000" w:sz="4" w:space="0"/>
              <w:bottom w:val="single" w:color="000000" w:sz="4" w:space="0"/>
              <w:right w:val="single" w:color="000000" w:sz="4" w:space="0"/>
            </w:tcBorders>
            <w:vAlign w:val="center"/>
          </w:tcPr>
          <w:p w14:paraId="0D9C5B21">
            <w:pPr>
              <w:widowControl/>
              <w:spacing w:line="240" w:lineRule="exact"/>
              <w:jc w:val="center"/>
              <w:textAlignment w:val="center"/>
              <w:rPr>
                <w:rFonts w:ascii="宋体" w:hAnsi="宋体" w:cs="微软雅黑"/>
                <w:color w:val="000000"/>
                <w:sz w:val="21"/>
                <w:szCs w:val="21"/>
              </w:rPr>
            </w:pPr>
            <w:r>
              <w:rPr>
                <w:rFonts w:hint="eastAsia" w:ascii="宋体" w:hAnsi="宋体" w:cs="微软雅黑"/>
                <w:color w:val="000000"/>
                <w:kern w:val="0"/>
                <w:sz w:val="21"/>
                <w:szCs w:val="21"/>
                <w:lang w:bidi="ar"/>
              </w:rPr>
              <w:t>1</w:t>
            </w:r>
          </w:p>
        </w:tc>
      </w:tr>
      <w:tr w14:paraId="70B7794A">
        <w:tblPrEx>
          <w:tblCellMar>
            <w:top w:w="0" w:type="dxa"/>
            <w:left w:w="108" w:type="dxa"/>
            <w:bottom w:w="0" w:type="dxa"/>
            <w:right w:w="108" w:type="dxa"/>
          </w:tblCellMar>
        </w:tblPrEx>
        <w:trPr>
          <w:trHeight w:val="504" w:hRule="atLeast"/>
        </w:trPr>
        <w:tc>
          <w:tcPr>
            <w:tcW w:w="351" w:type="pct"/>
            <w:tcBorders>
              <w:top w:val="single" w:color="000000" w:sz="4" w:space="0"/>
              <w:left w:val="single" w:color="000000" w:sz="4" w:space="0"/>
              <w:bottom w:val="single" w:color="000000" w:sz="4" w:space="0"/>
              <w:right w:val="single" w:color="000000" w:sz="4" w:space="0"/>
            </w:tcBorders>
            <w:vAlign w:val="center"/>
          </w:tcPr>
          <w:p w14:paraId="11A4DA2A">
            <w:pPr>
              <w:widowControl/>
              <w:spacing w:line="240" w:lineRule="exact"/>
              <w:jc w:val="center"/>
              <w:textAlignment w:val="center"/>
              <w:rPr>
                <w:rFonts w:ascii="宋体" w:hAnsi="宋体" w:cs="微软雅黑"/>
                <w:color w:val="000000"/>
                <w:sz w:val="21"/>
                <w:szCs w:val="21"/>
              </w:rPr>
            </w:pPr>
            <w:r>
              <w:rPr>
                <w:rFonts w:hint="eastAsia" w:ascii="宋体" w:hAnsi="宋体" w:cs="微软雅黑"/>
                <w:color w:val="000000"/>
                <w:kern w:val="0"/>
                <w:sz w:val="21"/>
                <w:szCs w:val="21"/>
                <w:lang w:bidi="ar"/>
              </w:rPr>
              <w:t>6</w:t>
            </w:r>
          </w:p>
        </w:tc>
        <w:tc>
          <w:tcPr>
            <w:tcW w:w="1114" w:type="pct"/>
            <w:tcBorders>
              <w:top w:val="single" w:color="000000" w:sz="4" w:space="0"/>
              <w:left w:val="single" w:color="000000" w:sz="4" w:space="0"/>
              <w:bottom w:val="single" w:color="000000" w:sz="4" w:space="0"/>
              <w:right w:val="single" w:color="000000" w:sz="4" w:space="0"/>
            </w:tcBorders>
            <w:vAlign w:val="center"/>
          </w:tcPr>
          <w:p w14:paraId="7C524A35">
            <w:pPr>
              <w:widowControl/>
              <w:spacing w:line="240" w:lineRule="exact"/>
              <w:jc w:val="left"/>
              <w:textAlignment w:val="center"/>
              <w:rPr>
                <w:rFonts w:ascii="宋体" w:hAnsi="宋体" w:cs="微软雅黑"/>
                <w:color w:val="000000"/>
                <w:sz w:val="21"/>
                <w:szCs w:val="21"/>
              </w:rPr>
            </w:pPr>
            <w:r>
              <w:rPr>
                <w:rFonts w:hint="eastAsia" w:ascii="宋体" w:hAnsi="宋体" w:cs="微软雅黑"/>
                <w:color w:val="000000"/>
                <w:kern w:val="0"/>
                <w:sz w:val="21"/>
                <w:szCs w:val="21"/>
                <w:lang w:bidi="ar"/>
              </w:rPr>
              <w:t>不锈钢包边</w:t>
            </w:r>
          </w:p>
        </w:tc>
        <w:tc>
          <w:tcPr>
            <w:tcW w:w="2594" w:type="pct"/>
            <w:tcBorders>
              <w:top w:val="single" w:color="000000" w:sz="4" w:space="0"/>
              <w:left w:val="single" w:color="000000" w:sz="4" w:space="0"/>
              <w:bottom w:val="single" w:color="000000" w:sz="4" w:space="0"/>
              <w:right w:val="single" w:color="000000" w:sz="4" w:space="0"/>
            </w:tcBorders>
            <w:vAlign w:val="center"/>
          </w:tcPr>
          <w:p w14:paraId="7BF5C1FF">
            <w:pPr>
              <w:spacing w:line="240" w:lineRule="exact"/>
              <w:jc w:val="left"/>
              <w:rPr>
                <w:rFonts w:ascii="宋体" w:hAnsi="宋体" w:cs="微软雅黑"/>
                <w:color w:val="000000"/>
                <w:sz w:val="21"/>
                <w:szCs w:val="21"/>
              </w:rPr>
            </w:pPr>
          </w:p>
        </w:tc>
        <w:tc>
          <w:tcPr>
            <w:tcW w:w="462" w:type="pct"/>
            <w:tcBorders>
              <w:top w:val="single" w:color="000000" w:sz="4" w:space="0"/>
              <w:left w:val="single" w:color="000000" w:sz="4" w:space="0"/>
              <w:bottom w:val="single" w:color="000000" w:sz="4" w:space="0"/>
              <w:right w:val="single" w:color="000000" w:sz="4" w:space="0"/>
            </w:tcBorders>
            <w:vAlign w:val="center"/>
          </w:tcPr>
          <w:p w14:paraId="1E203F76">
            <w:pPr>
              <w:widowControl/>
              <w:spacing w:line="240" w:lineRule="exact"/>
              <w:jc w:val="center"/>
              <w:textAlignment w:val="center"/>
              <w:rPr>
                <w:rFonts w:ascii="宋体" w:hAnsi="宋体" w:cs="微软雅黑"/>
                <w:color w:val="000000"/>
                <w:sz w:val="21"/>
                <w:szCs w:val="21"/>
              </w:rPr>
            </w:pPr>
            <w:r>
              <w:rPr>
                <w:rFonts w:hint="eastAsia" w:ascii="宋体" w:hAnsi="宋体" w:cs="微软雅黑"/>
                <w:color w:val="000000"/>
                <w:kern w:val="0"/>
                <w:sz w:val="21"/>
                <w:szCs w:val="21"/>
                <w:lang w:bidi="ar"/>
              </w:rPr>
              <w:t>块</w:t>
            </w:r>
          </w:p>
        </w:tc>
        <w:tc>
          <w:tcPr>
            <w:tcW w:w="480" w:type="pct"/>
            <w:tcBorders>
              <w:top w:val="single" w:color="000000" w:sz="4" w:space="0"/>
              <w:left w:val="single" w:color="000000" w:sz="4" w:space="0"/>
              <w:bottom w:val="single" w:color="000000" w:sz="4" w:space="0"/>
              <w:right w:val="single" w:color="000000" w:sz="4" w:space="0"/>
            </w:tcBorders>
            <w:vAlign w:val="center"/>
          </w:tcPr>
          <w:p w14:paraId="562F5407">
            <w:pPr>
              <w:widowControl/>
              <w:spacing w:line="240" w:lineRule="exact"/>
              <w:jc w:val="center"/>
              <w:textAlignment w:val="center"/>
              <w:rPr>
                <w:rFonts w:ascii="宋体" w:hAnsi="宋体" w:cs="微软雅黑"/>
                <w:color w:val="000000"/>
                <w:sz w:val="21"/>
                <w:szCs w:val="21"/>
              </w:rPr>
            </w:pPr>
            <w:r>
              <w:rPr>
                <w:rFonts w:hint="eastAsia" w:ascii="宋体" w:hAnsi="宋体" w:cs="微软雅黑"/>
                <w:color w:val="000000"/>
                <w:kern w:val="0"/>
                <w:sz w:val="21"/>
                <w:szCs w:val="21"/>
                <w:lang w:bidi="ar"/>
              </w:rPr>
              <w:t>8</w:t>
            </w:r>
          </w:p>
        </w:tc>
      </w:tr>
      <w:tr w14:paraId="44D841EC">
        <w:tblPrEx>
          <w:tblCellMar>
            <w:top w:w="0" w:type="dxa"/>
            <w:left w:w="108" w:type="dxa"/>
            <w:bottom w:w="0" w:type="dxa"/>
            <w:right w:w="108" w:type="dxa"/>
          </w:tblCellMar>
        </w:tblPrEx>
        <w:trPr>
          <w:trHeight w:val="554" w:hRule="atLeast"/>
        </w:trPr>
        <w:tc>
          <w:tcPr>
            <w:tcW w:w="351" w:type="pct"/>
            <w:tcBorders>
              <w:top w:val="single" w:color="000000" w:sz="4" w:space="0"/>
              <w:left w:val="single" w:color="000000" w:sz="4" w:space="0"/>
              <w:bottom w:val="single" w:color="000000" w:sz="4" w:space="0"/>
              <w:right w:val="single" w:color="000000" w:sz="4" w:space="0"/>
            </w:tcBorders>
            <w:vAlign w:val="center"/>
          </w:tcPr>
          <w:p w14:paraId="49B5098A">
            <w:pPr>
              <w:widowControl/>
              <w:spacing w:line="240" w:lineRule="exact"/>
              <w:jc w:val="center"/>
              <w:textAlignment w:val="center"/>
              <w:rPr>
                <w:rFonts w:ascii="宋体" w:hAnsi="宋体" w:cs="微软雅黑"/>
                <w:color w:val="000000"/>
                <w:sz w:val="21"/>
                <w:szCs w:val="21"/>
              </w:rPr>
            </w:pPr>
            <w:r>
              <w:rPr>
                <w:rFonts w:hint="eastAsia" w:ascii="宋体" w:hAnsi="宋体" w:cs="微软雅黑"/>
                <w:color w:val="000000"/>
                <w:kern w:val="0"/>
                <w:sz w:val="21"/>
                <w:szCs w:val="21"/>
                <w:lang w:bidi="ar"/>
              </w:rPr>
              <w:t>7</w:t>
            </w:r>
          </w:p>
        </w:tc>
        <w:tc>
          <w:tcPr>
            <w:tcW w:w="1114" w:type="pct"/>
            <w:tcBorders>
              <w:top w:val="single" w:color="000000" w:sz="4" w:space="0"/>
              <w:left w:val="single" w:color="000000" w:sz="4" w:space="0"/>
              <w:bottom w:val="single" w:color="000000" w:sz="4" w:space="0"/>
              <w:right w:val="single" w:color="000000" w:sz="4" w:space="0"/>
            </w:tcBorders>
            <w:vAlign w:val="center"/>
          </w:tcPr>
          <w:p w14:paraId="413BBE23">
            <w:pPr>
              <w:widowControl/>
              <w:spacing w:line="240" w:lineRule="exact"/>
              <w:jc w:val="left"/>
              <w:textAlignment w:val="center"/>
              <w:rPr>
                <w:rFonts w:ascii="宋体" w:hAnsi="宋体" w:cs="微软雅黑"/>
                <w:color w:val="000000"/>
                <w:sz w:val="21"/>
                <w:szCs w:val="21"/>
              </w:rPr>
            </w:pPr>
            <w:r>
              <w:rPr>
                <w:rFonts w:hint="eastAsia" w:ascii="宋体" w:hAnsi="宋体" w:cs="微软雅黑"/>
                <w:color w:val="000000"/>
                <w:kern w:val="0"/>
                <w:sz w:val="21"/>
                <w:szCs w:val="21"/>
                <w:lang w:bidi="ar"/>
              </w:rPr>
              <w:t>辅料</w:t>
            </w:r>
          </w:p>
        </w:tc>
        <w:tc>
          <w:tcPr>
            <w:tcW w:w="2594" w:type="pct"/>
            <w:tcBorders>
              <w:top w:val="single" w:color="000000" w:sz="4" w:space="0"/>
              <w:left w:val="single" w:color="000000" w:sz="4" w:space="0"/>
              <w:bottom w:val="single" w:color="000000" w:sz="4" w:space="0"/>
              <w:right w:val="single" w:color="000000" w:sz="4" w:space="0"/>
            </w:tcBorders>
            <w:vAlign w:val="center"/>
          </w:tcPr>
          <w:p w14:paraId="2BFA17BD">
            <w:pPr>
              <w:spacing w:line="240" w:lineRule="exact"/>
              <w:jc w:val="left"/>
              <w:rPr>
                <w:rFonts w:ascii="宋体" w:hAnsi="宋体" w:cs="微软雅黑"/>
                <w:color w:val="000000"/>
                <w:sz w:val="21"/>
                <w:szCs w:val="21"/>
              </w:rPr>
            </w:pPr>
            <w:r>
              <w:rPr>
                <w:rFonts w:hint="eastAsia" w:ascii="宋体" w:hAnsi="宋体" w:cs="微软雅黑"/>
                <w:color w:val="000000"/>
                <w:sz w:val="21"/>
                <w:szCs w:val="21"/>
              </w:rPr>
              <w:t>满足项目需求</w:t>
            </w:r>
          </w:p>
        </w:tc>
        <w:tc>
          <w:tcPr>
            <w:tcW w:w="462" w:type="pct"/>
            <w:tcBorders>
              <w:top w:val="single" w:color="000000" w:sz="4" w:space="0"/>
              <w:left w:val="single" w:color="000000" w:sz="4" w:space="0"/>
              <w:bottom w:val="single" w:color="000000" w:sz="4" w:space="0"/>
              <w:right w:val="single" w:color="000000" w:sz="4" w:space="0"/>
            </w:tcBorders>
            <w:vAlign w:val="center"/>
          </w:tcPr>
          <w:p w14:paraId="346D6B07">
            <w:pPr>
              <w:widowControl/>
              <w:spacing w:line="240" w:lineRule="exact"/>
              <w:jc w:val="center"/>
              <w:textAlignment w:val="center"/>
              <w:rPr>
                <w:rFonts w:ascii="宋体" w:hAnsi="宋体" w:cs="微软雅黑"/>
                <w:color w:val="000000"/>
                <w:sz w:val="21"/>
                <w:szCs w:val="21"/>
              </w:rPr>
            </w:pPr>
            <w:r>
              <w:rPr>
                <w:rFonts w:hint="eastAsia" w:ascii="宋体" w:hAnsi="宋体" w:cs="微软雅黑"/>
                <w:color w:val="000000"/>
                <w:kern w:val="0"/>
                <w:sz w:val="21"/>
                <w:szCs w:val="21"/>
                <w:lang w:bidi="ar"/>
              </w:rPr>
              <w:t>批</w:t>
            </w:r>
          </w:p>
        </w:tc>
        <w:tc>
          <w:tcPr>
            <w:tcW w:w="480" w:type="pct"/>
            <w:tcBorders>
              <w:top w:val="single" w:color="000000" w:sz="4" w:space="0"/>
              <w:left w:val="single" w:color="000000" w:sz="4" w:space="0"/>
              <w:bottom w:val="single" w:color="000000" w:sz="4" w:space="0"/>
              <w:right w:val="single" w:color="000000" w:sz="4" w:space="0"/>
            </w:tcBorders>
            <w:vAlign w:val="center"/>
          </w:tcPr>
          <w:p w14:paraId="64AFBC50">
            <w:pPr>
              <w:widowControl/>
              <w:spacing w:line="240" w:lineRule="exact"/>
              <w:jc w:val="center"/>
              <w:textAlignment w:val="center"/>
              <w:rPr>
                <w:rFonts w:ascii="宋体" w:hAnsi="宋体" w:cs="微软雅黑"/>
                <w:color w:val="000000"/>
                <w:sz w:val="21"/>
                <w:szCs w:val="21"/>
              </w:rPr>
            </w:pPr>
            <w:r>
              <w:rPr>
                <w:rFonts w:hint="eastAsia" w:ascii="宋体" w:hAnsi="宋体" w:cs="微软雅黑"/>
                <w:color w:val="000000"/>
                <w:kern w:val="0"/>
                <w:sz w:val="21"/>
                <w:szCs w:val="21"/>
                <w:lang w:bidi="ar"/>
              </w:rPr>
              <w:t>1</w:t>
            </w:r>
          </w:p>
        </w:tc>
      </w:tr>
    </w:tbl>
    <w:p w14:paraId="2AD3E675">
      <w:pPr>
        <w:pStyle w:val="2"/>
        <w:rPr>
          <w:szCs w:val="24"/>
        </w:rPr>
        <w:sectPr>
          <w:headerReference r:id="rId8" w:type="default"/>
          <w:footerReference r:id="rId10" w:type="default"/>
          <w:headerReference r:id="rId9" w:type="even"/>
          <w:pgSz w:w="11906" w:h="16838"/>
          <w:pgMar w:top="1103" w:right="1274" w:bottom="1440" w:left="1276" w:header="851" w:footer="992" w:gutter="0"/>
          <w:pgNumType w:fmt="numberInDash"/>
          <w:cols w:space="425" w:num="1"/>
          <w:docGrid w:type="lines" w:linePitch="381" w:charSpace="0"/>
        </w:sectPr>
      </w:pPr>
    </w:p>
    <w:p w14:paraId="0A88FA1A">
      <w:pPr>
        <w:pStyle w:val="4"/>
        <w:pageBreakBefore/>
        <w:spacing w:line="360" w:lineRule="auto"/>
        <w:jc w:val="center"/>
        <w:rPr>
          <w:rFonts w:ascii="宋体" w:eastAsia="宋体"/>
          <w:sz w:val="36"/>
          <w:szCs w:val="30"/>
        </w:rPr>
      </w:pPr>
      <w:bookmarkStart w:id="34" w:name="_Toc141860857"/>
      <w:r>
        <w:rPr>
          <w:rFonts w:hint="eastAsia" w:ascii="宋体" w:eastAsia="宋体"/>
          <w:sz w:val="36"/>
          <w:szCs w:val="30"/>
        </w:rPr>
        <w:t>第三篇  项目商务需求</w:t>
      </w:r>
      <w:bookmarkEnd w:id="27"/>
      <w:bookmarkEnd w:id="34"/>
    </w:p>
    <w:p w14:paraId="43EF5BEF">
      <w:pPr>
        <w:snapToGrid w:val="0"/>
        <w:spacing w:line="360" w:lineRule="auto"/>
        <w:ind w:firstLine="480" w:firstLineChars="200"/>
        <w:rPr>
          <w:sz w:val="24"/>
          <w:szCs w:val="24"/>
        </w:rPr>
      </w:pPr>
      <w:bookmarkStart w:id="35" w:name="_Toc267320049"/>
      <w:r>
        <w:rPr>
          <w:rFonts w:hint="eastAsia"/>
          <w:sz w:val="24"/>
          <w:szCs w:val="24"/>
        </w:rPr>
        <w:t>“※”标注的要求为符合性审查中的实质性要求，响应文件若不满足按无效投标处理。</w:t>
      </w:r>
    </w:p>
    <w:bookmarkEnd w:id="35"/>
    <w:p w14:paraId="50A6CB45">
      <w:pPr>
        <w:pStyle w:val="5"/>
        <w:spacing w:before="0" w:after="0" w:line="360" w:lineRule="auto"/>
        <w:ind w:firstLine="482" w:firstLineChars="200"/>
        <w:rPr>
          <w:sz w:val="24"/>
          <w:szCs w:val="24"/>
        </w:rPr>
      </w:pPr>
      <w:bookmarkStart w:id="36" w:name="_Toc141860858"/>
      <w:bookmarkStart w:id="37" w:name="_Toc14860569"/>
      <w:bookmarkStart w:id="38" w:name="_Toc98855996"/>
      <w:bookmarkStart w:id="39" w:name="_Toc484611845"/>
      <w:bookmarkStart w:id="40" w:name="_Toc51854596"/>
      <w:bookmarkStart w:id="41" w:name="_Toc82422011"/>
      <w:r>
        <w:rPr>
          <w:rFonts w:hint="eastAsia"/>
          <w:sz w:val="24"/>
          <w:szCs w:val="24"/>
        </w:rPr>
        <w:t>※一、完成时间、地点及验收方式</w:t>
      </w:r>
      <w:bookmarkEnd w:id="36"/>
      <w:bookmarkEnd w:id="37"/>
      <w:bookmarkEnd w:id="38"/>
      <w:bookmarkEnd w:id="39"/>
      <w:bookmarkEnd w:id="40"/>
      <w:bookmarkEnd w:id="41"/>
    </w:p>
    <w:p w14:paraId="29D1020A">
      <w:pPr>
        <w:snapToGrid w:val="0"/>
        <w:spacing w:line="360" w:lineRule="auto"/>
        <w:ind w:firstLine="482" w:firstLineChars="200"/>
        <w:rPr>
          <w:b/>
          <w:bCs/>
          <w:sz w:val="24"/>
          <w:szCs w:val="24"/>
        </w:rPr>
      </w:pPr>
      <w:bookmarkStart w:id="42" w:name="_Toc344475121"/>
      <w:r>
        <w:rPr>
          <w:rFonts w:hint="eastAsia"/>
          <w:b/>
          <w:bCs/>
          <w:sz w:val="24"/>
          <w:szCs w:val="24"/>
        </w:rPr>
        <w:t>（一）</w:t>
      </w:r>
      <w:r>
        <w:rPr>
          <w:rFonts w:hint="eastAsia"/>
          <w:sz w:val="24"/>
          <w:szCs w:val="24"/>
        </w:rPr>
        <w:t>完成</w:t>
      </w:r>
      <w:r>
        <w:rPr>
          <w:rFonts w:hint="eastAsia"/>
          <w:b/>
          <w:bCs/>
          <w:sz w:val="24"/>
          <w:szCs w:val="24"/>
        </w:rPr>
        <w:t>时间：</w:t>
      </w:r>
    </w:p>
    <w:p w14:paraId="524809A8">
      <w:pPr>
        <w:snapToGrid w:val="0"/>
        <w:spacing w:line="360" w:lineRule="auto"/>
        <w:ind w:firstLine="480" w:firstLineChars="200"/>
        <w:rPr>
          <w:sz w:val="24"/>
          <w:szCs w:val="24"/>
        </w:rPr>
      </w:pPr>
      <w:r>
        <w:rPr>
          <w:rFonts w:hint="eastAsia"/>
          <w:sz w:val="24"/>
          <w:szCs w:val="24"/>
        </w:rPr>
        <w:t>合同签订之日起3个月完成所有工作内容。</w:t>
      </w:r>
    </w:p>
    <w:p w14:paraId="30A74B92">
      <w:pPr>
        <w:snapToGrid w:val="0"/>
        <w:spacing w:line="360" w:lineRule="auto"/>
        <w:ind w:firstLine="482" w:firstLineChars="200"/>
        <w:rPr>
          <w:b/>
          <w:bCs/>
          <w:sz w:val="24"/>
          <w:szCs w:val="24"/>
        </w:rPr>
      </w:pPr>
      <w:r>
        <w:rPr>
          <w:rFonts w:hint="eastAsia"/>
          <w:b/>
          <w:bCs/>
          <w:sz w:val="24"/>
          <w:szCs w:val="24"/>
        </w:rPr>
        <w:t>（二）地点：</w:t>
      </w:r>
    </w:p>
    <w:p w14:paraId="1D0AFC34">
      <w:pPr>
        <w:snapToGrid w:val="0"/>
        <w:spacing w:line="360" w:lineRule="auto"/>
        <w:ind w:firstLine="480" w:firstLineChars="200"/>
        <w:rPr>
          <w:sz w:val="24"/>
          <w:szCs w:val="24"/>
        </w:rPr>
      </w:pPr>
      <w:r>
        <w:rPr>
          <w:rFonts w:hint="eastAsia"/>
          <w:sz w:val="24"/>
          <w:szCs w:val="24"/>
        </w:rPr>
        <w:t>采购人同意或指定地点。</w:t>
      </w:r>
    </w:p>
    <w:p w14:paraId="497A1A67">
      <w:pPr>
        <w:snapToGrid w:val="0"/>
        <w:spacing w:line="360" w:lineRule="auto"/>
        <w:ind w:firstLine="482" w:firstLineChars="200"/>
        <w:rPr>
          <w:b/>
          <w:bCs/>
          <w:sz w:val="24"/>
          <w:szCs w:val="24"/>
        </w:rPr>
      </w:pPr>
      <w:r>
        <w:rPr>
          <w:rFonts w:hint="eastAsia"/>
          <w:b/>
          <w:bCs/>
          <w:sz w:val="24"/>
          <w:szCs w:val="24"/>
        </w:rPr>
        <w:t>（三）验收方式：</w:t>
      </w:r>
    </w:p>
    <w:p w14:paraId="6C53AE24">
      <w:pPr>
        <w:snapToGrid w:val="0"/>
        <w:spacing w:line="360" w:lineRule="auto"/>
        <w:ind w:firstLine="480" w:firstLineChars="200"/>
        <w:rPr>
          <w:sz w:val="24"/>
          <w:szCs w:val="24"/>
        </w:rPr>
      </w:pPr>
      <w:r>
        <w:rPr>
          <w:rFonts w:hint="eastAsia"/>
          <w:sz w:val="24"/>
          <w:szCs w:val="24"/>
        </w:rPr>
        <w:t>验收标准：按照国家及行业相关标准、竞争性磋商文件规定对成交供应商的完成情况进行验收，如验收达不到相关规定要求，视为该项目验收不合格，采购人有权终止合同。由此对采购人造成一定的损失，成交供应商应承担一切责任。</w:t>
      </w:r>
    </w:p>
    <w:p w14:paraId="614C9B47">
      <w:pPr>
        <w:pStyle w:val="5"/>
        <w:spacing w:before="0" w:after="0" w:line="360" w:lineRule="auto"/>
        <w:ind w:firstLine="482" w:firstLineChars="200"/>
        <w:rPr>
          <w:sz w:val="24"/>
          <w:szCs w:val="24"/>
        </w:rPr>
      </w:pPr>
      <w:bookmarkStart w:id="43" w:name="_Toc82422012"/>
      <w:bookmarkStart w:id="44" w:name="_Toc484611846"/>
      <w:bookmarkStart w:id="45" w:name="_Toc98855997"/>
      <w:bookmarkStart w:id="46" w:name="_Toc14860570"/>
      <w:bookmarkStart w:id="47" w:name="_Toc141860859"/>
      <w:bookmarkStart w:id="48" w:name="_Toc51854597"/>
      <w:r>
        <w:rPr>
          <w:sz w:val="24"/>
          <w:szCs w:val="24"/>
        </w:rPr>
        <w:t>※</w:t>
      </w:r>
      <w:r>
        <w:rPr>
          <w:rFonts w:hint="eastAsia"/>
          <w:sz w:val="24"/>
          <w:szCs w:val="24"/>
        </w:rPr>
        <w:t>二、</w:t>
      </w:r>
      <w:bookmarkEnd w:id="42"/>
      <w:r>
        <w:rPr>
          <w:rFonts w:hint="eastAsia"/>
          <w:sz w:val="24"/>
          <w:szCs w:val="24"/>
        </w:rPr>
        <w:t>报价要求</w:t>
      </w:r>
      <w:bookmarkEnd w:id="43"/>
      <w:bookmarkEnd w:id="44"/>
      <w:bookmarkEnd w:id="45"/>
      <w:bookmarkEnd w:id="46"/>
      <w:bookmarkEnd w:id="47"/>
      <w:bookmarkEnd w:id="48"/>
    </w:p>
    <w:p w14:paraId="52EDEAE7">
      <w:pPr>
        <w:snapToGrid w:val="0"/>
        <w:spacing w:line="360" w:lineRule="auto"/>
        <w:ind w:firstLine="480" w:firstLineChars="200"/>
        <w:rPr>
          <w:sz w:val="24"/>
          <w:szCs w:val="24"/>
        </w:rPr>
      </w:pPr>
      <w:r>
        <w:rPr>
          <w:rFonts w:hint="eastAsia"/>
          <w:sz w:val="24"/>
          <w:szCs w:val="24"/>
        </w:rPr>
        <w:t>（一）投标报价包括完成本项目所需的包括（但不限于）服务费、集成费、设备租赁费、设备采购费、软件开发费、差旅费、保障费、税费等所有费用。因成交供应商自身原因造成漏报、少报皆由其自行承担责任，采购人不再补偿。</w:t>
      </w:r>
    </w:p>
    <w:p w14:paraId="0C598047">
      <w:pPr>
        <w:snapToGrid w:val="0"/>
        <w:spacing w:line="360" w:lineRule="auto"/>
        <w:ind w:firstLine="480" w:firstLineChars="200"/>
        <w:rPr>
          <w:sz w:val="24"/>
          <w:szCs w:val="24"/>
        </w:rPr>
      </w:pPr>
      <w:r>
        <w:rPr>
          <w:rFonts w:hint="eastAsia"/>
          <w:sz w:val="24"/>
          <w:szCs w:val="24"/>
        </w:rPr>
        <w:t>（二）供应商应在响应文件中提供本项目详细的资金预算表，列明各分项涉及的费用明细。要求列支项目详细，费用细致，预算合理。</w:t>
      </w:r>
    </w:p>
    <w:p w14:paraId="609AEDE5">
      <w:pPr>
        <w:pStyle w:val="5"/>
        <w:spacing w:before="0" w:after="0" w:line="360" w:lineRule="auto"/>
        <w:ind w:firstLine="482" w:firstLineChars="200"/>
        <w:rPr>
          <w:sz w:val="24"/>
          <w:szCs w:val="24"/>
        </w:rPr>
      </w:pPr>
      <w:bookmarkStart w:id="49" w:name="_Toc141860860"/>
      <w:r>
        <w:rPr>
          <w:rFonts w:hint="eastAsia"/>
          <w:sz w:val="24"/>
          <w:szCs w:val="24"/>
        </w:rPr>
        <w:t>三、质量保证及售后服务</w:t>
      </w:r>
      <w:bookmarkEnd w:id="49"/>
    </w:p>
    <w:p w14:paraId="32A55CAF">
      <w:pPr>
        <w:snapToGrid w:val="0"/>
        <w:spacing w:line="360" w:lineRule="auto"/>
        <w:ind w:firstLine="480" w:firstLineChars="200"/>
        <w:rPr>
          <w:rFonts w:ascii="宋体" w:hAnsi="宋体"/>
          <w:sz w:val="24"/>
          <w:szCs w:val="24"/>
        </w:rPr>
      </w:pPr>
      <w:r>
        <w:rPr>
          <w:rFonts w:hint="eastAsia" w:ascii="宋体" w:hAnsi="宋体"/>
          <w:sz w:val="24"/>
          <w:szCs w:val="24"/>
        </w:rPr>
        <w:t>（一）咨询服务</w:t>
      </w:r>
    </w:p>
    <w:p w14:paraId="0CE16E09">
      <w:pPr>
        <w:snapToGrid w:val="0"/>
        <w:spacing w:line="360" w:lineRule="auto"/>
        <w:ind w:firstLine="480" w:firstLineChars="200"/>
        <w:rPr>
          <w:sz w:val="24"/>
          <w:szCs w:val="24"/>
        </w:rPr>
      </w:pPr>
      <w:r>
        <w:rPr>
          <w:rFonts w:hint="eastAsia"/>
          <w:sz w:val="24"/>
          <w:szCs w:val="24"/>
        </w:rPr>
        <w:t>项目中以及项目结束后，成交供应商应提供无线电专网对接电子政务外网测试验证和重庆市无线电基础和技术设施“十四五”中期评估相关的咨询服务。</w:t>
      </w:r>
    </w:p>
    <w:p w14:paraId="3F46F52F">
      <w:pPr>
        <w:snapToGrid w:val="0"/>
        <w:spacing w:line="360" w:lineRule="auto"/>
        <w:ind w:firstLine="480" w:firstLineChars="200"/>
        <w:rPr>
          <w:sz w:val="24"/>
          <w:szCs w:val="24"/>
        </w:rPr>
      </w:pPr>
      <w:r>
        <w:rPr>
          <w:rFonts w:hint="eastAsia"/>
          <w:sz w:val="24"/>
          <w:szCs w:val="24"/>
        </w:rPr>
        <w:t>（二）门禁系统质保和售后服务</w:t>
      </w:r>
    </w:p>
    <w:p w14:paraId="2038E278">
      <w:pPr>
        <w:snapToGrid w:val="0"/>
        <w:spacing w:line="360" w:lineRule="auto"/>
        <w:ind w:firstLine="480" w:firstLineChars="200"/>
        <w:rPr>
          <w:sz w:val="24"/>
          <w:szCs w:val="24"/>
        </w:rPr>
      </w:pPr>
      <w:r>
        <w:rPr>
          <w:rFonts w:hint="eastAsia"/>
          <w:sz w:val="24"/>
          <w:szCs w:val="24"/>
        </w:rPr>
        <w:t>门禁系统质保为：3年原厂质保，项目通过验收之日起开始计算质保期。质保期内，成交供应商应提供故障处理、设备调试等售后服务。</w:t>
      </w:r>
    </w:p>
    <w:p w14:paraId="4154D9A1">
      <w:pPr>
        <w:pStyle w:val="5"/>
        <w:spacing w:before="0" w:after="0" w:line="360" w:lineRule="auto"/>
        <w:ind w:firstLine="241" w:firstLineChars="100"/>
        <w:rPr>
          <w:sz w:val="24"/>
          <w:szCs w:val="24"/>
        </w:rPr>
      </w:pPr>
      <w:bookmarkStart w:id="50" w:name="_Toc344475122"/>
      <w:bookmarkStart w:id="51" w:name="_Toc98855998"/>
      <w:bookmarkStart w:id="52" w:name="_Toc51854598"/>
      <w:bookmarkStart w:id="53" w:name="_Toc14860571"/>
      <w:bookmarkStart w:id="54" w:name="_Toc484611849"/>
      <w:bookmarkStart w:id="55" w:name="_Toc82422013"/>
      <w:bookmarkStart w:id="56" w:name="_Toc141860861"/>
      <w:r>
        <w:rPr>
          <w:sz w:val="24"/>
          <w:szCs w:val="24"/>
        </w:rPr>
        <w:t>※</w:t>
      </w:r>
      <w:r>
        <w:rPr>
          <w:rFonts w:hint="eastAsia"/>
          <w:sz w:val="24"/>
          <w:szCs w:val="24"/>
        </w:rPr>
        <w:t>四、付款方式</w:t>
      </w:r>
      <w:bookmarkEnd w:id="50"/>
      <w:bookmarkEnd w:id="51"/>
      <w:bookmarkEnd w:id="52"/>
      <w:bookmarkEnd w:id="53"/>
      <w:bookmarkEnd w:id="54"/>
      <w:bookmarkEnd w:id="55"/>
      <w:bookmarkEnd w:id="56"/>
      <w:bookmarkStart w:id="57" w:name="_Toc344475123"/>
    </w:p>
    <w:p w14:paraId="6F2DCCA1">
      <w:pPr>
        <w:snapToGrid w:val="0"/>
        <w:spacing w:line="360" w:lineRule="auto"/>
        <w:ind w:firstLine="480" w:firstLineChars="200"/>
        <w:rPr>
          <w:rFonts w:ascii="宋体" w:hAnsi="宋体"/>
          <w:sz w:val="24"/>
          <w:szCs w:val="24"/>
        </w:rPr>
      </w:pPr>
      <w:r>
        <w:rPr>
          <w:rFonts w:hint="eastAsia" w:ascii="宋体" w:hAnsi="宋体"/>
          <w:sz w:val="24"/>
          <w:szCs w:val="24"/>
        </w:rPr>
        <w:t>（一）签订合同前，成交供应商向采购人指定账户缴纳合同金额5%的履约保证金。</w:t>
      </w:r>
    </w:p>
    <w:p w14:paraId="4B101FD8">
      <w:pPr>
        <w:snapToGrid w:val="0"/>
        <w:spacing w:line="360" w:lineRule="auto"/>
        <w:ind w:firstLine="480" w:firstLineChars="200"/>
        <w:rPr>
          <w:rFonts w:ascii="宋体" w:hAnsi="宋体"/>
          <w:sz w:val="24"/>
          <w:szCs w:val="24"/>
        </w:rPr>
      </w:pPr>
      <w:r>
        <w:rPr>
          <w:rFonts w:hint="eastAsia" w:ascii="宋体" w:hAnsi="宋体"/>
          <w:sz w:val="24"/>
          <w:szCs w:val="24"/>
        </w:rPr>
        <w:t>（二）签订合同后，成交供应商向采购人提供合同金额100％的增值税发票及与预付款同等额度的担保函，保函期限不少于3个月，采购人原则上在收到发票后 5 个工作日内按程序办理支付手续。</w:t>
      </w:r>
    </w:p>
    <w:p w14:paraId="44A275EA">
      <w:pPr>
        <w:snapToGrid w:val="0"/>
        <w:spacing w:line="360" w:lineRule="auto"/>
        <w:ind w:firstLine="480" w:firstLineChars="200"/>
        <w:rPr>
          <w:sz w:val="24"/>
          <w:szCs w:val="24"/>
        </w:rPr>
      </w:pPr>
      <w:r>
        <w:rPr>
          <w:rFonts w:hint="eastAsia" w:ascii="宋体" w:hAnsi="宋体"/>
          <w:sz w:val="24"/>
          <w:szCs w:val="24"/>
        </w:rPr>
        <w:t>（三）项目通过验收后，采购人向成交供应商无息退还全部履约保证金。</w:t>
      </w:r>
    </w:p>
    <w:p w14:paraId="279260AF">
      <w:pPr>
        <w:pStyle w:val="5"/>
        <w:spacing w:before="0" w:after="0" w:line="360" w:lineRule="auto"/>
        <w:ind w:firstLine="482" w:firstLineChars="200"/>
        <w:rPr>
          <w:sz w:val="24"/>
          <w:szCs w:val="24"/>
        </w:rPr>
      </w:pPr>
      <w:bookmarkStart w:id="58" w:name="_Toc484611850"/>
      <w:bookmarkStart w:id="59" w:name="_Toc14860572"/>
      <w:bookmarkStart w:id="60" w:name="_Toc141860862"/>
      <w:bookmarkStart w:id="61" w:name="_Toc51854600"/>
      <w:bookmarkStart w:id="62" w:name="_Toc98856000"/>
      <w:bookmarkStart w:id="63" w:name="_Toc82422015"/>
      <w:r>
        <w:rPr>
          <w:rFonts w:hint="eastAsia"/>
          <w:sz w:val="24"/>
          <w:szCs w:val="24"/>
        </w:rPr>
        <w:t>五、知识产权</w:t>
      </w:r>
      <w:bookmarkEnd w:id="57"/>
      <w:bookmarkEnd w:id="58"/>
      <w:bookmarkEnd w:id="59"/>
      <w:bookmarkEnd w:id="60"/>
      <w:bookmarkEnd w:id="61"/>
      <w:bookmarkEnd w:id="62"/>
      <w:bookmarkEnd w:id="63"/>
    </w:p>
    <w:p w14:paraId="3593E8C6">
      <w:pPr>
        <w:snapToGrid w:val="0"/>
        <w:spacing w:line="360" w:lineRule="auto"/>
        <w:ind w:firstLine="480" w:firstLineChars="200"/>
        <w:rPr>
          <w:sz w:val="24"/>
          <w:szCs w:val="24"/>
        </w:rPr>
      </w:pPr>
      <w:r>
        <w:rPr>
          <w:rFonts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0655CD8C">
      <w:pPr>
        <w:pStyle w:val="5"/>
        <w:spacing w:before="0" w:after="0" w:line="360" w:lineRule="auto"/>
        <w:ind w:firstLine="482" w:firstLineChars="200"/>
        <w:rPr>
          <w:sz w:val="24"/>
          <w:szCs w:val="24"/>
        </w:rPr>
      </w:pPr>
      <w:bookmarkStart w:id="64" w:name="_Toc98856001"/>
      <w:bookmarkStart w:id="65" w:name="_Toc14860573"/>
      <w:bookmarkStart w:id="66" w:name="_Toc51854601"/>
      <w:bookmarkStart w:id="67" w:name="_Toc82422016"/>
      <w:bookmarkStart w:id="68" w:name="_Toc141860863"/>
      <w:bookmarkStart w:id="69" w:name="_Toc484611852"/>
      <w:bookmarkStart w:id="70" w:name="_Toc344475125"/>
      <w:r>
        <w:rPr>
          <w:rFonts w:hint="eastAsia"/>
          <w:sz w:val="24"/>
          <w:szCs w:val="24"/>
        </w:rPr>
        <w:t>六、其他</w:t>
      </w:r>
      <w:bookmarkEnd w:id="64"/>
      <w:bookmarkEnd w:id="65"/>
      <w:bookmarkEnd w:id="66"/>
      <w:bookmarkEnd w:id="67"/>
      <w:bookmarkEnd w:id="68"/>
      <w:bookmarkEnd w:id="69"/>
    </w:p>
    <w:bookmarkEnd w:id="70"/>
    <w:p w14:paraId="24BB30A1">
      <w:pPr>
        <w:snapToGrid w:val="0"/>
        <w:spacing w:line="360" w:lineRule="auto"/>
        <w:ind w:firstLine="480" w:firstLineChars="200"/>
        <w:rPr>
          <w:sz w:val="24"/>
          <w:szCs w:val="24"/>
        </w:rPr>
      </w:pPr>
      <w:r>
        <w:rPr>
          <w:rFonts w:hint="eastAsia"/>
          <w:sz w:val="24"/>
          <w:szCs w:val="24"/>
        </w:rPr>
        <w:t>其他未尽事宜由供需双方在采购合同中详细约定。</w:t>
      </w:r>
    </w:p>
    <w:p w14:paraId="3C454FE1">
      <w:pPr>
        <w:pStyle w:val="5"/>
        <w:spacing w:before="0" w:after="0" w:line="360" w:lineRule="auto"/>
        <w:ind w:firstLine="482" w:firstLineChars="200"/>
        <w:rPr>
          <w:sz w:val="24"/>
          <w:szCs w:val="24"/>
        </w:rPr>
      </w:pPr>
      <w:bookmarkStart w:id="71" w:name="_Toc141860864"/>
      <w:r>
        <w:rPr>
          <w:rFonts w:hint="eastAsia"/>
          <w:sz w:val="24"/>
          <w:szCs w:val="24"/>
        </w:rPr>
        <w:t>七、保密要求</w:t>
      </w:r>
      <w:bookmarkEnd w:id="71"/>
    </w:p>
    <w:p w14:paraId="4A1637D7">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成交供应商及其员工必须严格遵守保密规定，不得泄露采购人情况与秘密，并接受采购人监督。若违反应承担相应法律责任。</w:t>
      </w:r>
    </w:p>
    <w:p w14:paraId="5169096C">
      <w:pPr>
        <w:pStyle w:val="2"/>
      </w:pPr>
    </w:p>
    <w:p w14:paraId="459B57AA">
      <w:pPr>
        <w:snapToGrid w:val="0"/>
        <w:spacing w:line="360" w:lineRule="auto"/>
        <w:ind w:firstLine="480" w:firstLineChars="200"/>
        <w:rPr>
          <w:rFonts w:ascii="宋体"/>
          <w:sz w:val="24"/>
          <w:szCs w:val="24"/>
        </w:rPr>
      </w:pPr>
    </w:p>
    <w:p w14:paraId="737EF005">
      <w:pPr>
        <w:snapToGrid w:val="0"/>
        <w:spacing w:line="360" w:lineRule="auto"/>
        <w:ind w:firstLine="480" w:firstLineChars="200"/>
        <w:rPr>
          <w:rFonts w:ascii="宋体"/>
          <w:sz w:val="24"/>
          <w:szCs w:val="24"/>
        </w:rPr>
      </w:pPr>
    </w:p>
    <w:p w14:paraId="67CAD2CB">
      <w:pPr>
        <w:pStyle w:val="4"/>
        <w:pageBreakBefore/>
        <w:spacing w:line="360" w:lineRule="auto"/>
        <w:jc w:val="center"/>
        <w:rPr>
          <w:rFonts w:ascii="宋体" w:eastAsia="宋体"/>
          <w:sz w:val="36"/>
          <w:szCs w:val="30"/>
        </w:rPr>
      </w:pPr>
      <w:bookmarkStart w:id="72" w:name="_Toc141860865"/>
      <w:r>
        <w:rPr>
          <w:rFonts w:hint="eastAsia" w:ascii="宋体" w:eastAsia="宋体"/>
          <w:sz w:val="36"/>
          <w:szCs w:val="30"/>
        </w:rPr>
        <w:t>第四篇  磋商程序及方法、评审标准、无效响应和采购终止</w:t>
      </w:r>
      <w:bookmarkEnd w:id="72"/>
    </w:p>
    <w:p w14:paraId="6B05B3FF">
      <w:pPr>
        <w:pStyle w:val="5"/>
        <w:snapToGrid w:val="0"/>
        <w:spacing w:before="0" w:after="0" w:line="360" w:lineRule="auto"/>
        <w:ind w:firstLine="482" w:firstLineChars="200"/>
        <w:rPr>
          <w:rFonts w:ascii="宋体" w:hAnsi="宋体"/>
          <w:sz w:val="24"/>
          <w:szCs w:val="24"/>
        </w:rPr>
      </w:pPr>
      <w:bookmarkStart w:id="73" w:name="_Toc130496031"/>
      <w:bookmarkStart w:id="74" w:name="_Toc141860866"/>
      <w:r>
        <w:rPr>
          <w:rFonts w:hint="eastAsia" w:ascii="宋体" w:hAnsi="宋体"/>
          <w:sz w:val="24"/>
          <w:szCs w:val="24"/>
        </w:rPr>
        <w:t>一、磋商程序及方法</w:t>
      </w:r>
      <w:bookmarkEnd w:id="73"/>
      <w:bookmarkEnd w:id="74"/>
    </w:p>
    <w:p w14:paraId="54D74050">
      <w:pPr>
        <w:spacing w:line="360" w:lineRule="auto"/>
        <w:ind w:firstLine="480" w:firstLineChars="200"/>
        <w:rPr>
          <w:rFonts w:ascii="宋体" w:hAnsi="宋体"/>
          <w:sz w:val="24"/>
          <w:szCs w:val="24"/>
        </w:rPr>
      </w:pPr>
      <w:r>
        <w:rPr>
          <w:rFonts w:hint="eastAsia" w:ascii="宋体" w:hAnsi="宋体"/>
          <w:sz w:val="24"/>
          <w:szCs w:val="24"/>
        </w:rPr>
        <w:t>（一）磋商按竞争性磋商文件规定的时间和地点进行，供应商须有法定代表人或其授权代表参加并签到。竞争性磋商以抽签的形式确定磋商顺序，由本项目依法组建的磋商小组分别与各供应商进行磋商。</w:t>
      </w:r>
    </w:p>
    <w:p w14:paraId="60CB0E82">
      <w:pPr>
        <w:spacing w:line="360" w:lineRule="auto"/>
        <w:ind w:firstLine="480" w:firstLineChars="200"/>
        <w:rPr>
          <w:rFonts w:ascii="宋体" w:hAnsi="宋体"/>
          <w:sz w:val="24"/>
          <w:szCs w:val="24"/>
        </w:rPr>
      </w:pPr>
      <w:r>
        <w:rPr>
          <w:rFonts w:hint="eastAsia" w:ascii="宋体" w:hAnsi="宋体"/>
          <w:sz w:val="24"/>
          <w:szCs w:val="24"/>
        </w:rPr>
        <w:t>（二）磋商小组对各供应商的资格条件、响应文件的有效性、完整性和响应程度进行审查。各供应商只有在完全符合要求的前提下，才能参与正式磋商。</w:t>
      </w:r>
    </w:p>
    <w:p w14:paraId="68F87C12">
      <w:pPr>
        <w:snapToGrid w:val="0"/>
        <w:spacing w:line="360" w:lineRule="auto"/>
        <w:ind w:firstLine="480" w:firstLineChars="200"/>
        <w:rPr>
          <w:rFonts w:ascii="宋体" w:hAnsi="宋体" w:cs="宋体"/>
          <w:kern w:val="0"/>
          <w:sz w:val="24"/>
          <w:szCs w:val="24"/>
        </w:rPr>
      </w:pPr>
      <w:r>
        <w:rPr>
          <w:rFonts w:hint="eastAsia" w:ascii="宋体" w:hAnsi="宋体"/>
          <w:sz w:val="24"/>
          <w:szCs w:val="24"/>
        </w:rPr>
        <w:t>1.</w:t>
      </w:r>
      <w:r>
        <w:rPr>
          <w:rFonts w:hint="eastAsia" w:ascii="宋体" w:hAnsi="宋体" w:cs="宋体"/>
          <w:kern w:val="0"/>
          <w:sz w:val="24"/>
          <w:szCs w:val="24"/>
        </w:rPr>
        <w:t>资格性检查。依据法律法规和竞争性磋商文件的规定，对响应文件中的资格证明、磋商保证金等进行审查，以确定供应商是否具备磋商资格。资格性检查资料表如下：</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4421"/>
        <w:gridCol w:w="3579"/>
      </w:tblGrid>
      <w:tr w14:paraId="29768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17" w:type="dxa"/>
            <w:vAlign w:val="center"/>
          </w:tcPr>
          <w:p w14:paraId="1FBCBF7E">
            <w:pPr>
              <w:snapToGrid w:val="0"/>
              <w:jc w:val="center"/>
              <w:rPr>
                <w:rFonts w:ascii="宋体" w:hAnsi="宋体" w:cs="宋体"/>
                <w:b/>
                <w:kern w:val="0"/>
                <w:sz w:val="21"/>
                <w:szCs w:val="21"/>
              </w:rPr>
            </w:pPr>
            <w:r>
              <w:rPr>
                <w:rFonts w:hint="eastAsia" w:ascii="宋体" w:hAnsi="宋体" w:cs="宋体"/>
                <w:b/>
                <w:kern w:val="0"/>
                <w:sz w:val="21"/>
                <w:szCs w:val="21"/>
              </w:rPr>
              <w:t>序号</w:t>
            </w:r>
          </w:p>
        </w:tc>
        <w:tc>
          <w:tcPr>
            <w:tcW w:w="5272" w:type="dxa"/>
            <w:gridSpan w:val="2"/>
            <w:vAlign w:val="center"/>
          </w:tcPr>
          <w:p w14:paraId="270B0F67">
            <w:pPr>
              <w:snapToGrid w:val="0"/>
              <w:jc w:val="center"/>
              <w:rPr>
                <w:rFonts w:ascii="宋体" w:hAnsi="宋体" w:cs="宋体"/>
                <w:b/>
                <w:kern w:val="0"/>
                <w:sz w:val="21"/>
                <w:szCs w:val="21"/>
              </w:rPr>
            </w:pPr>
            <w:r>
              <w:rPr>
                <w:rFonts w:hint="eastAsia" w:ascii="宋体" w:hAnsi="宋体" w:cs="宋体"/>
                <w:b/>
                <w:kern w:val="0"/>
                <w:sz w:val="21"/>
                <w:szCs w:val="21"/>
              </w:rPr>
              <w:t>检查因素</w:t>
            </w:r>
          </w:p>
        </w:tc>
        <w:tc>
          <w:tcPr>
            <w:tcW w:w="3579" w:type="dxa"/>
            <w:vAlign w:val="center"/>
          </w:tcPr>
          <w:p w14:paraId="6E5AB8F5">
            <w:pPr>
              <w:snapToGrid w:val="0"/>
              <w:jc w:val="center"/>
              <w:rPr>
                <w:rFonts w:ascii="宋体" w:hAnsi="宋体" w:cs="宋体"/>
                <w:b/>
                <w:kern w:val="0"/>
                <w:sz w:val="21"/>
                <w:szCs w:val="21"/>
              </w:rPr>
            </w:pPr>
            <w:r>
              <w:rPr>
                <w:rFonts w:hint="eastAsia" w:ascii="宋体" w:hAnsi="宋体" w:cs="宋体"/>
                <w:b/>
                <w:kern w:val="0"/>
                <w:sz w:val="21"/>
                <w:szCs w:val="21"/>
              </w:rPr>
              <w:t>检查内容</w:t>
            </w:r>
          </w:p>
        </w:tc>
      </w:tr>
      <w:tr w14:paraId="4494C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817" w:type="dxa"/>
            <w:vMerge w:val="restart"/>
            <w:vAlign w:val="center"/>
          </w:tcPr>
          <w:p w14:paraId="4332E3A8">
            <w:pPr>
              <w:snapToGrid w:val="0"/>
              <w:jc w:val="center"/>
              <w:rPr>
                <w:rFonts w:ascii="宋体" w:hAnsi="宋体"/>
                <w:sz w:val="21"/>
                <w:szCs w:val="21"/>
              </w:rPr>
            </w:pPr>
            <w:r>
              <w:rPr>
                <w:rFonts w:hint="eastAsia" w:ascii="宋体" w:hAnsi="宋体"/>
                <w:sz w:val="21"/>
                <w:szCs w:val="21"/>
              </w:rPr>
              <w:t>（一）</w:t>
            </w:r>
          </w:p>
        </w:tc>
        <w:tc>
          <w:tcPr>
            <w:tcW w:w="851" w:type="dxa"/>
            <w:vMerge w:val="restart"/>
            <w:vAlign w:val="center"/>
          </w:tcPr>
          <w:p w14:paraId="12546FB6">
            <w:pPr>
              <w:snapToGrid w:val="0"/>
              <w:rPr>
                <w:rFonts w:ascii="宋体" w:hAnsi="宋体" w:cs="仿宋_GB2312"/>
                <w:sz w:val="21"/>
                <w:szCs w:val="21"/>
                <w:lang w:val="zh-CN"/>
              </w:rPr>
            </w:pPr>
            <w:r>
              <w:rPr>
                <w:rFonts w:hint="eastAsia" w:ascii="宋体" w:hAnsi="宋体" w:cs="仿宋_GB2312"/>
                <w:sz w:val="21"/>
                <w:szCs w:val="21"/>
                <w:lang w:val="zh-CN"/>
              </w:rPr>
              <w:t>《中华人民共和国政府采购法》第二十二条规定</w:t>
            </w:r>
          </w:p>
        </w:tc>
        <w:tc>
          <w:tcPr>
            <w:tcW w:w="4421" w:type="dxa"/>
            <w:vAlign w:val="center"/>
          </w:tcPr>
          <w:p w14:paraId="4C4E5E20">
            <w:pPr>
              <w:snapToGrid w:val="0"/>
              <w:rPr>
                <w:rFonts w:ascii="宋体" w:hAnsi="宋体"/>
                <w:sz w:val="21"/>
                <w:szCs w:val="21"/>
              </w:rPr>
            </w:pPr>
            <w:r>
              <w:rPr>
                <w:rFonts w:hint="eastAsia" w:ascii="宋体" w:hAnsi="宋体"/>
                <w:sz w:val="21"/>
                <w:szCs w:val="21"/>
              </w:rPr>
              <w:t>1.具有独立承担民事责任的能力</w:t>
            </w:r>
          </w:p>
        </w:tc>
        <w:tc>
          <w:tcPr>
            <w:tcW w:w="3579" w:type="dxa"/>
            <w:vAlign w:val="center"/>
          </w:tcPr>
          <w:p w14:paraId="757DD6A0">
            <w:pPr>
              <w:snapToGrid w:val="0"/>
              <w:rPr>
                <w:rFonts w:ascii="宋体" w:hAnsi="宋体"/>
                <w:sz w:val="21"/>
                <w:szCs w:val="21"/>
              </w:rPr>
            </w:pPr>
            <w:r>
              <w:rPr>
                <w:rFonts w:hint="eastAsia" w:ascii="宋体" w:hAnsi="宋体"/>
                <w:sz w:val="21"/>
                <w:szCs w:val="21"/>
              </w:rPr>
              <w:t>供应商法人营业执照（副本）或社会团体法人登记证书（副本）或民办非企业单位法人登记证书（副本）或事业单位法人证书（副本）或个体工商户营业执照或有效的自然人身份证明（提供复印件）；</w:t>
            </w:r>
          </w:p>
          <w:p w14:paraId="779FB2A1">
            <w:pPr>
              <w:snapToGrid w:val="0"/>
              <w:rPr>
                <w:rFonts w:ascii="宋体" w:hAnsi="宋体"/>
                <w:sz w:val="21"/>
                <w:szCs w:val="21"/>
              </w:rPr>
            </w:pPr>
            <w:r>
              <w:rPr>
                <w:rFonts w:hint="eastAsia" w:ascii="宋体" w:hAnsi="宋体"/>
                <w:sz w:val="21"/>
                <w:szCs w:val="21"/>
              </w:rPr>
              <w:t>供应商法定代表人身份证明和法定代表人授权代表委托书。</w:t>
            </w:r>
          </w:p>
        </w:tc>
      </w:tr>
      <w:tr w14:paraId="0CBFE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817" w:type="dxa"/>
            <w:vMerge w:val="continue"/>
            <w:vAlign w:val="center"/>
          </w:tcPr>
          <w:p w14:paraId="1B19BB16">
            <w:pPr>
              <w:rPr>
                <w:rFonts w:ascii="宋体" w:hAnsi="宋体"/>
                <w:sz w:val="21"/>
                <w:szCs w:val="21"/>
              </w:rPr>
            </w:pPr>
          </w:p>
        </w:tc>
        <w:tc>
          <w:tcPr>
            <w:tcW w:w="851" w:type="dxa"/>
            <w:vMerge w:val="continue"/>
            <w:vAlign w:val="center"/>
          </w:tcPr>
          <w:p w14:paraId="452AEF98">
            <w:pPr>
              <w:rPr>
                <w:rFonts w:ascii="宋体" w:hAnsi="宋体"/>
                <w:sz w:val="21"/>
                <w:szCs w:val="21"/>
              </w:rPr>
            </w:pPr>
          </w:p>
        </w:tc>
        <w:tc>
          <w:tcPr>
            <w:tcW w:w="4421" w:type="dxa"/>
            <w:vAlign w:val="center"/>
          </w:tcPr>
          <w:p w14:paraId="1B366154">
            <w:pPr>
              <w:snapToGrid w:val="0"/>
              <w:rPr>
                <w:rFonts w:ascii="宋体" w:hAnsi="宋体"/>
                <w:sz w:val="21"/>
                <w:szCs w:val="21"/>
              </w:rPr>
            </w:pPr>
            <w:r>
              <w:rPr>
                <w:rFonts w:hint="eastAsia" w:ascii="宋体" w:hAnsi="宋体" w:cs="仿宋_GB2312"/>
                <w:sz w:val="21"/>
                <w:szCs w:val="21"/>
                <w:lang w:val="zh-CN"/>
              </w:rPr>
              <w:t>2.</w:t>
            </w:r>
            <w:r>
              <w:rPr>
                <w:rFonts w:hint="eastAsia" w:ascii="宋体" w:hAnsi="宋体"/>
                <w:sz w:val="21"/>
                <w:szCs w:val="21"/>
              </w:rPr>
              <w:t>具有良好的商业信誉和健全的财务会计制度</w:t>
            </w:r>
          </w:p>
        </w:tc>
        <w:tc>
          <w:tcPr>
            <w:tcW w:w="3579" w:type="dxa"/>
            <w:vMerge w:val="restart"/>
            <w:vAlign w:val="center"/>
          </w:tcPr>
          <w:p w14:paraId="10409575">
            <w:pPr>
              <w:snapToGrid w:val="0"/>
              <w:rPr>
                <w:rFonts w:ascii="宋体" w:hAnsi="宋体"/>
                <w:sz w:val="21"/>
                <w:szCs w:val="21"/>
              </w:rPr>
            </w:pPr>
            <w:r>
              <w:rPr>
                <w:rFonts w:hint="eastAsia" w:ascii="宋体" w:hAnsi="宋体"/>
                <w:sz w:val="21"/>
                <w:szCs w:val="21"/>
              </w:rPr>
              <w:t>供应商提供《基本资格条件承诺函》（见格式文件）</w:t>
            </w:r>
          </w:p>
          <w:p w14:paraId="18B256FD">
            <w:pPr>
              <w:snapToGrid w:val="0"/>
              <w:rPr>
                <w:rFonts w:ascii="宋体" w:hAnsi="宋体"/>
                <w:sz w:val="21"/>
                <w:szCs w:val="21"/>
              </w:rPr>
            </w:pPr>
          </w:p>
        </w:tc>
      </w:tr>
      <w:tr w14:paraId="5CB50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817" w:type="dxa"/>
            <w:vMerge w:val="continue"/>
            <w:vAlign w:val="center"/>
          </w:tcPr>
          <w:p w14:paraId="38C8C5B2">
            <w:pPr>
              <w:rPr>
                <w:rFonts w:ascii="宋体" w:hAnsi="宋体"/>
                <w:sz w:val="21"/>
                <w:szCs w:val="21"/>
              </w:rPr>
            </w:pPr>
          </w:p>
        </w:tc>
        <w:tc>
          <w:tcPr>
            <w:tcW w:w="851" w:type="dxa"/>
            <w:vMerge w:val="continue"/>
            <w:vAlign w:val="center"/>
          </w:tcPr>
          <w:p w14:paraId="09551449">
            <w:pPr>
              <w:rPr>
                <w:rFonts w:ascii="宋体" w:hAnsi="宋体"/>
                <w:sz w:val="21"/>
                <w:szCs w:val="21"/>
              </w:rPr>
            </w:pPr>
          </w:p>
        </w:tc>
        <w:tc>
          <w:tcPr>
            <w:tcW w:w="4421" w:type="dxa"/>
            <w:vAlign w:val="center"/>
          </w:tcPr>
          <w:p w14:paraId="1FF7E719">
            <w:pPr>
              <w:snapToGrid w:val="0"/>
              <w:rPr>
                <w:rFonts w:ascii="宋体" w:hAnsi="宋体" w:cs="仿宋_GB2312"/>
                <w:sz w:val="21"/>
                <w:szCs w:val="21"/>
                <w:lang w:val="zh-CN"/>
              </w:rPr>
            </w:pPr>
            <w:r>
              <w:rPr>
                <w:rFonts w:hint="eastAsia" w:ascii="宋体" w:hAnsi="宋体" w:cs="仿宋_GB2312"/>
                <w:sz w:val="21"/>
                <w:szCs w:val="21"/>
                <w:lang w:val="zh-CN"/>
              </w:rPr>
              <w:t>3.具有履行合同所必需的设备和专业技术能力</w:t>
            </w:r>
          </w:p>
        </w:tc>
        <w:tc>
          <w:tcPr>
            <w:tcW w:w="3579" w:type="dxa"/>
            <w:vMerge w:val="continue"/>
            <w:vAlign w:val="center"/>
          </w:tcPr>
          <w:p w14:paraId="046974DD">
            <w:pPr>
              <w:snapToGrid w:val="0"/>
              <w:rPr>
                <w:rFonts w:ascii="宋体" w:hAnsi="宋体"/>
                <w:sz w:val="21"/>
                <w:szCs w:val="21"/>
              </w:rPr>
            </w:pPr>
          </w:p>
        </w:tc>
      </w:tr>
      <w:tr w14:paraId="4BA1C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vAlign w:val="center"/>
          </w:tcPr>
          <w:p w14:paraId="26DD3926">
            <w:pPr>
              <w:rPr>
                <w:rFonts w:ascii="宋体" w:hAnsi="宋体"/>
                <w:sz w:val="21"/>
                <w:szCs w:val="21"/>
              </w:rPr>
            </w:pPr>
          </w:p>
        </w:tc>
        <w:tc>
          <w:tcPr>
            <w:tcW w:w="851" w:type="dxa"/>
            <w:vMerge w:val="continue"/>
            <w:vAlign w:val="center"/>
          </w:tcPr>
          <w:p w14:paraId="0FE63675">
            <w:pPr>
              <w:rPr>
                <w:rFonts w:ascii="宋体" w:hAnsi="宋体"/>
                <w:sz w:val="21"/>
                <w:szCs w:val="21"/>
              </w:rPr>
            </w:pPr>
          </w:p>
        </w:tc>
        <w:tc>
          <w:tcPr>
            <w:tcW w:w="4421" w:type="dxa"/>
            <w:vAlign w:val="center"/>
          </w:tcPr>
          <w:p w14:paraId="0DC3DD34">
            <w:pPr>
              <w:snapToGrid w:val="0"/>
              <w:rPr>
                <w:rFonts w:ascii="宋体" w:hAnsi="宋体" w:cs="仿宋_GB2312"/>
                <w:sz w:val="21"/>
                <w:szCs w:val="21"/>
                <w:lang w:val="zh-CN"/>
              </w:rPr>
            </w:pPr>
            <w:r>
              <w:rPr>
                <w:rFonts w:hint="eastAsia" w:ascii="宋体" w:hAnsi="宋体" w:cs="仿宋_GB2312"/>
                <w:sz w:val="21"/>
                <w:szCs w:val="21"/>
                <w:lang w:val="zh-CN"/>
              </w:rPr>
              <w:t>4.有依法缴纳税收的良好记录</w:t>
            </w:r>
          </w:p>
        </w:tc>
        <w:tc>
          <w:tcPr>
            <w:tcW w:w="3579" w:type="dxa"/>
            <w:vMerge w:val="continue"/>
            <w:vAlign w:val="center"/>
          </w:tcPr>
          <w:p w14:paraId="2E09DE4C">
            <w:pPr>
              <w:snapToGrid w:val="0"/>
              <w:rPr>
                <w:rFonts w:ascii="宋体" w:hAnsi="宋体"/>
                <w:sz w:val="21"/>
                <w:szCs w:val="21"/>
              </w:rPr>
            </w:pPr>
          </w:p>
        </w:tc>
      </w:tr>
      <w:tr w14:paraId="37678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817" w:type="dxa"/>
            <w:vMerge w:val="continue"/>
            <w:vAlign w:val="center"/>
          </w:tcPr>
          <w:p w14:paraId="18FF0E39">
            <w:pPr>
              <w:rPr>
                <w:rFonts w:ascii="宋体" w:hAnsi="宋体"/>
                <w:sz w:val="21"/>
                <w:szCs w:val="21"/>
              </w:rPr>
            </w:pPr>
          </w:p>
        </w:tc>
        <w:tc>
          <w:tcPr>
            <w:tcW w:w="851" w:type="dxa"/>
            <w:vMerge w:val="continue"/>
            <w:vAlign w:val="center"/>
          </w:tcPr>
          <w:p w14:paraId="0BD16E7C">
            <w:pPr>
              <w:rPr>
                <w:rFonts w:ascii="宋体" w:hAnsi="宋体"/>
                <w:sz w:val="21"/>
                <w:szCs w:val="21"/>
              </w:rPr>
            </w:pPr>
          </w:p>
        </w:tc>
        <w:tc>
          <w:tcPr>
            <w:tcW w:w="4421" w:type="dxa"/>
            <w:vAlign w:val="center"/>
          </w:tcPr>
          <w:p w14:paraId="7C885359">
            <w:pPr>
              <w:snapToGrid w:val="0"/>
              <w:rPr>
                <w:rFonts w:ascii="宋体" w:hAnsi="宋体" w:cs="仿宋_GB2312"/>
                <w:sz w:val="21"/>
                <w:szCs w:val="21"/>
                <w:lang w:val="zh-CN"/>
              </w:rPr>
            </w:pPr>
            <w:r>
              <w:rPr>
                <w:rFonts w:hint="eastAsia" w:ascii="宋体" w:hAnsi="宋体"/>
                <w:sz w:val="21"/>
                <w:szCs w:val="21"/>
              </w:rPr>
              <w:t>5.参加政府采购活动前三年内，在经营活动中没有重大违法记录</w:t>
            </w:r>
          </w:p>
        </w:tc>
        <w:tc>
          <w:tcPr>
            <w:tcW w:w="3579" w:type="dxa"/>
            <w:vMerge w:val="continue"/>
            <w:vAlign w:val="center"/>
          </w:tcPr>
          <w:p w14:paraId="14F28867">
            <w:pPr>
              <w:snapToGrid w:val="0"/>
              <w:rPr>
                <w:rFonts w:ascii="宋体" w:hAnsi="宋体"/>
                <w:b/>
                <w:sz w:val="21"/>
                <w:szCs w:val="21"/>
              </w:rPr>
            </w:pPr>
          </w:p>
        </w:tc>
      </w:tr>
      <w:tr w14:paraId="586E7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vAlign w:val="center"/>
          </w:tcPr>
          <w:p w14:paraId="1B003C97">
            <w:pPr>
              <w:rPr>
                <w:rFonts w:ascii="宋体" w:hAnsi="宋体"/>
                <w:sz w:val="21"/>
                <w:szCs w:val="21"/>
              </w:rPr>
            </w:pPr>
          </w:p>
        </w:tc>
        <w:tc>
          <w:tcPr>
            <w:tcW w:w="851" w:type="dxa"/>
            <w:vMerge w:val="continue"/>
            <w:vAlign w:val="center"/>
          </w:tcPr>
          <w:p w14:paraId="732124AD">
            <w:pPr>
              <w:rPr>
                <w:rFonts w:ascii="宋体" w:hAnsi="宋体"/>
                <w:sz w:val="21"/>
                <w:szCs w:val="21"/>
              </w:rPr>
            </w:pPr>
          </w:p>
        </w:tc>
        <w:tc>
          <w:tcPr>
            <w:tcW w:w="4421" w:type="dxa"/>
            <w:vAlign w:val="center"/>
          </w:tcPr>
          <w:p w14:paraId="5988E70C">
            <w:pPr>
              <w:snapToGrid w:val="0"/>
              <w:rPr>
                <w:rFonts w:ascii="宋体" w:hAnsi="宋体"/>
                <w:sz w:val="21"/>
                <w:szCs w:val="21"/>
              </w:rPr>
            </w:pPr>
            <w:r>
              <w:rPr>
                <w:rFonts w:hint="eastAsia" w:ascii="宋体" w:hAnsi="宋体"/>
                <w:sz w:val="21"/>
                <w:szCs w:val="21"/>
              </w:rPr>
              <w:t>6.法律、行政法规规定的其他条件</w:t>
            </w:r>
          </w:p>
        </w:tc>
        <w:tc>
          <w:tcPr>
            <w:tcW w:w="3579" w:type="dxa"/>
            <w:vAlign w:val="center"/>
          </w:tcPr>
          <w:p w14:paraId="7414AE45">
            <w:pPr>
              <w:snapToGrid w:val="0"/>
              <w:rPr>
                <w:rFonts w:ascii="宋体" w:hAnsi="宋体"/>
                <w:sz w:val="21"/>
                <w:szCs w:val="21"/>
              </w:rPr>
            </w:pPr>
          </w:p>
        </w:tc>
      </w:tr>
      <w:tr w14:paraId="5447D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Align w:val="center"/>
          </w:tcPr>
          <w:p w14:paraId="1FF2B2A5">
            <w:pPr>
              <w:rPr>
                <w:rFonts w:ascii="宋体" w:hAnsi="宋体"/>
                <w:sz w:val="21"/>
                <w:szCs w:val="21"/>
              </w:rPr>
            </w:pPr>
            <w:r>
              <w:rPr>
                <w:rFonts w:hint="eastAsia" w:ascii="宋体" w:hAnsi="宋体"/>
                <w:sz w:val="21"/>
                <w:szCs w:val="21"/>
              </w:rPr>
              <w:t>（二）</w:t>
            </w:r>
          </w:p>
        </w:tc>
        <w:tc>
          <w:tcPr>
            <w:tcW w:w="5272" w:type="dxa"/>
            <w:gridSpan w:val="2"/>
            <w:vAlign w:val="center"/>
          </w:tcPr>
          <w:p w14:paraId="3CBC3803">
            <w:pPr>
              <w:snapToGrid w:val="0"/>
              <w:rPr>
                <w:rFonts w:ascii="宋体" w:hAnsi="宋体"/>
                <w:sz w:val="21"/>
                <w:szCs w:val="21"/>
              </w:rPr>
            </w:pPr>
            <w:r>
              <w:rPr>
                <w:rFonts w:hint="eastAsia" w:ascii="宋体" w:hAnsi="宋体"/>
                <w:sz w:val="21"/>
                <w:szCs w:val="21"/>
              </w:rPr>
              <w:t>本项目特定资格条件</w:t>
            </w:r>
          </w:p>
        </w:tc>
        <w:tc>
          <w:tcPr>
            <w:tcW w:w="3579" w:type="dxa"/>
            <w:vAlign w:val="center"/>
          </w:tcPr>
          <w:p w14:paraId="1BBD9D4A">
            <w:pPr>
              <w:snapToGrid w:val="0"/>
              <w:rPr>
                <w:rFonts w:ascii="宋体" w:hAnsi="宋体"/>
                <w:sz w:val="21"/>
                <w:szCs w:val="21"/>
              </w:rPr>
            </w:pPr>
            <w:r>
              <w:rPr>
                <w:rFonts w:hint="eastAsia" w:ascii="宋体" w:hAnsi="宋体"/>
                <w:sz w:val="21"/>
                <w:szCs w:val="21"/>
              </w:rPr>
              <w:t>按第一篇“三、供应商资格要求（二）本项目的特定资格条件”的要求提交（如果有）。</w:t>
            </w:r>
          </w:p>
        </w:tc>
      </w:tr>
      <w:tr w14:paraId="0011C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Align w:val="center"/>
          </w:tcPr>
          <w:p w14:paraId="640290E4">
            <w:pPr>
              <w:snapToGrid w:val="0"/>
              <w:jc w:val="center"/>
              <w:rPr>
                <w:rFonts w:ascii="宋体" w:hAnsi="宋体"/>
                <w:sz w:val="21"/>
                <w:szCs w:val="21"/>
              </w:rPr>
            </w:pPr>
            <w:r>
              <w:rPr>
                <w:rFonts w:hint="eastAsia" w:ascii="宋体" w:hAnsi="宋体"/>
                <w:sz w:val="21"/>
                <w:szCs w:val="21"/>
              </w:rPr>
              <w:t>（三）</w:t>
            </w:r>
          </w:p>
        </w:tc>
        <w:tc>
          <w:tcPr>
            <w:tcW w:w="5272" w:type="dxa"/>
            <w:gridSpan w:val="2"/>
            <w:vAlign w:val="center"/>
          </w:tcPr>
          <w:p w14:paraId="517D6F91">
            <w:pPr>
              <w:snapToGrid w:val="0"/>
              <w:rPr>
                <w:rFonts w:ascii="宋体" w:hAnsi="宋体"/>
                <w:sz w:val="21"/>
                <w:szCs w:val="21"/>
              </w:rPr>
            </w:pPr>
            <w:r>
              <w:rPr>
                <w:rFonts w:hint="eastAsia" w:ascii="宋体" w:hAnsi="宋体"/>
                <w:sz w:val="21"/>
                <w:szCs w:val="21"/>
              </w:rPr>
              <w:t>落实政府采购政策需满足的资格要求：</w:t>
            </w:r>
          </w:p>
        </w:tc>
        <w:tc>
          <w:tcPr>
            <w:tcW w:w="3579" w:type="dxa"/>
            <w:vAlign w:val="center"/>
          </w:tcPr>
          <w:p w14:paraId="542DE75D">
            <w:pPr>
              <w:snapToGrid w:val="0"/>
              <w:rPr>
                <w:rFonts w:ascii="宋体" w:hAnsi="宋体"/>
                <w:sz w:val="21"/>
                <w:szCs w:val="21"/>
              </w:rPr>
            </w:pPr>
            <w:r>
              <w:rPr>
                <w:rFonts w:hint="eastAsia" w:ascii="宋体" w:hAnsi="宋体"/>
                <w:sz w:val="21"/>
                <w:szCs w:val="21"/>
              </w:rPr>
              <w:t>按第一篇“三、供应商资格要求（三）落实政府采购政策需满足的资格要求”的要求提交（如果有）。</w:t>
            </w:r>
          </w:p>
        </w:tc>
      </w:tr>
      <w:tr w14:paraId="52D6D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817" w:type="dxa"/>
            <w:vAlign w:val="center"/>
          </w:tcPr>
          <w:p w14:paraId="44BAF3BC">
            <w:pPr>
              <w:snapToGrid w:val="0"/>
              <w:jc w:val="center"/>
              <w:rPr>
                <w:rFonts w:ascii="宋体" w:hAnsi="宋体"/>
                <w:sz w:val="21"/>
                <w:szCs w:val="21"/>
              </w:rPr>
            </w:pPr>
            <w:r>
              <w:rPr>
                <w:rFonts w:hint="eastAsia" w:ascii="宋体" w:hAnsi="宋体"/>
                <w:sz w:val="21"/>
                <w:szCs w:val="21"/>
              </w:rPr>
              <w:t>（四）</w:t>
            </w:r>
          </w:p>
        </w:tc>
        <w:tc>
          <w:tcPr>
            <w:tcW w:w="5272" w:type="dxa"/>
            <w:gridSpan w:val="2"/>
            <w:vAlign w:val="center"/>
          </w:tcPr>
          <w:p w14:paraId="532540C6">
            <w:pPr>
              <w:snapToGrid w:val="0"/>
              <w:rPr>
                <w:rFonts w:ascii="宋体" w:hAnsi="宋体"/>
                <w:sz w:val="21"/>
                <w:szCs w:val="21"/>
              </w:rPr>
            </w:pPr>
            <w:r>
              <w:rPr>
                <w:rFonts w:hint="eastAsia" w:ascii="宋体" w:hAnsi="宋体"/>
                <w:sz w:val="21"/>
                <w:szCs w:val="21"/>
              </w:rPr>
              <w:t>磋商保证金</w:t>
            </w:r>
          </w:p>
        </w:tc>
        <w:tc>
          <w:tcPr>
            <w:tcW w:w="3579" w:type="dxa"/>
            <w:vAlign w:val="center"/>
          </w:tcPr>
          <w:p w14:paraId="5732CC5C">
            <w:pPr>
              <w:snapToGrid w:val="0"/>
              <w:rPr>
                <w:rFonts w:ascii="宋体" w:hAnsi="宋体" w:cs="宋体"/>
                <w:sz w:val="21"/>
                <w:szCs w:val="21"/>
              </w:rPr>
            </w:pPr>
            <w:r>
              <w:rPr>
                <w:rFonts w:hint="eastAsia" w:ascii="宋体" w:hAnsi="宋体"/>
                <w:sz w:val="21"/>
                <w:szCs w:val="21"/>
              </w:rPr>
              <w:t>按照采购文件的规定提交磋商保证金。</w:t>
            </w:r>
          </w:p>
        </w:tc>
      </w:tr>
    </w:tbl>
    <w:p w14:paraId="17E3ABEE">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注：</w:t>
      </w:r>
    </w:p>
    <w:p w14:paraId="1447924B">
      <w:pPr>
        <w:snapToGrid w:val="0"/>
        <w:spacing w:line="360" w:lineRule="auto"/>
        <w:ind w:firstLine="482" w:firstLineChars="200"/>
        <w:rPr>
          <w:rFonts w:ascii="宋体" w:hAnsi="宋体" w:cs="宋体"/>
          <w:b/>
          <w:bCs/>
          <w:kern w:val="0"/>
          <w:sz w:val="24"/>
          <w:szCs w:val="24"/>
        </w:rPr>
      </w:pPr>
      <w:r>
        <w:rPr>
          <w:rFonts w:hint="eastAsia" w:ascii="宋体" w:hAnsi="宋体" w:cs="宋体"/>
          <w:b/>
          <w:bCs/>
          <w:kern w:val="0"/>
          <w:sz w:val="24"/>
          <w:szCs w:val="24"/>
        </w:rPr>
        <w:t>供应商应对其承诺内容的真实性、合法性、有效性负责。经调查核实为虚假承诺的，视同为“提供虚假材料谋取中标、成交”的违法行为，依照《中华人民共和国政府采购法》等法律法规追究相应责任。</w:t>
      </w:r>
    </w:p>
    <w:p w14:paraId="18C41001">
      <w:pPr>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以《财政部关于&lt;中华人民共和国政府采购法实施条例&gt;第十九条第一款“较大数额罚款”具体适用问题的意见》（财库〔2022〕3号）规定为准。</w:t>
      </w:r>
    </w:p>
    <w:p w14:paraId="34A6B827">
      <w:pPr>
        <w:spacing w:line="360" w:lineRule="auto"/>
        <w:ind w:firstLine="480" w:firstLineChars="200"/>
        <w:rPr>
          <w:rFonts w:ascii="宋体" w:hAnsi="宋体"/>
          <w:kern w:val="0"/>
          <w:sz w:val="24"/>
          <w:szCs w:val="24"/>
        </w:rPr>
      </w:pPr>
      <w:r>
        <w:rPr>
          <w:rFonts w:hint="eastAsia" w:ascii="宋体" w:hAnsi="宋体"/>
          <w:sz w:val="24"/>
          <w:szCs w:val="24"/>
        </w:rPr>
        <w:t>2.</w:t>
      </w:r>
      <w:r>
        <w:rPr>
          <w:rFonts w:hint="eastAsia" w:ascii="宋体" w:hAnsi="宋体" w:cs="宋体"/>
          <w:kern w:val="0"/>
          <w:sz w:val="24"/>
          <w:szCs w:val="24"/>
        </w:rPr>
        <w:t>符合性检查。依据竞争性磋商文件的规定，从响应文件的有效性、完整性和对竞争性磋商文件的响应程度进行审查，以确定是否对竞争性磋商文件的实质性要求作出响应。</w:t>
      </w:r>
      <w:r>
        <w:rPr>
          <w:rFonts w:hint="eastAsia" w:ascii="宋体" w:hAnsi="宋体"/>
          <w:kern w:val="0"/>
          <w:sz w:val="24"/>
          <w:szCs w:val="24"/>
        </w:rPr>
        <w:t>符合性检查资料表如下：</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14:paraId="6B1B2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vAlign w:val="center"/>
          </w:tcPr>
          <w:p w14:paraId="7AF37613">
            <w:pPr>
              <w:spacing w:line="240" w:lineRule="exact"/>
              <w:jc w:val="center"/>
              <w:rPr>
                <w:rFonts w:ascii="宋体" w:hAnsi="宋体" w:cs="宋体"/>
                <w:b/>
                <w:kern w:val="0"/>
                <w:sz w:val="21"/>
                <w:szCs w:val="21"/>
              </w:rPr>
            </w:pPr>
            <w:r>
              <w:rPr>
                <w:rFonts w:hint="eastAsia" w:ascii="宋体" w:hAnsi="宋体" w:cs="宋体"/>
                <w:b/>
                <w:kern w:val="0"/>
                <w:sz w:val="21"/>
                <w:szCs w:val="21"/>
              </w:rPr>
              <w:t>序号</w:t>
            </w:r>
          </w:p>
        </w:tc>
        <w:tc>
          <w:tcPr>
            <w:tcW w:w="3569" w:type="dxa"/>
            <w:gridSpan w:val="2"/>
            <w:vAlign w:val="center"/>
          </w:tcPr>
          <w:p w14:paraId="6905A2CC">
            <w:pPr>
              <w:spacing w:line="240" w:lineRule="exact"/>
              <w:jc w:val="center"/>
              <w:rPr>
                <w:rFonts w:ascii="宋体" w:hAnsi="宋体" w:cs="宋体"/>
                <w:b/>
                <w:kern w:val="0"/>
                <w:sz w:val="21"/>
                <w:szCs w:val="21"/>
              </w:rPr>
            </w:pPr>
            <w:r>
              <w:rPr>
                <w:rFonts w:hint="eastAsia" w:ascii="宋体" w:hAnsi="宋体" w:cs="宋体"/>
                <w:b/>
                <w:kern w:val="0"/>
                <w:sz w:val="21"/>
                <w:szCs w:val="21"/>
              </w:rPr>
              <w:t>评审因素</w:t>
            </w:r>
          </w:p>
        </w:tc>
        <w:tc>
          <w:tcPr>
            <w:tcW w:w="5220" w:type="dxa"/>
            <w:vAlign w:val="center"/>
          </w:tcPr>
          <w:p w14:paraId="18435B88">
            <w:pPr>
              <w:spacing w:line="240" w:lineRule="exact"/>
              <w:jc w:val="center"/>
              <w:rPr>
                <w:rFonts w:ascii="宋体" w:hAnsi="宋体" w:cs="宋体"/>
                <w:b/>
                <w:kern w:val="0"/>
                <w:sz w:val="21"/>
                <w:szCs w:val="21"/>
              </w:rPr>
            </w:pPr>
            <w:r>
              <w:rPr>
                <w:rFonts w:hint="eastAsia" w:ascii="宋体" w:hAnsi="宋体" w:cs="宋体"/>
                <w:b/>
                <w:kern w:val="0"/>
                <w:sz w:val="21"/>
                <w:szCs w:val="21"/>
              </w:rPr>
              <w:t>评审标准</w:t>
            </w:r>
          </w:p>
        </w:tc>
      </w:tr>
      <w:tr w14:paraId="291DC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75" w:type="dxa"/>
            <w:vMerge w:val="restart"/>
            <w:vAlign w:val="center"/>
          </w:tcPr>
          <w:p w14:paraId="0BCF002E">
            <w:pPr>
              <w:spacing w:line="240" w:lineRule="exact"/>
              <w:jc w:val="center"/>
              <w:rPr>
                <w:rFonts w:ascii="宋体" w:hAnsi="宋体" w:cs="宋体"/>
                <w:kern w:val="0"/>
                <w:sz w:val="21"/>
                <w:szCs w:val="21"/>
              </w:rPr>
            </w:pPr>
            <w:r>
              <w:rPr>
                <w:rFonts w:hint="eastAsia" w:ascii="宋体" w:hAnsi="宋体" w:cs="宋体"/>
                <w:kern w:val="0"/>
                <w:sz w:val="21"/>
                <w:szCs w:val="21"/>
              </w:rPr>
              <w:t>1</w:t>
            </w:r>
          </w:p>
        </w:tc>
        <w:tc>
          <w:tcPr>
            <w:tcW w:w="1573" w:type="dxa"/>
            <w:vMerge w:val="restart"/>
            <w:vAlign w:val="center"/>
          </w:tcPr>
          <w:p w14:paraId="1F46ABD2">
            <w:pPr>
              <w:spacing w:line="240" w:lineRule="exact"/>
              <w:rPr>
                <w:rFonts w:ascii="宋体" w:hAnsi="宋体" w:cs="宋体"/>
                <w:kern w:val="0"/>
                <w:sz w:val="21"/>
                <w:szCs w:val="21"/>
              </w:rPr>
            </w:pPr>
            <w:r>
              <w:rPr>
                <w:rFonts w:hint="eastAsia" w:ascii="宋体" w:hAnsi="宋体" w:cs="宋体"/>
                <w:kern w:val="0"/>
                <w:sz w:val="21"/>
                <w:szCs w:val="21"/>
              </w:rPr>
              <w:t>有效性审查</w:t>
            </w:r>
          </w:p>
        </w:tc>
        <w:tc>
          <w:tcPr>
            <w:tcW w:w="1996" w:type="dxa"/>
            <w:vAlign w:val="center"/>
          </w:tcPr>
          <w:p w14:paraId="753A5939">
            <w:pPr>
              <w:spacing w:line="240" w:lineRule="exact"/>
              <w:rPr>
                <w:rFonts w:ascii="宋体" w:hAnsi="宋体" w:cs="宋体"/>
                <w:kern w:val="0"/>
                <w:sz w:val="21"/>
                <w:szCs w:val="21"/>
              </w:rPr>
            </w:pPr>
            <w:r>
              <w:rPr>
                <w:rFonts w:hint="eastAsia" w:ascii="宋体" w:hAnsi="宋体"/>
                <w:sz w:val="21"/>
                <w:szCs w:val="21"/>
              </w:rPr>
              <w:t>响应文件签署及盖章</w:t>
            </w:r>
          </w:p>
        </w:tc>
        <w:tc>
          <w:tcPr>
            <w:tcW w:w="5220" w:type="dxa"/>
            <w:vAlign w:val="center"/>
          </w:tcPr>
          <w:p w14:paraId="5A7DD9EA">
            <w:pPr>
              <w:spacing w:line="240" w:lineRule="exact"/>
              <w:rPr>
                <w:rFonts w:ascii="宋体" w:hAnsi="宋体" w:cs="宋体"/>
                <w:kern w:val="0"/>
                <w:sz w:val="21"/>
                <w:szCs w:val="21"/>
              </w:rPr>
            </w:pPr>
            <w:r>
              <w:rPr>
                <w:rFonts w:hint="eastAsia" w:ascii="宋体" w:hAnsi="宋体"/>
                <w:sz w:val="21"/>
                <w:szCs w:val="21"/>
              </w:rPr>
              <w:t>响应文件上法定代表人或其授权代表人的签字齐全，响应文件盖章齐全。</w:t>
            </w:r>
          </w:p>
        </w:tc>
      </w:tr>
      <w:tr w14:paraId="0848D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75" w:type="dxa"/>
            <w:vMerge w:val="continue"/>
            <w:vAlign w:val="center"/>
          </w:tcPr>
          <w:p w14:paraId="76D1286E">
            <w:pPr>
              <w:spacing w:line="240" w:lineRule="exact"/>
              <w:jc w:val="center"/>
              <w:rPr>
                <w:rFonts w:ascii="宋体" w:hAnsi="宋体" w:cs="宋体"/>
                <w:kern w:val="0"/>
                <w:sz w:val="21"/>
                <w:szCs w:val="21"/>
              </w:rPr>
            </w:pPr>
          </w:p>
        </w:tc>
        <w:tc>
          <w:tcPr>
            <w:tcW w:w="1573" w:type="dxa"/>
            <w:vMerge w:val="continue"/>
            <w:vAlign w:val="center"/>
          </w:tcPr>
          <w:p w14:paraId="5108FCD2">
            <w:pPr>
              <w:spacing w:line="240" w:lineRule="exact"/>
              <w:rPr>
                <w:rFonts w:ascii="宋体" w:hAnsi="宋体" w:cs="宋体"/>
                <w:kern w:val="0"/>
                <w:sz w:val="21"/>
                <w:szCs w:val="21"/>
              </w:rPr>
            </w:pPr>
          </w:p>
        </w:tc>
        <w:tc>
          <w:tcPr>
            <w:tcW w:w="1996" w:type="dxa"/>
            <w:vAlign w:val="center"/>
          </w:tcPr>
          <w:p w14:paraId="60D7DDAD">
            <w:pPr>
              <w:spacing w:line="240" w:lineRule="exact"/>
              <w:rPr>
                <w:rFonts w:ascii="宋体" w:hAnsi="宋体" w:cs="仿宋_GB2312"/>
                <w:sz w:val="21"/>
                <w:szCs w:val="21"/>
                <w:lang w:val="zh-CN"/>
              </w:rPr>
            </w:pPr>
            <w:r>
              <w:rPr>
                <w:rFonts w:hint="eastAsia" w:ascii="宋体" w:hAnsi="宋体" w:cs="仿宋_GB2312"/>
                <w:sz w:val="21"/>
                <w:szCs w:val="21"/>
                <w:lang w:val="zh-CN"/>
              </w:rPr>
              <w:t>磋商方案</w:t>
            </w:r>
          </w:p>
        </w:tc>
        <w:tc>
          <w:tcPr>
            <w:tcW w:w="5220" w:type="dxa"/>
            <w:vAlign w:val="center"/>
          </w:tcPr>
          <w:p w14:paraId="54602A6F">
            <w:pPr>
              <w:spacing w:line="240" w:lineRule="exact"/>
              <w:rPr>
                <w:rFonts w:ascii="宋体" w:hAnsi="宋体" w:cs="宋体"/>
                <w:kern w:val="0"/>
                <w:sz w:val="21"/>
                <w:szCs w:val="21"/>
              </w:rPr>
            </w:pPr>
            <w:r>
              <w:rPr>
                <w:rFonts w:hint="eastAsia" w:ascii="宋体" w:hAnsi="宋体" w:cs="仿宋_GB2312"/>
                <w:sz w:val="21"/>
                <w:szCs w:val="21"/>
                <w:lang w:val="zh-CN"/>
              </w:rPr>
              <w:t>只能有一个方案参与磋商。</w:t>
            </w:r>
          </w:p>
        </w:tc>
      </w:tr>
      <w:tr w14:paraId="6E99F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vMerge w:val="continue"/>
            <w:vAlign w:val="center"/>
          </w:tcPr>
          <w:p w14:paraId="6D577907">
            <w:pPr>
              <w:spacing w:line="240" w:lineRule="exact"/>
              <w:jc w:val="center"/>
              <w:rPr>
                <w:rFonts w:ascii="宋体" w:hAnsi="宋体" w:cs="宋体"/>
                <w:kern w:val="0"/>
                <w:sz w:val="21"/>
                <w:szCs w:val="21"/>
              </w:rPr>
            </w:pPr>
          </w:p>
        </w:tc>
        <w:tc>
          <w:tcPr>
            <w:tcW w:w="1573" w:type="dxa"/>
            <w:vMerge w:val="continue"/>
            <w:vAlign w:val="center"/>
          </w:tcPr>
          <w:p w14:paraId="4FCAE26D">
            <w:pPr>
              <w:spacing w:line="240" w:lineRule="exact"/>
              <w:rPr>
                <w:rFonts w:ascii="宋体" w:hAnsi="宋体" w:cs="宋体"/>
                <w:kern w:val="0"/>
                <w:sz w:val="21"/>
                <w:szCs w:val="21"/>
              </w:rPr>
            </w:pPr>
          </w:p>
        </w:tc>
        <w:tc>
          <w:tcPr>
            <w:tcW w:w="1996" w:type="dxa"/>
            <w:vAlign w:val="center"/>
          </w:tcPr>
          <w:p w14:paraId="355D4431">
            <w:pPr>
              <w:spacing w:line="240" w:lineRule="exact"/>
              <w:rPr>
                <w:rFonts w:ascii="宋体" w:hAnsi="宋体" w:cs="仿宋_GB2312"/>
                <w:sz w:val="21"/>
                <w:szCs w:val="21"/>
                <w:lang w:val="zh-CN"/>
              </w:rPr>
            </w:pPr>
            <w:r>
              <w:rPr>
                <w:rFonts w:hint="eastAsia" w:ascii="宋体" w:hAnsi="宋体"/>
                <w:sz w:val="21"/>
                <w:szCs w:val="21"/>
              </w:rPr>
              <w:t>报价唯一</w:t>
            </w:r>
          </w:p>
        </w:tc>
        <w:tc>
          <w:tcPr>
            <w:tcW w:w="5220" w:type="dxa"/>
            <w:vAlign w:val="center"/>
          </w:tcPr>
          <w:p w14:paraId="560DE869">
            <w:pPr>
              <w:spacing w:line="240" w:lineRule="exact"/>
              <w:rPr>
                <w:rFonts w:ascii="宋体" w:hAnsi="宋体" w:cs="宋体"/>
                <w:kern w:val="0"/>
                <w:sz w:val="21"/>
                <w:szCs w:val="21"/>
              </w:rPr>
            </w:pPr>
            <w:r>
              <w:rPr>
                <w:rFonts w:hint="eastAsia" w:ascii="宋体" w:hAnsi="宋体" w:cs="仿宋_GB2312"/>
                <w:sz w:val="21"/>
                <w:szCs w:val="21"/>
                <w:lang w:val="zh-CN"/>
              </w:rPr>
              <w:t>只能在采购预算范围内报价，</w:t>
            </w:r>
            <w:r>
              <w:rPr>
                <w:rFonts w:hint="eastAsia" w:ascii="宋体" w:hAnsi="宋体"/>
                <w:sz w:val="21"/>
                <w:szCs w:val="21"/>
              </w:rPr>
              <w:t>只能有一个有效报价，不得提交选择性报价。</w:t>
            </w:r>
          </w:p>
        </w:tc>
      </w:tr>
      <w:tr w14:paraId="2C901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75" w:type="dxa"/>
            <w:vAlign w:val="center"/>
          </w:tcPr>
          <w:p w14:paraId="22D13C99">
            <w:pPr>
              <w:spacing w:line="240" w:lineRule="exact"/>
              <w:jc w:val="center"/>
              <w:rPr>
                <w:rFonts w:ascii="宋体" w:hAnsi="宋体" w:cs="宋体"/>
                <w:kern w:val="0"/>
                <w:sz w:val="21"/>
                <w:szCs w:val="21"/>
              </w:rPr>
            </w:pPr>
            <w:r>
              <w:rPr>
                <w:rFonts w:hint="eastAsia" w:ascii="宋体" w:hAnsi="宋体" w:cs="宋体"/>
                <w:kern w:val="0"/>
                <w:sz w:val="21"/>
                <w:szCs w:val="21"/>
              </w:rPr>
              <w:t>2</w:t>
            </w:r>
          </w:p>
        </w:tc>
        <w:tc>
          <w:tcPr>
            <w:tcW w:w="1573" w:type="dxa"/>
            <w:vAlign w:val="center"/>
          </w:tcPr>
          <w:p w14:paraId="500E6F74">
            <w:pPr>
              <w:spacing w:line="240" w:lineRule="exact"/>
              <w:rPr>
                <w:rFonts w:ascii="宋体" w:hAnsi="宋体" w:cs="宋体"/>
                <w:kern w:val="0"/>
                <w:sz w:val="21"/>
                <w:szCs w:val="21"/>
              </w:rPr>
            </w:pPr>
            <w:r>
              <w:rPr>
                <w:rFonts w:hint="eastAsia" w:ascii="宋体" w:hAnsi="宋体" w:cs="宋体"/>
                <w:kern w:val="0"/>
                <w:sz w:val="21"/>
                <w:szCs w:val="21"/>
              </w:rPr>
              <w:t>完整性审查</w:t>
            </w:r>
          </w:p>
        </w:tc>
        <w:tc>
          <w:tcPr>
            <w:tcW w:w="1996" w:type="dxa"/>
            <w:vAlign w:val="center"/>
          </w:tcPr>
          <w:p w14:paraId="54D6A5FB">
            <w:pPr>
              <w:spacing w:line="240" w:lineRule="exact"/>
              <w:rPr>
                <w:rFonts w:ascii="宋体" w:hAnsi="宋体" w:cs="宋体"/>
                <w:kern w:val="0"/>
                <w:sz w:val="21"/>
                <w:szCs w:val="21"/>
              </w:rPr>
            </w:pPr>
            <w:r>
              <w:rPr>
                <w:rFonts w:hint="eastAsia" w:ascii="宋体" w:hAnsi="宋体" w:cs="仿宋_GB2312"/>
                <w:sz w:val="21"/>
                <w:szCs w:val="21"/>
                <w:lang w:val="zh-CN"/>
              </w:rPr>
              <w:t>响应文件份数</w:t>
            </w:r>
          </w:p>
        </w:tc>
        <w:tc>
          <w:tcPr>
            <w:tcW w:w="5220" w:type="dxa"/>
            <w:vAlign w:val="center"/>
          </w:tcPr>
          <w:p w14:paraId="49AA7D27">
            <w:pPr>
              <w:spacing w:line="240" w:lineRule="exact"/>
              <w:rPr>
                <w:rFonts w:ascii="宋体" w:hAnsi="宋体" w:cs="宋体"/>
                <w:kern w:val="0"/>
                <w:sz w:val="21"/>
                <w:szCs w:val="21"/>
              </w:rPr>
            </w:pPr>
            <w:r>
              <w:rPr>
                <w:rFonts w:hint="eastAsia" w:ascii="宋体" w:hAnsi="宋体" w:cs="仿宋_GB2312"/>
                <w:sz w:val="21"/>
                <w:szCs w:val="21"/>
                <w:lang w:val="zh-CN"/>
              </w:rPr>
              <w:t>响应文件正、副本（含电子文档）数量符合竞争性磋商文件要求。</w:t>
            </w:r>
          </w:p>
        </w:tc>
      </w:tr>
      <w:tr w14:paraId="39F5B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75" w:type="dxa"/>
            <w:vMerge w:val="restart"/>
            <w:vAlign w:val="center"/>
          </w:tcPr>
          <w:p w14:paraId="2F774CC1">
            <w:pPr>
              <w:spacing w:line="240" w:lineRule="exact"/>
              <w:jc w:val="center"/>
              <w:rPr>
                <w:rFonts w:ascii="宋体" w:hAnsi="宋体" w:cs="宋体"/>
                <w:kern w:val="0"/>
                <w:sz w:val="21"/>
                <w:szCs w:val="21"/>
              </w:rPr>
            </w:pPr>
            <w:r>
              <w:rPr>
                <w:rFonts w:hint="eastAsia" w:ascii="宋体" w:hAnsi="宋体" w:cs="宋体"/>
                <w:kern w:val="0"/>
                <w:sz w:val="21"/>
                <w:szCs w:val="21"/>
              </w:rPr>
              <w:t>3</w:t>
            </w:r>
          </w:p>
        </w:tc>
        <w:tc>
          <w:tcPr>
            <w:tcW w:w="1573" w:type="dxa"/>
            <w:vMerge w:val="restart"/>
            <w:vAlign w:val="center"/>
          </w:tcPr>
          <w:p w14:paraId="0EC84CE7">
            <w:pPr>
              <w:spacing w:line="240" w:lineRule="exact"/>
              <w:rPr>
                <w:rFonts w:ascii="宋体" w:hAnsi="宋体" w:cs="仿宋_GB2312"/>
                <w:sz w:val="21"/>
                <w:szCs w:val="21"/>
                <w:lang w:val="zh-CN"/>
              </w:rPr>
            </w:pPr>
            <w:r>
              <w:rPr>
                <w:rFonts w:hint="eastAsia" w:ascii="宋体" w:hAnsi="宋体" w:cs="宋体"/>
                <w:kern w:val="0"/>
                <w:sz w:val="21"/>
                <w:szCs w:val="21"/>
              </w:rPr>
              <w:t>竞争性磋商文件的响应程度审查</w:t>
            </w:r>
          </w:p>
        </w:tc>
        <w:tc>
          <w:tcPr>
            <w:tcW w:w="1996" w:type="dxa"/>
            <w:vAlign w:val="center"/>
          </w:tcPr>
          <w:p w14:paraId="353AE3A7">
            <w:pPr>
              <w:spacing w:line="240" w:lineRule="exact"/>
              <w:rPr>
                <w:rFonts w:ascii="宋体" w:hAnsi="宋体" w:cs="宋体"/>
                <w:kern w:val="0"/>
                <w:sz w:val="21"/>
                <w:szCs w:val="21"/>
              </w:rPr>
            </w:pPr>
            <w:r>
              <w:rPr>
                <w:rFonts w:hint="eastAsia" w:ascii="宋体" w:hAnsi="宋体" w:cs="宋体"/>
                <w:kern w:val="0"/>
                <w:sz w:val="21"/>
                <w:szCs w:val="21"/>
              </w:rPr>
              <w:t>响应文件内容</w:t>
            </w:r>
          </w:p>
        </w:tc>
        <w:tc>
          <w:tcPr>
            <w:tcW w:w="5220" w:type="dxa"/>
            <w:vAlign w:val="center"/>
          </w:tcPr>
          <w:p w14:paraId="2F3C5E2D">
            <w:pPr>
              <w:pStyle w:val="35"/>
              <w:spacing w:line="240" w:lineRule="exact"/>
              <w:rPr>
                <w:rFonts w:ascii="宋体" w:hAnsi="宋体" w:cs="宋体"/>
                <w:kern w:val="0"/>
                <w:sz w:val="21"/>
                <w:szCs w:val="21"/>
              </w:rPr>
            </w:pPr>
            <w:r>
              <w:rPr>
                <w:rFonts w:hint="eastAsia" w:ascii="宋体" w:hAnsi="宋体" w:cs="仿宋_GB2312"/>
                <w:sz w:val="21"/>
                <w:szCs w:val="21"/>
                <w:lang w:val="zh-CN"/>
              </w:rPr>
              <w:t>满足本竞争性磋商文件第二篇、第三篇中（※）号标注的部分要求</w:t>
            </w:r>
          </w:p>
        </w:tc>
      </w:tr>
      <w:tr w14:paraId="28920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Merge w:val="continue"/>
            <w:vAlign w:val="center"/>
          </w:tcPr>
          <w:p w14:paraId="23490C37">
            <w:pPr>
              <w:spacing w:line="240" w:lineRule="exact"/>
              <w:jc w:val="center"/>
              <w:rPr>
                <w:rFonts w:ascii="宋体" w:hAnsi="宋体" w:cs="宋体"/>
                <w:kern w:val="0"/>
                <w:sz w:val="21"/>
                <w:szCs w:val="21"/>
              </w:rPr>
            </w:pPr>
          </w:p>
        </w:tc>
        <w:tc>
          <w:tcPr>
            <w:tcW w:w="1573" w:type="dxa"/>
            <w:vMerge w:val="continue"/>
            <w:vAlign w:val="center"/>
          </w:tcPr>
          <w:p w14:paraId="4466632F">
            <w:pPr>
              <w:spacing w:line="240" w:lineRule="exact"/>
              <w:rPr>
                <w:rFonts w:ascii="宋体" w:hAnsi="宋体" w:cs="仿宋_GB2312"/>
                <w:sz w:val="21"/>
                <w:szCs w:val="21"/>
                <w:lang w:val="zh-CN"/>
              </w:rPr>
            </w:pPr>
          </w:p>
        </w:tc>
        <w:tc>
          <w:tcPr>
            <w:tcW w:w="1996" w:type="dxa"/>
            <w:vAlign w:val="center"/>
          </w:tcPr>
          <w:p w14:paraId="26F7EDAC">
            <w:pPr>
              <w:spacing w:line="240" w:lineRule="exact"/>
              <w:rPr>
                <w:rFonts w:ascii="宋体" w:hAnsi="宋体" w:cs="宋体"/>
                <w:kern w:val="0"/>
                <w:sz w:val="21"/>
                <w:szCs w:val="21"/>
              </w:rPr>
            </w:pPr>
            <w:r>
              <w:rPr>
                <w:rFonts w:hint="eastAsia" w:ascii="宋体" w:hAnsi="宋体" w:cs="宋体"/>
                <w:kern w:val="0"/>
                <w:sz w:val="21"/>
                <w:szCs w:val="21"/>
              </w:rPr>
              <w:t>磋商有效期</w:t>
            </w:r>
          </w:p>
        </w:tc>
        <w:tc>
          <w:tcPr>
            <w:tcW w:w="5220" w:type="dxa"/>
            <w:vAlign w:val="center"/>
          </w:tcPr>
          <w:p w14:paraId="1065B308">
            <w:pPr>
              <w:spacing w:line="240" w:lineRule="exact"/>
              <w:rPr>
                <w:rFonts w:ascii="宋体" w:hAnsi="宋体" w:cs="宋体"/>
                <w:kern w:val="0"/>
                <w:sz w:val="21"/>
                <w:szCs w:val="21"/>
              </w:rPr>
            </w:pPr>
            <w:r>
              <w:rPr>
                <w:rFonts w:hint="eastAsia" w:ascii="宋体" w:hAnsi="宋体" w:cs="宋体"/>
                <w:kern w:val="0"/>
                <w:sz w:val="21"/>
                <w:szCs w:val="21"/>
              </w:rPr>
              <w:t>满足竞争性磋商文件</w:t>
            </w:r>
            <w:r>
              <w:rPr>
                <w:rFonts w:hint="eastAsia" w:ascii="宋体" w:hAnsi="宋体" w:cs="仿宋_GB2312"/>
                <w:sz w:val="21"/>
                <w:szCs w:val="21"/>
                <w:lang w:val="zh-CN"/>
              </w:rPr>
              <w:t>规定。</w:t>
            </w:r>
          </w:p>
        </w:tc>
      </w:tr>
    </w:tbl>
    <w:p w14:paraId="0457973B">
      <w:pPr>
        <w:spacing w:line="360" w:lineRule="auto"/>
        <w:ind w:firstLine="480" w:firstLineChars="200"/>
        <w:rPr>
          <w:rFonts w:ascii="宋体" w:hAnsi="宋体"/>
          <w:sz w:val="24"/>
          <w:szCs w:val="24"/>
        </w:rPr>
      </w:pPr>
      <w:r>
        <w:rPr>
          <w:rFonts w:hint="eastAsia" w:ascii="宋体" w:hAnsi="宋体"/>
          <w:sz w:val="24"/>
          <w:szCs w:val="24"/>
        </w:rPr>
        <w:t>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2F516131">
      <w:pPr>
        <w:spacing w:line="360" w:lineRule="auto"/>
        <w:ind w:firstLine="480" w:firstLineChars="200"/>
        <w:rPr>
          <w:rFonts w:ascii="宋体" w:hAnsi="宋体"/>
          <w:sz w:val="24"/>
          <w:szCs w:val="24"/>
        </w:rPr>
      </w:pPr>
      <w:r>
        <w:rPr>
          <w:rFonts w:hint="eastAsia" w:ascii="宋体" w:hAnsi="宋体"/>
          <w:sz w:val="24"/>
          <w:szCs w:val="24"/>
        </w:rPr>
        <w:t>3.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00A5576">
      <w:pPr>
        <w:spacing w:line="360" w:lineRule="auto"/>
        <w:ind w:firstLine="480" w:firstLineChars="200"/>
        <w:rPr>
          <w:rFonts w:ascii="宋体" w:hAnsi="宋体"/>
          <w:sz w:val="24"/>
          <w:szCs w:val="24"/>
        </w:rPr>
      </w:pPr>
      <w:r>
        <w:rPr>
          <w:rFonts w:hint="eastAsia" w:ascii="宋体" w:hAnsi="宋体"/>
          <w:sz w:val="24"/>
          <w:szCs w:val="24"/>
        </w:rPr>
        <w:t>4.磋商小组要求供应商澄清、说明或者更正响应文件应当以书面形式作出。供应商的澄清、说明或者更正应当由法定代表人或其授权代表签字或者加盖公章。由授权代表签字的，应当附法定代表人授权书。</w:t>
      </w:r>
    </w:p>
    <w:p w14:paraId="077D86B5">
      <w:pPr>
        <w:spacing w:line="360" w:lineRule="auto"/>
        <w:ind w:firstLine="480" w:firstLineChars="200"/>
        <w:rPr>
          <w:rFonts w:ascii="宋体" w:hAnsi="宋体"/>
          <w:sz w:val="24"/>
          <w:szCs w:val="24"/>
        </w:rPr>
      </w:pPr>
      <w:r>
        <w:rPr>
          <w:rFonts w:hint="eastAsia" w:ascii="宋体" w:hAnsi="宋体"/>
          <w:sz w:val="24"/>
          <w:szCs w:val="24"/>
        </w:rPr>
        <w:t>5.在磋商过程中磋商的任何一方不得向他人透露与磋商有关的技术资料、价格或其他信息。</w:t>
      </w:r>
    </w:p>
    <w:p w14:paraId="75A58460">
      <w:pPr>
        <w:spacing w:line="360" w:lineRule="auto"/>
        <w:ind w:firstLine="480" w:firstLineChars="200"/>
        <w:rPr>
          <w:rFonts w:ascii="宋体" w:hAnsi="宋体"/>
          <w:sz w:val="24"/>
          <w:szCs w:val="24"/>
        </w:rPr>
      </w:pPr>
      <w:r>
        <w:rPr>
          <w:rFonts w:hint="eastAsia" w:ascii="宋体" w:hAnsi="宋体"/>
          <w:sz w:val="24"/>
          <w:szCs w:val="24"/>
        </w:rPr>
        <w:t>6.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69D440AC">
      <w:pPr>
        <w:spacing w:line="360" w:lineRule="auto"/>
        <w:ind w:firstLine="480" w:firstLineChars="200"/>
        <w:rPr>
          <w:rFonts w:ascii="宋体" w:hAnsi="宋体"/>
          <w:sz w:val="24"/>
          <w:szCs w:val="24"/>
        </w:rPr>
      </w:pPr>
      <w:r>
        <w:rPr>
          <w:rFonts w:hint="eastAsia" w:ascii="宋体" w:hAnsi="宋体"/>
          <w:sz w:val="24"/>
          <w:szCs w:val="24"/>
        </w:rPr>
        <w:t>7.供应商在磋商时作出的所有书面承诺须由法定代表人或其授权代表签字。</w:t>
      </w:r>
    </w:p>
    <w:p w14:paraId="0EC1F29C">
      <w:pPr>
        <w:spacing w:line="360" w:lineRule="auto"/>
        <w:ind w:firstLine="480" w:firstLineChars="200"/>
        <w:rPr>
          <w:rFonts w:ascii="宋体" w:hAnsi="宋体"/>
          <w:sz w:val="24"/>
          <w:szCs w:val="24"/>
        </w:rPr>
      </w:pPr>
      <w:r>
        <w:rPr>
          <w:rFonts w:hint="eastAsia" w:ascii="宋体" w:hAnsi="宋体"/>
          <w:sz w:val="24"/>
          <w:szCs w:val="24"/>
        </w:rPr>
        <w:t>8.经磋商确定最终采购需求且磋商结束后，供应商应当按照竞争性磋商文件的变动情况和磋商小组的要求重新提交响应文件或重新做出相关的书面承诺，最后书面提交最后报价及有关承诺（填写《最后报价表》并提交）。</w:t>
      </w:r>
      <w:r>
        <w:rPr>
          <w:rFonts w:ascii="宋体" w:hAnsi="宋体"/>
          <w:sz w:val="24"/>
          <w:szCs w:val="24"/>
        </w:rPr>
        <w:t>已提交响应文件</w:t>
      </w:r>
      <w:r>
        <w:rPr>
          <w:rFonts w:hint="eastAsia" w:ascii="宋体" w:hAnsi="宋体"/>
          <w:sz w:val="24"/>
          <w:szCs w:val="24"/>
        </w:rPr>
        <w:t>但未在规定时间内进行最后报价</w:t>
      </w:r>
      <w:r>
        <w:rPr>
          <w:rFonts w:ascii="宋体" w:hAnsi="宋体"/>
          <w:sz w:val="24"/>
          <w:szCs w:val="24"/>
        </w:rPr>
        <w:t>的供应商，</w:t>
      </w:r>
      <w:r>
        <w:rPr>
          <w:rFonts w:hint="eastAsia" w:ascii="宋体" w:hAnsi="宋体"/>
          <w:sz w:val="24"/>
          <w:szCs w:val="24"/>
        </w:rPr>
        <w:t>视为放弃最后报价，以供应商响应文件中的报价为准。</w:t>
      </w:r>
    </w:p>
    <w:p w14:paraId="41850245">
      <w:pPr>
        <w:spacing w:line="360" w:lineRule="auto"/>
        <w:ind w:firstLine="480" w:firstLineChars="200"/>
        <w:rPr>
          <w:rFonts w:ascii="宋体" w:hAnsi="宋体"/>
          <w:sz w:val="24"/>
          <w:szCs w:val="24"/>
        </w:rPr>
      </w:pPr>
      <w:r>
        <w:rPr>
          <w:rFonts w:hint="eastAsia" w:ascii="宋体" w:hAnsi="宋体"/>
          <w:sz w:val="24"/>
          <w:szCs w:val="24"/>
        </w:rPr>
        <w:t>9.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26B4E25E">
      <w:pPr>
        <w:spacing w:line="360" w:lineRule="auto"/>
        <w:ind w:firstLine="480" w:firstLineChars="200"/>
        <w:rPr>
          <w:rFonts w:ascii="宋体" w:hAnsi="宋体"/>
          <w:sz w:val="24"/>
          <w:szCs w:val="24"/>
        </w:rPr>
      </w:pPr>
      <w:r>
        <w:rPr>
          <w:rFonts w:hint="eastAsia" w:ascii="宋体" w:hAnsi="宋体"/>
          <w:sz w:val="24"/>
          <w:szCs w:val="24"/>
        </w:rPr>
        <w:t>10.磋商小组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p>
    <w:p w14:paraId="045CE6B3">
      <w:pPr>
        <w:pStyle w:val="5"/>
        <w:spacing w:before="0" w:after="0" w:line="440" w:lineRule="exact"/>
        <w:ind w:firstLine="482" w:firstLineChars="200"/>
        <w:rPr>
          <w:rFonts w:ascii="宋体"/>
          <w:sz w:val="24"/>
          <w:szCs w:val="24"/>
        </w:rPr>
      </w:pPr>
      <w:bookmarkStart w:id="75" w:name="_Toc141860867"/>
      <w:r>
        <w:rPr>
          <w:rFonts w:hint="eastAsia" w:ascii="宋体"/>
          <w:sz w:val="24"/>
          <w:szCs w:val="24"/>
        </w:rPr>
        <w:t>二、</w:t>
      </w:r>
      <w:bookmarkStart w:id="76" w:name="_Toc102227320"/>
      <w:bookmarkStart w:id="77" w:name="_Toc342913394"/>
      <w:r>
        <w:rPr>
          <w:rFonts w:hint="eastAsia" w:ascii="宋体"/>
          <w:sz w:val="24"/>
          <w:szCs w:val="24"/>
        </w:rPr>
        <w:t>评审标准</w:t>
      </w:r>
      <w:bookmarkEnd w:id="75"/>
    </w:p>
    <w:tbl>
      <w:tblPr>
        <w:tblStyle w:val="62"/>
        <w:tblW w:w="5072" w:type="pct"/>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9"/>
        <w:gridCol w:w="1008"/>
        <w:gridCol w:w="994"/>
        <w:gridCol w:w="707"/>
        <w:gridCol w:w="4680"/>
        <w:gridCol w:w="1943"/>
      </w:tblGrid>
      <w:tr w14:paraId="65DDE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9" w:hRule="atLeast"/>
        </w:trPr>
        <w:tc>
          <w:tcPr>
            <w:tcW w:w="278" w:type="pct"/>
            <w:vAlign w:val="center"/>
          </w:tcPr>
          <w:p w14:paraId="7B0B1D7E">
            <w:pPr>
              <w:spacing w:line="240" w:lineRule="atLeast"/>
              <w:ind w:firstLine="28"/>
              <w:jc w:val="center"/>
              <w:rPr>
                <w:rFonts w:ascii="宋体" w:hAnsi="宋体"/>
                <w:b/>
                <w:color w:val="000000"/>
                <w:sz w:val="21"/>
                <w:szCs w:val="21"/>
              </w:rPr>
            </w:pPr>
            <w:bookmarkStart w:id="78" w:name="_Hlk97712090"/>
            <w:r>
              <w:rPr>
                <w:rFonts w:ascii="宋体" w:hAnsi="宋体"/>
                <w:b/>
                <w:color w:val="000000"/>
                <w:sz w:val="21"/>
                <w:szCs w:val="21"/>
              </w:rPr>
              <w:t>序号</w:t>
            </w:r>
          </w:p>
        </w:tc>
        <w:tc>
          <w:tcPr>
            <w:tcW w:w="1013" w:type="pct"/>
            <w:gridSpan w:val="2"/>
            <w:vAlign w:val="center"/>
          </w:tcPr>
          <w:p w14:paraId="74775B03">
            <w:pPr>
              <w:spacing w:line="240" w:lineRule="atLeast"/>
              <w:ind w:firstLine="28"/>
              <w:jc w:val="center"/>
              <w:rPr>
                <w:rFonts w:ascii="宋体" w:hAnsi="宋体"/>
                <w:b/>
                <w:color w:val="000000"/>
                <w:sz w:val="21"/>
                <w:szCs w:val="21"/>
              </w:rPr>
            </w:pPr>
            <w:r>
              <w:rPr>
                <w:rFonts w:ascii="宋体" w:hAnsi="宋体"/>
                <w:b/>
                <w:color w:val="000000"/>
                <w:sz w:val="21"/>
                <w:szCs w:val="21"/>
              </w:rPr>
              <w:t>评分因素</w:t>
            </w:r>
          </w:p>
          <w:p w14:paraId="21EB8631">
            <w:pPr>
              <w:spacing w:line="240" w:lineRule="atLeast"/>
              <w:ind w:firstLine="28"/>
              <w:jc w:val="center"/>
              <w:rPr>
                <w:rFonts w:ascii="宋体" w:hAnsi="宋体"/>
                <w:b/>
                <w:color w:val="000000"/>
                <w:sz w:val="21"/>
                <w:szCs w:val="21"/>
              </w:rPr>
            </w:pPr>
            <w:r>
              <w:rPr>
                <w:rFonts w:ascii="宋体" w:hAnsi="宋体"/>
                <w:b/>
                <w:color w:val="000000"/>
                <w:sz w:val="21"/>
                <w:szCs w:val="21"/>
              </w:rPr>
              <w:t>及权值</w:t>
            </w:r>
          </w:p>
        </w:tc>
        <w:tc>
          <w:tcPr>
            <w:tcW w:w="358" w:type="pct"/>
            <w:vAlign w:val="center"/>
          </w:tcPr>
          <w:p w14:paraId="6387C244">
            <w:pPr>
              <w:spacing w:line="240" w:lineRule="atLeast"/>
              <w:ind w:firstLine="28"/>
              <w:jc w:val="center"/>
              <w:rPr>
                <w:rFonts w:ascii="宋体" w:hAnsi="宋体"/>
                <w:b/>
                <w:color w:val="000000"/>
                <w:sz w:val="21"/>
                <w:szCs w:val="21"/>
              </w:rPr>
            </w:pPr>
            <w:r>
              <w:rPr>
                <w:rFonts w:ascii="宋体" w:hAnsi="宋体"/>
                <w:b/>
                <w:color w:val="000000"/>
                <w:sz w:val="21"/>
                <w:szCs w:val="21"/>
              </w:rPr>
              <w:t>分值</w:t>
            </w:r>
          </w:p>
        </w:tc>
        <w:tc>
          <w:tcPr>
            <w:tcW w:w="2368" w:type="pct"/>
            <w:vAlign w:val="center"/>
          </w:tcPr>
          <w:p w14:paraId="6A349AF2">
            <w:pPr>
              <w:spacing w:line="240" w:lineRule="atLeast"/>
              <w:ind w:firstLine="28"/>
              <w:jc w:val="center"/>
              <w:rPr>
                <w:rFonts w:ascii="宋体" w:hAnsi="宋体"/>
                <w:b/>
                <w:color w:val="000000"/>
                <w:sz w:val="21"/>
                <w:szCs w:val="21"/>
              </w:rPr>
            </w:pPr>
            <w:r>
              <w:rPr>
                <w:rFonts w:ascii="宋体" w:hAnsi="宋体"/>
                <w:b/>
                <w:color w:val="000000"/>
                <w:sz w:val="21"/>
                <w:szCs w:val="21"/>
              </w:rPr>
              <w:t>评分标准</w:t>
            </w:r>
          </w:p>
        </w:tc>
        <w:tc>
          <w:tcPr>
            <w:tcW w:w="983" w:type="pct"/>
            <w:vAlign w:val="center"/>
          </w:tcPr>
          <w:p w14:paraId="7F29137F">
            <w:pPr>
              <w:pStyle w:val="233"/>
              <w:spacing w:before="0" w:after="0" w:line="240" w:lineRule="atLeast"/>
              <w:rPr>
                <w:rFonts w:ascii="宋体" w:hAnsi="宋体" w:eastAsia="宋体"/>
                <w:color w:val="000000"/>
                <w:sz w:val="21"/>
                <w:szCs w:val="21"/>
              </w:rPr>
            </w:pPr>
            <w:r>
              <w:rPr>
                <w:rFonts w:ascii="宋体" w:hAnsi="宋体" w:eastAsia="宋体"/>
                <w:color w:val="000000"/>
                <w:sz w:val="21"/>
                <w:szCs w:val="21"/>
              </w:rPr>
              <w:t>说明</w:t>
            </w:r>
          </w:p>
        </w:tc>
      </w:tr>
      <w:tr w14:paraId="1E844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278" w:type="pct"/>
            <w:vAlign w:val="center"/>
          </w:tcPr>
          <w:p w14:paraId="0D7316F2">
            <w:pPr>
              <w:spacing w:line="240" w:lineRule="atLeast"/>
              <w:ind w:firstLine="28"/>
              <w:jc w:val="center"/>
              <w:rPr>
                <w:rFonts w:ascii="宋体" w:hAnsi="宋体"/>
                <w:color w:val="000000"/>
                <w:sz w:val="21"/>
                <w:szCs w:val="21"/>
              </w:rPr>
            </w:pPr>
            <w:r>
              <w:rPr>
                <w:rFonts w:ascii="宋体" w:hAnsi="宋体"/>
                <w:color w:val="000000"/>
                <w:sz w:val="21"/>
                <w:szCs w:val="21"/>
              </w:rPr>
              <w:t>1</w:t>
            </w:r>
          </w:p>
        </w:tc>
        <w:tc>
          <w:tcPr>
            <w:tcW w:w="1013" w:type="pct"/>
            <w:gridSpan w:val="2"/>
            <w:vAlign w:val="center"/>
          </w:tcPr>
          <w:p w14:paraId="1343FC83">
            <w:pPr>
              <w:spacing w:line="240" w:lineRule="atLeast"/>
              <w:ind w:firstLine="28"/>
              <w:jc w:val="center"/>
              <w:rPr>
                <w:rFonts w:ascii="宋体" w:hAnsi="宋体"/>
                <w:color w:val="000000"/>
                <w:sz w:val="21"/>
                <w:szCs w:val="21"/>
              </w:rPr>
            </w:pPr>
            <w:r>
              <w:rPr>
                <w:rFonts w:hint="eastAsia" w:ascii="宋体" w:hAnsi="宋体"/>
                <w:color w:val="000000"/>
                <w:sz w:val="21"/>
                <w:szCs w:val="21"/>
              </w:rPr>
              <w:t>磋商报价</w:t>
            </w:r>
          </w:p>
          <w:p w14:paraId="323AE2B7">
            <w:pPr>
              <w:spacing w:line="240" w:lineRule="atLeast"/>
              <w:ind w:firstLine="28"/>
              <w:jc w:val="center"/>
              <w:rPr>
                <w:rFonts w:ascii="宋体" w:hAnsi="宋体"/>
                <w:color w:val="000000"/>
                <w:sz w:val="21"/>
                <w:szCs w:val="21"/>
              </w:rPr>
            </w:pPr>
            <w:r>
              <w:rPr>
                <w:rFonts w:hint="eastAsia" w:ascii="宋体" w:hAnsi="宋体"/>
                <w:color w:val="000000"/>
                <w:sz w:val="21"/>
                <w:szCs w:val="21"/>
              </w:rPr>
              <w:t>（3</w:t>
            </w:r>
            <w:r>
              <w:rPr>
                <w:rFonts w:ascii="宋体" w:hAnsi="宋体"/>
                <w:color w:val="000000"/>
                <w:sz w:val="21"/>
                <w:szCs w:val="21"/>
              </w:rPr>
              <w:t>0</w:t>
            </w:r>
            <w:r>
              <w:rPr>
                <w:rFonts w:hint="eastAsia" w:ascii="宋体" w:hAnsi="宋体"/>
                <w:color w:val="000000"/>
                <w:sz w:val="21"/>
                <w:szCs w:val="21"/>
              </w:rPr>
              <w:t>%）</w:t>
            </w:r>
          </w:p>
        </w:tc>
        <w:tc>
          <w:tcPr>
            <w:tcW w:w="358" w:type="pct"/>
            <w:vAlign w:val="center"/>
          </w:tcPr>
          <w:p w14:paraId="18185801">
            <w:pPr>
              <w:spacing w:line="240" w:lineRule="atLeast"/>
              <w:ind w:firstLine="28"/>
              <w:jc w:val="center"/>
              <w:rPr>
                <w:rFonts w:ascii="宋体" w:hAnsi="宋体"/>
                <w:color w:val="000000"/>
                <w:sz w:val="21"/>
                <w:szCs w:val="21"/>
              </w:rPr>
            </w:pPr>
            <w:r>
              <w:rPr>
                <w:rFonts w:hint="eastAsia" w:ascii="宋体" w:hAnsi="宋体"/>
                <w:color w:val="000000"/>
                <w:sz w:val="21"/>
                <w:szCs w:val="21"/>
              </w:rPr>
              <w:t>3</w:t>
            </w:r>
            <w:r>
              <w:rPr>
                <w:rFonts w:ascii="宋体" w:hAnsi="宋体"/>
                <w:color w:val="000000"/>
                <w:sz w:val="21"/>
                <w:szCs w:val="21"/>
              </w:rPr>
              <w:t>0</w:t>
            </w:r>
          </w:p>
        </w:tc>
        <w:tc>
          <w:tcPr>
            <w:tcW w:w="2368" w:type="pct"/>
            <w:vAlign w:val="center"/>
          </w:tcPr>
          <w:p w14:paraId="78F4E9D0">
            <w:pPr>
              <w:spacing w:line="240" w:lineRule="atLeast"/>
              <w:rPr>
                <w:rFonts w:ascii="宋体" w:hAnsi="宋体"/>
                <w:color w:val="000000"/>
                <w:sz w:val="21"/>
                <w:szCs w:val="21"/>
              </w:rPr>
            </w:pPr>
            <w:r>
              <w:rPr>
                <w:rFonts w:ascii="宋体" w:hAnsi="宋体"/>
                <w:color w:val="000000"/>
                <w:sz w:val="21"/>
                <w:szCs w:val="21"/>
              </w:rPr>
              <w:t>满足磋商文件资格要求且最后报价最低的供应商的价格为磋商基准价，按照下列公式计算每个供应商的磋商报价得分。</w:t>
            </w:r>
          </w:p>
          <w:p w14:paraId="66BACD64">
            <w:pPr>
              <w:spacing w:line="240" w:lineRule="atLeast"/>
              <w:rPr>
                <w:rFonts w:ascii="宋体" w:hAnsi="宋体"/>
                <w:color w:val="000000"/>
                <w:sz w:val="21"/>
                <w:szCs w:val="21"/>
              </w:rPr>
            </w:pPr>
            <w:r>
              <w:rPr>
                <w:rFonts w:ascii="宋体" w:hAnsi="宋体"/>
                <w:color w:val="000000"/>
                <w:sz w:val="21"/>
                <w:szCs w:val="21"/>
              </w:rPr>
              <w:t>磋商报价得分=（磋商基准价/最后磋商报价）×价格分值×100</w:t>
            </w:r>
          </w:p>
        </w:tc>
        <w:tc>
          <w:tcPr>
            <w:tcW w:w="983" w:type="pct"/>
            <w:vAlign w:val="center"/>
          </w:tcPr>
          <w:p w14:paraId="276666D9">
            <w:pPr>
              <w:spacing w:line="240" w:lineRule="atLeast"/>
              <w:ind w:left="-38"/>
              <w:rPr>
                <w:rFonts w:ascii="宋体" w:hAnsi="宋体"/>
                <w:color w:val="000000"/>
                <w:sz w:val="21"/>
                <w:szCs w:val="21"/>
              </w:rPr>
            </w:pPr>
            <w:r>
              <w:rPr>
                <w:rFonts w:hint="eastAsia" w:ascii="宋体" w:hAnsi="宋体"/>
                <w:color w:val="000000"/>
                <w:sz w:val="21"/>
                <w:szCs w:val="21"/>
              </w:rPr>
              <w:t>对小微企业的价格用扣除后的价格参与评审，详见“关于小微企业报价扣除比例说明”。</w:t>
            </w:r>
          </w:p>
        </w:tc>
      </w:tr>
      <w:tr w14:paraId="477DE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278" w:type="pct"/>
            <w:vMerge w:val="restart"/>
            <w:vAlign w:val="center"/>
          </w:tcPr>
          <w:p w14:paraId="549B2A16">
            <w:pPr>
              <w:spacing w:line="240" w:lineRule="atLeast"/>
              <w:ind w:firstLine="28"/>
              <w:jc w:val="center"/>
              <w:rPr>
                <w:rFonts w:ascii="宋体" w:hAnsi="宋体"/>
                <w:color w:val="000000"/>
                <w:sz w:val="21"/>
                <w:szCs w:val="21"/>
              </w:rPr>
            </w:pPr>
            <w:r>
              <w:rPr>
                <w:rFonts w:ascii="宋体" w:hAnsi="宋体"/>
                <w:color w:val="000000"/>
                <w:sz w:val="21"/>
                <w:szCs w:val="21"/>
              </w:rPr>
              <w:t>2</w:t>
            </w:r>
          </w:p>
        </w:tc>
        <w:tc>
          <w:tcPr>
            <w:tcW w:w="510" w:type="pct"/>
            <w:vMerge w:val="restart"/>
            <w:vAlign w:val="center"/>
          </w:tcPr>
          <w:p w14:paraId="5FAA5F83">
            <w:pPr>
              <w:spacing w:line="240" w:lineRule="atLeast"/>
              <w:ind w:firstLine="28"/>
              <w:jc w:val="center"/>
              <w:rPr>
                <w:rFonts w:ascii="宋体" w:hAnsi="宋体"/>
                <w:color w:val="000000"/>
                <w:sz w:val="21"/>
                <w:szCs w:val="21"/>
              </w:rPr>
            </w:pPr>
            <w:r>
              <w:rPr>
                <w:rFonts w:hint="eastAsia" w:ascii="宋体" w:hAnsi="宋体"/>
                <w:color w:val="000000"/>
                <w:sz w:val="21"/>
                <w:szCs w:val="21"/>
              </w:rPr>
              <w:t>技术部分（60%）</w:t>
            </w:r>
          </w:p>
        </w:tc>
        <w:tc>
          <w:tcPr>
            <w:tcW w:w="503" w:type="pct"/>
            <w:vMerge w:val="restart"/>
            <w:vAlign w:val="center"/>
          </w:tcPr>
          <w:p w14:paraId="261F1668">
            <w:pPr>
              <w:spacing w:line="240" w:lineRule="atLeast"/>
              <w:ind w:firstLine="28"/>
              <w:jc w:val="center"/>
              <w:rPr>
                <w:rFonts w:ascii="宋体" w:hAnsi="宋体"/>
                <w:color w:val="000000"/>
                <w:sz w:val="21"/>
                <w:szCs w:val="21"/>
              </w:rPr>
            </w:pPr>
            <w:r>
              <w:rPr>
                <w:rFonts w:hint="eastAsia" w:ascii="宋体" w:hAnsi="宋体"/>
                <w:color w:val="000000"/>
                <w:sz w:val="21"/>
                <w:szCs w:val="21"/>
              </w:rPr>
              <w:t>技术响应部分（30分）</w:t>
            </w:r>
          </w:p>
        </w:tc>
        <w:tc>
          <w:tcPr>
            <w:tcW w:w="358" w:type="pct"/>
            <w:vAlign w:val="center"/>
          </w:tcPr>
          <w:p w14:paraId="11AB6A40">
            <w:pPr>
              <w:spacing w:line="240" w:lineRule="atLeast"/>
              <w:ind w:firstLine="28"/>
              <w:jc w:val="center"/>
              <w:rPr>
                <w:rFonts w:ascii="宋体" w:hAnsi="宋体"/>
                <w:color w:val="000000"/>
                <w:sz w:val="21"/>
                <w:szCs w:val="21"/>
              </w:rPr>
            </w:pPr>
            <w:r>
              <w:rPr>
                <w:rFonts w:hint="eastAsia" w:ascii="宋体" w:hAnsi="宋体"/>
                <w:color w:val="000000"/>
                <w:sz w:val="21"/>
                <w:szCs w:val="21"/>
              </w:rPr>
              <w:t>30</w:t>
            </w:r>
          </w:p>
        </w:tc>
        <w:tc>
          <w:tcPr>
            <w:tcW w:w="2368" w:type="pct"/>
            <w:vAlign w:val="center"/>
          </w:tcPr>
          <w:p w14:paraId="7817E440">
            <w:pPr>
              <w:spacing w:line="240" w:lineRule="atLeast"/>
              <w:rPr>
                <w:rFonts w:ascii="宋体" w:hAnsi="宋体"/>
                <w:color w:val="000000"/>
                <w:sz w:val="21"/>
                <w:szCs w:val="21"/>
              </w:rPr>
            </w:pPr>
            <w:r>
              <w:rPr>
                <w:rFonts w:hint="eastAsia" w:ascii="宋体" w:hAnsi="宋体"/>
                <w:color w:val="000000"/>
                <w:sz w:val="21"/>
                <w:szCs w:val="21"/>
              </w:rPr>
              <w:t>A、起评分：</w:t>
            </w:r>
          </w:p>
          <w:p w14:paraId="479C64A2">
            <w:pPr>
              <w:spacing w:line="240" w:lineRule="atLeast"/>
              <w:rPr>
                <w:rFonts w:ascii="宋体" w:hAnsi="宋体"/>
                <w:color w:val="000000"/>
                <w:sz w:val="21"/>
                <w:szCs w:val="21"/>
              </w:rPr>
            </w:pPr>
            <w:r>
              <w:rPr>
                <w:rFonts w:hint="eastAsia" w:ascii="宋体" w:hAnsi="宋体"/>
                <w:color w:val="000000"/>
                <w:sz w:val="21"/>
                <w:szCs w:val="21"/>
              </w:rPr>
              <w:t>有效供应商的起评分为30分。</w:t>
            </w:r>
          </w:p>
        </w:tc>
        <w:tc>
          <w:tcPr>
            <w:tcW w:w="983" w:type="pct"/>
            <w:vAlign w:val="center"/>
          </w:tcPr>
          <w:p w14:paraId="55CD7E95">
            <w:pPr>
              <w:spacing w:line="240" w:lineRule="atLeast"/>
              <w:ind w:left="-38"/>
              <w:rPr>
                <w:rFonts w:ascii="宋体" w:hAnsi="宋体"/>
                <w:color w:val="000000"/>
                <w:sz w:val="21"/>
                <w:szCs w:val="21"/>
              </w:rPr>
            </w:pPr>
          </w:p>
        </w:tc>
      </w:tr>
      <w:tr w14:paraId="1A3E0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trPr>
        <w:tc>
          <w:tcPr>
            <w:tcW w:w="278" w:type="pct"/>
            <w:vMerge w:val="continue"/>
            <w:vAlign w:val="center"/>
          </w:tcPr>
          <w:p w14:paraId="44A9726A">
            <w:pPr>
              <w:spacing w:line="240" w:lineRule="atLeast"/>
              <w:ind w:firstLine="28"/>
              <w:jc w:val="center"/>
              <w:rPr>
                <w:rFonts w:ascii="宋体" w:hAnsi="宋体"/>
                <w:color w:val="000000"/>
                <w:sz w:val="21"/>
                <w:szCs w:val="21"/>
              </w:rPr>
            </w:pPr>
          </w:p>
        </w:tc>
        <w:tc>
          <w:tcPr>
            <w:tcW w:w="510" w:type="pct"/>
            <w:vMerge w:val="continue"/>
            <w:vAlign w:val="center"/>
          </w:tcPr>
          <w:p w14:paraId="339725D3">
            <w:pPr>
              <w:spacing w:line="240" w:lineRule="atLeast"/>
              <w:ind w:firstLine="28"/>
              <w:jc w:val="center"/>
              <w:rPr>
                <w:rFonts w:ascii="宋体" w:hAnsi="宋体"/>
                <w:color w:val="000000"/>
                <w:sz w:val="21"/>
                <w:szCs w:val="21"/>
              </w:rPr>
            </w:pPr>
          </w:p>
        </w:tc>
        <w:tc>
          <w:tcPr>
            <w:tcW w:w="503" w:type="pct"/>
            <w:vMerge w:val="continue"/>
            <w:vAlign w:val="center"/>
          </w:tcPr>
          <w:p w14:paraId="4892D6E9">
            <w:pPr>
              <w:spacing w:line="240" w:lineRule="atLeast"/>
              <w:ind w:firstLine="28"/>
              <w:jc w:val="center"/>
              <w:rPr>
                <w:rFonts w:ascii="宋体" w:hAnsi="宋体"/>
                <w:color w:val="000000"/>
                <w:sz w:val="21"/>
                <w:szCs w:val="21"/>
              </w:rPr>
            </w:pPr>
          </w:p>
        </w:tc>
        <w:tc>
          <w:tcPr>
            <w:tcW w:w="358" w:type="pct"/>
            <w:vAlign w:val="center"/>
          </w:tcPr>
          <w:p w14:paraId="444B7885">
            <w:pPr>
              <w:spacing w:line="240" w:lineRule="atLeast"/>
              <w:ind w:firstLine="28"/>
              <w:jc w:val="center"/>
              <w:rPr>
                <w:rFonts w:ascii="宋体" w:hAnsi="宋体"/>
                <w:color w:val="000000"/>
                <w:sz w:val="21"/>
                <w:szCs w:val="21"/>
              </w:rPr>
            </w:pPr>
            <w:r>
              <w:rPr>
                <w:rFonts w:hint="eastAsia" w:ascii="宋体" w:hAnsi="宋体"/>
                <w:color w:val="000000"/>
                <w:sz w:val="21"/>
                <w:szCs w:val="21"/>
              </w:rPr>
              <w:t>/</w:t>
            </w:r>
          </w:p>
        </w:tc>
        <w:tc>
          <w:tcPr>
            <w:tcW w:w="2368" w:type="pct"/>
            <w:vAlign w:val="center"/>
          </w:tcPr>
          <w:p w14:paraId="1E5B51EC">
            <w:pPr>
              <w:spacing w:line="240" w:lineRule="atLeast"/>
              <w:rPr>
                <w:rFonts w:ascii="宋体" w:hAnsi="宋体"/>
                <w:color w:val="000000"/>
                <w:sz w:val="21"/>
                <w:szCs w:val="21"/>
              </w:rPr>
            </w:pPr>
            <w:r>
              <w:rPr>
                <w:rFonts w:hint="eastAsia" w:ascii="宋体" w:hAnsi="宋体"/>
                <w:color w:val="000000"/>
                <w:sz w:val="21"/>
                <w:szCs w:val="21"/>
              </w:rPr>
              <w:t>B、扣分条款：</w:t>
            </w:r>
          </w:p>
          <w:p w14:paraId="306288C7">
            <w:pPr>
              <w:spacing w:line="240" w:lineRule="atLeast"/>
              <w:rPr>
                <w:rFonts w:ascii="宋体" w:hAnsi="宋体"/>
                <w:color w:val="000000"/>
                <w:sz w:val="21"/>
                <w:szCs w:val="21"/>
              </w:rPr>
            </w:pPr>
            <w:r>
              <w:rPr>
                <w:rFonts w:hint="eastAsia" w:ascii="宋体" w:hAnsi="宋体"/>
                <w:color w:val="000000"/>
                <w:sz w:val="21"/>
                <w:szCs w:val="21"/>
              </w:rPr>
              <w:t>1.重要技术参数[竞争性磋商文件第二篇二、技术要求中带（★）部分</w:t>
            </w:r>
            <w:r>
              <w:rPr>
                <w:rFonts w:ascii="宋体" w:hAnsi="宋体"/>
                <w:color w:val="000000"/>
                <w:sz w:val="21"/>
                <w:szCs w:val="21"/>
              </w:rPr>
              <w:t>]</w:t>
            </w:r>
            <w:r>
              <w:rPr>
                <w:rFonts w:hint="eastAsia" w:ascii="宋体" w:hAnsi="宋体"/>
                <w:color w:val="000000"/>
                <w:sz w:val="21"/>
                <w:szCs w:val="21"/>
              </w:rPr>
              <w:t>有1条不满足的，技术响应部分得分为0分。</w:t>
            </w:r>
          </w:p>
          <w:p w14:paraId="4F25FD0E">
            <w:pPr>
              <w:spacing w:line="240" w:lineRule="atLeast"/>
              <w:rPr>
                <w:rFonts w:ascii="宋体" w:hAnsi="宋体"/>
                <w:color w:val="000000"/>
                <w:sz w:val="21"/>
                <w:szCs w:val="21"/>
              </w:rPr>
            </w:pPr>
            <w:r>
              <w:rPr>
                <w:rFonts w:hint="eastAsia" w:ascii="宋体" w:hAnsi="宋体"/>
                <w:color w:val="000000"/>
                <w:sz w:val="21"/>
                <w:szCs w:val="21"/>
              </w:rPr>
              <w:t>2.一般性技术参数[竞争性磋商文件第二篇二、技术要求中非（★）部分</w:t>
            </w:r>
            <w:r>
              <w:rPr>
                <w:rFonts w:ascii="宋体" w:hAnsi="宋体"/>
                <w:color w:val="000000"/>
                <w:sz w:val="21"/>
                <w:szCs w:val="21"/>
              </w:rPr>
              <w:t>]</w:t>
            </w:r>
            <w:r>
              <w:rPr>
                <w:rFonts w:hint="eastAsia" w:ascii="宋体" w:hAnsi="宋体"/>
                <w:color w:val="000000"/>
                <w:sz w:val="21"/>
                <w:szCs w:val="21"/>
              </w:rPr>
              <w:t>达不到竞争性磋商文件要求的，每负偏离1条从起评分中扣除5分，3条及以上不满足技术响应部分得0分。</w:t>
            </w:r>
          </w:p>
        </w:tc>
        <w:tc>
          <w:tcPr>
            <w:tcW w:w="983" w:type="pct"/>
            <w:vAlign w:val="center"/>
          </w:tcPr>
          <w:p w14:paraId="7F69D5DA">
            <w:pPr>
              <w:spacing w:line="240" w:lineRule="atLeast"/>
              <w:ind w:left="-38"/>
              <w:rPr>
                <w:rFonts w:ascii="宋体" w:hAnsi="宋体"/>
                <w:color w:val="000000"/>
                <w:sz w:val="21"/>
                <w:szCs w:val="21"/>
              </w:rPr>
            </w:pPr>
          </w:p>
        </w:tc>
      </w:tr>
      <w:tr w14:paraId="4BA91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trPr>
        <w:tc>
          <w:tcPr>
            <w:tcW w:w="278" w:type="pct"/>
            <w:vMerge w:val="continue"/>
            <w:vAlign w:val="center"/>
          </w:tcPr>
          <w:p w14:paraId="59DBB1E3">
            <w:pPr>
              <w:spacing w:line="240" w:lineRule="atLeast"/>
              <w:ind w:firstLine="28"/>
              <w:jc w:val="center"/>
              <w:rPr>
                <w:rFonts w:ascii="宋体" w:hAnsi="宋体"/>
                <w:color w:val="000000"/>
                <w:sz w:val="21"/>
                <w:szCs w:val="21"/>
              </w:rPr>
            </w:pPr>
          </w:p>
        </w:tc>
        <w:tc>
          <w:tcPr>
            <w:tcW w:w="510" w:type="pct"/>
            <w:vMerge w:val="continue"/>
            <w:vAlign w:val="center"/>
          </w:tcPr>
          <w:p w14:paraId="5C442EAD">
            <w:pPr>
              <w:spacing w:line="240" w:lineRule="atLeast"/>
              <w:ind w:firstLine="28"/>
              <w:jc w:val="center"/>
              <w:rPr>
                <w:rFonts w:ascii="宋体" w:hAnsi="宋体"/>
                <w:color w:val="000000"/>
                <w:sz w:val="21"/>
                <w:szCs w:val="21"/>
              </w:rPr>
            </w:pPr>
          </w:p>
        </w:tc>
        <w:tc>
          <w:tcPr>
            <w:tcW w:w="503" w:type="pct"/>
            <w:vMerge w:val="restart"/>
            <w:vAlign w:val="center"/>
          </w:tcPr>
          <w:p w14:paraId="3EBF7B30">
            <w:pPr>
              <w:spacing w:line="240" w:lineRule="atLeast"/>
              <w:ind w:firstLine="28"/>
              <w:jc w:val="center"/>
              <w:rPr>
                <w:rFonts w:ascii="宋体" w:hAnsi="宋体"/>
                <w:color w:val="000000"/>
                <w:sz w:val="21"/>
                <w:szCs w:val="21"/>
              </w:rPr>
            </w:pPr>
            <w:r>
              <w:rPr>
                <w:rFonts w:hint="eastAsia" w:ascii="宋体" w:hAnsi="宋体"/>
                <w:color w:val="000000"/>
                <w:sz w:val="21"/>
                <w:szCs w:val="21"/>
              </w:rPr>
              <w:t>技术方案</w:t>
            </w:r>
          </w:p>
          <w:p w14:paraId="52E5C032">
            <w:pPr>
              <w:spacing w:line="240" w:lineRule="atLeast"/>
              <w:ind w:firstLine="28"/>
              <w:jc w:val="center"/>
              <w:rPr>
                <w:rFonts w:ascii="宋体" w:hAnsi="宋体"/>
                <w:color w:val="000000"/>
                <w:sz w:val="21"/>
                <w:szCs w:val="21"/>
              </w:rPr>
            </w:pPr>
            <w:r>
              <w:rPr>
                <w:rFonts w:hint="eastAsia" w:ascii="宋体" w:hAnsi="宋体"/>
                <w:color w:val="000000"/>
                <w:sz w:val="21"/>
                <w:szCs w:val="21"/>
              </w:rPr>
              <w:t>（30分）</w:t>
            </w:r>
          </w:p>
        </w:tc>
        <w:tc>
          <w:tcPr>
            <w:tcW w:w="358" w:type="pct"/>
            <w:vAlign w:val="center"/>
          </w:tcPr>
          <w:p w14:paraId="530B1D3F">
            <w:pPr>
              <w:spacing w:line="240" w:lineRule="atLeast"/>
              <w:ind w:firstLine="28"/>
              <w:jc w:val="center"/>
              <w:rPr>
                <w:rFonts w:ascii="宋体" w:hAnsi="宋体"/>
                <w:color w:val="000000"/>
                <w:sz w:val="21"/>
                <w:szCs w:val="21"/>
              </w:rPr>
            </w:pPr>
            <w:r>
              <w:rPr>
                <w:rFonts w:hint="eastAsia" w:ascii="宋体" w:hAnsi="宋体"/>
                <w:color w:val="000000"/>
                <w:sz w:val="21"/>
                <w:szCs w:val="21"/>
              </w:rPr>
              <w:t>6</w:t>
            </w:r>
          </w:p>
        </w:tc>
        <w:tc>
          <w:tcPr>
            <w:tcW w:w="2368" w:type="pct"/>
            <w:vAlign w:val="center"/>
          </w:tcPr>
          <w:p w14:paraId="6C6DE6FB">
            <w:pPr>
              <w:pStyle w:val="2"/>
              <w:rPr>
                <w:sz w:val="21"/>
                <w:szCs w:val="21"/>
              </w:rPr>
            </w:pPr>
            <w:r>
              <w:rPr>
                <w:rFonts w:hint="eastAsia"/>
                <w:sz w:val="21"/>
                <w:szCs w:val="21"/>
              </w:rPr>
              <w:t>（</w:t>
            </w:r>
            <w:r>
              <w:rPr>
                <w:rFonts w:hint="eastAsia"/>
                <w:color w:val="auto"/>
                <w:sz w:val="21"/>
                <w:szCs w:val="21"/>
              </w:rPr>
              <w:t>1）供应商提供项目内容理解报告（6分）</w:t>
            </w:r>
          </w:p>
          <w:p w14:paraId="4F431701">
            <w:pPr>
              <w:pStyle w:val="2"/>
              <w:rPr>
                <w:sz w:val="21"/>
                <w:szCs w:val="21"/>
              </w:rPr>
            </w:pPr>
            <w:r>
              <w:rPr>
                <w:rFonts w:hint="eastAsia"/>
                <w:sz w:val="21"/>
                <w:szCs w:val="21"/>
              </w:rPr>
              <w:t>报告完整，理解深刻，能完整支持项目的顺利实施为优秀得6分；报告较完整，理解较深刻，能较好支持项目实施为良好得4分；报告一般，对项目理解一般，能勉强支持项目实施为一般得2分；报告不完整，理解差，不能支持项目实施为差得0分。</w:t>
            </w:r>
          </w:p>
        </w:tc>
        <w:tc>
          <w:tcPr>
            <w:tcW w:w="983" w:type="pct"/>
            <w:vMerge w:val="restart"/>
            <w:vAlign w:val="center"/>
          </w:tcPr>
          <w:p w14:paraId="5BD669E3">
            <w:pPr>
              <w:pStyle w:val="2"/>
              <w:rPr>
                <w:rFonts w:hAnsi="宋体"/>
                <w:sz w:val="21"/>
                <w:szCs w:val="21"/>
              </w:rPr>
            </w:pPr>
            <w:r>
              <w:rPr>
                <w:rFonts w:hint="eastAsia" w:hAnsi="宋体"/>
                <w:sz w:val="21"/>
                <w:szCs w:val="21"/>
              </w:rPr>
              <w:t>未提供方案不得分。</w:t>
            </w:r>
          </w:p>
        </w:tc>
      </w:tr>
      <w:tr w14:paraId="14BAB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trPr>
        <w:tc>
          <w:tcPr>
            <w:tcW w:w="278" w:type="pct"/>
            <w:vMerge w:val="continue"/>
            <w:vAlign w:val="center"/>
          </w:tcPr>
          <w:p w14:paraId="302C9F46">
            <w:pPr>
              <w:spacing w:line="240" w:lineRule="atLeast"/>
              <w:ind w:firstLine="28"/>
              <w:jc w:val="center"/>
              <w:rPr>
                <w:rFonts w:ascii="宋体" w:hAnsi="宋体"/>
                <w:color w:val="000000"/>
                <w:sz w:val="21"/>
                <w:szCs w:val="21"/>
              </w:rPr>
            </w:pPr>
          </w:p>
        </w:tc>
        <w:tc>
          <w:tcPr>
            <w:tcW w:w="510" w:type="pct"/>
            <w:vMerge w:val="continue"/>
            <w:vAlign w:val="center"/>
          </w:tcPr>
          <w:p w14:paraId="3AE70B5C">
            <w:pPr>
              <w:spacing w:line="240" w:lineRule="atLeast"/>
              <w:ind w:firstLine="28"/>
              <w:jc w:val="center"/>
              <w:rPr>
                <w:rFonts w:ascii="宋体" w:hAnsi="宋体"/>
                <w:color w:val="000000"/>
                <w:sz w:val="21"/>
                <w:szCs w:val="21"/>
              </w:rPr>
            </w:pPr>
          </w:p>
        </w:tc>
        <w:tc>
          <w:tcPr>
            <w:tcW w:w="503" w:type="pct"/>
            <w:vMerge w:val="continue"/>
            <w:vAlign w:val="center"/>
          </w:tcPr>
          <w:p w14:paraId="4CAB9479">
            <w:pPr>
              <w:spacing w:line="240" w:lineRule="atLeast"/>
              <w:ind w:firstLine="28"/>
              <w:jc w:val="center"/>
              <w:rPr>
                <w:rFonts w:ascii="宋体" w:hAnsi="宋体"/>
                <w:color w:val="000000"/>
                <w:sz w:val="21"/>
                <w:szCs w:val="21"/>
              </w:rPr>
            </w:pPr>
          </w:p>
        </w:tc>
        <w:tc>
          <w:tcPr>
            <w:tcW w:w="358" w:type="pct"/>
            <w:vAlign w:val="center"/>
          </w:tcPr>
          <w:p w14:paraId="6D6BCDCE">
            <w:pPr>
              <w:spacing w:line="240" w:lineRule="atLeast"/>
              <w:ind w:firstLine="28"/>
              <w:jc w:val="center"/>
              <w:rPr>
                <w:rFonts w:ascii="宋体" w:hAnsi="宋体"/>
                <w:color w:val="000000"/>
                <w:sz w:val="21"/>
                <w:szCs w:val="21"/>
              </w:rPr>
            </w:pPr>
            <w:r>
              <w:rPr>
                <w:rFonts w:hint="eastAsia" w:ascii="宋体" w:hAnsi="宋体"/>
                <w:color w:val="000000"/>
                <w:sz w:val="21"/>
                <w:szCs w:val="21"/>
              </w:rPr>
              <w:t>12</w:t>
            </w:r>
          </w:p>
        </w:tc>
        <w:tc>
          <w:tcPr>
            <w:tcW w:w="2368" w:type="pct"/>
            <w:vAlign w:val="center"/>
          </w:tcPr>
          <w:p w14:paraId="5BC34E99">
            <w:pPr>
              <w:spacing w:line="240" w:lineRule="atLeast"/>
              <w:rPr>
                <w:rFonts w:ascii="宋体" w:hAnsi="宋体"/>
                <w:color w:val="000000"/>
                <w:sz w:val="21"/>
                <w:szCs w:val="21"/>
              </w:rPr>
            </w:pPr>
            <w:r>
              <w:rPr>
                <w:rFonts w:hint="eastAsia" w:ascii="宋体" w:hAnsi="宋体"/>
                <w:color w:val="000000"/>
                <w:sz w:val="21"/>
                <w:szCs w:val="21"/>
              </w:rPr>
              <w:t>2</w:t>
            </w:r>
            <w:r>
              <w:rPr>
                <w:rFonts w:ascii="宋体" w:hAnsi="宋体"/>
                <w:color w:val="000000"/>
                <w:sz w:val="21"/>
                <w:szCs w:val="21"/>
              </w:rPr>
              <w:t>.</w:t>
            </w:r>
            <w:r>
              <w:rPr>
                <w:rFonts w:hint="eastAsia" w:ascii="宋体" w:hAnsi="宋体"/>
                <w:color w:val="000000"/>
                <w:sz w:val="21"/>
                <w:szCs w:val="21"/>
              </w:rPr>
              <w:t>供应商提供无线电专网对接电子政务外网实施方案（12分）</w:t>
            </w:r>
          </w:p>
          <w:p w14:paraId="6EAB19AC">
            <w:pPr>
              <w:pStyle w:val="2"/>
              <w:rPr>
                <w:sz w:val="21"/>
                <w:szCs w:val="21"/>
              </w:rPr>
            </w:pPr>
            <w:r>
              <w:rPr>
                <w:rFonts w:hint="eastAsia"/>
                <w:sz w:val="21"/>
                <w:szCs w:val="21"/>
              </w:rPr>
              <w:t>方案完整，具有很强的操作性和高效性，能完整支持项目的顺利实施为优秀得12分；方案较完整，具有较强的操作性和高效性，能较好支持项目实施为良好得9分；方案一般，操作性和高效性一般，能勉强支持项目实施为一般得6分；方案不完整，操作性和高效性差，不能支持项目实施为差得0分。</w:t>
            </w:r>
          </w:p>
        </w:tc>
        <w:tc>
          <w:tcPr>
            <w:tcW w:w="983" w:type="pct"/>
            <w:vMerge w:val="continue"/>
            <w:vAlign w:val="center"/>
          </w:tcPr>
          <w:p w14:paraId="3504D060">
            <w:pPr>
              <w:spacing w:line="240" w:lineRule="atLeast"/>
              <w:ind w:left="-38"/>
              <w:rPr>
                <w:rFonts w:ascii="宋体" w:hAnsi="宋体"/>
                <w:color w:val="000000"/>
                <w:sz w:val="21"/>
                <w:szCs w:val="21"/>
              </w:rPr>
            </w:pPr>
          </w:p>
        </w:tc>
      </w:tr>
      <w:tr w14:paraId="31D87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trPr>
        <w:tc>
          <w:tcPr>
            <w:tcW w:w="278" w:type="pct"/>
            <w:vMerge w:val="continue"/>
            <w:vAlign w:val="center"/>
          </w:tcPr>
          <w:p w14:paraId="599D8492">
            <w:pPr>
              <w:spacing w:line="240" w:lineRule="atLeast"/>
              <w:ind w:firstLine="28"/>
              <w:jc w:val="center"/>
              <w:rPr>
                <w:rFonts w:ascii="宋体" w:hAnsi="宋体"/>
                <w:color w:val="000000"/>
                <w:sz w:val="21"/>
                <w:szCs w:val="21"/>
              </w:rPr>
            </w:pPr>
          </w:p>
        </w:tc>
        <w:tc>
          <w:tcPr>
            <w:tcW w:w="510" w:type="pct"/>
            <w:vMerge w:val="continue"/>
            <w:vAlign w:val="center"/>
          </w:tcPr>
          <w:p w14:paraId="0AF3B76C">
            <w:pPr>
              <w:spacing w:line="240" w:lineRule="atLeast"/>
              <w:jc w:val="center"/>
              <w:rPr>
                <w:rFonts w:ascii="宋体" w:hAnsi="宋体"/>
                <w:color w:val="000000"/>
                <w:sz w:val="21"/>
                <w:szCs w:val="21"/>
              </w:rPr>
            </w:pPr>
          </w:p>
        </w:tc>
        <w:tc>
          <w:tcPr>
            <w:tcW w:w="503" w:type="pct"/>
            <w:vMerge w:val="continue"/>
            <w:vAlign w:val="center"/>
          </w:tcPr>
          <w:p w14:paraId="42D070AB">
            <w:pPr>
              <w:spacing w:line="240" w:lineRule="atLeast"/>
              <w:jc w:val="center"/>
              <w:rPr>
                <w:rFonts w:ascii="宋体" w:hAnsi="宋体"/>
                <w:color w:val="000000"/>
                <w:sz w:val="21"/>
                <w:szCs w:val="21"/>
              </w:rPr>
            </w:pPr>
          </w:p>
        </w:tc>
        <w:tc>
          <w:tcPr>
            <w:tcW w:w="358" w:type="pct"/>
            <w:vAlign w:val="center"/>
          </w:tcPr>
          <w:p w14:paraId="517F2012">
            <w:pPr>
              <w:spacing w:line="240" w:lineRule="atLeast"/>
              <w:ind w:firstLine="28"/>
              <w:jc w:val="center"/>
              <w:rPr>
                <w:rFonts w:ascii="宋体" w:hAnsi="宋体"/>
                <w:color w:val="000000"/>
                <w:sz w:val="21"/>
                <w:szCs w:val="21"/>
              </w:rPr>
            </w:pPr>
            <w:r>
              <w:rPr>
                <w:rFonts w:hint="eastAsia" w:ascii="宋体" w:hAnsi="宋体"/>
                <w:color w:val="000000"/>
                <w:sz w:val="21"/>
                <w:szCs w:val="21"/>
              </w:rPr>
              <w:t>12</w:t>
            </w:r>
          </w:p>
        </w:tc>
        <w:tc>
          <w:tcPr>
            <w:tcW w:w="2368" w:type="pct"/>
            <w:vAlign w:val="center"/>
          </w:tcPr>
          <w:p w14:paraId="14FE251D">
            <w:pPr>
              <w:spacing w:line="240" w:lineRule="atLeast"/>
              <w:rPr>
                <w:rFonts w:ascii="宋体" w:hAnsi="宋体"/>
                <w:color w:val="000000"/>
                <w:sz w:val="21"/>
              </w:rPr>
            </w:pPr>
            <w:r>
              <w:rPr>
                <w:rFonts w:hint="eastAsia" w:ascii="宋体" w:hAnsi="宋体"/>
                <w:color w:val="000000"/>
                <w:sz w:val="21"/>
                <w:szCs w:val="21"/>
              </w:rPr>
              <w:t>3</w:t>
            </w:r>
            <w:r>
              <w:rPr>
                <w:rFonts w:ascii="宋体" w:hAnsi="宋体"/>
                <w:color w:val="000000"/>
                <w:sz w:val="21"/>
                <w:szCs w:val="21"/>
              </w:rPr>
              <w:t>.</w:t>
            </w:r>
            <w:r>
              <w:rPr>
                <w:rFonts w:hint="eastAsia" w:ascii="宋体" w:hAnsi="宋体"/>
                <w:color w:val="000000"/>
                <w:sz w:val="21"/>
              </w:rPr>
              <w:t>供应商提供重庆市无线电基础和技术设施“十四五”中期评估方案（12分）</w:t>
            </w:r>
          </w:p>
          <w:p w14:paraId="74E28374">
            <w:pPr>
              <w:pStyle w:val="2"/>
              <w:rPr>
                <w:sz w:val="21"/>
                <w:szCs w:val="21"/>
              </w:rPr>
            </w:pPr>
            <w:r>
              <w:rPr>
                <w:rFonts w:hint="eastAsia"/>
                <w:sz w:val="21"/>
                <w:szCs w:val="21"/>
              </w:rPr>
              <w:t>方案完整，具有很强的操作性和高效性，能完整支持项目的顺利实施为优秀得12分；方案较完整，具有较强的操作性和高效性，能较好支持项目实施为良好得9分；方案一般，操作性和高效性一般，能勉强支持项目实施为一般得6分；方案不完整，操作性和高效性差，不能支持项目实施为差得0分。</w:t>
            </w:r>
          </w:p>
        </w:tc>
        <w:tc>
          <w:tcPr>
            <w:tcW w:w="983" w:type="pct"/>
            <w:vMerge w:val="continue"/>
            <w:vAlign w:val="center"/>
          </w:tcPr>
          <w:p w14:paraId="30D9E2A4">
            <w:pPr>
              <w:spacing w:line="240" w:lineRule="atLeast"/>
              <w:ind w:left="-38"/>
              <w:rPr>
                <w:rFonts w:ascii="宋体" w:hAnsi="宋体"/>
                <w:color w:val="000000"/>
                <w:sz w:val="21"/>
                <w:szCs w:val="21"/>
              </w:rPr>
            </w:pPr>
          </w:p>
        </w:tc>
      </w:tr>
      <w:tr w14:paraId="6A3F3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4" w:hRule="atLeast"/>
        </w:trPr>
        <w:tc>
          <w:tcPr>
            <w:tcW w:w="278" w:type="pct"/>
            <w:vMerge w:val="restart"/>
            <w:vAlign w:val="center"/>
          </w:tcPr>
          <w:p w14:paraId="595FF618">
            <w:pPr>
              <w:spacing w:line="240" w:lineRule="atLeast"/>
              <w:ind w:firstLine="28"/>
              <w:jc w:val="center"/>
              <w:rPr>
                <w:rFonts w:ascii="宋体" w:hAnsi="宋体"/>
                <w:color w:val="000000"/>
                <w:sz w:val="21"/>
                <w:szCs w:val="21"/>
              </w:rPr>
            </w:pPr>
            <w:r>
              <w:rPr>
                <w:rFonts w:hint="eastAsia" w:ascii="宋体" w:hAnsi="宋体"/>
                <w:color w:val="000000"/>
                <w:sz w:val="21"/>
                <w:szCs w:val="21"/>
              </w:rPr>
              <w:t>3</w:t>
            </w:r>
          </w:p>
        </w:tc>
        <w:tc>
          <w:tcPr>
            <w:tcW w:w="510" w:type="pct"/>
            <w:vMerge w:val="restart"/>
            <w:vAlign w:val="center"/>
          </w:tcPr>
          <w:p w14:paraId="5170ECE1">
            <w:pPr>
              <w:spacing w:line="240" w:lineRule="atLeast"/>
              <w:ind w:firstLine="28"/>
              <w:jc w:val="center"/>
              <w:rPr>
                <w:rFonts w:ascii="宋体" w:hAnsi="宋体"/>
                <w:color w:val="000000" w:themeColor="text1"/>
                <w:sz w:val="21"/>
                <w:szCs w:val="21"/>
              </w:rPr>
            </w:pPr>
            <w:r>
              <w:rPr>
                <w:rFonts w:hint="eastAsia" w:ascii="宋体" w:hAnsi="宋体"/>
                <w:color w:val="000000" w:themeColor="text1"/>
                <w:sz w:val="21"/>
                <w:szCs w:val="21"/>
              </w:rPr>
              <w:t>商务部分</w:t>
            </w:r>
          </w:p>
          <w:p w14:paraId="743C5EBC">
            <w:pPr>
              <w:spacing w:line="240" w:lineRule="atLeast"/>
              <w:ind w:firstLine="28"/>
              <w:jc w:val="center"/>
              <w:rPr>
                <w:rFonts w:ascii="宋体" w:hAnsi="宋体"/>
                <w:color w:val="000000" w:themeColor="text1"/>
                <w:sz w:val="21"/>
                <w:szCs w:val="21"/>
              </w:rPr>
            </w:pPr>
            <w:r>
              <w:rPr>
                <w:rFonts w:hint="eastAsia" w:ascii="宋体" w:hAnsi="宋体"/>
                <w:color w:val="000000" w:themeColor="text1"/>
                <w:sz w:val="21"/>
                <w:szCs w:val="21"/>
              </w:rPr>
              <w:t>（10%）</w:t>
            </w:r>
          </w:p>
        </w:tc>
        <w:tc>
          <w:tcPr>
            <w:tcW w:w="503" w:type="pct"/>
            <w:vAlign w:val="center"/>
          </w:tcPr>
          <w:p w14:paraId="4B0B3AD2">
            <w:pPr>
              <w:spacing w:line="240" w:lineRule="atLeast"/>
              <w:ind w:firstLine="28"/>
              <w:jc w:val="center"/>
              <w:rPr>
                <w:rFonts w:ascii="宋体" w:hAnsi="宋体"/>
                <w:color w:val="000000" w:themeColor="text1"/>
                <w:sz w:val="21"/>
                <w:szCs w:val="21"/>
              </w:rPr>
            </w:pPr>
            <w:r>
              <w:rPr>
                <w:rFonts w:hint="eastAsia" w:ascii="宋体" w:hAnsi="宋体"/>
                <w:color w:val="000000" w:themeColor="text1"/>
                <w:sz w:val="21"/>
                <w:szCs w:val="21"/>
              </w:rPr>
              <w:t>供应商实力（4分）</w:t>
            </w:r>
          </w:p>
        </w:tc>
        <w:tc>
          <w:tcPr>
            <w:tcW w:w="358" w:type="pct"/>
            <w:vAlign w:val="center"/>
          </w:tcPr>
          <w:p w14:paraId="08DC731E">
            <w:pPr>
              <w:spacing w:line="240" w:lineRule="atLeast"/>
              <w:ind w:firstLine="28"/>
              <w:jc w:val="center"/>
              <w:rPr>
                <w:rFonts w:ascii="宋体" w:hAnsi="宋体"/>
                <w:color w:val="000000" w:themeColor="text1"/>
                <w:sz w:val="21"/>
                <w:szCs w:val="21"/>
              </w:rPr>
            </w:pPr>
            <w:r>
              <w:rPr>
                <w:rFonts w:hint="eastAsia" w:ascii="宋体" w:hAnsi="宋体"/>
                <w:color w:val="000000" w:themeColor="text1"/>
                <w:sz w:val="21"/>
                <w:szCs w:val="21"/>
              </w:rPr>
              <w:t>4</w:t>
            </w:r>
          </w:p>
        </w:tc>
        <w:tc>
          <w:tcPr>
            <w:tcW w:w="2368" w:type="pct"/>
            <w:vAlign w:val="center"/>
          </w:tcPr>
          <w:p w14:paraId="0C38FDCC">
            <w:pPr>
              <w:spacing w:line="240" w:lineRule="atLeast"/>
              <w:rPr>
                <w:rFonts w:ascii="宋体" w:hAnsi="宋体"/>
                <w:color w:val="000000"/>
                <w:sz w:val="21"/>
                <w:szCs w:val="21"/>
              </w:rPr>
            </w:pPr>
            <w:r>
              <w:rPr>
                <w:rFonts w:hint="eastAsia" w:ascii="宋体" w:hAnsi="宋体"/>
                <w:color w:val="000000"/>
                <w:sz w:val="21"/>
                <w:szCs w:val="21"/>
              </w:rPr>
              <w:t>（1）供应商具有ISO27001信息安全管理体系认证证书得2分，没有得0分。</w:t>
            </w:r>
          </w:p>
          <w:p w14:paraId="016D41EC">
            <w:pPr>
              <w:spacing w:line="240" w:lineRule="atLeast"/>
              <w:rPr>
                <w:rFonts w:ascii="宋体" w:hAnsi="宋体"/>
                <w:color w:val="000000"/>
                <w:sz w:val="21"/>
                <w:szCs w:val="21"/>
              </w:rPr>
            </w:pPr>
            <w:r>
              <w:rPr>
                <w:rFonts w:hint="eastAsia" w:ascii="宋体" w:hAnsi="宋体"/>
                <w:color w:val="000000"/>
                <w:sz w:val="21"/>
                <w:szCs w:val="21"/>
              </w:rPr>
              <w:t>（2）供应商具有CCRC信息安全风险评估服务资质三级及以上证书得2分，没有得0分。</w:t>
            </w:r>
          </w:p>
        </w:tc>
        <w:tc>
          <w:tcPr>
            <w:tcW w:w="983" w:type="pct"/>
            <w:vAlign w:val="center"/>
          </w:tcPr>
          <w:p w14:paraId="62D39670">
            <w:pPr>
              <w:spacing w:line="240" w:lineRule="atLeast"/>
              <w:ind w:left="-38"/>
              <w:rPr>
                <w:rFonts w:ascii="宋体" w:hAnsi="宋体"/>
                <w:color w:val="000000"/>
                <w:sz w:val="21"/>
                <w:szCs w:val="21"/>
              </w:rPr>
            </w:pPr>
            <w:r>
              <w:rPr>
                <w:rFonts w:hint="eastAsia" w:ascii="宋体" w:hAnsi="宋体"/>
                <w:color w:val="000000"/>
                <w:sz w:val="21"/>
                <w:szCs w:val="21"/>
              </w:rPr>
              <w:t>提供证书复印件并盖公章。</w:t>
            </w:r>
          </w:p>
        </w:tc>
      </w:tr>
      <w:tr w14:paraId="56D1D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4" w:hRule="atLeast"/>
        </w:trPr>
        <w:tc>
          <w:tcPr>
            <w:tcW w:w="278" w:type="pct"/>
            <w:vMerge w:val="continue"/>
            <w:vAlign w:val="center"/>
          </w:tcPr>
          <w:p w14:paraId="15C68A93">
            <w:pPr>
              <w:spacing w:line="240" w:lineRule="atLeast"/>
              <w:ind w:firstLine="28"/>
              <w:jc w:val="center"/>
              <w:rPr>
                <w:rFonts w:ascii="宋体" w:hAnsi="宋体"/>
                <w:color w:val="000000"/>
                <w:sz w:val="21"/>
                <w:szCs w:val="21"/>
              </w:rPr>
            </w:pPr>
          </w:p>
        </w:tc>
        <w:tc>
          <w:tcPr>
            <w:tcW w:w="510" w:type="pct"/>
            <w:vMerge w:val="continue"/>
            <w:vAlign w:val="center"/>
          </w:tcPr>
          <w:p w14:paraId="7CBEF500">
            <w:pPr>
              <w:spacing w:line="240" w:lineRule="atLeast"/>
              <w:ind w:firstLine="28"/>
              <w:jc w:val="center"/>
              <w:rPr>
                <w:rFonts w:ascii="宋体" w:hAnsi="宋体"/>
                <w:color w:val="000000" w:themeColor="text1"/>
                <w:sz w:val="21"/>
                <w:szCs w:val="21"/>
              </w:rPr>
            </w:pPr>
          </w:p>
        </w:tc>
        <w:tc>
          <w:tcPr>
            <w:tcW w:w="503" w:type="pct"/>
            <w:vAlign w:val="center"/>
          </w:tcPr>
          <w:p w14:paraId="44CA0BC4">
            <w:pPr>
              <w:spacing w:line="240" w:lineRule="atLeast"/>
              <w:ind w:firstLine="28"/>
              <w:jc w:val="center"/>
              <w:rPr>
                <w:rFonts w:ascii="宋体" w:hAnsi="宋体"/>
                <w:color w:val="000000" w:themeColor="text1"/>
                <w:sz w:val="21"/>
                <w:szCs w:val="21"/>
              </w:rPr>
            </w:pPr>
            <w:r>
              <w:rPr>
                <w:rFonts w:hint="eastAsia" w:ascii="宋体" w:hAnsi="宋体"/>
                <w:color w:val="000000"/>
                <w:sz w:val="21"/>
                <w:szCs w:val="21"/>
              </w:rPr>
              <w:t>业绩（6分）</w:t>
            </w:r>
          </w:p>
        </w:tc>
        <w:tc>
          <w:tcPr>
            <w:tcW w:w="358" w:type="pct"/>
            <w:vAlign w:val="center"/>
          </w:tcPr>
          <w:p w14:paraId="16324755">
            <w:pPr>
              <w:spacing w:line="240" w:lineRule="atLeast"/>
              <w:ind w:firstLine="28"/>
              <w:jc w:val="center"/>
              <w:rPr>
                <w:rFonts w:ascii="宋体" w:hAnsi="宋体"/>
                <w:color w:val="000000" w:themeColor="text1"/>
                <w:sz w:val="21"/>
                <w:szCs w:val="21"/>
              </w:rPr>
            </w:pPr>
            <w:r>
              <w:rPr>
                <w:rFonts w:hint="eastAsia" w:ascii="宋体" w:hAnsi="宋体"/>
                <w:color w:val="000000" w:themeColor="text1"/>
                <w:sz w:val="21"/>
                <w:szCs w:val="21"/>
              </w:rPr>
              <w:t>6</w:t>
            </w:r>
          </w:p>
        </w:tc>
        <w:tc>
          <w:tcPr>
            <w:tcW w:w="2368" w:type="pct"/>
            <w:vAlign w:val="center"/>
          </w:tcPr>
          <w:p w14:paraId="21E7354A">
            <w:pPr>
              <w:spacing w:line="240" w:lineRule="atLeast"/>
              <w:rPr>
                <w:rFonts w:ascii="宋体" w:hAnsi="宋体"/>
                <w:color w:val="000000" w:themeColor="text1"/>
                <w:sz w:val="21"/>
                <w:szCs w:val="21"/>
              </w:rPr>
            </w:pPr>
            <w:r>
              <w:rPr>
                <w:rFonts w:hint="eastAsia" w:ascii="宋体" w:hAnsi="宋体"/>
                <w:color w:val="000000"/>
                <w:sz w:val="21"/>
                <w:szCs w:val="21"/>
              </w:rPr>
              <w:t>2020年1月1日至响应文件递交截止时间，供应商承接省级及以上无线电信息化建设项目或咨询项目，有一个得2分最高得6分。</w:t>
            </w:r>
          </w:p>
        </w:tc>
        <w:tc>
          <w:tcPr>
            <w:tcW w:w="983" w:type="pct"/>
            <w:vAlign w:val="center"/>
          </w:tcPr>
          <w:p w14:paraId="3DF40E35">
            <w:pPr>
              <w:spacing w:line="240" w:lineRule="atLeast"/>
              <w:ind w:left="-38"/>
              <w:rPr>
                <w:rFonts w:ascii="宋体" w:hAnsi="宋体"/>
                <w:color w:val="000000"/>
                <w:sz w:val="21"/>
                <w:szCs w:val="21"/>
              </w:rPr>
            </w:pPr>
            <w:r>
              <w:rPr>
                <w:rFonts w:hint="eastAsia" w:ascii="宋体" w:hAnsi="宋体"/>
                <w:color w:val="000000"/>
                <w:sz w:val="21"/>
                <w:szCs w:val="21"/>
              </w:rPr>
              <w:t>提供合同及验收资料复印件，并盖公章。</w:t>
            </w:r>
          </w:p>
        </w:tc>
      </w:tr>
      <w:bookmarkEnd w:id="78"/>
    </w:tbl>
    <w:p w14:paraId="1D505197">
      <w:pPr>
        <w:snapToGrid w:val="0"/>
        <w:spacing w:line="360" w:lineRule="auto"/>
        <w:ind w:firstLine="465"/>
        <w:rPr>
          <w:rFonts w:ascii="宋体"/>
          <w:b/>
          <w:sz w:val="24"/>
          <w:szCs w:val="24"/>
        </w:rPr>
      </w:pPr>
      <w:r>
        <w:rPr>
          <w:rFonts w:hint="eastAsia" w:ascii="宋体"/>
          <w:b/>
          <w:sz w:val="24"/>
          <w:szCs w:val="24"/>
        </w:rPr>
        <w:t>说明：</w:t>
      </w:r>
    </w:p>
    <w:p w14:paraId="2D56D51D">
      <w:pPr>
        <w:snapToGrid w:val="0"/>
        <w:spacing w:line="360" w:lineRule="auto"/>
        <w:ind w:firstLine="465"/>
        <w:rPr>
          <w:rFonts w:ascii="宋体"/>
          <w:sz w:val="24"/>
          <w:szCs w:val="24"/>
        </w:rPr>
      </w:pPr>
      <w:r>
        <w:rPr>
          <w:rFonts w:hint="eastAsia" w:ascii="宋体"/>
          <w:sz w:val="24"/>
          <w:szCs w:val="24"/>
        </w:rPr>
        <w:t>（一）磋商小组认为，排名在前面的成交供应商候选人的磋商报价或者某些分项报价明显不合理或者低于成本，有可能影响服务质量和不能诚信履约的，将要求其在规定的期限内提供书面文件予以解释说明，并提交相关证明材料；否则，磋商小组可以取消该成交供应商候选人资格，按顺序由排在后一位的成交供应商候选人递补，以此类推。</w:t>
      </w:r>
    </w:p>
    <w:p w14:paraId="773A8968">
      <w:pPr>
        <w:snapToGrid w:val="0"/>
        <w:spacing w:line="360" w:lineRule="auto"/>
        <w:ind w:firstLine="465"/>
        <w:rPr>
          <w:rFonts w:ascii="宋体"/>
          <w:sz w:val="24"/>
          <w:szCs w:val="24"/>
        </w:rPr>
      </w:pPr>
      <w:r>
        <w:rPr>
          <w:rFonts w:hint="eastAsia" w:ascii="宋体"/>
          <w:sz w:val="24"/>
          <w:szCs w:val="24"/>
        </w:rPr>
        <w:t>（二）关于小微企业报价扣除比例说明</w:t>
      </w:r>
    </w:p>
    <w:p w14:paraId="1BB64CC0">
      <w:pPr>
        <w:snapToGrid w:val="0"/>
        <w:spacing w:line="360" w:lineRule="auto"/>
        <w:ind w:firstLine="465"/>
        <w:rPr>
          <w:rFonts w:ascii="宋体"/>
          <w:sz w:val="24"/>
          <w:szCs w:val="24"/>
        </w:rPr>
      </w:pPr>
      <w:r>
        <w:rPr>
          <w:rFonts w:hint="eastAsia" w:ascii="宋体"/>
          <w:sz w:val="24"/>
          <w:szCs w:val="24"/>
        </w:rPr>
        <w:t>1.按《关于印发&lt;政府采购促进中小企业发展管理办法&gt;的通知》（财库〔2020〕46号）之规定，在政府采购活动中，供应商提供的货物、工程或者服务符合下列情形的，享受本办法规定的中小企业扶持政策：</w:t>
      </w:r>
    </w:p>
    <w:p w14:paraId="3BAB1FDE">
      <w:pPr>
        <w:snapToGrid w:val="0"/>
        <w:spacing w:line="360" w:lineRule="auto"/>
        <w:ind w:firstLine="465"/>
        <w:rPr>
          <w:rFonts w:ascii="宋体"/>
          <w:sz w:val="24"/>
          <w:szCs w:val="24"/>
        </w:rPr>
      </w:pPr>
      <w:r>
        <w:rPr>
          <w:rFonts w:hint="eastAsia" w:ascii="宋体"/>
          <w:sz w:val="24"/>
          <w:szCs w:val="24"/>
        </w:rPr>
        <w:t>（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14:paraId="2EF25161">
      <w:pPr>
        <w:snapToGrid w:val="0"/>
        <w:spacing w:line="360" w:lineRule="auto"/>
        <w:ind w:firstLine="465"/>
        <w:rPr>
          <w:rFonts w:ascii="宋体"/>
          <w:sz w:val="24"/>
          <w:szCs w:val="24"/>
        </w:rPr>
      </w:pPr>
      <w:r>
        <w:rPr>
          <w:rFonts w:hint="eastAsia" w:ascii="宋体"/>
          <w:sz w:val="24"/>
          <w:szCs w:val="24"/>
        </w:rPr>
        <w:t>（2）在工程采购项目中，工程由中小企业承建，即工程施工单位为中小企业；</w:t>
      </w:r>
    </w:p>
    <w:p w14:paraId="2128C5E4">
      <w:pPr>
        <w:snapToGrid w:val="0"/>
        <w:spacing w:line="360" w:lineRule="auto"/>
        <w:ind w:firstLine="465"/>
        <w:rPr>
          <w:rFonts w:ascii="宋体"/>
          <w:sz w:val="24"/>
          <w:szCs w:val="24"/>
        </w:rPr>
      </w:pPr>
      <w:r>
        <w:rPr>
          <w:rFonts w:hint="eastAsia" w:ascii="宋体"/>
          <w:sz w:val="24"/>
          <w:szCs w:val="24"/>
        </w:rPr>
        <w:t>（3）在服务采购项目中，服务由中小企业承接，即提供服务的人员为中小企业依照《中华人民共和国劳动合同法》订立劳动合同的从业人员。</w:t>
      </w:r>
    </w:p>
    <w:p w14:paraId="343C7287">
      <w:pPr>
        <w:snapToGrid w:val="0"/>
        <w:spacing w:line="360" w:lineRule="auto"/>
        <w:ind w:firstLine="465"/>
        <w:rPr>
          <w:rFonts w:ascii="宋体"/>
          <w:sz w:val="24"/>
          <w:szCs w:val="24"/>
        </w:rPr>
      </w:pPr>
      <w:r>
        <w:rPr>
          <w:rFonts w:hint="eastAsia" w:ascii="宋体"/>
          <w:sz w:val="24"/>
          <w:szCs w:val="24"/>
        </w:rPr>
        <w:t>2.对小微型企业给予</w:t>
      </w:r>
      <w:r>
        <w:rPr>
          <w:rFonts w:ascii="宋体"/>
          <w:b/>
          <w:bCs/>
          <w:sz w:val="24"/>
          <w:szCs w:val="24"/>
          <w:u w:val="single"/>
        </w:rPr>
        <w:t>20</w:t>
      </w:r>
      <w:r>
        <w:rPr>
          <w:rFonts w:hint="eastAsia" w:ascii="宋体"/>
          <w:b/>
          <w:bCs/>
          <w:sz w:val="24"/>
          <w:szCs w:val="24"/>
          <w:u w:val="single"/>
        </w:rPr>
        <w:t xml:space="preserve"> %</w:t>
      </w:r>
      <w:r>
        <w:rPr>
          <w:rFonts w:hint="eastAsia" w:ascii="宋体"/>
          <w:sz w:val="24"/>
          <w:szCs w:val="24"/>
        </w:rPr>
        <w:t>的扣除，以扣除后的报价参与评审。</w:t>
      </w:r>
    </w:p>
    <w:p w14:paraId="0E026F73">
      <w:pPr>
        <w:snapToGrid w:val="0"/>
        <w:spacing w:line="360" w:lineRule="auto"/>
        <w:ind w:firstLine="465"/>
        <w:rPr>
          <w:rFonts w:ascii="宋体"/>
          <w:sz w:val="24"/>
          <w:szCs w:val="24"/>
        </w:rPr>
      </w:pPr>
      <w:r>
        <w:rPr>
          <w:rFonts w:hint="eastAsia" w:ascii="宋体"/>
          <w:sz w:val="24"/>
          <w:szCs w:val="24"/>
        </w:rPr>
        <w:t>3.监狱企业、残疾人福利性单位视同小型、微型企业。</w:t>
      </w:r>
    </w:p>
    <w:p w14:paraId="0E7A506B">
      <w:pPr>
        <w:pStyle w:val="5"/>
        <w:spacing w:before="0" w:after="0" w:line="360" w:lineRule="auto"/>
        <w:ind w:firstLine="482" w:firstLineChars="200"/>
        <w:rPr>
          <w:rFonts w:ascii="宋体"/>
          <w:sz w:val="24"/>
          <w:szCs w:val="24"/>
        </w:rPr>
      </w:pPr>
      <w:bookmarkStart w:id="79" w:name="_Toc141860868"/>
      <w:r>
        <w:rPr>
          <w:rFonts w:hint="eastAsia" w:ascii="宋体"/>
          <w:sz w:val="24"/>
          <w:szCs w:val="24"/>
        </w:rPr>
        <w:t>三、无效响应</w:t>
      </w:r>
      <w:bookmarkEnd w:id="79"/>
    </w:p>
    <w:p w14:paraId="056BD0D9">
      <w:pPr>
        <w:snapToGrid w:val="0"/>
        <w:spacing w:line="360" w:lineRule="auto"/>
        <w:ind w:firstLine="465"/>
        <w:rPr>
          <w:rFonts w:ascii="宋体"/>
          <w:sz w:val="24"/>
          <w:szCs w:val="24"/>
        </w:rPr>
      </w:pPr>
      <w:r>
        <w:rPr>
          <w:rFonts w:hint="eastAsia" w:ascii="宋体"/>
          <w:sz w:val="24"/>
          <w:szCs w:val="24"/>
        </w:rPr>
        <w:t>供应商发生以下条款情况之一者，视为无效响应：</w:t>
      </w:r>
    </w:p>
    <w:p w14:paraId="1437BC3F">
      <w:pPr>
        <w:snapToGrid w:val="0"/>
        <w:spacing w:line="360" w:lineRule="auto"/>
        <w:ind w:firstLine="465"/>
        <w:rPr>
          <w:rFonts w:ascii="宋体"/>
          <w:sz w:val="24"/>
          <w:szCs w:val="24"/>
        </w:rPr>
      </w:pPr>
      <w:r>
        <w:rPr>
          <w:rFonts w:hint="eastAsia" w:ascii="宋体"/>
          <w:sz w:val="24"/>
          <w:szCs w:val="24"/>
        </w:rPr>
        <w:t>（一）供应商不符合规定的基本资格条件或特定资格条件的；</w:t>
      </w:r>
    </w:p>
    <w:p w14:paraId="393D8531">
      <w:pPr>
        <w:snapToGrid w:val="0"/>
        <w:spacing w:line="360" w:lineRule="auto"/>
        <w:ind w:firstLine="465"/>
        <w:rPr>
          <w:rFonts w:ascii="宋体"/>
          <w:sz w:val="24"/>
          <w:szCs w:val="24"/>
        </w:rPr>
      </w:pPr>
      <w:r>
        <w:rPr>
          <w:rFonts w:hint="eastAsia" w:ascii="宋体"/>
          <w:sz w:val="24"/>
          <w:szCs w:val="24"/>
        </w:rPr>
        <w:t>（二）供应商的法定代表人或其授权代表未参加磋商；</w:t>
      </w:r>
    </w:p>
    <w:p w14:paraId="082B8D82">
      <w:pPr>
        <w:snapToGrid w:val="0"/>
        <w:spacing w:line="360" w:lineRule="auto"/>
        <w:ind w:firstLine="465"/>
        <w:rPr>
          <w:rFonts w:ascii="宋体"/>
          <w:sz w:val="24"/>
          <w:szCs w:val="24"/>
        </w:rPr>
      </w:pPr>
      <w:r>
        <w:rPr>
          <w:rFonts w:hint="eastAsia" w:ascii="宋体"/>
          <w:sz w:val="24"/>
          <w:szCs w:val="24"/>
        </w:rPr>
        <w:t>（三）供应商未按照竞争性磋商文件的要求缴纳磋商保证金；</w:t>
      </w:r>
    </w:p>
    <w:p w14:paraId="09E06C80">
      <w:pPr>
        <w:snapToGrid w:val="0"/>
        <w:spacing w:line="360" w:lineRule="auto"/>
        <w:ind w:firstLine="465"/>
        <w:rPr>
          <w:rFonts w:ascii="宋体"/>
          <w:sz w:val="24"/>
          <w:szCs w:val="24"/>
        </w:rPr>
      </w:pPr>
      <w:r>
        <w:rPr>
          <w:rFonts w:hint="eastAsia" w:ascii="宋体"/>
          <w:sz w:val="24"/>
          <w:szCs w:val="24"/>
        </w:rPr>
        <w:t>（四）供应商所提交的响应文件不按第七篇“响应文件编制要求”规定签字、盖章；</w:t>
      </w:r>
    </w:p>
    <w:p w14:paraId="01AF2DCA">
      <w:pPr>
        <w:snapToGrid w:val="0"/>
        <w:spacing w:line="360" w:lineRule="auto"/>
        <w:ind w:firstLine="465"/>
        <w:rPr>
          <w:rFonts w:ascii="宋体"/>
          <w:sz w:val="24"/>
          <w:szCs w:val="24"/>
        </w:rPr>
      </w:pPr>
      <w:r>
        <w:rPr>
          <w:rFonts w:hint="eastAsia" w:ascii="宋体"/>
          <w:sz w:val="24"/>
          <w:szCs w:val="24"/>
        </w:rPr>
        <w:t>（五）供应商的最后报价超过采购预算金额或最高限价的；</w:t>
      </w:r>
    </w:p>
    <w:p w14:paraId="387C5635">
      <w:pPr>
        <w:snapToGrid w:val="0"/>
        <w:spacing w:line="360" w:lineRule="auto"/>
        <w:ind w:firstLine="465"/>
        <w:rPr>
          <w:rFonts w:ascii="宋体"/>
          <w:sz w:val="24"/>
          <w:szCs w:val="24"/>
        </w:rPr>
      </w:pPr>
      <w:r>
        <w:rPr>
          <w:rFonts w:hint="eastAsia" w:ascii="宋体"/>
          <w:sz w:val="24"/>
          <w:szCs w:val="24"/>
        </w:rPr>
        <w:t>（六）单位负责人为同一人或者存在直接控股、管理关系的不同供应商，参加同一合同项下的政府采购活动的；</w:t>
      </w:r>
    </w:p>
    <w:p w14:paraId="1503EF19">
      <w:pPr>
        <w:snapToGrid w:val="0"/>
        <w:spacing w:line="360" w:lineRule="auto"/>
        <w:ind w:firstLine="480" w:firstLineChars="200"/>
        <w:rPr>
          <w:rFonts w:ascii="宋体"/>
          <w:sz w:val="24"/>
          <w:szCs w:val="24"/>
        </w:rPr>
      </w:pPr>
      <w:r>
        <w:rPr>
          <w:rFonts w:hint="eastAsia" w:ascii="宋体"/>
          <w:sz w:val="24"/>
          <w:szCs w:val="24"/>
        </w:rPr>
        <w:t>（七）</w:t>
      </w:r>
      <w:r>
        <w:rPr>
          <w:rFonts w:ascii="宋体"/>
          <w:sz w:val="24"/>
          <w:szCs w:val="24"/>
        </w:rPr>
        <w:t>为采购项目提供整体设计、规范编制或者项目管理、监理、检测等服务的供应商，再参加</w:t>
      </w:r>
      <w:r>
        <w:rPr>
          <w:rFonts w:hint="eastAsia" w:ascii="宋体"/>
          <w:sz w:val="24"/>
          <w:szCs w:val="24"/>
        </w:rPr>
        <w:t>该采购</w:t>
      </w:r>
      <w:r>
        <w:rPr>
          <w:rFonts w:ascii="宋体"/>
          <w:sz w:val="24"/>
          <w:szCs w:val="24"/>
        </w:rPr>
        <w:t>项目的</w:t>
      </w:r>
      <w:r>
        <w:rPr>
          <w:rFonts w:hint="eastAsia" w:ascii="宋体"/>
          <w:sz w:val="24"/>
          <w:szCs w:val="24"/>
        </w:rPr>
        <w:t>其他</w:t>
      </w:r>
      <w:r>
        <w:rPr>
          <w:rFonts w:ascii="宋体"/>
          <w:sz w:val="24"/>
          <w:szCs w:val="24"/>
        </w:rPr>
        <w:t>采购活动</w:t>
      </w:r>
      <w:r>
        <w:rPr>
          <w:rFonts w:hint="eastAsia" w:ascii="宋体"/>
          <w:sz w:val="24"/>
          <w:szCs w:val="24"/>
        </w:rPr>
        <w:t>；</w:t>
      </w:r>
    </w:p>
    <w:p w14:paraId="52F85345">
      <w:pPr>
        <w:snapToGrid w:val="0"/>
        <w:spacing w:line="360" w:lineRule="auto"/>
        <w:ind w:firstLine="480" w:firstLineChars="200"/>
        <w:rPr>
          <w:rFonts w:ascii="宋体"/>
          <w:sz w:val="24"/>
          <w:szCs w:val="24"/>
        </w:rPr>
      </w:pPr>
      <w:r>
        <w:rPr>
          <w:rFonts w:hint="eastAsia" w:ascii="宋体"/>
          <w:sz w:val="24"/>
          <w:szCs w:val="24"/>
        </w:rPr>
        <w:t>（八）所提供的产品不符合必须强制执行的国家标准的；</w:t>
      </w:r>
    </w:p>
    <w:p w14:paraId="1B9F58F5">
      <w:pPr>
        <w:snapToGrid w:val="0"/>
        <w:spacing w:line="360" w:lineRule="auto"/>
        <w:ind w:firstLine="480" w:firstLineChars="200"/>
        <w:rPr>
          <w:rFonts w:ascii="宋体"/>
          <w:sz w:val="24"/>
          <w:szCs w:val="24"/>
        </w:rPr>
      </w:pPr>
      <w:r>
        <w:rPr>
          <w:rFonts w:hint="eastAsia" w:ascii="宋体"/>
          <w:sz w:val="24"/>
          <w:szCs w:val="24"/>
        </w:rPr>
        <w:t>（九）供应商的服务时间、服务质保期及磋商有效期不满足竞争性磋商文件要求的；</w:t>
      </w:r>
    </w:p>
    <w:p w14:paraId="4B246F24">
      <w:pPr>
        <w:snapToGrid w:val="0"/>
        <w:spacing w:line="360" w:lineRule="auto"/>
        <w:ind w:firstLine="465"/>
        <w:rPr>
          <w:rFonts w:ascii="宋体"/>
          <w:sz w:val="24"/>
          <w:szCs w:val="24"/>
        </w:rPr>
      </w:pPr>
      <w:r>
        <w:rPr>
          <w:rFonts w:hint="eastAsia" w:ascii="宋体"/>
          <w:sz w:val="24"/>
          <w:szCs w:val="24"/>
        </w:rPr>
        <w:t>（十）供应商响应文件内容有与国家现行法律法规相违背的内容，或附有采购人无法接受的条件。</w:t>
      </w:r>
    </w:p>
    <w:p w14:paraId="4FC8A480">
      <w:pPr>
        <w:pStyle w:val="5"/>
        <w:spacing w:before="0" w:after="0" w:line="360" w:lineRule="auto"/>
        <w:ind w:firstLine="482" w:firstLineChars="200"/>
        <w:rPr>
          <w:rFonts w:ascii="宋体"/>
          <w:sz w:val="24"/>
          <w:szCs w:val="24"/>
        </w:rPr>
      </w:pPr>
      <w:bookmarkStart w:id="80" w:name="_Toc141860869"/>
      <w:r>
        <w:rPr>
          <w:rFonts w:hint="eastAsia" w:ascii="宋体"/>
          <w:sz w:val="24"/>
          <w:szCs w:val="24"/>
        </w:rPr>
        <w:t>四、</w:t>
      </w:r>
      <w:bookmarkEnd w:id="76"/>
      <w:bookmarkEnd w:id="77"/>
      <w:r>
        <w:rPr>
          <w:rFonts w:hint="eastAsia" w:ascii="宋体"/>
          <w:sz w:val="24"/>
          <w:szCs w:val="24"/>
        </w:rPr>
        <w:t>采购终止</w:t>
      </w:r>
      <w:bookmarkEnd w:id="80"/>
    </w:p>
    <w:p w14:paraId="5F5B95F8">
      <w:pPr>
        <w:snapToGrid w:val="0"/>
        <w:spacing w:line="360" w:lineRule="auto"/>
        <w:ind w:firstLine="465"/>
        <w:rPr>
          <w:rFonts w:ascii="宋体"/>
          <w:sz w:val="24"/>
          <w:szCs w:val="24"/>
        </w:rPr>
      </w:pPr>
      <w:r>
        <w:rPr>
          <w:rFonts w:hint="eastAsia" w:ascii="宋体"/>
          <w:sz w:val="24"/>
          <w:szCs w:val="24"/>
        </w:rPr>
        <w:t>出现下列情形之一的，采购人或者采购代理机构应当终止竞争性磋商采购活动，发布项目终止公告并说明原因，重新开展采购活动：</w:t>
      </w:r>
    </w:p>
    <w:p w14:paraId="57953245">
      <w:pPr>
        <w:snapToGrid w:val="0"/>
        <w:spacing w:line="360" w:lineRule="auto"/>
        <w:ind w:firstLine="465"/>
        <w:rPr>
          <w:rFonts w:ascii="宋体"/>
          <w:sz w:val="24"/>
          <w:szCs w:val="24"/>
        </w:rPr>
      </w:pPr>
      <w:r>
        <w:rPr>
          <w:rFonts w:hint="eastAsia" w:ascii="宋体"/>
          <w:sz w:val="24"/>
          <w:szCs w:val="24"/>
        </w:rPr>
        <w:t>（一）因情况变化，不再符合规定的竞争性磋商采购方式适用情形的；</w:t>
      </w:r>
    </w:p>
    <w:p w14:paraId="11B65F7B">
      <w:pPr>
        <w:snapToGrid w:val="0"/>
        <w:spacing w:line="360" w:lineRule="auto"/>
        <w:ind w:firstLine="465"/>
        <w:rPr>
          <w:rFonts w:ascii="宋体"/>
          <w:sz w:val="24"/>
          <w:szCs w:val="24"/>
        </w:rPr>
      </w:pPr>
      <w:r>
        <w:rPr>
          <w:rFonts w:hint="eastAsia" w:ascii="宋体"/>
          <w:sz w:val="24"/>
          <w:szCs w:val="24"/>
        </w:rPr>
        <w:t>（二）出现影响采购公正的违法、违规行为的；</w:t>
      </w:r>
    </w:p>
    <w:p w14:paraId="1C79A011">
      <w:pPr>
        <w:snapToGrid w:val="0"/>
        <w:spacing w:line="360" w:lineRule="auto"/>
        <w:ind w:firstLine="465"/>
        <w:rPr>
          <w:rFonts w:ascii="宋体"/>
          <w:sz w:val="24"/>
          <w:szCs w:val="24"/>
        </w:rPr>
      </w:pPr>
      <w:r>
        <w:rPr>
          <w:rFonts w:hint="eastAsia" w:ascii="宋体"/>
          <w:sz w:val="24"/>
          <w:szCs w:val="24"/>
        </w:rPr>
        <w:t>（三）在采购过程中符合要求的供应商或者报价未超过采购预算的供应商不足3家的，但《政府采购竞争性磋商采购方式管理暂行办法》第二十一条第三款及《财政部关于政府采购竞争性磋商采购方式管理暂行办法有关问题的补充通知》规定的情形除外。</w:t>
      </w:r>
    </w:p>
    <w:p w14:paraId="455C48F5">
      <w:pPr>
        <w:spacing w:line="360" w:lineRule="auto"/>
        <w:ind w:firstLine="480" w:firstLineChars="200"/>
        <w:rPr>
          <w:rFonts w:ascii="宋体"/>
          <w:sz w:val="24"/>
          <w:szCs w:val="24"/>
        </w:rPr>
        <w:sectPr>
          <w:footerReference r:id="rId11" w:type="default"/>
          <w:footerReference r:id="rId12" w:type="even"/>
          <w:pgSz w:w="11907" w:h="16840"/>
          <w:pgMar w:top="1134" w:right="1191" w:bottom="1134" w:left="1191" w:header="964" w:footer="992" w:gutter="0"/>
          <w:pgNumType w:fmt="numberInDash"/>
          <w:cols w:space="720" w:num="1"/>
          <w:docGrid w:linePitch="312" w:charSpace="0"/>
        </w:sectPr>
      </w:pPr>
    </w:p>
    <w:p w14:paraId="67D46105">
      <w:pPr>
        <w:pStyle w:val="4"/>
        <w:spacing w:line="360" w:lineRule="auto"/>
        <w:jc w:val="center"/>
        <w:rPr>
          <w:rFonts w:ascii="宋体" w:eastAsia="宋体"/>
          <w:sz w:val="36"/>
          <w:szCs w:val="30"/>
        </w:rPr>
      </w:pPr>
      <w:bookmarkStart w:id="81" w:name="_Toc141860870"/>
      <w:bookmarkStart w:id="82" w:name="_Toc102227313"/>
      <w:r>
        <w:rPr>
          <w:rFonts w:hint="eastAsia" w:ascii="宋体" w:eastAsia="宋体"/>
          <w:sz w:val="36"/>
          <w:szCs w:val="30"/>
        </w:rPr>
        <w:t>第五篇  供应商须知</w:t>
      </w:r>
      <w:bookmarkEnd w:id="81"/>
      <w:bookmarkEnd w:id="82"/>
    </w:p>
    <w:p w14:paraId="599AF407">
      <w:pPr>
        <w:pStyle w:val="5"/>
        <w:spacing w:before="0" w:after="0" w:line="360" w:lineRule="auto"/>
        <w:ind w:firstLine="482" w:firstLineChars="200"/>
        <w:rPr>
          <w:rFonts w:ascii="宋体"/>
          <w:sz w:val="24"/>
          <w:szCs w:val="24"/>
        </w:rPr>
      </w:pPr>
      <w:bookmarkStart w:id="83" w:name="_Toc342913389"/>
      <w:bookmarkStart w:id="84" w:name="_Toc141860871"/>
      <w:r>
        <w:rPr>
          <w:rFonts w:hint="eastAsia" w:ascii="宋体"/>
          <w:sz w:val="24"/>
          <w:szCs w:val="24"/>
        </w:rPr>
        <w:t>一、磋商费用</w:t>
      </w:r>
      <w:bookmarkEnd w:id="83"/>
      <w:bookmarkEnd w:id="84"/>
    </w:p>
    <w:p w14:paraId="28908A02">
      <w:pPr>
        <w:pStyle w:val="183"/>
        <w:spacing w:line="360" w:lineRule="auto"/>
        <w:ind w:firstLine="480" w:firstLineChars="200"/>
        <w:rPr>
          <w:sz w:val="24"/>
          <w:szCs w:val="24"/>
        </w:rPr>
      </w:pPr>
      <w:r>
        <w:rPr>
          <w:rFonts w:hint="eastAsia"/>
          <w:sz w:val="24"/>
          <w:szCs w:val="24"/>
        </w:rPr>
        <w:t>参与磋商的供应商应承担其编制响应文件与递交响应文件所涉及的一切费用，不论磋商结果如何，采购人和采购代理机构在任何情况下无义务也无责任承担这些费用。</w:t>
      </w:r>
    </w:p>
    <w:p w14:paraId="4C0B43EB">
      <w:pPr>
        <w:pStyle w:val="5"/>
        <w:tabs>
          <w:tab w:val="left" w:pos="2640"/>
        </w:tabs>
        <w:spacing w:before="0" w:after="0" w:line="360" w:lineRule="auto"/>
        <w:ind w:firstLine="482" w:firstLineChars="200"/>
        <w:rPr>
          <w:rFonts w:ascii="宋体"/>
          <w:sz w:val="24"/>
          <w:szCs w:val="24"/>
        </w:rPr>
      </w:pPr>
      <w:bookmarkStart w:id="85" w:name="_Toc141860872"/>
      <w:bookmarkStart w:id="86" w:name="_Toc342913391"/>
      <w:r>
        <w:rPr>
          <w:rFonts w:hint="eastAsia" w:ascii="宋体"/>
          <w:sz w:val="24"/>
          <w:szCs w:val="24"/>
        </w:rPr>
        <w:t>二、竞争性磋商文件</w:t>
      </w:r>
      <w:bookmarkEnd w:id="85"/>
      <w:bookmarkEnd w:id="86"/>
    </w:p>
    <w:p w14:paraId="67397C5D">
      <w:pPr>
        <w:snapToGrid w:val="0"/>
        <w:spacing w:line="360" w:lineRule="auto"/>
        <w:ind w:firstLine="480" w:firstLineChars="200"/>
        <w:rPr>
          <w:rFonts w:ascii="宋体"/>
          <w:sz w:val="24"/>
          <w:szCs w:val="24"/>
        </w:rPr>
      </w:pPr>
      <w:r>
        <w:rPr>
          <w:rFonts w:hint="eastAsia" w:ascii="宋体"/>
          <w:sz w:val="24"/>
          <w:szCs w:val="24"/>
        </w:rPr>
        <w:t>（一）竞争性磋商文件由采购邀请书；采购服务需求；采购商务需求；磋商程序及方法、评审标准、无效响应和采购终止；供应商须知；合同草案条款；响应文件编制要求共七部分组成。</w:t>
      </w:r>
    </w:p>
    <w:p w14:paraId="2364EE81">
      <w:pPr>
        <w:snapToGrid w:val="0"/>
        <w:spacing w:line="360" w:lineRule="auto"/>
        <w:ind w:firstLine="480" w:firstLineChars="200"/>
        <w:rPr>
          <w:rFonts w:ascii="宋体"/>
          <w:sz w:val="24"/>
          <w:szCs w:val="24"/>
        </w:rPr>
      </w:pPr>
      <w:r>
        <w:rPr>
          <w:rFonts w:hint="eastAsia" w:ascii="宋体"/>
          <w:sz w:val="24"/>
          <w:szCs w:val="24"/>
        </w:rPr>
        <w:t>（二）采购人（或采购代理机构）所作的一切有效的书面通知、修改及补充，都是竞争性磋商文件不可分割的部分。</w:t>
      </w:r>
    </w:p>
    <w:p w14:paraId="721E81DC">
      <w:pPr>
        <w:snapToGrid w:val="0"/>
        <w:spacing w:line="360" w:lineRule="auto"/>
        <w:ind w:firstLine="480" w:firstLineChars="200"/>
        <w:rPr>
          <w:rFonts w:ascii="宋体"/>
          <w:sz w:val="24"/>
          <w:szCs w:val="24"/>
        </w:rPr>
      </w:pPr>
      <w:r>
        <w:rPr>
          <w:rFonts w:hint="eastAsia" w:ascii="宋体"/>
          <w:sz w:val="24"/>
          <w:szCs w:val="24"/>
        </w:rPr>
        <w:t>（三）竞争性磋商文件的解释</w:t>
      </w:r>
    </w:p>
    <w:p w14:paraId="1768BB34">
      <w:pPr>
        <w:spacing w:line="360" w:lineRule="auto"/>
        <w:ind w:firstLine="480" w:firstLineChars="200"/>
        <w:rPr>
          <w:rFonts w:ascii="宋体"/>
          <w:sz w:val="24"/>
          <w:szCs w:val="24"/>
        </w:rPr>
      </w:pPr>
      <w:r>
        <w:rPr>
          <w:rFonts w:hint="eastAsia" w:ascii="宋体"/>
          <w:sz w:val="24"/>
          <w:szCs w:val="24"/>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87" w:name="_Toc318159780"/>
      <w:bookmarkStart w:id="88" w:name="_Toc318159349"/>
      <w:bookmarkStart w:id="89" w:name="_Toc318159160"/>
      <w:bookmarkStart w:id="90" w:name="_Toc318166429"/>
    </w:p>
    <w:p w14:paraId="27E26B1F">
      <w:pPr>
        <w:spacing w:line="360" w:lineRule="auto"/>
        <w:ind w:firstLine="480" w:firstLineChars="200"/>
        <w:rPr>
          <w:rFonts w:ascii="宋体"/>
          <w:sz w:val="24"/>
          <w:szCs w:val="24"/>
        </w:rPr>
      </w:pPr>
      <w:r>
        <w:rPr>
          <w:rFonts w:hint="eastAsia" w:ascii="宋体"/>
          <w:sz w:val="24"/>
          <w:szCs w:val="24"/>
        </w:rPr>
        <w:t>（四）本竞争性磋商文件中，磋商小组根据与供应商进行磋商可能实质性变动的内容为竞争性磋商文件第二、三、六篇全部内容。</w:t>
      </w:r>
    </w:p>
    <w:p w14:paraId="343444B3">
      <w:pPr>
        <w:spacing w:line="360" w:lineRule="auto"/>
        <w:ind w:firstLine="480" w:firstLineChars="200"/>
        <w:rPr>
          <w:rFonts w:ascii="宋体"/>
          <w:sz w:val="24"/>
          <w:szCs w:val="24"/>
        </w:rPr>
      </w:pPr>
      <w:r>
        <w:rPr>
          <w:rFonts w:hint="eastAsia" w:ascii="宋体"/>
          <w:sz w:val="24"/>
          <w:szCs w:val="24"/>
        </w:rPr>
        <w:t>（五）评审的依据为竞争性磋商文件和响应文件（含有效的书面承诺）。磋商小组判断响应文件对竞争性磋商文件的响应，仅基于响应文件本身而不靠外部证据。</w:t>
      </w:r>
    </w:p>
    <w:bookmarkEnd w:id="87"/>
    <w:bookmarkEnd w:id="88"/>
    <w:bookmarkEnd w:id="89"/>
    <w:bookmarkEnd w:id="90"/>
    <w:p w14:paraId="543C68F5">
      <w:pPr>
        <w:pStyle w:val="5"/>
        <w:spacing w:before="0" w:after="0" w:line="360" w:lineRule="auto"/>
        <w:ind w:firstLine="482" w:firstLineChars="200"/>
        <w:rPr>
          <w:rFonts w:ascii="宋体"/>
          <w:sz w:val="24"/>
          <w:szCs w:val="24"/>
        </w:rPr>
      </w:pPr>
      <w:bookmarkStart w:id="91" w:name="_Toc342913392"/>
      <w:bookmarkStart w:id="92" w:name="_Toc102227318"/>
      <w:bookmarkStart w:id="93" w:name="_Toc141860873"/>
      <w:bookmarkStart w:id="94" w:name="_Toc179714297"/>
      <w:r>
        <w:rPr>
          <w:rFonts w:hint="eastAsia" w:ascii="宋体"/>
          <w:sz w:val="24"/>
          <w:szCs w:val="24"/>
        </w:rPr>
        <w:t>三、磋商要求</w:t>
      </w:r>
      <w:bookmarkEnd w:id="91"/>
      <w:bookmarkEnd w:id="92"/>
      <w:bookmarkEnd w:id="93"/>
      <w:bookmarkEnd w:id="94"/>
    </w:p>
    <w:p w14:paraId="2C93685B">
      <w:pPr>
        <w:spacing w:line="360" w:lineRule="auto"/>
        <w:ind w:firstLine="480" w:firstLineChars="200"/>
        <w:rPr>
          <w:rFonts w:ascii="宋体"/>
          <w:sz w:val="24"/>
          <w:szCs w:val="24"/>
        </w:rPr>
      </w:pPr>
      <w:r>
        <w:rPr>
          <w:rFonts w:hint="eastAsia" w:ascii="宋体"/>
          <w:sz w:val="24"/>
          <w:szCs w:val="24"/>
        </w:rPr>
        <w:t>（一）响应文件</w:t>
      </w:r>
    </w:p>
    <w:p w14:paraId="2E172D5F">
      <w:pPr>
        <w:spacing w:line="360" w:lineRule="auto"/>
        <w:ind w:firstLine="480" w:firstLineChars="200"/>
        <w:rPr>
          <w:rFonts w:ascii="宋体"/>
          <w:sz w:val="24"/>
          <w:szCs w:val="24"/>
        </w:rPr>
      </w:pPr>
      <w:r>
        <w:rPr>
          <w:rFonts w:hint="eastAsia" w:ascii="宋体"/>
          <w:sz w:val="24"/>
          <w:szCs w:val="24"/>
        </w:rPr>
        <w:t>1.供应商应当按照竞争性磋商文件的要求编制响应文件，并对竞争性磋商文件提出的要求和条件作出实质性响应，响应文件原则上采用软面订本，同时应编制完整的页码、目录。</w:t>
      </w:r>
    </w:p>
    <w:p w14:paraId="4A3465D6">
      <w:pPr>
        <w:spacing w:line="360" w:lineRule="auto"/>
        <w:ind w:firstLine="480" w:firstLineChars="200"/>
        <w:rPr>
          <w:rFonts w:ascii="宋体"/>
          <w:sz w:val="24"/>
          <w:szCs w:val="24"/>
        </w:rPr>
      </w:pPr>
      <w:r>
        <w:rPr>
          <w:rFonts w:hint="eastAsia" w:ascii="宋体"/>
          <w:sz w:val="24"/>
          <w:szCs w:val="24"/>
        </w:rPr>
        <w:t>2.响应文件组成</w:t>
      </w:r>
    </w:p>
    <w:p w14:paraId="573391CA">
      <w:pPr>
        <w:spacing w:line="360" w:lineRule="auto"/>
        <w:ind w:firstLine="480" w:firstLineChars="200"/>
        <w:rPr>
          <w:rFonts w:ascii="宋体"/>
          <w:sz w:val="24"/>
          <w:szCs w:val="24"/>
        </w:rPr>
      </w:pPr>
      <w:r>
        <w:rPr>
          <w:rFonts w:hint="eastAsia" w:ascii="宋体"/>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706CE46C">
      <w:pPr>
        <w:spacing w:line="360" w:lineRule="auto"/>
        <w:ind w:firstLine="480" w:firstLineChars="200"/>
        <w:rPr>
          <w:rFonts w:ascii="宋体"/>
          <w:sz w:val="24"/>
          <w:szCs w:val="24"/>
        </w:rPr>
      </w:pPr>
      <w:r>
        <w:rPr>
          <w:rFonts w:hint="eastAsia" w:ascii="宋体"/>
          <w:sz w:val="24"/>
          <w:szCs w:val="24"/>
        </w:rPr>
        <w:t>（二）联合体</w:t>
      </w:r>
    </w:p>
    <w:p w14:paraId="1C83EE9C">
      <w:pPr>
        <w:spacing w:line="360" w:lineRule="auto"/>
        <w:ind w:firstLine="480" w:firstLineChars="200"/>
        <w:rPr>
          <w:rFonts w:ascii="宋体"/>
          <w:sz w:val="24"/>
          <w:szCs w:val="24"/>
        </w:rPr>
      </w:pPr>
      <w:r>
        <w:rPr>
          <w:rFonts w:hint="eastAsia" w:ascii="宋体"/>
          <w:sz w:val="24"/>
          <w:szCs w:val="24"/>
        </w:rPr>
        <w:t>本项目不接受联合体磋商。</w:t>
      </w:r>
    </w:p>
    <w:p w14:paraId="0C659564">
      <w:pPr>
        <w:spacing w:line="360" w:lineRule="auto"/>
        <w:ind w:firstLine="480" w:firstLineChars="200"/>
        <w:rPr>
          <w:rFonts w:ascii="宋体"/>
          <w:sz w:val="24"/>
          <w:szCs w:val="24"/>
        </w:rPr>
      </w:pPr>
      <w:r>
        <w:rPr>
          <w:rFonts w:hint="eastAsia" w:ascii="宋体"/>
          <w:sz w:val="24"/>
          <w:szCs w:val="24"/>
        </w:rPr>
        <w:t>（三）磋商有效期：响应文件及有关承诺文件有效期为提交响应文件截止时间起90天。</w:t>
      </w:r>
    </w:p>
    <w:p w14:paraId="3020D214">
      <w:pPr>
        <w:spacing w:line="360" w:lineRule="auto"/>
        <w:ind w:firstLine="480" w:firstLineChars="200"/>
        <w:rPr>
          <w:rFonts w:ascii="宋体"/>
          <w:sz w:val="24"/>
          <w:szCs w:val="24"/>
        </w:rPr>
      </w:pPr>
      <w:r>
        <w:rPr>
          <w:rFonts w:hint="eastAsia" w:ascii="宋体"/>
          <w:sz w:val="24"/>
          <w:szCs w:val="24"/>
        </w:rPr>
        <w:t>（四）磋商保证金：</w:t>
      </w:r>
    </w:p>
    <w:p w14:paraId="76281E4E">
      <w:pPr>
        <w:spacing w:line="360" w:lineRule="auto"/>
        <w:ind w:firstLine="480" w:firstLineChars="200"/>
        <w:rPr>
          <w:rFonts w:ascii="宋体"/>
          <w:sz w:val="24"/>
          <w:szCs w:val="24"/>
        </w:rPr>
      </w:pPr>
      <w:r>
        <w:rPr>
          <w:rFonts w:hint="eastAsia" w:ascii="宋体"/>
          <w:sz w:val="24"/>
          <w:szCs w:val="24"/>
        </w:rPr>
        <w:t>1.供应商提交保证金金额和方式详见本文件第一篇“五、磋商保证金”；</w:t>
      </w:r>
    </w:p>
    <w:p w14:paraId="7C1F9CC1">
      <w:pPr>
        <w:spacing w:line="360" w:lineRule="auto"/>
        <w:ind w:firstLine="480" w:firstLineChars="200"/>
        <w:rPr>
          <w:rFonts w:ascii="宋体"/>
          <w:sz w:val="24"/>
          <w:szCs w:val="24"/>
        </w:rPr>
      </w:pPr>
      <w:r>
        <w:rPr>
          <w:rFonts w:hint="eastAsia" w:ascii="宋体"/>
          <w:sz w:val="24"/>
          <w:szCs w:val="24"/>
        </w:rPr>
        <w:t>2.发生以下情况之一者，磋商保证金不予退还：</w:t>
      </w:r>
    </w:p>
    <w:p w14:paraId="63CD9338">
      <w:pPr>
        <w:spacing w:line="360" w:lineRule="auto"/>
        <w:ind w:firstLine="480" w:firstLineChars="200"/>
        <w:rPr>
          <w:rFonts w:ascii="宋体"/>
          <w:sz w:val="24"/>
          <w:szCs w:val="24"/>
        </w:rPr>
      </w:pPr>
      <w:r>
        <w:rPr>
          <w:rFonts w:hint="eastAsia" w:ascii="宋体"/>
          <w:sz w:val="24"/>
          <w:szCs w:val="24"/>
        </w:rPr>
        <w:t>2.1 供应商在提交响应文件截止时间后撤回响应文件的；</w:t>
      </w:r>
    </w:p>
    <w:p w14:paraId="6095B5F7">
      <w:pPr>
        <w:spacing w:line="360" w:lineRule="auto"/>
        <w:ind w:firstLine="480" w:firstLineChars="200"/>
        <w:rPr>
          <w:rFonts w:ascii="宋体"/>
          <w:sz w:val="24"/>
          <w:szCs w:val="24"/>
        </w:rPr>
      </w:pPr>
      <w:r>
        <w:rPr>
          <w:rFonts w:hint="eastAsia" w:ascii="宋体"/>
          <w:sz w:val="24"/>
          <w:szCs w:val="24"/>
        </w:rPr>
        <w:t>2.2 供应商在响应文件中提供虚假材料的；</w:t>
      </w:r>
    </w:p>
    <w:p w14:paraId="6A72B0C6">
      <w:pPr>
        <w:spacing w:line="360" w:lineRule="auto"/>
        <w:ind w:firstLine="480" w:firstLineChars="200"/>
        <w:rPr>
          <w:rFonts w:ascii="宋体"/>
          <w:sz w:val="24"/>
          <w:szCs w:val="24"/>
        </w:rPr>
      </w:pPr>
      <w:r>
        <w:rPr>
          <w:rFonts w:hint="eastAsia" w:ascii="宋体"/>
          <w:sz w:val="24"/>
          <w:szCs w:val="24"/>
        </w:rPr>
        <w:t>2.3 除因不可抗力或竞争性磋商文件认可的情形以外，成交供应商不与采购人签订合同的；</w:t>
      </w:r>
    </w:p>
    <w:p w14:paraId="4CF49949">
      <w:pPr>
        <w:spacing w:line="360" w:lineRule="auto"/>
        <w:ind w:firstLine="480" w:firstLineChars="200"/>
        <w:rPr>
          <w:rFonts w:ascii="宋体"/>
          <w:sz w:val="24"/>
          <w:szCs w:val="24"/>
        </w:rPr>
      </w:pPr>
      <w:r>
        <w:rPr>
          <w:rFonts w:hint="eastAsia" w:ascii="宋体"/>
          <w:sz w:val="24"/>
          <w:szCs w:val="24"/>
        </w:rPr>
        <w:t>2.4 供应商与采购人、其他供应商或者采购代理机构恶意串通的；</w:t>
      </w:r>
    </w:p>
    <w:p w14:paraId="5EA95AF0">
      <w:pPr>
        <w:spacing w:line="360" w:lineRule="auto"/>
        <w:ind w:firstLine="480" w:firstLineChars="200"/>
        <w:rPr>
          <w:rFonts w:ascii="宋体"/>
          <w:sz w:val="24"/>
          <w:szCs w:val="24"/>
        </w:rPr>
      </w:pPr>
      <w:r>
        <w:rPr>
          <w:rFonts w:hint="eastAsia" w:ascii="宋体"/>
          <w:sz w:val="24"/>
          <w:szCs w:val="24"/>
        </w:rPr>
        <w:t>2.5 成交供应商不按规定的时间或拒绝按成交状态签订合同（即不按照磋商文件确定的合同文本以及采购标的、规格型号、采购金额、采购数量、技术和服务要求等事项签订政府采购合同的）。</w:t>
      </w:r>
    </w:p>
    <w:p w14:paraId="221285BA">
      <w:pPr>
        <w:spacing w:line="360" w:lineRule="auto"/>
        <w:ind w:firstLine="480" w:firstLineChars="200"/>
        <w:rPr>
          <w:rFonts w:ascii="宋体"/>
          <w:sz w:val="24"/>
          <w:szCs w:val="24"/>
        </w:rPr>
      </w:pPr>
      <w:r>
        <w:rPr>
          <w:rFonts w:hint="eastAsia" w:ascii="宋体"/>
          <w:sz w:val="24"/>
          <w:szCs w:val="24"/>
        </w:rPr>
        <w:t>（四）修正错误</w:t>
      </w:r>
    </w:p>
    <w:p w14:paraId="3BA0F08F">
      <w:pPr>
        <w:spacing w:line="360" w:lineRule="auto"/>
        <w:ind w:firstLine="480" w:firstLineChars="200"/>
        <w:rPr>
          <w:rFonts w:ascii="宋体"/>
          <w:sz w:val="24"/>
          <w:szCs w:val="24"/>
        </w:rPr>
      </w:pPr>
      <w:r>
        <w:rPr>
          <w:rFonts w:hint="eastAsia" w:ascii="宋体"/>
          <w:sz w:val="24"/>
          <w:szCs w:val="24"/>
        </w:rPr>
        <w:t>1.若供应商所递交的响应文件或最后报价中的价格出现大写金额和小写金额不一致的错误，以大写金额修正为准。</w:t>
      </w:r>
    </w:p>
    <w:p w14:paraId="28397C70">
      <w:pPr>
        <w:spacing w:line="360" w:lineRule="auto"/>
        <w:ind w:firstLine="480" w:firstLineChars="200"/>
        <w:rPr>
          <w:rFonts w:ascii="宋体"/>
          <w:sz w:val="24"/>
          <w:szCs w:val="24"/>
        </w:rPr>
      </w:pPr>
      <w:r>
        <w:rPr>
          <w:rFonts w:hint="eastAsia" w:ascii="宋体"/>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14:paraId="40678A09">
      <w:pPr>
        <w:snapToGrid w:val="0"/>
        <w:spacing w:line="360" w:lineRule="auto"/>
        <w:ind w:firstLine="480" w:firstLineChars="200"/>
        <w:rPr>
          <w:rFonts w:ascii="宋体"/>
          <w:sz w:val="24"/>
          <w:szCs w:val="24"/>
        </w:rPr>
      </w:pPr>
      <w:r>
        <w:rPr>
          <w:rFonts w:hint="eastAsia" w:ascii="宋体"/>
          <w:sz w:val="24"/>
          <w:szCs w:val="24"/>
        </w:rPr>
        <w:t>（五）提交响应文件的份数和签署</w:t>
      </w:r>
    </w:p>
    <w:p w14:paraId="5F2761B2">
      <w:pPr>
        <w:snapToGrid w:val="0"/>
        <w:spacing w:line="360" w:lineRule="auto"/>
        <w:ind w:firstLine="480" w:firstLineChars="200"/>
        <w:rPr>
          <w:rFonts w:ascii="宋体"/>
          <w:sz w:val="24"/>
          <w:szCs w:val="24"/>
        </w:rPr>
      </w:pPr>
      <w:r>
        <w:rPr>
          <w:rFonts w:hint="eastAsia" w:ascii="宋体"/>
          <w:sz w:val="24"/>
          <w:szCs w:val="24"/>
        </w:rPr>
        <w:t>1.响应文件一式四份，其中正本一份，副本二份，电子文档一份；副本可为正本的复印件，应与正本一致，如出现不一致情况以正本为准。</w:t>
      </w:r>
    </w:p>
    <w:p w14:paraId="04DBCF1F">
      <w:pPr>
        <w:snapToGrid w:val="0"/>
        <w:spacing w:line="360" w:lineRule="auto"/>
        <w:ind w:firstLine="480" w:firstLineChars="200"/>
        <w:rPr>
          <w:rFonts w:ascii="宋体"/>
          <w:sz w:val="24"/>
          <w:szCs w:val="24"/>
        </w:rPr>
      </w:pPr>
      <w:r>
        <w:rPr>
          <w:rFonts w:hint="eastAsia" w:ascii="宋体"/>
          <w:sz w:val="24"/>
          <w:szCs w:val="24"/>
        </w:rPr>
        <w:t>2.</w:t>
      </w:r>
      <w:r>
        <w:rPr>
          <w:rFonts w:hint="eastAsia" w:ascii="宋体"/>
          <w:sz w:val="24"/>
        </w:rPr>
        <w:t>在响应文件正本中，竞争性磋商文件第七篇响应文件编制要求中规定签字、盖章的地方必须按其规定签字、盖章。</w:t>
      </w:r>
    </w:p>
    <w:p w14:paraId="7FA5897C">
      <w:pPr>
        <w:snapToGrid w:val="0"/>
        <w:spacing w:line="360" w:lineRule="auto"/>
        <w:ind w:firstLine="480" w:firstLineChars="200"/>
        <w:rPr>
          <w:rFonts w:ascii="宋体"/>
          <w:sz w:val="24"/>
          <w:szCs w:val="24"/>
        </w:rPr>
      </w:pPr>
      <w:r>
        <w:rPr>
          <w:rFonts w:hint="eastAsia" w:ascii="宋体"/>
          <w:sz w:val="24"/>
          <w:szCs w:val="24"/>
        </w:rPr>
        <w:t>（六）响应文件的递交</w:t>
      </w:r>
    </w:p>
    <w:p w14:paraId="0C986737">
      <w:pPr>
        <w:snapToGrid w:val="0"/>
        <w:spacing w:line="360" w:lineRule="auto"/>
        <w:ind w:firstLine="480" w:firstLineChars="200"/>
        <w:rPr>
          <w:rFonts w:ascii="宋体"/>
          <w:sz w:val="24"/>
          <w:szCs w:val="24"/>
        </w:rPr>
      </w:pPr>
      <w:r>
        <w:rPr>
          <w:rFonts w:hint="eastAsia" w:ascii="宋体"/>
          <w:sz w:val="24"/>
          <w:szCs w:val="24"/>
        </w:rPr>
        <w:t>1.响应文件的密封与标记</w:t>
      </w:r>
    </w:p>
    <w:p w14:paraId="4DBC648C">
      <w:pPr>
        <w:snapToGrid w:val="0"/>
        <w:spacing w:line="360" w:lineRule="auto"/>
        <w:ind w:firstLine="480" w:firstLineChars="200"/>
        <w:rPr>
          <w:rFonts w:ascii="宋体"/>
          <w:sz w:val="24"/>
          <w:szCs w:val="24"/>
        </w:rPr>
      </w:pPr>
      <w:r>
        <w:rPr>
          <w:rFonts w:hint="eastAsia" w:ascii="宋体"/>
          <w:sz w:val="24"/>
          <w:szCs w:val="24"/>
        </w:rPr>
        <w:t>响应文件的正本、副本均采用信封分别密封。信封上注明项目名称、供应商名称、“正本”、“副本”字样。信封的封口应加盖供应商公章或法人授权代表签字。</w:t>
      </w:r>
    </w:p>
    <w:p w14:paraId="4F6A3835">
      <w:pPr>
        <w:snapToGrid w:val="0"/>
        <w:spacing w:line="360" w:lineRule="auto"/>
        <w:ind w:firstLine="480" w:firstLineChars="200"/>
        <w:rPr>
          <w:rFonts w:ascii="宋体"/>
          <w:sz w:val="24"/>
          <w:szCs w:val="24"/>
        </w:rPr>
      </w:pPr>
      <w:r>
        <w:rPr>
          <w:rFonts w:hint="eastAsia" w:ascii="宋体"/>
          <w:sz w:val="24"/>
          <w:szCs w:val="24"/>
        </w:rPr>
        <w:t>响应文件的装订形式为</w:t>
      </w:r>
      <w:r>
        <w:rPr>
          <w:rFonts w:hint="eastAsia" w:ascii="宋体"/>
          <w:b/>
          <w:sz w:val="24"/>
          <w:szCs w:val="24"/>
        </w:rPr>
        <w:t>胶装</w:t>
      </w:r>
      <w:r>
        <w:rPr>
          <w:rFonts w:hint="eastAsia" w:ascii="宋体"/>
          <w:sz w:val="24"/>
          <w:szCs w:val="24"/>
        </w:rPr>
        <w:t>。</w:t>
      </w:r>
    </w:p>
    <w:p w14:paraId="38FB31EE">
      <w:pPr>
        <w:snapToGrid w:val="0"/>
        <w:spacing w:line="360" w:lineRule="auto"/>
        <w:ind w:firstLine="480" w:firstLineChars="200"/>
        <w:rPr>
          <w:rFonts w:ascii="宋体"/>
          <w:sz w:val="24"/>
          <w:szCs w:val="24"/>
        </w:rPr>
      </w:pPr>
      <w:r>
        <w:rPr>
          <w:rFonts w:hint="eastAsia" w:ascii="宋体"/>
          <w:sz w:val="24"/>
          <w:szCs w:val="24"/>
        </w:rPr>
        <w:t>2.响应文件递交截止时间：参阅采购邀请书。</w:t>
      </w:r>
    </w:p>
    <w:p w14:paraId="17B747C9">
      <w:pPr>
        <w:snapToGrid w:val="0"/>
        <w:spacing w:line="360" w:lineRule="auto"/>
        <w:ind w:firstLine="480" w:firstLineChars="200"/>
        <w:rPr>
          <w:rFonts w:ascii="宋体"/>
          <w:sz w:val="24"/>
          <w:szCs w:val="24"/>
        </w:rPr>
      </w:pPr>
      <w:r>
        <w:rPr>
          <w:rFonts w:hint="eastAsia" w:ascii="宋体"/>
          <w:sz w:val="24"/>
          <w:szCs w:val="24"/>
        </w:rPr>
        <w:t>3.响应文件语言：简体中文</w:t>
      </w:r>
    </w:p>
    <w:p w14:paraId="6D49B911">
      <w:pPr>
        <w:snapToGrid w:val="0"/>
        <w:spacing w:line="360" w:lineRule="auto"/>
        <w:ind w:firstLine="480" w:firstLineChars="200"/>
        <w:rPr>
          <w:rFonts w:ascii="宋体"/>
          <w:sz w:val="24"/>
          <w:szCs w:val="24"/>
        </w:rPr>
      </w:pPr>
      <w:r>
        <w:rPr>
          <w:rFonts w:hint="eastAsia" w:ascii="宋体"/>
          <w:sz w:val="24"/>
          <w:szCs w:val="24"/>
        </w:rPr>
        <w:t>（七）供应商参与人员</w:t>
      </w:r>
    </w:p>
    <w:p w14:paraId="404DB338">
      <w:pPr>
        <w:snapToGrid w:val="0"/>
        <w:spacing w:line="360" w:lineRule="auto"/>
        <w:ind w:firstLine="480" w:firstLineChars="200"/>
        <w:rPr>
          <w:rFonts w:ascii="宋体"/>
          <w:sz w:val="24"/>
          <w:szCs w:val="24"/>
        </w:rPr>
      </w:pPr>
      <w:r>
        <w:rPr>
          <w:rFonts w:hint="eastAsia" w:ascii="宋体"/>
          <w:sz w:val="24"/>
          <w:szCs w:val="24"/>
        </w:rPr>
        <w:t>各个供应商可派1-2名代表参与磋商，至少1人应为法定代表人或具有法定代表人授权委托书的授权代表。</w:t>
      </w:r>
    </w:p>
    <w:p w14:paraId="7FE13080">
      <w:pPr>
        <w:pStyle w:val="5"/>
        <w:spacing w:before="0" w:after="0" w:line="360" w:lineRule="auto"/>
        <w:ind w:firstLine="482" w:firstLineChars="200"/>
        <w:rPr>
          <w:rFonts w:ascii="宋体"/>
          <w:sz w:val="24"/>
          <w:szCs w:val="24"/>
        </w:rPr>
      </w:pPr>
      <w:bookmarkStart w:id="95" w:name="_Toc141860874"/>
      <w:r>
        <w:rPr>
          <w:rFonts w:hint="eastAsia" w:ascii="宋体"/>
          <w:sz w:val="24"/>
          <w:szCs w:val="24"/>
        </w:rPr>
        <w:t>四、成交供应商的确认和变更</w:t>
      </w:r>
      <w:bookmarkEnd w:id="95"/>
    </w:p>
    <w:p w14:paraId="7D0E9170">
      <w:pPr>
        <w:snapToGrid w:val="0"/>
        <w:spacing w:line="360" w:lineRule="auto"/>
        <w:ind w:firstLine="480" w:firstLineChars="200"/>
        <w:rPr>
          <w:rFonts w:ascii="宋体"/>
          <w:sz w:val="24"/>
          <w:szCs w:val="24"/>
        </w:rPr>
      </w:pPr>
      <w:r>
        <w:rPr>
          <w:rFonts w:hint="eastAsia" w:ascii="宋体"/>
          <w:sz w:val="24"/>
          <w:szCs w:val="24"/>
        </w:rPr>
        <w:t>（一）成交供应商的确认</w:t>
      </w:r>
    </w:p>
    <w:p w14:paraId="32EE681B">
      <w:pPr>
        <w:snapToGrid w:val="0"/>
        <w:spacing w:line="360" w:lineRule="auto"/>
        <w:ind w:firstLine="480" w:firstLineChars="200"/>
        <w:rPr>
          <w:rFonts w:ascii="宋体"/>
          <w:sz w:val="24"/>
          <w:szCs w:val="24"/>
        </w:rPr>
      </w:pPr>
      <w:r>
        <w:rPr>
          <w:rFonts w:ascii="宋体"/>
          <w:sz w:val="24"/>
          <w:szCs w:val="24"/>
        </w:rPr>
        <w:t>采购代理机构应当在评审结束后2个工作日内将评审报告送采购人确认。采购人应当在收到评审报告后5个工作日内</w:t>
      </w:r>
      <w:r>
        <w:rPr>
          <w:rFonts w:hint="eastAsia" w:ascii="宋体"/>
          <w:sz w:val="24"/>
          <w:szCs w:val="24"/>
        </w:rPr>
        <w:t>，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7F1C955E">
      <w:pPr>
        <w:snapToGrid w:val="0"/>
        <w:spacing w:line="360" w:lineRule="auto"/>
        <w:ind w:firstLine="480" w:firstLineChars="200"/>
        <w:rPr>
          <w:rFonts w:ascii="宋体"/>
          <w:sz w:val="24"/>
          <w:szCs w:val="24"/>
        </w:rPr>
      </w:pPr>
      <w:r>
        <w:rPr>
          <w:rFonts w:hint="eastAsia" w:ascii="宋体"/>
          <w:sz w:val="24"/>
          <w:szCs w:val="24"/>
        </w:rPr>
        <w:t>（二）成交供应商的变更</w:t>
      </w:r>
    </w:p>
    <w:p w14:paraId="069B34E2">
      <w:pPr>
        <w:snapToGrid w:val="0"/>
        <w:spacing w:line="360" w:lineRule="auto"/>
        <w:ind w:firstLine="480" w:firstLineChars="200"/>
        <w:rPr>
          <w:rFonts w:ascii="宋体"/>
          <w:sz w:val="24"/>
          <w:szCs w:val="24"/>
        </w:rPr>
      </w:pPr>
      <w:r>
        <w:rPr>
          <w:rFonts w:hint="eastAsia" w:ascii="宋体"/>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0B486DCA">
      <w:pPr>
        <w:snapToGrid w:val="0"/>
        <w:spacing w:line="360" w:lineRule="auto"/>
        <w:ind w:firstLine="480" w:firstLineChars="200"/>
        <w:rPr>
          <w:rFonts w:ascii="宋体"/>
          <w:sz w:val="24"/>
          <w:szCs w:val="24"/>
        </w:rPr>
      </w:pPr>
      <w:r>
        <w:rPr>
          <w:rFonts w:hint="eastAsia" w:ascii="宋体"/>
          <w:sz w:val="24"/>
          <w:szCs w:val="24"/>
        </w:rPr>
        <w:t>2.成交供应商无充分理由放弃成交的，采购人将会同采购代理机构把相关情况报主管部门，主管部门将根据相关法律法规的规定对违规供应商进行处罚。</w:t>
      </w:r>
    </w:p>
    <w:p w14:paraId="74A88DE2">
      <w:pPr>
        <w:pStyle w:val="5"/>
        <w:spacing w:before="0" w:after="0" w:line="360" w:lineRule="auto"/>
        <w:ind w:firstLine="482" w:firstLineChars="200"/>
        <w:rPr>
          <w:rFonts w:ascii="宋体"/>
          <w:sz w:val="24"/>
          <w:szCs w:val="24"/>
        </w:rPr>
      </w:pPr>
      <w:bookmarkStart w:id="96" w:name="_Toc342913395"/>
      <w:bookmarkStart w:id="97" w:name="_Toc141860875"/>
      <w:bookmarkStart w:id="98" w:name="_Toc102227321"/>
      <w:r>
        <w:rPr>
          <w:rFonts w:hint="eastAsia" w:ascii="宋体"/>
          <w:sz w:val="24"/>
          <w:szCs w:val="24"/>
        </w:rPr>
        <w:t>五、成交通知</w:t>
      </w:r>
      <w:bookmarkEnd w:id="96"/>
      <w:bookmarkEnd w:id="97"/>
      <w:bookmarkEnd w:id="98"/>
    </w:p>
    <w:p w14:paraId="01581D74">
      <w:pPr>
        <w:spacing w:line="360" w:lineRule="auto"/>
        <w:ind w:firstLine="480" w:firstLineChars="200"/>
        <w:rPr>
          <w:rFonts w:ascii="宋体"/>
          <w:sz w:val="24"/>
          <w:szCs w:val="24"/>
        </w:rPr>
      </w:pPr>
      <w:r>
        <w:rPr>
          <w:rFonts w:hint="eastAsia" w:ascii="宋体"/>
          <w:sz w:val="24"/>
          <w:szCs w:val="24"/>
        </w:rPr>
        <w:t>（一）成交供应商确定后，采购代理机构将在重庆市经济和信息化委员会官网发布成交结果公告。</w:t>
      </w:r>
    </w:p>
    <w:p w14:paraId="2C6E927B">
      <w:pPr>
        <w:spacing w:line="360" w:lineRule="auto"/>
        <w:ind w:firstLine="480" w:firstLineChars="200"/>
        <w:rPr>
          <w:rFonts w:ascii="宋体"/>
          <w:sz w:val="24"/>
          <w:szCs w:val="24"/>
        </w:rPr>
      </w:pPr>
      <w:r>
        <w:rPr>
          <w:rFonts w:hint="eastAsia" w:ascii="宋体"/>
          <w:sz w:val="24"/>
          <w:szCs w:val="24"/>
        </w:rPr>
        <w:t>（二）结果公告期结束后，采购代理机构将以书面形式发出《成交通知书》。《成交通知书》一经发出即发生法律效力。</w:t>
      </w:r>
    </w:p>
    <w:p w14:paraId="28F63A06">
      <w:pPr>
        <w:spacing w:line="360" w:lineRule="auto"/>
        <w:ind w:firstLine="480" w:firstLineChars="200"/>
        <w:rPr>
          <w:rFonts w:ascii="宋体"/>
          <w:sz w:val="24"/>
          <w:szCs w:val="24"/>
        </w:rPr>
      </w:pPr>
      <w:r>
        <w:rPr>
          <w:rFonts w:hint="eastAsia" w:ascii="宋体"/>
          <w:sz w:val="24"/>
          <w:szCs w:val="24"/>
        </w:rPr>
        <w:t>（三）《成交通知书》将作为签订合同的依据。</w:t>
      </w:r>
    </w:p>
    <w:p w14:paraId="091CC625">
      <w:pPr>
        <w:spacing w:line="360" w:lineRule="auto"/>
        <w:ind w:firstLine="480" w:firstLineChars="200"/>
        <w:rPr>
          <w:rFonts w:ascii="宋体"/>
        </w:rPr>
      </w:pPr>
      <w:r>
        <w:rPr>
          <w:rFonts w:hint="eastAsia" w:ascii="宋体"/>
          <w:sz w:val="24"/>
          <w:szCs w:val="24"/>
        </w:rPr>
        <w:t>（四）如有供应商对成交结果提出质疑的，在质疑处理完毕后发出成交通知书。</w:t>
      </w:r>
    </w:p>
    <w:p w14:paraId="2FEA3FFD">
      <w:pPr>
        <w:pStyle w:val="5"/>
        <w:spacing w:before="0" w:after="0" w:line="360" w:lineRule="auto"/>
        <w:ind w:firstLine="482" w:firstLineChars="200"/>
        <w:rPr>
          <w:rFonts w:ascii="宋体"/>
          <w:sz w:val="24"/>
          <w:szCs w:val="24"/>
        </w:rPr>
      </w:pPr>
      <w:bookmarkStart w:id="99" w:name="_Toc141860876"/>
      <w:r>
        <w:rPr>
          <w:rFonts w:hint="eastAsia" w:ascii="宋体"/>
          <w:sz w:val="24"/>
          <w:szCs w:val="24"/>
        </w:rPr>
        <w:t>六、关于质疑和投诉</w:t>
      </w:r>
      <w:bookmarkEnd w:id="99"/>
    </w:p>
    <w:p w14:paraId="48A59421">
      <w:pPr>
        <w:spacing w:line="360" w:lineRule="auto"/>
        <w:ind w:firstLine="480" w:firstLineChars="200"/>
        <w:rPr>
          <w:rFonts w:ascii="宋体"/>
          <w:sz w:val="24"/>
          <w:szCs w:val="24"/>
        </w:rPr>
      </w:pPr>
      <w:r>
        <w:rPr>
          <w:rFonts w:hint="eastAsia" w:ascii="宋体"/>
          <w:sz w:val="24"/>
          <w:szCs w:val="24"/>
        </w:rPr>
        <w:t>（一）质疑</w:t>
      </w:r>
    </w:p>
    <w:p w14:paraId="13309590">
      <w:pPr>
        <w:spacing w:line="360" w:lineRule="auto"/>
        <w:ind w:firstLine="570"/>
        <w:rPr>
          <w:rFonts w:ascii="宋体"/>
          <w:sz w:val="24"/>
          <w:szCs w:val="24"/>
        </w:rPr>
      </w:pPr>
      <w:r>
        <w:rPr>
          <w:rFonts w:hint="eastAsia" w:ascii="宋体"/>
          <w:sz w:val="24"/>
          <w:szCs w:val="24"/>
        </w:rPr>
        <w:t>供应商认为磋商文件、采购过程和成交结果使自己的权益</w:t>
      </w:r>
      <w:r>
        <w:rPr>
          <w:rFonts w:hint="eastAsia" w:ascii="宋体"/>
          <w:sz w:val="24"/>
          <w:szCs w:val="24"/>
          <w:lang w:val="en-US" w:eastAsia="zh-CN"/>
        </w:rPr>
        <w:t>受到</w:t>
      </w:r>
      <w:bookmarkStart w:id="157" w:name="_GoBack"/>
      <w:bookmarkEnd w:id="157"/>
      <w:r>
        <w:rPr>
          <w:rFonts w:hint="eastAsia" w:ascii="宋体"/>
          <w:sz w:val="24"/>
          <w:szCs w:val="24"/>
        </w:rPr>
        <w:t>伤害的，可向采购人或采购代理机构以书面形式提出质疑。</w:t>
      </w:r>
    </w:p>
    <w:p w14:paraId="49E66FC2">
      <w:pPr>
        <w:spacing w:line="360" w:lineRule="auto"/>
        <w:ind w:firstLine="570"/>
        <w:rPr>
          <w:rFonts w:ascii="宋体"/>
          <w:sz w:val="24"/>
          <w:szCs w:val="24"/>
        </w:rPr>
      </w:pPr>
      <w:r>
        <w:rPr>
          <w:rFonts w:hint="eastAsia" w:ascii="宋体"/>
          <w:sz w:val="24"/>
          <w:szCs w:val="24"/>
        </w:rPr>
        <w:t>提出质疑的应当是参与所质疑项目采购活动的供应商。</w:t>
      </w:r>
    </w:p>
    <w:p w14:paraId="285A3307">
      <w:pPr>
        <w:spacing w:line="360" w:lineRule="auto"/>
        <w:ind w:firstLine="570"/>
        <w:rPr>
          <w:rFonts w:ascii="宋体"/>
          <w:sz w:val="24"/>
          <w:szCs w:val="24"/>
        </w:rPr>
      </w:pPr>
      <w:r>
        <w:rPr>
          <w:rFonts w:hint="eastAsia" w:ascii="宋体"/>
          <w:sz w:val="24"/>
          <w:szCs w:val="24"/>
        </w:rPr>
        <w:t>1.质疑内容、时限</w:t>
      </w:r>
    </w:p>
    <w:p w14:paraId="27646D4F">
      <w:pPr>
        <w:spacing w:line="360" w:lineRule="auto"/>
        <w:ind w:firstLine="570"/>
        <w:rPr>
          <w:rFonts w:ascii="宋体"/>
          <w:sz w:val="24"/>
          <w:szCs w:val="24"/>
        </w:rPr>
      </w:pPr>
      <w:r>
        <w:rPr>
          <w:rFonts w:hint="eastAsia" w:ascii="宋体"/>
          <w:sz w:val="24"/>
          <w:szCs w:val="24"/>
        </w:rPr>
        <w:t>1.1供应商认为磋商文件、采购过程、成交结果使自己的权益受到损害的，可以在知道或者应知其权益受到损害之日起7个工作日内，以书面形式向采购人、采购代理机构提出质疑。</w:t>
      </w:r>
    </w:p>
    <w:p w14:paraId="52C23A67">
      <w:pPr>
        <w:spacing w:line="360" w:lineRule="auto"/>
        <w:ind w:firstLine="570"/>
        <w:rPr>
          <w:rFonts w:ascii="宋体"/>
          <w:sz w:val="24"/>
          <w:szCs w:val="24"/>
        </w:rPr>
      </w:pPr>
      <w:r>
        <w:rPr>
          <w:rFonts w:hint="eastAsia" w:ascii="宋体"/>
          <w:sz w:val="24"/>
          <w:szCs w:val="24"/>
        </w:rPr>
        <w:t>1.2 供应商提出质疑应当提交质疑函和必要的证明材料，质疑函应当包括下列内容：</w:t>
      </w:r>
    </w:p>
    <w:p w14:paraId="00475EEF">
      <w:pPr>
        <w:spacing w:line="360" w:lineRule="auto"/>
        <w:ind w:firstLine="570"/>
        <w:rPr>
          <w:rFonts w:ascii="宋体"/>
          <w:sz w:val="24"/>
          <w:szCs w:val="24"/>
        </w:rPr>
      </w:pPr>
      <w:r>
        <w:rPr>
          <w:rFonts w:hint="eastAsia" w:ascii="宋体"/>
          <w:sz w:val="24"/>
          <w:szCs w:val="24"/>
        </w:rPr>
        <w:t>（1）供应商的姓名或者名称、地址、邮编、联系人及联系电话；</w:t>
      </w:r>
    </w:p>
    <w:p w14:paraId="4D119E50">
      <w:pPr>
        <w:spacing w:line="360" w:lineRule="auto"/>
        <w:ind w:firstLine="570"/>
        <w:rPr>
          <w:rFonts w:ascii="宋体"/>
          <w:sz w:val="24"/>
          <w:szCs w:val="24"/>
        </w:rPr>
      </w:pPr>
      <w:r>
        <w:rPr>
          <w:rFonts w:hint="eastAsia" w:ascii="宋体"/>
          <w:sz w:val="24"/>
          <w:szCs w:val="24"/>
        </w:rPr>
        <w:t>（2）质疑项目的名称、项目号以及招标项目编号；</w:t>
      </w:r>
    </w:p>
    <w:p w14:paraId="37F33257">
      <w:pPr>
        <w:spacing w:line="360" w:lineRule="auto"/>
        <w:ind w:firstLine="570"/>
        <w:rPr>
          <w:rFonts w:ascii="宋体"/>
          <w:sz w:val="24"/>
          <w:szCs w:val="24"/>
        </w:rPr>
      </w:pPr>
      <w:r>
        <w:rPr>
          <w:rFonts w:hint="eastAsia" w:ascii="宋体"/>
          <w:sz w:val="24"/>
          <w:szCs w:val="24"/>
        </w:rPr>
        <w:t>（3）具体、明确的质疑事项和与质疑事项相关的请求；</w:t>
      </w:r>
    </w:p>
    <w:p w14:paraId="07DEFC37">
      <w:pPr>
        <w:spacing w:line="360" w:lineRule="auto"/>
        <w:ind w:firstLine="570"/>
        <w:rPr>
          <w:rFonts w:ascii="宋体"/>
          <w:sz w:val="24"/>
          <w:szCs w:val="24"/>
        </w:rPr>
      </w:pPr>
      <w:r>
        <w:rPr>
          <w:rFonts w:hint="eastAsia" w:ascii="宋体"/>
          <w:sz w:val="24"/>
          <w:szCs w:val="24"/>
        </w:rPr>
        <w:t>（4）事实依据；</w:t>
      </w:r>
    </w:p>
    <w:p w14:paraId="107E7DD6">
      <w:pPr>
        <w:spacing w:line="360" w:lineRule="auto"/>
        <w:ind w:firstLine="570"/>
        <w:rPr>
          <w:rFonts w:ascii="宋体"/>
          <w:sz w:val="24"/>
          <w:szCs w:val="24"/>
        </w:rPr>
      </w:pPr>
      <w:r>
        <w:rPr>
          <w:rFonts w:hint="eastAsia" w:ascii="宋体"/>
          <w:sz w:val="24"/>
          <w:szCs w:val="24"/>
        </w:rPr>
        <w:t>（5）必要的法律依据；</w:t>
      </w:r>
    </w:p>
    <w:p w14:paraId="5FAE2287">
      <w:pPr>
        <w:spacing w:line="360" w:lineRule="auto"/>
        <w:ind w:firstLine="570"/>
        <w:rPr>
          <w:rFonts w:ascii="宋体"/>
          <w:sz w:val="24"/>
          <w:szCs w:val="24"/>
        </w:rPr>
      </w:pPr>
      <w:r>
        <w:rPr>
          <w:rFonts w:hint="eastAsia" w:ascii="宋体"/>
          <w:sz w:val="24"/>
          <w:szCs w:val="24"/>
        </w:rPr>
        <w:t>（6）提出质疑的日期；</w:t>
      </w:r>
    </w:p>
    <w:p w14:paraId="366F8031">
      <w:pPr>
        <w:spacing w:line="360" w:lineRule="auto"/>
        <w:ind w:firstLine="570"/>
        <w:rPr>
          <w:rFonts w:ascii="宋体"/>
          <w:sz w:val="24"/>
          <w:szCs w:val="24"/>
        </w:rPr>
      </w:pPr>
      <w:r>
        <w:rPr>
          <w:rFonts w:hint="eastAsia" w:ascii="宋体"/>
          <w:sz w:val="24"/>
          <w:szCs w:val="24"/>
        </w:rPr>
        <w:t>（7）营业执照（或事业单位法人证书，或个体工商户营业执照或有效的自然人身份证明）复印件；</w:t>
      </w:r>
    </w:p>
    <w:p w14:paraId="6E95A7E6">
      <w:pPr>
        <w:spacing w:line="360" w:lineRule="auto"/>
        <w:ind w:firstLine="570"/>
        <w:rPr>
          <w:rFonts w:ascii="宋体"/>
          <w:sz w:val="24"/>
          <w:szCs w:val="24"/>
        </w:rPr>
      </w:pPr>
      <w:r>
        <w:rPr>
          <w:rFonts w:hint="eastAsia" w:ascii="宋体"/>
          <w:sz w:val="24"/>
          <w:szCs w:val="24"/>
        </w:rPr>
        <w:t>（8）法定代表人授权委托书原件、法定代表人身份证复印件和其授权代表的身份证复印件（供应商为自然人的提供自然人身份证复印件）；</w:t>
      </w:r>
    </w:p>
    <w:p w14:paraId="7E57030F">
      <w:pPr>
        <w:spacing w:line="360" w:lineRule="auto"/>
        <w:ind w:firstLine="570"/>
        <w:rPr>
          <w:rFonts w:ascii="宋体"/>
          <w:sz w:val="24"/>
          <w:szCs w:val="24"/>
        </w:rPr>
      </w:pPr>
      <w:r>
        <w:rPr>
          <w:rFonts w:hint="eastAsia" w:ascii="宋体"/>
          <w:sz w:val="24"/>
          <w:szCs w:val="24"/>
        </w:rPr>
        <w:t>1.3 供应商为自然人的，质疑函应当由本人签字；供应商为法人或者其他组织的，质疑函应当由法定代表人、主要负责人，或者其授权代表签字或者盖章，并加盖公章。</w:t>
      </w:r>
    </w:p>
    <w:p w14:paraId="6B1D54DA">
      <w:pPr>
        <w:spacing w:line="360" w:lineRule="auto"/>
        <w:ind w:firstLine="570"/>
        <w:rPr>
          <w:rFonts w:ascii="宋体"/>
          <w:sz w:val="24"/>
          <w:szCs w:val="24"/>
        </w:rPr>
      </w:pPr>
      <w:r>
        <w:rPr>
          <w:rFonts w:hint="eastAsia" w:ascii="宋体"/>
          <w:sz w:val="24"/>
          <w:szCs w:val="24"/>
        </w:rPr>
        <w:t>2.质疑答复</w:t>
      </w:r>
    </w:p>
    <w:p w14:paraId="5F4D1984">
      <w:pPr>
        <w:spacing w:line="360" w:lineRule="auto"/>
        <w:ind w:firstLine="570"/>
        <w:rPr>
          <w:rFonts w:ascii="宋体"/>
          <w:sz w:val="24"/>
          <w:szCs w:val="24"/>
        </w:rPr>
      </w:pPr>
      <w:r>
        <w:rPr>
          <w:rFonts w:hint="eastAsia" w:ascii="宋体"/>
          <w:sz w:val="24"/>
          <w:szCs w:val="24"/>
        </w:rPr>
        <w:t>采购人、采购代理机构应当在收到供应商的书面质疑后七个工作日内作出答复，并以书面形式通知质疑供应商和其他有关供应商。</w:t>
      </w:r>
    </w:p>
    <w:p w14:paraId="2BD8D391">
      <w:pPr>
        <w:spacing w:line="360" w:lineRule="auto"/>
        <w:ind w:firstLine="570"/>
        <w:rPr>
          <w:rFonts w:ascii="宋体"/>
          <w:sz w:val="24"/>
          <w:szCs w:val="24"/>
        </w:rPr>
      </w:pPr>
      <w:r>
        <w:rPr>
          <w:rFonts w:hint="eastAsia" w:ascii="宋体"/>
          <w:sz w:val="24"/>
          <w:szCs w:val="24"/>
        </w:rPr>
        <w:t>3.其他</w:t>
      </w:r>
    </w:p>
    <w:p w14:paraId="383929C2">
      <w:pPr>
        <w:spacing w:line="360" w:lineRule="auto"/>
        <w:ind w:firstLine="570"/>
        <w:rPr>
          <w:rFonts w:ascii="宋体"/>
          <w:sz w:val="24"/>
          <w:szCs w:val="24"/>
        </w:rPr>
      </w:pPr>
      <w:r>
        <w:rPr>
          <w:rFonts w:hint="eastAsia" w:ascii="宋体"/>
          <w:sz w:val="24"/>
          <w:szCs w:val="24"/>
        </w:rPr>
        <w:t>3.1 供应商应按照《政府采购质疑和投诉办法》（财政部令第94号）及相关法律法规要求，在法定质疑期内一次性提出针对同一采购程序环节的质疑。</w:t>
      </w:r>
    </w:p>
    <w:p w14:paraId="0403C747">
      <w:pPr>
        <w:spacing w:line="360" w:lineRule="auto"/>
        <w:ind w:firstLine="570"/>
        <w:rPr>
          <w:rFonts w:ascii="宋体"/>
          <w:sz w:val="24"/>
          <w:szCs w:val="24"/>
        </w:rPr>
      </w:pPr>
      <w:r>
        <w:rPr>
          <w:rFonts w:hint="eastAsia" w:ascii="宋体"/>
          <w:sz w:val="24"/>
          <w:szCs w:val="24"/>
        </w:rPr>
        <w:t>3.2 质疑函范本可在财政部门户网站和中国政府采购网下载。</w:t>
      </w:r>
    </w:p>
    <w:p w14:paraId="2000B36E">
      <w:pPr>
        <w:spacing w:line="360" w:lineRule="auto"/>
        <w:ind w:firstLine="570"/>
        <w:rPr>
          <w:rFonts w:ascii="宋体"/>
          <w:sz w:val="24"/>
          <w:szCs w:val="24"/>
        </w:rPr>
      </w:pPr>
      <w:r>
        <w:rPr>
          <w:rFonts w:hint="eastAsia" w:ascii="宋体"/>
          <w:sz w:val="24"/>
          <w:szCs w:val="24"/>
        </w:rPr>
        <w:t>（二）投诉</w:t>
      </w:r>
    </w:p>
    <w:p w14:paraId="55F0451F">
      <w:pPr>
        <w:spacing w:line="360" w:lineRule="auto"/>
        <w:ind w:firstLine="570"/>
        <w:rPr>
          <w:rFonts w:ascii="宋体"/>
          <w:sz w:val="24"/>
          <w:szCs w:val="24"/>
        </w:rPr>
      </w:pPr>
      <w:r>
        <w:rPr>
          <w:rFonts w:ascii="宋体"/>
          <w:sz w:val="24"/>
          <w:szCs w:val="24"/>
        </w:rPr>
        <w:t>1.</w:t>
      </w:r>
      <w:r>
        <w:rPr>
          <w:rFonts w:hint="eastAsia" w:ascii="宋体"/>
          <w:sz w:val="24"/>
          <w:szCs w:val="24"/>
        </w:rPr>
        <w:t>供应商对采购人、采购代理机构的答复不满意，或者采购人、采购代理机构未在规定时间内作出答复的，可以在答复期满后</w:t>
      </w:r>
      <w:r>
        <w:rPr>
          <w:rFonts w:ascii="宋体"/>
          <w:sz w:val="24"/>
          <w:szCs w:val="24"/>
        </w:rPr>
        <w:t>15</w:t>
      </w:r>
      <w:r>
        <w:rPr>
          <w:rFonts w:hint="eastAsia" w:ascii="宋体"/>
          <w:sz w:val="24"/>
          <w:szCs w:val="24"/>
        </w:rPr>
        <w:t>个工作日内按照相关法律法规向主管部门提起投诉。</w:t>
      </w:r>
    </w:p>
    <w:p w14:paraId="7D989F02">
      <w:pPr>
        <w:spacing w:line="360" w:lineRule="auto"/>
        <w:ind w:firstLine="570"/>
        <w:rPr>
          <w:rFonts w:ascii="宋体"/>
          <w:sz w:val="24"/>
          <w:szCs w:val="24"/>
        </w:rPr>
      </w:pPr>
      <w:r>
        <w:rPr>
          <w:rFonts w:ascii="宋体"/>
          <w:sz w:val="24"/>
          <w:szCs w:val="24"/>
        </w:rPr>
        <w:t>2.</w:t>
      </w:r>
      <w:r>
        <w:rPr>
          <w:rFonts w:hint="eastAsia" w:ascii="宋体"/>
          <w:sz w:val="24"/>
          <w:szCs w:val="24"/>
        </w:rPr>
        <w:t>供应商应按照《政府采购质疑和投诉办法》（财政部令第</w:t>
      </w:r>
      <w:r>
        <w:rPr>
          <w:rFonts w:ascii="宋体"/>
          <w:sz w:val="24"/>
          <w:szCs w:val="24"/>
        </w:rPr>
        <w:t>94</w:t>
      </w:r>
      <w:r>
        <w:rPr>
          <w:rFonts w:hint="eastAsia" w:ascii="宋体"/>
          <w:sz w:val="24"/>
          <w:szCs w:val="24"/>
        </w:rPr>
        <w:t>号）及相关法律法规要求递交投诉书和必要的证明材料。投诉书范本可在财政部门户网站和中国政府采购网下载。</w:t>
      </w:r>
    </w:p>
    <w:p w14:paraId="63190D61">
      <w:pPr>
        <w:spacing w:line="360" w:lineRule="auto"/>
        <w:ind w:firstLine="570"/>
        <w:rPr>
          <w:rFonts w:ascii="宋体"/>
          <w:sz w:val="24"/>
          <w:szCs w:val="24"/>
        </w:rPr>
      </w:pPr>
      <w:r>
        <w:rPr>
          <w:rFonts w:ascii="宋体"/>
          <w:sz w:val="24"/>
          <w:szCs w:val="24"/>
        </w:rPr>
        <w:t>3.</w:t>
      </w:r>
      <w:r>
        <w:rPr>
          <w:rFonts w:hint="eastAsia" w:ascii="宋体"/>
          <w:sz w:val="24"/>
          <w:szCs w:val="24"/>
        </w:rPr>
        <w:t>投诉书应当使用中文，相关当事人提供外文书证或者外国语视听资料的，应当附有中文译本，由翻译机构盖章或者翻译人员签名；相关当事人向主管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5323339B">
      <w:pPr>
        <w:pStyle w:val="5"/>
        <w:spacing w:before="0" w:after="0" w:line="360" w:lineRule="auto"/>
        <w:ind w:firstLine="482" w:firstLineChars="200"/>
        <w:rPr>
          <w:rFonts w:ascii="宋体"/>
          <w:sz w:val="24"/>
          <w:szCs w:val="24"/>
        </w:rPr>
      </w:pPr>
      <w:bookmarkStart w:id="100" w:name="_Toc141860877"/>
      <w:r>
        <w:rPr>
          <w:rFonts w:hint="eastAsia" w:ascii="宋体"/>
          <w:sz w:val="24"/>
          <w:szCs w:val="24"/>
        </w:rPr>
        <w:t>七、采购代理服务费</w:t>
      </w:r>
      <w:bookmarkEnd w:id="100"/>
    </w:p>
    <w:p w14:paraId="087F9455">
      <w:pPr>
        <w:spacing w:line="360" w:lineRule="auto"/>
        <w:ind w:firstLine="480" w:firstLineChars="200"/>
        <w:rPr>
          <w:rFonts w:ascii="宋体"/>
          <w:sz w:val="24"/>
        </w:rPr>
      </w:pPr>
      <w:r>
        <w:rPr>
          <w:rFonts w:hint="eastAsia" w:ascii="宋体"/>
          <w:sz w:val="24"/>
        </w:rPr>
        <w:t>（一）招标代理服务费标准</w:t>
      </w:r>
    </w:p>
    <w:p w14:paraId="216A3E3F">
      <w:pPr>
        <w:spacing w:line="360" w:lineRule="auto"/>
        <w:ind w:firstLine="480" w:firstLineChars="200"/>
        <w:rPr>
          <w:rFonts w:ascii="宋体"/>
          <w:sz w:val="24"/>
        </w:rPr>
      </w:pPr>
      <w:r>
        <w:rPr>
          <w:rFonts w:hint="eastAsia" w:ascii="宋体"/>
          <w:sz w:val="24"/>
        </w:rPr>
        <w:t>供应商中标后向采购代理机构缴纳招标代理服务费，招标代理服务费的收取标准按照以下标准执行:</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5263B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810" w:type="dxa"/>
            <w:tcBorders>
              <w:tl2br w:val="single" w:color="auto" w:sz="4" w:space="0"/>
            </w:tcBorders>
          </w:tcPr>
          <w:p w14:paraId="03E2C7AA">
            <w:pPr>
              <w:spacing w:line="240" w:lineRule="atLeast"/>
              <w:jc w:val="right"/>
              <w:rPr>
                <w:rFonts w:ascii="宋体"/>
                <w:sz w:val="21"/>
                <w:szCs w:val="21"/>
              </w:rPr>
            </w:pPr>
            <w:r>
              <w:rPr>
                <w:rFonts w:ascii="宋体"/>
                <w:sz w:val="21"/>
                <w:szCs w:val="21"/>
              </w:rPr>
              <w:pict>
                <v:line id="_x0000_s1026" o:spid="_x0000_s1026" o:spt="20" style="position:absolute;left:0pt;margin-left:-9pt;margin-top:-0.5pt;height:0.05pt;width:0.05pt;z-index:251659264;mso-width-relative:page;mso-height-relative:page;"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fPvmD1gAAAAgBAAAPAAAAAAAAAAEAIAAA&#10;ACIAAABkcnMvZG93bnJldi54bWxQSwECFAAUAAAACACHTuJA4dXFdw4CAAAbBAAADgAAAAAAAAAB&#10;ACAAAAAlAQAAZHJzL2Uyb0RvYy54bWxQSwUGAAAAAAYABgBZAQAApQUAAAAA&#10;">
                  <v:path arrowok="t"/>
                  <v:fill focussize="0,0"/>
                  <v:stroke/>
                  <v:imagedata o:title=""/>
                  <o:lock v:ext="edit"/>
                </v:line>
              </w:pict>
            </w:r>
            <w:r>
              <w:rPr>
                <w:rFonts w:hint="eastAsia" w:ascii="宋体"/>
                <w:sz w:val="21"/>
                <w:szCs w:val="21"/>
              </w:rPr>
              <w:t>招标类型</w:t>
            </w:r>
          </w:p>
          <w:p w14:paraId="1481B425">
            <w:pPr>
              <w:spacing w:line="240" w:lineRule="atLeast"/>
              <w:rPr>
                <w:rFonts w:ascii="宋体"/>
                <w:sz w:val="21"/>
                <w:szCs w:val="21"/>
              </w:rPr>
            </w:pPr>
            <w:r>
              <w:rPr>
                <w:rFonts w:hint="eastAsia" w:ascii="宋体"/>
                <w:sz w:val="21"/>
                <w:szCs w:val="21"/>
              </w:rPr>
              <w:t>中标金额（万元）</w:t>
            </w:r>
          </w:p>
        </w:tc>
        <w:tc>
          <w:tcPr>
            <w:tcW w:w="2273" w:type="dxa"/>
            <w:vAlign w:val="center"/>
          </w:tcPr>
          <w:p w14:paraId="4EE8B6B3">
            <w:pPr>
              <w:spacing w:line="240" w:lineRule="atLeast"/>
              <w:jc w:val="center"/>
              <w:rPr>
                <w:rFonts w:ascii="宋体"/>
                <w:sz w:val="21"/>
                <w:szCs w:val="21"/>
              </w:rPr>
            </w:pPr>
            <w:r>
              <w:rPr>
                <w:rFonts w:hint="eastAsia" w:ascii="宋体"/>
                <w:sz w:val="21"/>
                <w:szCs w:val="21"/>
              </w:rPr>
              <w:t>货物招标</w:t>
            </w:r>
          </w:p>
        </w:tc>
        <w:tc>
          <w:tcPr>
            <w:tcW w:w="2273" w:type="dxa"/>
            <w:vAlign w:val="center"/>
          </w:tcPr>
          <w:p w14:paraId="50B5C0E6">
            <w:pPr>
              <w:spacing w:line="240" w:lineRule="atLeast"/>
              <w:jc w:val="center"/>
              <w:rPr>
                <w:rFonts w:ascii="宋体"/>
                <w:sz w:val="21"/>
                <w:szCs w:val="21"/>
              </w:rPr>
            </w:pPr>
            <w:r>
              <w:rPr>
                <w:rFonts w:hint="eastAsia" w:ascii="宋体"/>
                <w:sz w:val="21"/>
                <w:szCs w:val="21"/>
              </w:rPr>
              <w:t>服务招标</w:t>
            </w:r>
          </w:p>
        </w:tc>
        <w:tc>
          <w:tcPr>
            <w:tcW w:w="2272" w:type="dxa"/>
            <w:vAlign w:val="center"/>
          </w:tcPr>
          <w:p w14:paraId="67B62985">
            <w:pPr>
              <w:pStyle w:val="195"/>
              <w:widowControl w:val="0"/>
              <w:pBdr>
                <w:left w:val="none" w:color="auto" w:sz="0" w:space="0"/>
                <w:right w:val="none" w:color="auto" w:sz="0" w:space="0"/>
              </w:pBdr>
              <w:spacing w:before="0" w:beforeAutospacing="0" w:after="0" w:afterAutospacing="0" w:line="240" w:lineRule="atLeast"/>
              <w:rPr>
                <w:kern w:val="2"/>
                <w:sz w:val="21"/>
                <w:szCs w:val="21"/>
              </w:rPr>
            </w:pPr>
            <w:r>
              <w:rPr>
                <w:rFonts w:hint="eastAsia"/>
                <w:kern w:val="2"/>
                <w:sz w:val="21"/>
                <w:szCs w:val="21"/>
              </w:rPr>
              <w:t>工程招标</w:t>
            </w:r>
          </w:p>
        </w:tc>
      </w:tr>
      <w:tr w14:paraId="104F7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568BF6F8">
            <w:pPr>
              <w:spacing w:line="240" w:lineRule="atLeast"/>
              <w:jc w:val="center"/>
              <w:rPr>
                <w:rFonts w:ascii="宋体"/>
                <w:sz w:val="21"/>
                <w:szCs w:val="21"/>
              </w:rPr>
            </w:pPr>
            <w:r>
              <w:rPr>
                <w:rFonts w:hint="eastAsia" w:ascii="宋体"/>
                <w:sz w:val="21"/>
                <w:szCs w:val="21"/>
              </w:rPr>
              <w:t>100（含）以下</w:t>
            </w:r>
          </w:p>
        </w:tc>
        <w:tc>
          <w:tcPr>
            <w:tcW w:w="2273" w:type="dxa"/>
            <w:vAlign w:val="center"/>
          </w:tcPr>
          <w:p w14:paraId="528E5BDD">
            <w:pPr>
              <w:spacing w:line="240" w:lineRule="atLeast"/>
              <w:jc w:val="center"/>
              <w:rPr>
                <w:rFonts w:ascii="宋体"/>
                <w:sz w:val="21"/>
                <w:szCs w:val="21"/>
              </w:rPr>
            </w:pPr>
            <w:r>
              <w:rPr>
                <w:rFonts w:hint="eastAsia" w:ascii="宋体"/>
                <w:sz w:val="21"/>
                <w:szCs w:val="21"/>
              </w:rPr>
              <w:t>1.5%</w:t>
            </w:r>
          </w:p>
        </w:tc>
        <w:tc>
          <w:tcPr>
            <w:tcW w:w="2273" w:type="dxa"/>
            <w:vAlign w:val="center"/>
          </w:tcPr>
          <w:p w14:paraId="3A6709F9">
            <w:pPr>
              <w:spacing w:line="240" w:lineRule="atLeast"/>
              <w:jc w:val="center"/>
              <w:rPr>
                <w:rFonts w:ascii="宋体"/>
                <w:sz w:val="21"/>
                <w:szCs w:val="21"/>
              </w:rPr>
            </w:pPr>
            <w:r>
              <w:rPr>
                <w:rFonts w:hint="eastAsia" w:ascii="宋体"/>
                <w:sz w:val="21"/>
                <w:szCs w:val="21"/>
              </w:rPr>
              <w:t>1.5%</w:t>
            </w:r>
          </w:p>
        </w:tc>
        <w:tc>
          <w:tcPr>
            <w:tcW w:w="2272" w:type="dxa"/>
            <w:vAlign w:val="center"/>
          </w:tcPr>
          <w:p w14:paraId="1DF66363">
            <w:pPr>
              <w:spacing w:line="240" w:lineRule="atLeast"/>
              <w:jc w:val="center"/>
              <w:rPr>
                <w:rFonts w:ascii="宋体"/>
                <w:sz w:val="21"/>
                <w:szCs w:val="21"/>
              </w:rPr>
            </w:pPr>
            <w:r>
              <w:rPr>
                <w:rFonts w:hint="eastAsia" w:ascii="宋体"/>
                <w:sz w:val="21"/>
                <w:szCs w:val="21"/>
              </w:rPr>
              <w:t>1.0%</w:t>
            </w:r>
          </w:p>
        </w:tc>
      </w:tr>
      <w:tr w14:paraId="43EA4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547546EE">
            <w:pPr>
              <w:spacing w:line="240" w:lineRule="atLeast"/>
              <w:jc w:val="center"/>
              <w:rPr>
                <w:rFonts w:ascii="宋体"/>
                <w:sz w:val="21"/>
                <w:szCs w:val="21"/>
              </w:rPr>
            </w:pPr>
            <w:r>
              <w:rPr>
                <w:rFonts w:hint="eastAsia" w:ascii="宋体"/>
                <w:sz w:val="21"/>
                <w:szCs w:val="21"/>
              </w:rPr>
              <w:t>100以上-500</w:t>
            </w:r>
          </w:p>
        </w:tc>
        <w:tc>
          <w:tcPr>
            <w:tcW w:w="2273" w:type="dxa"/>
            <w:vAlign w:val="center"/>
          </w:tcPr>
          <w:p w14:paraId="322EF7D9">
            <w:pPr>
              <w:spacing w:line="240" w:lineRule="atLeast"/>
              <w:jc w:val="center"/>
              <w:rPr>
                <w:rFonts w:ascii="宋体"/>
                <w:sz w:val="21"/>
                <w:szCs w:val="21"/>
              </w:rPr>
            </w:pPr>
            <w:r>
              <w:rPr>
                <w:rFonts w:hint="eastAsia" w:ascii="宋体"/>
                <w:sz w:val="21"/>
                <w:szCs w:val="21"/>
              </w:rPr>
              <w:t>1.1%</w:t>
            </w:r>
          </w:p>
        </w:tc>
        <w:tc>
          <w:tcPr>
            <w:tcW w:w="2273" w:type="dxa"/>
            <w:vAlign w:val="center"/>
          </w:tcPr>
          <w:p w14:paraId="4EE6FC13">
            <w:pPr>
              <w:spacing w:line="240" w:lineRule="atLeast"/>
              <w:jc w:val="center"/>
              <w:rPr>
                <w:rFonts w:ascii="宋体"/>
                <w:sz w:val="21"/>
                <w:szCs w:val="21"/>
              </w:rPr>
            </w:pPr>
            <w:r>
              <w:rPr>
                <w:rFonts w:hint="eastAsia" w:ascii="宋体"/>
                <w:sz w:val="21"/>
                <w:szCs w:val="21"/>
              </w:rPr>
              <w:t>0.8%</w:t>
            </w:r>
          </w:p>
        </w:tc>
        <w:tc>
          <w:tcPr>
            <w:tcW w:w="2272" w:type="dxa"/>
            <w:vAlign w:val="center"/>
          </w:tcPr>
          <w:p w14:paraId="0E61403E">
            <w:pPr>
              <w:spacing w:line="240" w:lineRule="atLeast"/>
              <w:jc w:val="center"/>
              <w:rPr>
                <w:rFonts w:ascii="宋体"/>
                <w:sz w:val="21"/>
                <w:szCs w:val="21"/>
              </w:rPr>
            </w:pPr>
            <w:r>
              <w:rPr>
                <w:rFonts w:hint="eastAsia" w:ascii="宋体"/>
                <w:sz w:val="21"/>
                <w:szCs w:val="21"/>
              </w:rPr>
              <w:t>0.7%</w:t>
            </w:r>
          </w:p>
        </w:tc>
      </w:tr>
      <w:tr w14:paraId="34A46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14:paraId="0EC35BDF">
            <w:pPr>
              <w:spacing w:line="240" w:lineRule="atLeast"/>
              <w:jc w:val="center"/>
              <w:rPr>
                <w:rFonts w:ascii="宋体"/>
                <w:sz w:val="21"/>
                <w:szCs w:val="21"/>
              </w:rPr>
            </w:pPr>
            <w:r>
              <w:rPr>
                <w:rFonts w:hint="eastAsia" w:ascii="宋体"/>
                <w:sz w:val="21"/>
                <w:szCs w:val="21"/>
              </w:rPr>
              <w:t>500以上-1000</w:t>
            </w:r>
          </w:p>
        </w:tc>
        <w:tc>
          <w:tcPr>
            <w:tcW w:w="2273" w:type="dxa"/>
            <w:vAlign w:val="center"/>
          </w:tcPr>
          <w:p w14:paraId="77A8295D">
            <w:pPr>
              <w:spacing w:line="240" w:lineRule="atLeast"/>
              <w:jc w:val="center"/>
              <w:rPr>
                <w:rFonts w:ascii="宋体"/>
                <w:sz w:val="21"/>
                <w:szCs w:val="21"/>
              </w:rPr>
            </w:pPr>
            <w:r>
              <w:rPr>
                <w:rFonts w:hint="eastAsia" w:ascii="宋体"/>
                <w:sz w:val="21"/>
                <w:szCs w:val="21"/>
              </w:rPr>
              <w:t>0.8%</w:t>
            </w:r>
          </w:p>
        </w:tc>
        <w:tc>
          <w:tcPr>
            <w:tcW w:w="2273" w:type="dxa"/>
            <w:vAlign w:val="center"/>
          </w:tcPr>
          <w:p w14:paraId="0947CD33">
            <w:pPr>
              <w:spacing w:line="240" w:lineRule="atLeast"/>
              <w:jc w:val="center"/>
              <w:rPr>
                <w:rFonts w:ascii="宋体"/>
                <w:sz w:val="21"/>
                <w:szCs w:val="21"/>
              </w:rPr>
            </w:pPr>
            <w:r>
              <w:rPr>
                <w:rFonts w:hint="eastAsia" w:ascii="宋体"/>
                <w:sz w:val="21"/>
                <w:szCs w:val="21"/>
              </w:rPr>
              <w:t>0.45%</w:t>
            </w:r>
          </w:p>
        </w:tc>
        <w:tc>
          <w:tcPr>
            <w:tcW w:w="2272" w:type="dxa"/>
            <w:vAlign w:val="center"/>
          </w:tcPr>
          <w:p w14:paraId="2297CD1C">
            <w:pPr>
              <w:spacing w:line="240" w:lineRule="atLeast"/>
              <w:jc w:val="center"/>
              <w:rPr>
                <w:rFonts w:ascii="宋体"/>
                <w:sz w:val="21"/>
                <w:szCs w:val="21"/>
              </w:rPr>
            </w:pPr>
            <w:r>
              <w:rPr>
                <w:rFonts w:hint="eastAsia" w:ascii="宋体"/>
                <w:sz w:val="21"/>
                <w:szCs w:val="21"/>
              </w:rPr>
              <w:t>0.55%</w:t>
            </w:r>
          </w:p>
        </w:tc>
      </w:tr>
    </w:tbl>
    <w:p w14:paraId="22C6E159">
      <w:pPr>
        <w:snapToGrid w:val="0"/>
        <w:spacing w:line="360" w:lineRule="auto"/>
        <w:ind w:firstLine="480" w:firstLineChars="200"/>
        <w:rPr>
          <w:rFonts w:ascii="宋体"/>
          <w:sz w:val="24"/>
        </w:rPr>
      </w:pPr>
      <w:r>
        <w:rPr>
          <w:rFonts w:hint="eastAsia" w:ascii="宋体"/>
          <w:sz w:val="24"/>
        </w:rPr>
        <w:t>注：采购代理服务收费按差额定率累进法计算。采购代理服务费按上表计算出不足3500元的，按3500元记取。</w:t>
      </w:r>
    </w:p>
    <w:p w14:paraId="42BFCE13">
      <w:pPr>
        <w:snapToGrid w:val="0"/>
        <w:spacing w:line="360" w:lineRule="auto"/>
        <w:ind w:firstLine="480" w:firstLineChars="200"/>
        <w:rPr>
          <w:rFonts w:ascii="宋体"/>
          <w:sz w:val="24"/>
          <w:szCs w:val="24"/>
        </w:rPr>
      </w:pPr>
      <w:r>
        <w:rPr>
          <w:rFonts w:hint="eastAsia" w:ascii="宋体"/>
          <w:sz w:val="24"/>
          <w:szCs w:val="24"/>
        </w:rPr>
        <w:t>（二）采购代理服务费缴纳账户信息：</w:t>
      </w:r>
    </w:p>
    <w:p w14:paraId="53519853">
      <w:pPr>
        <w:snapToGrid w:val="0"/>
        <w:spacing w:line="360" w:lineRule="auto"/>
        <w:ind w:firstLine="482" w:firstLineChars="200"/>
        <w:rPr>
          <w:rFonts w:ascii="宋体"/>
          <w:b/>
          <w:sz w:val="24"/>
          <w:szCs w:val="24"/>
        </w:rPr>
      </w:pPr>
      <w:r>
        <w:rPr>
          <w:rFonts w:hint="eastAsia" w:ascii="宋体"/>
          <w:b/>
          <w:sz w:val="24"/>
          <w:szCs w:val="24"/>
        </w:rPr>
        <w:t>户  名：重庆市中基致信招标代理有限公司</w:t>
      </w:r>
    </w:p>
    <w:p w14:paraId="7C4D97CB">
      <w:pPr>
        <w:snapToGrid w:val="0"/>
        <w:spacing w:line="360" w:lineRule="auto"/>
        <w:ind w:firstLine="482" w:firstLineChars="200"/>
        <w:rPr>
          <w:rFonts w:ascii="宋体"/>
          <w:b/>
          <w:sz w:val="24"/>
          <w:szCs w:val="24"/>
        </w:rPr>
      </w:pPr>
      <w:r>
        <w:rPr>
          <w:rFonts w:hint="eastAsia" w:ascii="宋体"/>
          <w:b/>
          <w:sz w:val="24"/>
          <w:szCs w:val="24"/>
        </w:rPr>
        <w:t>开户行：中国银行重庆江北支行</w:t>
      </w:r>
    </w:p>
    <w:p w14:paraId="47C53950">
      <w:pPr>
        <w:snapToGrid w:val="0"/>
        <w:spacing w:line="360" w:lineRule="auto"/>
        <w:ind w:firstLine="482" w:firstLineChars="200"/>
        <w:rPr>
          <w:rFonts w:ascii="宋体"/>
          <w:b/>
          <w:sz w:val="24"/>
          <w:szCs w:val="24"/>
        </w:rPr>
      </w:pPr>
      <w:r>
        <w:rPr>
          <w:rFonts w:hint="eastAsia" w:ascii="宋体"/>
          <w:b/>
          <w:sz w:val="24"/>
          <w:szCs w:val="24"/>
        </w:rPr>
        <w:t>账  号：1144 6718 4234</w:t>
      </w:r>
    </w:p>
    <w:p w14:paraId="7434818F">
      <w:pPr>
        <w:pStyle w:val="5"/>
        <w:spacing w:before="0" w:after="0" w:line="360" w:lineRule="auto"/>
        <w:ind w:firstLine="482" w:firstLineChars="200"/>
        <w:rPr>
          <w:rFonts w:ascii="宋体"/>
          <w:sz w:val="24"/>
          <w:szCs w:val="24"/>
        </w:rPr>
      </w:pPr>
      <w:bookmarkStart w:id="101" w:name="_Toc102227322"/>
      <w:bookmarkStart w:id="102" w:name="_Toc342913396"/>
      <w:bookmarkStart w:id="103" w:name="_Toc141860878"/>
      <w:bookmarkStart w:id="104" w:name="_Toc12789059"/>
      <w:bookmarkStart w:id="105" w:name="_Toc11641055"/>
      <w:r>
        <w:rPr>
          <w:rFonts w:hint="eastAsia" w:ascii="宋体"/>
          <w:sz w:val="24"/>
          <w:szCs w:val="24"/>
        </w:rPr>
        <w:t>八、签订</w:t>
      </w:r>
      <w:bookmarkEnd w:id="101"/>
      <w:r>
        <w:rPr>
          <w:rFonts w:hint="eastAsia" w:ascii="宋体"/>
          <w:sz w:val="24"/>
          <w:szCs w:val="24"/>
        </w:rPr>
        <w:t>合同</w:t>
      </w:r>
      <w:bookmarkEnd w:id="102"/>
      <w:bookmarkEnd w:id="103"/>
    </w:p>
    <w:p w14:paraId="1D5B4070">
      <w:pPr>
        <w:spacing w:line="360" w:lineRule="auto"/>
        <w:ind w:firstLine="480" w:firstLineChars="200"/>
        <w:rPr>
          <w:rFonts w:ascii="宋体"/>
          <w:sz w:val="24"/>
          <w:szCs w:val="24"/>
        </w:rPr>
      </w:pPr>
      <w:r>
        <w:rPr>
          <w:rFonts w:hint="eastAsia" w:ascii="宋体"/>
          <w:sz w:val="24"/>
          <w:szCs w:val="24"/>
        </w:rPr>
        <w:t>（一）采购人与成交供应商应当在成交通知书发出之日起20日内，按照磋商文件确定的合同文本以及技术和服务要求等事项签订政府采购合同。</w:t>
      </w:r>
    </w:p>
    <w:p w14:paraId="50C3DB55">
      <w:pPr>
        <w:spacing w:line="360" w:lineRule="auto"/>
        <w:ind w:firstLine="480" w:firstLineChars="200"/>
        <w:rPr>
          <w:rFonts w:ascii="宋体"/>
          <w:sz w:val="24"/>
          <w:szCs w:val="24"/>
        </w:rPr>
      </w:pPr>
      <w:r>
        <w:rPr>
          <w:rFonts w:hint="eastAsia" w:ascii="宋体"/>
          <w:sz w:val="24"/>
          <w:szCs w:val="24"/>
        </w:rPr>
        <w:t>（二）竞争性磋商文件、成交供应商的响应文件及有效承诺文件等，均为签订合同的依据。</w:t>
      </w:r>
    </w:p>
    <w:p w14:paraId="04C23322">
      <w:pPr>
        <w:spacing w:line="360" w:lineRule="auto"/>
        <w:ind w:firstLine="480" w:firstLineChars="200"/>
        <w:rPr>
          <w:rFonts w:ascii="宋体"/>
          <w:sz w:val="24"/>
          <w:szCs w:val="24"/>
        </w:rPr>
      </w:pPr>
      <w:r>
        <w:rPr>
          <w:rFonts w:hint="eastAsia" w:ascii="宋体"/>
          <w:sz w:val="24"/>
          <w:szCs w:val="24"/>
        </w:rPr>
        <w:t>（三）如成交供应商放弃成交项目或在签订合同时擅自改变成交状态的，采购人将按照相关法律法规处理。</w:t>
      </w:r>
    </w:p>
    <w:p w14:paraId="29305E5E">
      <w:pPr>
        <w:spacing w:line="360" w:lineRule="auto"/>
        <w:ind w:firstLine="480" w:firstLineChars="200"/>
        <w:rPr>
          <w:rFonts w:ascii="宋体"/>
          <w:sz w:val="24"/>
          <w:szCs w:val="24"/>
        </w:rPr>
      </w:pPr>
      <w:r>
        <w:rPr>
          <w:rFonts w:hint="eastAsia" w:ascii="宋体"/>
          <w:sz w:val="24"/>
          <w:szCs w:val="24"/>
        </w:rPr>
        <w:t>（四）采购人不得向成交供应商提出超出竞争性磋商文件以外的任何要求作为签订合同的条件，不得与成交供应商订立背离竞争性磋商确定的合同文本以及采购标的、规格型号、采购金额、采购数量、技术和服务要求等实质性内容的协议。</w:t>
      </w:r>
    </w:p>
    <w:p w14:paraId="3FA10CC6">
      <w:pPr>
        <w:spacing w:line="360" w:lineRule="auto"/>
        <w:ind w:firstLine="480" w:firstLineChars="200"/>
        <w:rPr>
          <w:rFonts w:ascii="宋体"/>
          <w:sz w:val="24"/>
          <w:szCs w:val="24"/>
        </w:rPr>
      </w:pPr>
      <w:r>
        <w:rPr>
          <w:rFonts w:hint="eastAsia" w:ascii="宋体"/>
          <w:sz w:val="24"/>
          <w:szCs w:val="24"/>
        </w:rPr>
        <w:t>（五）除不可抗力等因素外，成交通知书发出后，采购人改变成交结果，或者成交供应商拒绝签订政府采购合同的，应当承担相应的法律责任。</w:t>
      </w:r>
    </w:p>
    <w:p w14:paraId="2073CC7E">
      <w:pPr>
        <w:pStyle w:val="4"/>
        <w:pageBreakBefore/>
        <w:spacing w:line="360" w:lineRule="auto"/>
        <w:jc w:val="center"/>
        <w:rPr>
          <w:rFonts w:ascii="宋体" w:eastAsia="宋体"/>
          <w:sz w:val="36"/>
          <w:szCs w:val="30"/>
        </w:rPr>
      </w:pPr>
      <w:bookmarkStart w:id="106" w:name="_Toc141860879"/>
      <w:r>
        <w:rPr>
          <w:rFonts w:hint="eastAsia" w:ascii="宋体" w:eastAsia="宋体"/>
          <w:sz w:val="36"/>
          <w:szCs w:val="30"/>
        </w:rPr>
        <w:t xml:space="preserve">第六篇  </w:t>
      </w:r>
      <w:bookmarkEnd w:id="104"/>
      <w:bookmarkEnd w:id="105"/>
      <w:r>
        <w:rPr>
          <w:rFonts w:hint="eastAsia" w:ascii="宋体" w:eastAsia="宋体"/>
          <w:sz w:val="36"/>
          <w:szCs w:val="30"/>
        </w:rPr>
        <w:t>合同草案条款</w:t>
      </w:r>
      <w:bookmarkEnd w:id="106"/>
    </w:p>
    <w:p w14:paraId="1578B8F8">
      <w:pPr>
        <w:pStyle w:val="5"/>
        <w:spacing w:before="0" w:after="0" w:line="360" w:lineRule="auto"/>
        <w:ind w:firstLine="482" w:firstLineChars="200"/>
        <w:rPr>
          <w:rFonts w:ascii="宋体"/>
          <w:sz w:val="24"/>
          <w:szCs w:val="24"/>
        </w:rPr>
      </w:pPr>
      <w:bookmarkStart w:id="107" w:name="_Hlt41879464"/>
      <w:bookmarkEnd w:id="107"/>
      <w:bookmarkStart w:id="108" w:name="_Toc277084870"/>
      <w:bookmarkStart w:id="109" w:name="_Toc141860880"/>
      <w:bookmarkStart w:id="110" w:name="_Toc78194465"/>
      <w:bookmarkStart w:id="111" w:name="_Toc285722712"/>
      <w:bookmarkStart w:id="112" w:name="_Toc508007737"/>
      <w:bookmarkStart w:id="113" w:name="_Toc12789072"/>
      <w:r>
        <w:rPr>
          <w:rFonts w:hint="eastAsia" w:ascii="宋体"/>
          <w:sz w:val="24"/>
          <w:szCs w:val="24"/>
        </w:rPr>
        <w:t>一、合同主要条款</w:t>
      </w:r>
      <w:bookmarkEnd w:id="108"/>
      <w:bookmarkEnd w:id="109"/>
      <w:bookmarkEnd w:id="110"/>
      <w:bookmarkEnd w:id="111"/>
      <w:bookmarkEnd w:id="112"/>
    </w:p>
    <w:p w14:paraId="535CC89A">
      <w:pPr>
        <w:snapToGrid w:val="0"/>
        <w:spacing w:line="360" w:lineRule="auto"/>
        <w:ind w:firstLine="480" w:firstLineChars="200"/>
        <w:outlineLvl w:val="0"/>
        <w:rPr>
          <w:rFonts w:ascii="宋体"/>
          <w:bCs/>
          <w:sz w:val="24"/>
        </w:rPr>
      </w:pPr>
      <w:r>
        <w:rPr>
          <w:rFonts w:hint="eastAsia" w:ascii="宋体"/>
          <w:bCs/>
          <w:sz w:val="24"/>
        </w:rPr>
        <w:t>（一）定义</w:t>
      </w:r>
    </w:p>
    <w:p w14:paraId="298892DD">
      <w:pPr>
        <w:snapToGrid w:val="0"/>
        <w:spacing w:line="360" w:lineRule="auto"/>
        <w:ind w:firstLine="480" w:firstLineChars="200"/>
        <w:outlineLvl w:val="0"/>
        <w:rPr>
          <w:rFonts w:ascii="宋体"/>
          <w:bCs/>
          <w:sz w:val="24"/>
        </w:rPr>
      </w:pPr>
      <w:r>
        <w:rPr>
          <w:rFonts w:hint="eastAsia" w:ascii="宋体"/>
          <w:bCs/>
          <w:sz w:val="24"/>
        </w:rPr>
        <w:t>1.甲方（需方）即采购人，是指通过招标采购，接受服务的各级国家机关、事业单位和团体组织。</w:t>
      </w:r>
    </w:p>
    <w:p w14:paraId="7776F6BB">
      <w:pPr>
        <w:snapToGrid w:val="0"/>
        <w:spacing w:line="360" w:lineRule="auto"/>
        <w:ind w:firstLine="480" w:firstLineChars="200"/>
        <w:outlineLvl w:val="0"/>
        <w:rPr>
          <w:rFonts w:ascii="宋体"/>
          <w:bCs/>
          <w:sz w:val="24"/>
        </w:rPr>
      </w:pPr>
      <w:r>
        <w:rPr>
          <w:rFonts w:hint="eastAsia" w:ascii="宋体"/>
          <w:bCs/>
          <w:sz w:val="24"/>
        </w:rPr>
        <w:t>2.乙方（供方）即成交供应商，是指中标后提供服务的自然人、法人及其他组织。</w:t>
      </w:r>
    </w:p>
    <w:p w14:paraId="29E46AF5">
      <w:pPr>
        <w:snapToGrid w:val="0"/>
        <w:spacing w:line="360" w:lineRule="auto"/>
        <w:ind w:firstLine="480" w:firstLineChars="200"/>
        <w:outlineLvl w:val="0"/>
        <w:rPr>
          <w:rFonts w:ascii="宋体"/>
          <w:bCs/>
          <w:sz w:val="24"/>
        </w:rPr>
      </w:pPr>
      <w:r>
        <w:rPr>
          <w:rFonts w:hint="eastAsia" w:ascii="宋体"/>
          <w:bCs/>
          <w:sz w:val="24"/>
        </w:rPr>
        <w:t>3.合同是指由甲乙双方按照采购文件和响应文件的实质性内容，通过协商一致达成的书面协议。</w:t>
      </w:r>
    </w:p>
    <w:p w14:paraId="3AE7F8C5">
      <w:pPr>
        <w:snapToGrid w:val="0"/>
        <w:spacing w:line="360" w:lineRule="auto"/>
        <w:ind w:firstLine="480" w:firstLineChars="200"/>
        <w:outlineLvl w:val="0"/>
        <w:rPr>
          <w:rFonts w:ascii="宋体"/>
          <w:bCs/>
          <w:sz w:val="24"/>
        </w:rPr>
      </w:pPr>
      <w:r>
        <w:rPr>
          <w:rFonts w:hint="eastAsia" w:ascii="宋体"/>
          <w:bCs/>
          <w:sz w:val="24"/>
        </w:rPr>
        <w:t>4.合同价格指以中标价格为依据，在供方全面履行合同义务后，需方应支付给供方的金额。</w:t>
      </w:r>
    </w:p>
    <w:p w14:paraId="703F6725">
      <w:pPr>
        <w:snapToGrid w:val="0"/>
        <w:spacing w:line="360" w:lineRule="auto"/>
        <w:ind w:firstLine="480" w:firstLineChars="200"/>
        <w:outlineLvl w:val="0"/>
        <w:rPr>
          <w:rFonts w:ascii="宋体"/>
          <w:bCs/>
          <w:sz w:val="24"/>
        </w:rPr>
      </w:pPr>
      <w:r>
        <w:rPr>
          <w:rFonts w:hint="eastAsia" w:ascii="宋体"/>
          <w:bCs/>
          <w:sz w:val="24"/>
        </w:rPr>
        <w:t>（二）服务内容</w:t>
      </w:r>
    </w:p>
    <w:p w14:paraId="4B64DE84">
      <w:pPr>
        <w:snapToGrid w:val="0"/>
        <w:spacing w:line="360" w:lineRule="auto"/>
        <w:ind w:firstLine="480" w:firstLineChars="200"/>
        <w:outlineLvl w:val="0"/>
        <w:rPr>
          <w:rFonts w:ascii="宋体"/>
          <w:bCs/>
          <w:sz w:val="24"/>
        </w:rPr>
      </w:pPr>
      <w:r>
        <w:rPr>
          <w:rFonts w:hint="eastAsia" w:ascii="宋体"/>
          <w:bCs/>
          <w:sz w:val="24"/>
        </w:rPr>
        <w:t xml:space="preserve">合同包括以下服务内容： </w:t>
      </w:r>
    </w:p>
    <w:p w14:paraId="77B95354">
      <w:pPr>
        <w:snapToGrid w:val="0"/>
        <w:spacing w:line="360" w:lineRule="auto"/>
        <w:ind w:firstLine="480" w:firstLineChars="200"/>
        <w:outlineLvl w:val="0"/>
        <w:rPr>
          <w:rFonts w:ascii="宋体"/>
          <w:bCs/>
          <w:sz w:val="24"/>
        </w:rPr>
      </w:pPr>
      <w:r>
        <w:rPr>
          <w:rFonts w:hint="eastAsia" w:ascii="宋体"/>
          <w:bCs/>
          <w:sz w:val="24"/>
        </w:rPr>
        <w:t>（三）合同价格</w:t>
      </w:r>
    </w:p>
    <w:p w14:paraId="1BBEB481">
      <w:pPr>
        <w:snapToGrid w:val="0"/>
        <w:spacing w:line="360" w:lineRule="auto"/>
        <w:ind w:firstLine="480" w:firstLineChars="200"/>
        <w:outlineLvl w:val="0"/>
        <w:rPr>
          <w:rFonts w:ascii="宋体"/>
          <w:bCs/>
          <w:sz w:val="24"/>
        </w:rPr>
      </w:pPr>
      <w:r>
        <w:rPr>
          <w:rFonts w:hint="eastAsia" w:ascii="宋体"/>
          <w:bCs/>
          <w:sz w:val="24"/>
        </w:rPr>
        <w:t>1.合同价格即合同总价。</w:t>
      </w:r>
    </w:p>
    <w:p w14:paraId="7E1F7D6B">
      <w:pPr>
        <w:snapToGrid w:val="0"/>
        <w:spacing w:line="360" w:lineRule="auto"/>
        <w:ind w:firstLine="480" w:firstLineChars="200"/>
        <w:outlineLvl w:val="0"/>
        <w:rPr>
          <w:rFonts w:ascii="宋体"/>
          <w:bCs/>
          <w:sz w:val="24"/>
        </w:rPr>
      </w:pPr>
      <w:r>
        <w:rPr>
          <w:rFonts w:hint="eastAsia" w:ascii="宋体"/>
          <w:bCs/>
          <w:sz w:val="24"/>
        </w:rPr>
        <w:t>2.合同价格</w:t>
      </w:r>
      <w:r>
        <w:rPr>
          <w:rFonts w:hint="eastAsia" w:ascii="宋体"/>
          <w:sz w:val="24"/>
          <w:szCs w:val="24"/>
        </w:rPr>
        <w:t>包括（但不限于）服务费、集成费、设备租赁费、设备采购费、软件开发费、差旅费、保障费、税费等所有费用。因乙方供应商自身原因造成漏报、少报皆由其自行承担责任，甲方不再补偿。</w:t>
      </w:r>
    </w:p>
    <w:p w14:paraId="191B79CB">
      <w:pPr>
        <w:snapToGrid w:val="0"/>
        <w:spacing w:line="360" w:lineRule="auto"/>
        <w:ind w:firstLine="480" w:firstLineChars="200"/>
        <w:outlineLvl w:val="0"/>
        <w:rPr>
          <w:rFonts w:ascii="宋体"/>
          <w:bCs/>
          <w:sz w:val="24"/>
        </w:rPr>
      </w:pPr>
      <w:r>
        <w:rPr>
          <w:rFonts w:hint="eastAsia" w:ascii="宋体"/>
          <w:bCs/>
          <w:sz w:val="24"/>
        </w:rPr>
        <w:t>3.合同价为不变价。</w:t>
      </w:r>
    </w:p>
    <w:p w14:paraId="4E1C2767">
      <w:pPr>
        <w:snapToGrid w:val="0"/>
        <w:spacing w:line="360" w:lineRule="auto"/>
        <w:ind w:firstLine="480" w:firstLineChars="200"/>
        <w:outlineLvl w:val="0"/>
        <w:rPr>
          <w:rFonts w:ascii="宋体"/>
          <w:bCs/>
          <w:sz w:val="24"/>
        </w:rPr>
      </w:pPr>
      <w:r>
        <w:rPr>
          <w:rFonts w:hint="eastAsia" w:ascii="宋体"/>
          <w:bCs/>
          <w:sz w:val="24"/>
        </w:rPr>
        <w:t>（四）转包和分包</w:t>
      </w:r>
    </w:p>
    <w:p w14:paraId="29207F46">
      <w:pPr>
        <w:snapToGrid w:val="0"/>
        <w:spacing w:line="360" w:lineRule="auto"/>
        <w:ind w:firstLine="480" w:firstLineChars="200"/>
        <w:outlineLvl w:val="0"/>
        <w:rPr>
          <w:rFonts w:ascii="宋体"/>
          <w:bCs/>
          <w:sz w:val="24"/>
        </w:rPr>
      </w:pPr>
      <w:r>
        <w:rPr>
          <w:rFonts w:hint="eastAsia" w:ascii="宋体"/>
          <w:bCs/>
          <w:sz w:val="24"/>
        </w:rPr>
        <w:t>1.本合同范围的所有服务工作，应由乙方直接提供，不得转让他人提供。</w:t>
      </w:r>
    </w:p>
    <w:p w14:paraId="5EBF66A3">
      <w:pPr>
        <w:snapToGrid w:val="0"/>
        <w:spacing w:line="360" w:lineRule="auto"/>
        <w:ind w:firstLine="480" w:firstLineChars="200"/>
        <w:outlineLvl w:val="0"/>
        <w:rPr>
          <w:rFonts w:ascii="宋体"/>
          <w:bCs/>
          <w:sz w:val="24"/>
        </w:rPr>
      </w:pPr>
      <w:r>
        <w:rPr>
          <w:rFonts w:hint="eastAsia" w:ascii="宋体"/>
          <w:bCs/>
          <w:sz w:val="24"/>
        </w:rPr>
        <w:t>2.非经甲方书面同意，乙方不得将本合同范围的服务工作全部或部分转包给他人提供。</w:t>
      </w:r>
    </w:p>
    <w:p w14:paraId="6FD15C9E">
      <w:pPr>
        <w:snapToGrid w:val="0"/>
        <w:spacing w:line="360" w:lineRule="auto"/>
        <w:ind w:firstLine="480" w:firstLineChars="200"/>
        <w:outlineLvl w:val="0"/>
        <w:rPr>
          <w:rFonts w:ascii="宋体"/>
          <w:bCs/>
          <w:sz w:val="24"/>
        </w:rPr>
      </w:pPr>
      <w:r>
        <w:rPr>
          <w:rFonts w:hint="eastAsia" w:ascii="宋体"/>
          <w:bCs/>
          <w:sz w:val="24"/>
        </w:rPr>
        <w:t>3.如有转包和未经甲方同意的分包行为，甲方有权解除合同，没收履约保证金并追究乙方的违约责任。</w:t>
      </w:r>
    </w:p>
    <w:p w14:paraId="4DDB1EB2">
      <w:pPr>
        <w:adjustRightInd w:val="0"/>
        <w:snapToGrid w:val="0"/>
        <w:spacing w:line="360" w:lineRule="auto"/>
        <w:ind w:firstLine="480" w:firstLineChars="200"/>
        <w:rPr>
          <w:rFonts w:ascii="宋体"/>
          <w:sz w:val="24"/>
        </w:rPr>
      </w:pPr>
      <w:r>
        <w:rPr>
          <w:rFonts w:hint="eastAsia" w:ascii="宋体"/>
          <w:bCs/>
          <w:sz w:val="24"/>
        </w:rPr>
        <w:t>（五）质量保证及售后服务</w:t>
      </w:r>
    </w:p>
    <w:p w14:paraId="6A3571E5">
      <w:pPr>
        <w:adjustRightInd w:val="0"/>
        <w:snapToGrid w:val="0"/>
        <w:spacing w:line="360" w:lineRule="auto"/>
        <w:ind w:firstLine="480" w:firstLineChars="200"/>
        <w:rPr>
          <w:rFonts w:ascii="宋体"/>
          <w:sz w:val="24"/>
        </w:rPr>
      </w:pPr>
      <w:r>
        <w:rPr>
          <w:rFonts w:hint="eastAsia" w:ascii="宋体"/>
          <w:sz w:val="24"/>
        </w:rPr>
        <w:t>1.乙方应按采购文件规定要求向甲方提供服务。</w:t>
      </w:r>
    </w:p>
    <w:p w14:paraId="1F5F593A">
      <w:pPr>
        <w:adjustRightInd w:val="0"/>
        <w:snapToGrid w:val="0"/>
        <w:spacing w:line="360" w:lineRule="auto"/>
        <w:ind w:firstLine="480" w:firstLineChars="200"/>
        <w:rPr>
          <w:rFonts w:ascii="宋体"/>
          <w:sz w:val="24"/>
        </w:rPr>
      </w:pPr>
      <w:r>
        <w:rPr>
          <w:rFonts w:hint="eastAsia" w:ascii="宋体"/>
          <w:sz w:val="24"/>
        </w:rPr>
        <w:t>2.在服务期内，乙方应对服务质量负责。</w:t>
      </w:r>
    </w:p>
    <w:p w14:paraId="27EEC34A">
      <w:pPr>
        <w:adjustRightInd w:val="0"/>
        <w:snapToGrid w:val="0"/>
        <w:spacing w:line="360" w:lineRule="auto"/>
        <w:ind w:firstLine="480" w:firstLineChars="200"/>
        <w:rPr>
          <w:rFonts w:ascii="宋体"/>
          <w:sz w:val="24"/>
        </w:rPr>
      </w:pPr>
      <w:r>
        <w:rPr>
          <w:rFonts w:hint="eastAsia" w:ascii="宋体"/>
          <w:sz w:val="24"/>
        </w:rPr>
        <w:t>3.如甲方要求乙方提供履约保证金的，履约保证金的收取和退还应按本项目采购文件第三篇“项目商务要求”的要求处理。</w:t>
      </w:r>
    </w:p>
    <w:p w14:paraId="0DC6B0B9">
      <w:pPr>
        <w:adjustRightInd w:val="0"/>
        <w:snapToGrid w:val="0"/>
        <w:spacing w:line="360" w:lineRule="auto"/>
        <w:ind w:firstLine="480" w:firstLineChars="200"/>
        <w:rPr>
          <w:rFonts w:ascii="宋体"/>
          <w:sz w:val="24"/>
        </w:rPr>
      </w:pPr>
      <w:r>
        <w:rPr>
          <w:rFonts w:hint="eastAsia" w:ascii="宋体"/>
          <w:sz w:val="24"/>
        </w:rPr>
        <w:t>（六）付款</w:t>
      </w:r>
    </w:p>
    <w:p w14:paraId="1A765D96">
      <w:pPr>
        <w:adjustRightInd w:val="0"/>
        <w:snapToGrid w:val="0"/>
        <w:spacing w:line="360" w:lineRule="auto"/>
        <w:ind w:firstLine="480" w:firstLineChars="200"/>
        <w:rPr>
          <w:rFonts w:ascii="宋体"/>
          <w:sz w:val="24"/>
        </w:rPr>
      </w:pPr>
      <w:r>
        <w:rPr>
          <w:rFonts w:hint="eastAsia" w:ascii="宋体"/>
          <w:sz w:val="24"/>
        </w:rPr>
        <w:t>1.本合同使用货币币制如未作特别说明均为人民币。</w:t>
      </w:r>
    </w:p>
    <w:p w14:paraId="49F0F5B2">
      <w:pPr>
        <w:adjustRightInd w:val="0"/>
        <w:snapToGrid w:val="0"/>
        <w:spacing w:line="360" w:lineRule="auto"/>
        <w:ind w:firstLine="480" w:firstLineChars="200"/>
        <w:rPr>
          <w:rFonts w:ascii="宋体"/>
          <w:sz w:val="24"/>
        </w:rPr>
      </w:pPr>
      <w:r>
        <w:rPr>
          <w:rFonts w:hint="eastAsia" w:ascii="宋体"/>
          <w:sz w:val="24"/>
        </w:rPr>
        <w:t>2.付款方式：银行转账、现金支票。</w:t>
      </w:r>
    </w:p>
    <w:p w14:paraId="3C0E7BF7">
      <w:pPr>
        <w:adjustRightInd w:val="0"/>
        <w:snapToGrid w:val="0"/>
        <w:spacing w:line="360" w:lineRule="auto"/>
        <w:ind w:firstLine="480" w:firstLineChars="200"/>
        <w:rPr>
          <w:rFonts w:ascii="宋体"/>
          <w:sz w:val="24"/>
        </w:rPr>
      </w:pPr>
      <w:r>
        <w:rPr>
          <w:rFonts w:hint="eastAsia" w:ascii="宋体"/>
          <w:sz w:val="24"/>
        </w:rPr>
        <w:t>3.付款方法：参照本项目采购文件第三篇“项目商务要求”中关于付款方式的约定。</w:t>
      </w:r>
    </w:p>
    <w:p w14:paraId="12B68574">
      <w:pPr>
        <w:adjustRightInd w:val="0"/>
        <w:snapToGrid w:val="0"/>
        <w:spacing w:line="360" w:lineRule="auto"/>
        <w:ind w:firstLine="480" w:firstLineChars="200"/>
        <w:rPr>
          <w:rFonts w:ascii="宋体"/>
          <w:sz w:val="24"/>
        </w:rPr>
      </w:pPr>
      <w:r>
        <w:rPr>
          <w:rFonts w:hint="eastAsia" w:ascii="宋体"/>
          <w:sz w:val="24"/>
        </w:rPr>
        <w:t>（七）检查验收</w:t>
      </w:r>
    </w:p>
    <w:p w14:paraId="7F2A7AFE">
      <w:pPr>
        <w:adjustRightInd w:val="0"/>
        <w:snapToGrid w:val="0"/>
        <w:spacing w:line="360" w:lineRule="auto"/>
        <w:ind w:firstLine="480" w:firstLineChars="200"/>
        <w:rPr>
          <w:rFonts w:ascii="宋体"/>
          <w:sz w:val="24"/>
        </w:rPr>
      </w:pPr>
      <w:r>
        <w:rPr>
          <w:rFonts w:hint="eastAsia" w:ascii="宋体"/>
          <w:sz w:val="24"/>
        </w:rPr>
        <w:t>（八）索赔</w:t>
      </w:r>
    </w:p>
    <w:p w14:paraId="1BBD69E5">
      <w:pPr>
        <w:adjustRightInd w:val="0"/>
        <w:snapToGrid w:val="0"/>
        <w:spacing w:line="360" w:lineRule="auto"/>
        <w:ind w:firstLine="480" w:firstLineChars="200"/>
        <w:rPr>
          <w:rFonts w:ascii="宋体"/>
          <w:sz w:val="24"/>
        </w:rPr>
      </w:pPr>
      <w:r>
        <w:rPr>
          <w:rFonts w:hint="eastAsia" w:ascii="宋体"/>
          <w:sz w:val="24"/>
        </w:rPr>
        <w:t>供方对服务与合同要求不符负有责任，并且需方已于规定服务内和质量保证期内提出索赔，供方应按需方同意的下述一种或多种方法解决索赔事宜。</w:t>
      </w:r>
    </w:p>
    <w:p w14:paraId="4C944757">
      <w:pPr>
        <w:adjustRightInd w:val="0"/>
        <w:snapToGrid w:val="0"/>
        <w:spacing w:line="360" w:lineRule="auto"/>
        <w:ind w:firstLine="480" w:firstLineChars="200"/>
        <w:rPr>
          <w:rFonts w:ascii="宋体"/>
          <w:sz w:val="24"/>
        </w:rPr>
      </w:pPr>
      <w:r>
        <w:rPr>
          <w:rFonts w:hint="eastAsia" w:ascii="宋体"/>
          <w:sz w:val="24"/>
        </w:rPr>
        <w:t>（九）知识产权</w:t>
      </w:r>
    </w:p>
    <w:p w14:paraId="6F81A394">
      <w:pPr>
        <w:adjustRightInd w:val="0"/>
        <w:snapToGrid w:val="0"/>
        <w:spacing w:line="360" w:lineRule="auto"/>
        <w:ind w:firstLine="480" w:firstLineChars="200"/>
        <w:rPr>
          <w:rFonts w:ascii="宋体"/>
          <w:sz w:val="24"/>
        </w:rPr>
      </w:pPr>
      <w:r>
        <w:rPr>
          <w:rFonts w:hint="eastAsia" w:ascii="宋体" w:cs="宋体"/>
          <w:kern w:val="0"/>
          <w:sz w:val="24"/>
          <w:szCs w:val="24"/>
        </w:rPr>
        <w:t>甲方在中华人民共和国境内使用乙方提供的服务时免受第三方提出的侵犯其专利权或其它知识产权的起诉。如果第三方提出侵权指控，乙方应承担由此而引起的一切法律责任和费用。</w:t>
      </w:r>
    </w:p>
    <w:p w14:paraId="5B6D4FD6">
      <w:pPr>
        <w:snapToGrid w:val="0"/>
        <w:spacing w:line="360" w:lineRule="auto"/>
        <w:ind w:firstLine="480" w:firstLineChars="200"/>
        <w:outlineLvl w:val="0"/>
        <w:rPr>
          <w:rFonts w:ascii="宋体"/>
          <w:bCs/>
          <w:sz w:val="24"/>
        </w:rPr>
      </w:pPr>
      <w:r>
        <w:rPr>
          <w:rFonts w:hint="eastAsia" w:ascii="宋体"/>
          <w:bCs/>
          <w:sz w:val="24"/>
        </w:rPr>
        <w:t>（十）合同争议的解决</w:t>
      </w:r>
    </w:p>
    <w:p w14:paraId="0B9CB450">
      <w:pPr>
        <w:snapToGrid w:val="0"/>
        <w:spacing w:line="360" w:lineRule="auto"/>
        <w:ind w:firstLine="480" w:firstLineChars="200"/>
        <w:outlineLvl w:val="0"/>
        <w:rPr>
          <w:rFonts w:ascii="宋体"/>
          <w:bCs/>
          <w:sz w:val="24"/>
        </w:rPr>
      </w:pPr>
      <w:r>
        <w:rPr>
          <w:rFonts w:hint="eastAsia" w:ascii="宋体"/>
          <w:bCs/>
          <w:sz w:val="24"/>
        </w:rPr>
        <w:t>1.当事人友好协商达成一致；</w:t>
      </w:r>
    </w:p>
    <w:p w14:paraId="15BE264D">
      <w:pPr>
        <w:snapToGrid w:val="0"/>
        <w:spacing w:line="360" w:lineRule="auto"/>
        <w:ind w:firstLine="480" w:firstLineChars="200"/>
        <w:outlineLvl w:val="0"/>
        <w:rPr>
          <w:rFonts w:ascii="宋体"/>
          <w:bCs/>
          <w:sz w:val="24"/>
        </w:rPr>
      </w:pPr>
      <w:r>
        <w:rPr>
          <w:rFonts w:hint="eastAsia" w:ascii="宋体"/>
          <w:bCs/>
          <w:sz w:val="24"/>
        </w:rPr>
        <w:t>2.在60天内当事人协商不能达成协议的，可提请采购人当地仲裁机构仲裁。</w:t>
      </w:r>
    </w:p>
    <w:p w14:paraId="3AD00528">
      <w:pPr>
        <w:snapToGrid w:val="0"/>
        <w:spacing w:line="360" w:lineRule="auto"/>
        <w:ind w:firstLine="480" w:firstLineChars="200"/>
        <w:outlineLvl w:val="0"/>
        <w:rPr>
          <w:rFonts w:ascii="宋体"/>
          <w:bCs/>
          <w:sz w:val="24"/>
        </w:rPr>
      </w:pPr>
      <w:r>
        <w:rPr>
          <w:rFonts w:hint="eastAsia" w:ascii="宋体"/>
          <w:bCs/>
          <w:sz w:val="24"/>
        </w:rPr>
        <w:t>（十一）违约责任</w:t>
      </w:r>
    </w:p>
    <w:p w14:paraId="59629750">
      <w:pPr>
        <w:snapToGrid w:val="0"/>
        <w:spacing w:line="360" w:lineRule="auto"/>
        <w:ind w:firstLine="480" w:firstLineChars="200"/>
        <w:outlineLvl w:val="0"/>
        <w:rPr>
          <w:rFonts w:ascii="宋体"/>
          <w:bCs/>
          <w:sz w:val="24"/>
        </w:rPr>
      </w:pPr>
      <w:r>
        <w:rPr>
          <w:rFonts w:hint="eastAsia" w:ascii="宋体"/>
          <w:bCs/>
          <w:sz w:val="24"/>
        </w:rPr>
        <w:t>按《中华人民共和国民法典》、《中华人民共和国政府采购法》有关条款，或由供需双方约定。</w:t>
      </w:r>
    </w:p>
    <w:p w14:paraId="3653B25A">
      <w:pPr>
        <w:snapToGrid w:val="0"/>
        <w:spacing w:line="360" w:lineRule="auto"/>
        <w:ind w:firstLine="480" w:firstLineChars="200"/>
        <w:outlineLvl w:val="0"/>
        <w:rPr>
          <w:rFonts w:ascii="宋体"/>
          <w:bCs/>
          <w:sz w:val="24"/>
        </w:rPr>
      </w:pPr>
      <w:r>
        <w:rPr>
          <w:rFonts w:hint="eastAsia" w:ascii="宋体"/>
          <w:bCs/>
          <w:sz w:val="24"/>
        </w:rPr>
        <w:t>（十二）合同生效及其它</w:t>
      </w:r>
    </w:p>
    <w:p w14:paraId="43EDFBD0">
      <w:pPr>
        <w:snapToGrid w:val="0"/>
        <w:spacing w:line="360" w:lineRule="auto"/>
        <w:ind w:firstLine="480" w:firstLineChars="200"/>
        <w:outlineLvl w:val="0"/>
        <w:rPr>
          <w:rFonts w:ascii="宋体"/>
          <w:bCs/>
          <w:sz w:val="24"/>
        </w:rPr>
      </w:pPr>
      <w:r>
        <w:rPr>
          <w:rFonts w:hint="eastAsia" w:ascii="宋体"/>
          <w:bCs/>
          <w:sz w:val="24"/>
        </w:rPr>
        <w:t>1.合同生效及其效力应符合《中华人民共和国民法典》有关规定。</w:t>
      </w:r>
    </w:p>
    <w:p w14:paraId="1BE24197">
      <w:pPr>
        <w:snapToGrid w:val="0"/>
        <w:spacing w:line="360" w:lineRule="auto"/>
        <w:ind w:firstLine="480" w:firstLineChars="200"/>
        <w:outlineLvl w:val="0"/>
        <w:rPr>
          <w:rFonts w:ascii="宋体"/>
          <w:bCs/>
          <w:sz w:val="24"/>
        </w:rPr>
      </w:pPr>
      <w:r>
        <w:rPr>
          <w:rFonts w:hint="eastAsia" w:ascii="宋体"/>
          <w:bCs/>
          <w:sz w:val="24"/>
        </w:rPr>
        <w:t>2.合同应经当事人法定代表人或委托代理人签字，加盖双方合同专用章或公章。</w:t>
      </w:r>
    </w:p>
    <w:p w14:paraId="51FB0E54">
      <w:pPr>
        <w:snapToGrid w:val="0"/>
        <w:spacing w:line="360" w:lineRule="auto"/>
        <w:ind w:firstLine="480" w:firstLineChars="200"/>
        <w:outlineLvl w:val="0"/>
        <w:rPr>
          <w:rFonts w:ascii="宋体"/>
          <w:bCs/>
          <w:sz w:val="24"/>
        </w:rPr>
      </w:pPr>
      <w:r>
        <w:rPr>
          <w:rFonts w:hint="eastAsia" w:ascii="宋体"/>
          <w:bCs/>
          <w:sz w:val="24"/>
        </w:rPr>
        <w:t>3.合同所包括附件，是合同不可分割的一部分，具有同等法法律效力。</w:t>
      </w:r>
    </w:p>
    <w:p w14:paraId="27618981">
      <w:pPr>
        <w:snapToGrid w:val="0"/>
        <w:spacing w:line="360" w:lineRule="auto"/>
        <w:ind w:firstLine="480" w:firstLineChars="200"/>
        <w:outlineLvl w:val="0"/>
        <w:rPr>
          <w:rFonts w:ascii="宋体"/>
          <w:bCs/>
          <w:sz w:val="24"/>
        </w:rPr>
      </w:pPr>
      <w:r>
        <w:rPr>
          <w:rFonts w:hint="eastAsia" w:ascii="宋体"/>
          <w:bCs/>
          <w:sz w:val="24"/>
        </w:rPr>
        <w:t>4.本合同条件未尽事宜依照《中华人民共和国民法典》，由供需双方共同协商确定。</w:t>
      </w:r>
    </w:p>
    <w:p w14:paraId="2559EE03">
      <w:pPr>
        <w:snapToGrid w:val="0"/>
        <w:spacing w:line="360" w:lineRule="auto"/>
        <w:jc w:val="center"/>
        <w:outlineLvl w:val="0"/>
        <w:rPr>
          <w:rFonts w:ascii="宋体"/>
          <w:sz w:val="44"/>
        </w:rPr>
        <w:sectPr>
          <w:pgSz w:w="11907" w:h="16840"/>
          <w:pgMar w:top="1134" w:right="1191" w:bottom="1134" w:left="1191" w:header="964" w:footer="992" w:gutter="0"/>
          <w:pgNumType w:fmt="numberInDash"/>
          <w:cols w:space="720" w:num="1"/>
          <w:docGrid w:linePitch="312" w:charSpace="0"/>
        </w:sectPr>
      </w:pPr>
    </w:p>
    <w:p w14:paraId="5E0A98BB">
      <w:pPr>
        <w:pStyle w:val="5"/>
        <w:spacing w:before="0" w:after="0" w:line="360" w:lineRule="auto"/>
        <w:ind w:firstLine="482" w:firstLineChars="200"/>
        <w:rPr>
          <w:rFonts w:ascii="宋体"/>
          <w:sz w:val="24"/>
          <w:szCs w:val="24"/>
        </w:rPr>
      </w:pPr>
      <w:bookmarkStart w:id="114" w:name="_Toc508178250"/>
      <w:bookmarkStart w:id="115" w:name="_Toc277084871"/>
      <w:bookmarkStart w:id="116" w:name="_Toc141860881"/>
      <w:bookmarkStart w:id="117" w:name="_Toc285722713"/>
      <w:r>
        <w:rPr>
          <w:rFonts w:hint="eastAsia" w:ascii="宋体"/>
          <w:sz w:val="24"/>
          <w:szCs w:val="24"/>
        </w:rPr>
        <w:t>二、政府采购合同（格式）</w:t>
      </w:r>
      <w:bookmarkEnd w:id="114"/>
      <w:bookmarkEnd w:id="115"/>
      <w:bookmarkEnd w:id="116"/>
      <w:bookmarkEnd w:id="117"/>
    </w:p>
    <w:p w14:paraId="57921BE4">
      <w:pPr>
        <w:spacing w:line="500" w:lineRule="exact"/>
        <w:jc w:val="center"/>
        <w:rPr>
          <w:rFonts w:ascii="宋体"/>
          <w:b/>
          <w:sz w:val="44"/>
        </w:rPr>
      </w:pPr>
    </w:p>
    <w:bookmarkEnd w:id="113"/>
    <w:p w14:paraId="1B44F17E">
      <w:pPr>
        <w:spacing w:line="360" w:lineRule="auto"/>
        <w:jc w:val="center"/>
        <w:rPr>
          <w:rFonts w:ascii="宋体"/>
          <w:b/>
          <w:sz w:val="44"/>
        </w:rPr>
      </w:pPr>
      <w:bookmarkStart w:id="118" w:name="_Toc23764521"/>
      <w:r>
        <w:rPr>
          <w:rFonts w:ascii="宋体"/>
          <w:b/>
          <w:sz w:val="44"/>
        </w:rPr>
        <w:t>重庆市政府采购合同</w:t>
      </w:r>
    </w:p>
    <w:p w14:paraId="3EF12552">
      <w:pPr>
        <w:spacing w:line="360" w:lineRule="auto"/>
        <w:jc w:val="center"/>
        <w:rPr>
          <w:rFonts w:ascii="宋体"/>
        </w:rPr>
      </w:pPr>
      <w:r>
        <w:rPr>
          <w:rFonts w:ascii="宋体"/>
        </w:rPr>
        <w:t>（项目编号：     ）</w:t>
      </w:r>
    </w:p>
    <w:p w14:paraId="44319D9F">
      <w:pPr>
        <w:spacing w:line="360" w:lineRule="auto"/>
        <w:rPr>
          <w:rFonts w:ascii="宋体"/>
          <w:sz w:val="24"/>
        </w:rPr>
      </w:pPr>
      <w:r>
        <w:rPr>
          <w:rFonts w:ascii="宋体"/>
          <w:sz w:val="24"/>
        </w:rPr>
        <w:t>甲方（需方）：___________________________      计价单位：____________</w:t>
      </w:r>
    </w:p>
    <w:p w14:paraId="3E78A6A4">
      <w:pPr>
        <w:spacing w:line="360" w:lineRule="auto"/>
        <w:rPr>
          <w:rFonts w:ascii="宋体"/>
          <w:sz w:val="24"/>
        </w:rPr>
      </w:pPr>
      <w:r>
        <w:rPr>
          <w:rFonts w:ascii="宋体"/>
          <w:sz w:val="24"/>
        </w:rPr>
        <w:t>乙方（供方）：___________________________      计量单位：_____________</w:t>
      </w:r>
    </w:p>
    <w:p w14:paraId="359DBF2A">
      <w:pPr>
        <w:spacing w:line="360" w:lineRule="auto"/>
        <w:rPr>
          <w:rFonts w:ascii="宋体"/>
          <w:sz w:val="24"/>
        </w:rPr>
      </w:pPr>
    </w:p>
    <w:p w14:paraId="7FBB8313">
      <w:pPr>
        <w:spacing w:line="360" w:lineRule="auto"/>
        <w:rPr>
          <w:rFonts w:ascii="宋体"/>
          <w:sz w:val="24"/>
        </w:rPr>
      </w:pPr>
      <w:r>
        <w:rPr>
          <w:rFonts w:ascii="宋体"/>
          <w:sz w:val="24"/>
        </w:rPr>
        <w:t>经双方协商一致，达成以下购销合同：</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850"/>
        <w:gridCol w:w="1134"/>
        <w:gridCol w:w="1559"/>
        <w:gridCol w:w="1567"/>
        <w:gridCol w:w="15"/>
      </w:tblGrid>
      <w:tr w14:paraId="641E0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3071" w:type="dxa"/>
            <w:vAlign w:val="center"/>
          </w:tcPr>
          <w:p w14:paraId="57A0616B">
            <w:pPr>
              <w:spacing w:line="360" w:lineRule="auto"/>
              <w:jc w:val="center"/>
              <w:rPr>
                <w:rFonts w:ascii="宋体"/>
                <w:sz w:val="21"/>
                <w:szCs w:val="21"/>
              </w:rPr>
            </w:pPr>
            <w:r>
              <w:rPr>
                <w:rFonts w:hint="eastAsia" w:ascii="宋体"/>
                <w:sz w:val="21"/>
                <w:szCs w:val="21"/>
              </w:rPr>
              <w:t>项目类别</w:t>
            </w:r>
          </w:p>
        </w:tc>
        <w:tc>
          <w:tcPr>
            <w:tcW w:w="984" w:type="dxa"/>
            <w:vAlign w:val="center"/>
          </w:tcPr>
          <w:p w14:paraId="3EC626E7">
            <w:pPr>
              <w:spacing w:line="360" w:lineRule="auto"/>
              <w:jc w:val="center"/>
              <w:rPr>
                <w:rFonts w:ascii="宋体"/>
                <w:sz w:val="21"/>
                <w:szCs w:val="21"/>
              </w:rPr>
            </w:pPr>
            <w:r>
              <w:rPr>
                <w:rFonts w:ascii="宋体"/>
                <w:sz w:val="21"/>
                <w:szCs w:val="21"/>
              </w:rPr>
              <w:t>数量</w:t>
            </w:r>
          </w:p>
        </w:tc>
        <w:tc>
          <w:tcPr>
            <w:tcW w:w="1298" w:type="dxa"/>
            <w:gridSpan w:val="2"/>
            <w:vAlign w:val="center"/>
          </w:tcPr>
          <w:p w14:paraId="52CF4E5F">
            <w:pPr>
              <w:spacing w:line="360" w:lineRule="auto"/>
              <w:jc w:val="center"/>
              <w:rPr>
                <w:rFonts w:ascii="宋体"/>
                <w:sz w:val="21"/>
                <w:szCs w:val="21"/>
              </w:rPr>
            </w:pPr>
            <w:r>
              <w:rPr>
                <w:rFonts w:ascii="宋体"/>
                <w:sz w:val="21"/>
                <w:szCs w:val="21"/>
              </w:rPr>
              <w:t>综合单价</w:t>
            </w:r>
          </w:p>
        </w:tc>
        <w:tc>
          <w:tcPr>
            <w:tcW w:w="1134" w:type="dxa"/>
            <w:vAlign w:val="center"/>
          </w:tcPr>
          <w:p w14:paraId="75FE8646">
            <w:pPr>
              <w:spacing w:line="360" w:lineRule="auto"/>
              <w:jc w:val="center"/>
              <w:rPr>
                <w:rFonts w:ascii="宋体"/>
                <w:sz w:val="21"/>
                <w:szCs w:val="21"/>
              </w:rPr>
            </w:pPr>
            <w:r>
              <w:rPr>
                <w:rFonts w:ascii="宋体"/>
                <w:sz w:val="21"/>
                <w:szCs w:val="21"/>
              </w:rPr>
              <w:t>总价</w:t>
            </w:r>
          </w:p>
        </w:tc>
        <w:tc>
          <w:tcPr>
            <w:tcW w:w="1559" w:type="dxa"/>
            <w:vAlign w:val="center"/>
          </w:tcPr>
          <w:p w14:paraId="40721D9F">
            <w:pPr>
              <w:spacing w:line="360" w:lineRule="auto"/>
              <w:jc w:val="center"/>
              <w:rPr>
                <w:rFonts w:ascii="宋体"/>
                <w:sz w:val="21"/>
                <w:szCs w:val="21"/>
              </w:rPr>
            </w:pPr>
            <w:r>
              <w:rPr>
                <w:rFonts w:hint="eastAsia" w:ascii="宋体"/>
                <w:sz w:val="21"/>
                <w:szCs w:val="21"/>
              </w:rPr>
              <w:t>服务</w:t>
            </w:r>
            <w:r>
              <w:rPr>
                <w:rFonts w:ascii="宋体"/>
                <w:sz w:val="21"/>
                <w:szCs w:val="21"/>
              </w:rPr>
              <w:t>时间</w:t>
            </w:r>
          </w:p>
        </w:tc>
        <w:tc>
          <w:tcPr>
            <w:tcW w:w="1567" w:type="dxa"/>
            <w:vAlign w:val="center"/>
          </w:tcPr>
          <w:p w14:paraId="74E72FB4">
            <w:pPr>
              <w:spacing w:line="360" w:lineRule="auto"/>
              <w:jc w:val="center"/>
              <w:rPr>
                <w:rFonts w:ascii="宋体"/>
                <w:sz w:val="21"/>
                <w:szCs w:val="21"/>
              </w:rPr>
            </w:pPr>
            <w:r>
              <w:rPr>
                <w:rFonts w:hint="eastAsia" w:ascii="宋体"/>
                <w:sz w:val="21"/>
                <w:szCs w:val="21"/>
              </w:rPr>
              <w:t>服务</w:t>
            </w:r>
            <w:r>
              <w:rPr>
                <w:rFonts w:ascii="宋体"/>
                <w:sz w:val="21"/>
                <w:szCs w:val="21"/>
              </w:rPr>
              <w:t>地点</w:t>
            </w:r>
          </w:p>
        </w:tc>
      </w:tr>
      <w:tr w14:paraId="6D18A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70460FFE">
            <w:pPr>
              <w:spacing w:line="360" w:lineRule="auto"/>
              <w:jc w:val="center"/>
              <w:rPr>
                <w:rFonts w:ascii="宋体"/>
                <w:sz w:val="21"/>
                <w:szCs w:val="21"/>
              </w:rPr>
            </w:pPr>
          </w:p>
        </w:tc>
        <w:tc>
          <w:tcPr>
            <w:tcW w:w="984" w:type="dxa"/>
            <w:vAlign w:val="center"/>
          </w:tcPr>
          <w:p w14:paraId="4AE089B2">
            <w:pPr>
              <w:spacing w:line="360" w:lineRule="auto"/>
              <w:jc w:val="center"/>
              <w:rPr>
                <w:rFonts w:ascii="宋体"/>
                <w:sz w:val="21"/>
                <w:szCs w:val="21"/>
              </w:rPr>
            </w:pPr>
          </w:p>
        </w:tc>
        <w:tc>
          <w:tcPr>
            <w:tcW w:w="1298" w:type="dxa"/>
            <w:gridSpan w:val="2"/>
            <w:vAlign w:val="center"/>
          </w:tcPr>
          <w:p w14:paraId="230F4669">
            <w:pPr>
              <w:spacing w:line="360" w:lineRule="auto"/>
              <w:jc w:val="center"/>
              <w:rPr>
                <w:rFonts w:ascii="宋体"/>
                <w:sz w:val="21"/>
                <w:szCs w:val="21"/>
              </w:rPr>
            </w:pPr>
          </w:p>
        </w:tc>
        <w:tc>
          <w:tcPr>
            <w:tcW w:w="1134" w:type="dxa"/>
            <w:vAlign w:val="center"/>
          </w:tcPr>
          <w:p w14:paraId="1C0CEE55">
            <w:pPr>
              <w:spacing w:line="360" w:lineRule="auto"/>
              <w:jc w:val="center"/>
              <w:rPr>
                <w:rFonts w:ascii="宋体"/>
                <w:sz w:val="21"/>
                <w:szCs w:val="21"/>
              </w:rPr>
            </w:pPr>
          </w:p>
        </w:tc>
        <w:tc>
          <w:tcPr>
            <w:tcW w:w="1559" w:type="dxa"/>
            <w:vAlign w:val="center"/>
          </w:tcPr>
          <w:p w14:paraId="371FF198">
            <w:pPr>
              <w:spacing w:line="360" w:lineRule="auto"/>
              <w:jc w:val="center"/>
              <w:rPr>
                <w:rFonts w:ascii="宋体"/>
                <w:sz w:val="21"/>
                <w:szCs w:val="21"/>
              </w:rPr>
            </w:pPr>
          </w:p>
        </w:tc>
        <w:tc>
          <w:tcPr>
            <w:tcW w:w="1567" w:type="dxa"/>
            <w:vAlign w:val="center"/>
          </w:tcPr>
          <w:p w14:paraId="5F842F54">
            <w:pPr>
              <w:spacing w:line="360" w:lineRule="auto"/>
              <w:jc w:val="center"/>
              <w:rPr>
                <w:rFonts w:ascii="宋体"/>
                <w:sz w:val="21"/>
                <w:szCs w:val="21"/>
              </w:rPr>
            </w:pPr>
          </w:p>
        </w:tc>
      </w:tr>
      <w:tr w14:paraId="787D9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657BD1CA">
            <w:pPr>
              <w:spacing w:line="360" w:lineRule="auto"/>
              <w:jc w:val="center"/>
              <w:rPr>
                <w:rFonts w:ascii="宋体"/>
                <w:sz w:val="21"/>
                <w:szCs w:val="21"/>
              </w:rPr>
            </w:pPr>
          </w:p>
        </w:tc>
        <w:tc>
          <w:tcPr>
            <w:tcW w:w="984" w:type="dxa"/>
            <w:vAlign w:val="center"/>
          </w:tcPr>
          <w:p w14:paraId="5A2C2D7D">
            <w:pPr>
              <w:spacing w:line="360" w:lineRule="auto"/>
              <w:jc w:val="center"/>
              <w:rPr>
                <w:rFonts w:ascii="宋体"/>
                <w:sz w:val="21"/>
                <w:szCs w:val="21"/>
              </w:rPr>
            </w:pPr>
          </w:p>
        </w:tc>
        <w:tc>
          <w:tcPr>
            <w:tcW w:w="1298" w:type="dxa"/>
            <w:gridSpan w:val="2"/>
            <w:vAlign w:val="center"/>
          </w:tcPr>
          <w:p w14:paraId="6BD9FEF5">
            <w:pPr>
              <w:spacing w:line="360" w:lineRule="auto"/>
              <w:jc w:val="center"/>
              <w:rPr>
                <w:rFonts w:ascii="宋体"/>
                <w:sz w:val="21"/>
                <w:szCs w:val="21"/>
              </w:rPr>
            </w:pPr>
          </w:p>
        </w:tc>
        <w:tc>
          <w:tcPr>
            <w:tcW w:w="1134" w:type="dxa"/>
            <w:vAlign w:val="center"/>
          </w:tcPr>
          <w:p w14:paraId="2516E216">
            <w:pPr>
              <w:spacing w:line="360" w:lineRule="auto"/>
              <w:jc w:val="center"/>
              <w:rPr>
                <w:rFonts w:ascii="宋体"/>
                <w:sz w:val="21"/>
                <w:szCs w:val="21"/>
              </w:rPr>
            </w:pPr>
          </w:p>
        </w:tc>
        <w:tc>
          <w:tcPr>
            <w:tcW w:w="1559" w:type="dxa"/>
            <w:vAlign w:val="center"/>
          </w:tcPr>
          <w:p w14:paraId="79EC1AD0">
            <w:pPr>
              <w:spacing w:line="360" w:lineRule="auto"/>
              <w:jc w:val="center"/>
              <w:rPr>
                <w:rFonts w:ascii="宋体"/>
                <w:sz w:val="21"/>
                <w:szCs w:val="21"/>
              </w:rPr>
            </w:pPr>
          </w:p>
        </w:tc>
        <w:tc>
          <w:tcPr>
            <w:tcW w:w="1567" w:type="dxa"/>
            <w:vAlign w:val="center"/>
          </w:tcPr>
          <w:p w14:paraId="71CD9FEF">
            <w:pPr>
              <w:spacing w:line="360" w:lineRule="auto"/>
              <w:jc w:val="center"/>
              <w:rPr>
                <w:rFonts w:ascii="宋体"/>
                <w:sz w:val="21"/>
                <w:szCs w:val="21"/>
              </w:rPr>
            </w:pPr>
          </w:p>
        </w:tc>
      </w:tr>
      <w:tr w14:paraId="06E3D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04F51EAC">
            <w:pPr>
              <w:spacing w:line="360" w:lineRule="auto"/>
              <w:jc w:val="center"/>
              <w:rPr>
                <w:rFonts w:ascii="宋体"/>
                <w:sz w:val="21"/>
                <w:szCs w:val="21"/>
              </w:rPr>
            </w:pPr>
          </w:p>
        </w:tc>
        <w:tc>
          <w:tcPr>
            <w:tcW w:w="984" w:type="dxa"/>
            <w:vAlign w:val="center"/>
          </w:tcPr>
          <w:p w14:paraId="4AA66641">
            <w:pPr>
              <w:spacing w:line="360" w:lineRule="auto"/>
              <w:jc w:val="center"/>
              <w:rPr>
                <w:rFonts w:ascii="宋体"/>
                <w:sz w:val="21"/>
                <w:szCs w:val="21"/>
              </w:rPr>
            </w:pPr>
          </w:p>
        </w:tc>
        <w:tc>
          <w:tcPr>
            <w:tcW w:w="1298" w:type="dxa"/>
            <w:gridSpan w:val="2"/>
            <w:vAlign w:val="center"/>
          </w:tcPr>
          <w:p w14:paraId="6CADA72C">
            <w:pPr>
              <w:spacing w:line="360" w:lineRule="auto"/>
              <w:jc w:val="center"/>
              <w:rPr>
                <w:rFonts w:ascii="宋体"/>
                <w:sz w:val="21"/>
                <w:szCs w:val="21"/>
              </w:rPr>
            </w:pPr>
          </w:p>
        </w:tc>
        <w:tc>
          <w:tcPr>
            <w:tcW w:w="1134" w:type="dxa"/>
            <w:vAlign w:val="center"/>
          </w:tcPr>
          <w:p w14:paraId="5CF341D6">
            <w:pPr>
              <w:spacing w:line="360" w:lineRule="auto"/>
              <w:jc w:val="center"/>
              <w:rPr>
                <w:rFonts w:ascii="宋体"/>
                <w:sz w:val="21"/>
                <w:szCs w:val="21"/>
              </w:rPr>
            </w:pPr>
          </w:p>
        </w:tc>
        <w:tc>
          <w:tcPr>
            <w:tcW w:w="1559" w:type="dxa"/>
            <w:vAlign w:val="center"/>
          </w:tcPr>
          <w:p w14:paraId="7B319C82">
            <w:pPr>
              <w:spacing w:line="360" w:lineRule="auto"/>
              <w:jc w:val="center"/>
              <w:rPr>
                <w:rFonts w:ascii="宋体"/>
                <w:sz w:val="21"/>
                <w:szCs w:val="21"/>
              </w:rPr>
            </w:pPr>
          </w:p>
        </w:tc>
        <w:tc>
          <w:tcPr>
            <w:tcW w:w="1567" w:type="dxa"/>
            <w:vAlign w:val="center"/>
          </w:tcPr>
          <w:p w14:paraId="394E2B67">
            <w:pPr>
              <w:spacing w:line="360" w:lineRule="auto"/>
              <w:jc w:val="center"/>
              <w:rPr>
                <w:rFonts w:ascii="宋体"/>
                <w:sz w:val="21"/>
                <w:szCs w:val="21"/>
              </w:rPr>
            </w:pPr>
          </w:p>
        </w:tc>
      </w:tr>
      <w:tr w14:paraId="0290C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6CF3A472">
            <w:pPr>
              <w:spacing w:line="360" w:lineRule="auto"/>
              <w:jc w:val="center"/>
              <w:rPr>
                <w:rFonts w:ascii="宋体"/>
                <w:sz w:val="21"/>
                <w:szCs w:val="21"/>
              </w:rPr>
            </w:pPr>
          </w:p>
        </w:tc>
        <w:tc>
          <w:tcPr>
            <w:tcW w:w="984" w:type="dxa"/>
            <w:vAlign w:val="center"/>
          </w:tcPr>
          <w:p w14:paraId="59F88B7E">
            <w:pPr>
              <w:spacing w:line="360" w:lineRule="auto"/>
              <w:jc w:val="center"/>
              <w:rPr>
                <w:rFonts w:ascii="宋体"/>
                <w:sz w:val="21"/>
                <w:szCs w:val="21"/>
              </w:rPr>
            </w:pPr>
          </w:p>
        </w:tc>
        <w:tc>
          <w:tcPr>
            <w:tcW w:w="1298" w:type="dxa"/>
            <w:gridSpan w:val="2"/>
            <w:vAlign w:val="center"/>
          </w:tcPr>
          <w:p w14:paraId="2F0C5823">
            <w:pPr>
              <w:spacing w:line="360" w:lineRule="auto"/>
              <w:jc w:val="center"/>
              <w:rPr>
                <w:rFonts w:ascii="宋体"/>
                <w:sz w:val="21"/>
                <w:szCs w:val="21"/>
              </w:rPr>
            </w:pPr>
          </w:p>
        </w:tc>
        <w:tc>
          <w:tcPr>
            <w:tcW w:w="1134" w:type="dxa"/>
            <w:vAlign w:val="center"/>
          </w:tcPr>
          <w:p w14:paraId="079DF7C2">
            <w:pPr>
              <w:spacing w:line="360" w:lineRule="auto"/>
              <w:jc w:val="center"/>
              <w:rPr>
                <w:rFonts w:ascii="宋体"/>
                <w:sz w:val="21"/>
                <w:szCs w:val="21"/>
              </w:rPr>
            </w:pPr>
          </w:p>
        </w:tc>
        <w:tc>
          <w:tcPr>
            <w:tcW w:w="1559" w:type="dxa"/>
            <w:vAlign w:val="center"/>
          </w:tcPr>
          <w:p w14:paraId="52367410">
            <w:pPr>
              <w:spacing w:line="360" w:lineRule="auto"/>
              <w:jc w:val="center"/>
              <w:rPr>
                <w:rFonts w:ascii="宋体"/>
                <w:sz w:val="21"/>
                <w:szCs w:val="21"/>
              </w:rPr>
            </w:pPr>
          </w:p>
        </w:tc>
        <w:tc>
          <w:tcPr>
            <w:tcW w:w="1567" w:type="dxa"/>
            <w:vAlign w:val="center"/>
          </w:tcPr>
          <w:p w14:paraId="0E0F788F">
            <w:pPr>
              <w:spacing w:line="360" w:lineRule="auto"/>
              <w:jc w:val="center"/>
              <w:rPr>
                <w:rFonts w:ascii="宋体"/>
                <w:sz w:val="21"/>
                <w:szCs w:val="21"/>
              </w:rPr>
            </w:pPr>
          </w:p>
        </w:tc>
      </w:tr>
      <w:tr w14:paraId="34FC1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07D27D7E">
            <w:pPr>
              <w:spacing w:line="360" w:lineRule="auto"/>
              <w:jc w:val="center"/>
              <w:rPr>
                <w:rFonts w:ascii="宋体"/>
                <w:sz w:val="21"/>
                <w:szCs w:val="21"/>
              </w:rPr>
            </w:pPr>
          </w:p>
        </w:tc>
        <w:tc>
          <w:tcPr>
            <w:tcW w:w="984" w:type="dxa"/>
            <w:vAlign w:val="center"/>
          </w:tcPr>
          <w:p w14:paraId="31250E70">
            <w:pPr>
              <w:spacing w:line="360" w:lineRule="auto"/>
              <w:jc w:val="center"/>
              <w:rPr>
                <w:rFonts w:ascii="宋体"/>
                <w:sz w:val="21"/>
                <w:szCs w:val="21"/>
              </w:rPr>
            </w:pPr>
          </w:p>
        </w:tc>
        <w:tc>
          <w:tcPr>
            <w:tcW w:w="1298" w:type="dxa"/>
            <w:gridSpan w:val="2"/>
            <w:vAlign w:val="center"/>
          </w:tcPr>
          <w:p w14:paraId="75A7A9FA">
            <w:pPr>
              <w:spacing w:line="360" w:lineRule="auto"/>
              <w:jc w:val="center"/>
              <w:rPr>
                <w:rFonts w:ascii="宋体"/>
                <w:sz w:val="21"/>
                <w:szCs w:val="21"/>
              </w:rPr>
            </w:pPr>
          </w:p>
        </w:tc>
        <w:tc>
          <w:tcPr>
            <w:tcW w:w="1134" w:type="dxa"/>
            <w:vAlign w:val="center"/>
          </w:tcPr>
          <w:p w14:paraId="3C30E1D5">
            <w:pPr>
              <w:spacing w:line="360" w:lineRule="auto"/>
              <w:jc w:val="center"/>
              <w:rPr>
                <w:rFonts w:ascii="宋体"/>
                <w:sz w:val="21"/>
                <w:szCs w:val="21"/>
              </w:rPr>
            </w:pPr>
          </w:p>
        </w:tc>
        <w:tc>
          <w:tcPr>
            <w:tcW w:w="1559" w:type="dxa"/>
            <w:vAlign w:val="center"/>
          </w:tcPr>
          <w:p w14:paraId="3A5469F1">
            <w:pPr>
              <w:spacing w:line="360" w:lineRule="auto"/>
              <w:jc w:val="center"/>
              <w:rPr>
                <w:rFonts w:ascii="宋体"/>
                <w:sz w:val="21"/>
                <w:szCs w:val="21"/>
              </w:rPr>
            </w:pPr>
          </w:p>
        </w:tc>
        <w:tc>
          <w:tcPr>
            <w:tcW w:w="1567" w:type="dxa"/>
            <w:vAlign w:val="center"/>
          </w:tcPr>
          <w:p w14:paraId="537119EB">
            <w:pPr>
              <w:spacing w:line="360" w:lineRule="auto"/>
              <w:jc w:val="center"/>
              <w:rPr>
                <w:rFonts w:ascii="宋体"/>
                <w:sz w:val="21"/>
                <w:szCs w:val="21"/>
              </w:rPr>
            </w:pPr>
          </w:p>
        </w:tc>
      </w:tr>
      <w:tr w14:paraId="35850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472204FF">
            <w:pPr>
              <w:spacing w:line="360" w:lineRule="auto"/>
              <w:jc w:val="center"/>
              <w:rPr>
                <w:rFonts w:ascii="宋体"/>
                <w:sz w:val="21"/>
                <w:szCs w:val="21"/>
              </w:rPr>
            </w:pPr>
          </w:p>
        </w:tc>
        <w:tc>
          <w:tcPr>
            <w:tcW w:w="984" w:type="dxa"/>
            <w:vAlign w:val="center"/>
          </w:tcPr>
          <w:p w14:paraId="7F2692DC">
            <w:pPr>
              <w:spacing w:line="360" w:lineRule="auto"/>
              <w:jc w:val="center"/>
              <w:rPr>
                <w:rFonts w:ascii="宋体"/>
                <w:sz w:val="21"/>
                <w:szCs w:val="21"/>
              </w:rPr>
            </w:pPr>
          </w:p>
        </w:tc>
        <w:tc>
          <w:tcPr>
            <w:tcW w:w="1298" w:type="dxa"/>
            <w:gridSpan w:val="2"/>
            <w:vAlign w:val="center"/>
          </w:tcPr>
          <w:p w14:paraId="05DCF52A">
            <w:pPr>
              <w:spacing w:line="360" w:lineRule="auto"/>
              <w:jc w:val="center"/>
              <w:rPr>
                <w:rFonts w:ascii="宋体"/>
                <w:sz w:val="21"/>
                <w:szCs w:val="21"/>
              </w:rPr>
            </w:pPr>
          </w:p>
        </w:tc>
        <w:tc>
          <w:tcPr>
            <w:tcW w:w="1134" w:type="dxa"/>
            <w:vAlign w:val="center"/>
          </w:tcPr>
          <w:p w14:paraId="08B60DD3">
            <w:pPr>
              <w:spacing w:line="360" w:lineRule="auto"/>
              <w:jc w:val="center"/>
              <w:rPr>
                <w:rFonts w:ascii="宋体"/>
                <w:sz w:val="21"/>
                <w:szCs w:val="21"/>
              </w:rPr>
            </w:pPr>
          </w:p>
        </w:tc>
        <w:tc>
          <w:tcPr>
            <w:tcW w:w="1559" w:type="dxa"/>
            <w:vAlign w:val="center"/>
          </w:tcPr>
          <w:p w14:paraId="4B3D08A8">
            <w:pPr>
              <w:spacing w:line="360" w:lineRule="auto"/>
              <w:jc w:val="center"/>
              <w:rPr>
                <w:rFonts w:ascii="宋体"/>
                <w:sz w:val="21"/>
                <w:szCs w:val="21"/>
              </w:rPr>
            </w:pPr>
          </w:p>
        </w:tc>
        <w:tc>
          <w:tcPr>
            <w:tcW w:w="1567" w:type="dxa"/>
            <w:vAlign w:val="center"/>
          </w:tcPr>
          <w:p w14:paraId="7F81E6ED">
            <w:pPr>
              <w:spacing w:line="360" w:lineRule="auto"/>
              <w:jc w:val="center"/>
              <w:rPr>
                <w:rFonts w:ascii="宋体"/>
                <w:sz w:val="21"/>
                <w:szCs w:val="21"/>
              </w:rPr>
            </w:pPr>
          </w:p>
        </w:tc>
      </w:tr>
      <w:tr w14:paraId="365E0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4A6CE48E">
            <w:pPr>
              <w:spacing w:line="360" w:lineRule="auto"/>
              <w:jc w:val="center"/>
              <w:rPr>
                <w:rFonts w:ascii="宋体"/>
                <w:sz w:val="21"/>
                <w:szCs w:val="21"/>
              </w:rPr>
            </w:pPr>
          </w:p>
        </w:tc>
        <w:tc>
          <w:tcPr>
            <w:tcW w:w="984" w:type="dxa"/>
            <w:vAlign w:val="center"/>
          </w:tcPr>
          <w:p w14:paraId="4E88E876">
            <w:pPr>
              <w:spacing w:line="360" w:lineRule="auto"/>
              <w:jc w:val="center"/>
              <w:rPr>
                <w:rFonts w:ascii="宋体"/>
                <w:sz w:val="21"/>
                <w:szCs w:val="21"/>
              </w:rPr>
            </w:pPr>
          </w:p>
        </w:tc>
        <w:tc>
          <w:tcPr>
            <w:tcW w:w="1298" w:type="dxa"/>
            <w:gridSpan w:val="2"/>
            <w:vAlign w:val="center"/>
          </w:tcPr>
          <w:p w14:paraId="754ADEA4">
            <w:pPr>
              <w:spacing w:line="360" w:lineRule="auto"/>
              <w:jc w:val="center"/>
              <w:rPr>
                <w:rFonts w:ascii="宋体"/>
                <w:sz w:val="21"/>
                <w:szCs w:val="21"/>
              </w:rPr>
            </w:pPr>
          </w:p>
        </w:tc>
        <w:tc>
          <w:tcPr>
            <w:tcW w:w="1134" w:type="dxa"/>
            <w:vAlign w:val="center"/>
          </w:tcPr>
          <w:p w14:paraId="544C295F">
            <w:pPr>
              <w:spacing w:line="360" w:lineRule="auto"/>
              <w:jc w:val="center"/>
              <w:rPr>
                <w:rFonts w:ascii="宋体"/>
                <w:sz w:val="21"/>
                <w:szCs w:val="21"/>
              </w:rPr>
            </w:pPr>
          </w:p>
        </w:tc>
        <w:tc>
          <w:tcPr>
            <w:tcW w:w="1559" w:type="dxa"/>
            <w:vAlign w:val="center"/>
          </w:tcPr>
          <w:p w14:paraId="08DBFBA7">
            <w:pPr>
              <w:spacing w:line="360" w:lineRule="auto"/>
              <w:jc w:val="center"/>
              <w:rPr>
                <w:rFonts w:ascii="宋体"/>
                <w:sz w:val="21"/>
                <w:szCs w:val="21"/>
              </w:rPr>
            </w:pPr>
          </w:p>
        </w:tc>
        <w:tc>
          <w:tcPr>
            <w:tcW w:w="1567" w:type="dxa"/>
            <w:vAlign w:val="center"/>
          </w:tcPr>
          <w:p w14:paraId="7A51FCD9">
            <w:pPr>
              <w:spacing w:line="360" w:lineRule="auto"/>
              <w:jc w:val="center"/>
              <w:rPr>
                <w:rFonts w:ascii="宋体"/>
                <w:sz w:val="21"/>
                <w:szCs w:val="21"/>
              </w:rPr>
            </w:pPr>
          </w:p>
        </w:tc>
      </w:tr>
      <w:tr w14:paraId="6BBCD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4F36B53E">
            <w:pPr>
              <w:spacing w:line="360" w:lineRule="auto"/>
              <w:jc w:val="center"/>
              <w:rPr>
                <w:rFonts w:ascii="宋体"/>
                <w:sz w:val="21"/>
                <w:szCs w:val="21"/>
              </w:rPr>
            </w:pPr>
          </w:p>
        </w:tc>
        <w:tc>
          <w:tcPr>
            <w:tcW w:w="984" w:type="dxa"/>
            <w:vAlign w:val="center"/>
          </w:tcPr>
          <w:p w14:paraId="00D3F686">
            <w:pPr>
              <w:spacing w:line="360" w:lineRule="auto"/>
              <w:jc w:val="center"/>
              <w:rPr>
                <w:rFonts w:ascii="宋体"/>
                <w:sz w:val="21"/>
                <w:szCs w:val="21"/>
              </w:rPr>
            </w:pPr>
          </w:p>
        </w:tc>
        <w:tc>
          <w:tcPr>
            <w:tcW w:w="1298" w:type="dxa"/>
            <w:gridSpan w:val="2"/>
            <w:vAlign w:val="center"/>
          </w:tcPr>
          <w:p w14:paraId="5EA534D7">
            <w:pPr>
              <w:spacing w:line="360" w:lineRule="auto"/>
              <w:jc w:val="center"/>
              <w:rPr>
                <w:rFonts w:ascii="宋体"/>
                <w:sz w:val="21"/>
                <w:szCs w:val="21"/>
              </w:rPr>
            </w:pPr>
          </w:p>
        </w:tc>
        <w:tc>
          <w:tcPr>
            <w:tcW w:w="1134" w:type="dxa"/>
            <w:vAlign w:val="center"/>
          </w:tcPr>
          <w:p w14:paraId="02E904DC">
            <w:pPr>
              <w:spacing w:line="360" w:lineRule="auto"/>
              <w:jc w:val="center"/>
              <w:rPr>
                <w:rFonts w:ascii="宋体"/>
                <w:sz w:val="21"/>
                <w:szCs w:val="21"/>
              </w:rPr>
            </w:pPr>
          </w:p>
        </w:tc>
        <w:tc>
          <w:tcPr>
            <w:tcW w:w="1559" w:type="dxa"/>
            <w:vAlign w:val="center"/>
          </w:tcPr>
          <w:p w14:paraId="406C2850">
            <w:pPr>
              <w:spacing w:line="360" w:lineRule="auto"/>
              <w:jc w:val="center"/>
              <w:rPr>
                <w:rFonts w:ascii="宋体"/>
                <w:sz w:val="21"/>
                <w:szCs w:val="21"/>
              </w:rPr>
            </w:pPr>
          </w:p>
        </w:tc>
        <w:tc>
          <w:tcPr>
            <w:tcW w:w="1567" w:type="dxa"/>
            <w:vAlign w:val="center"/>
          </w:tcPr>
          <w:p w14:paraId="10536E58">
            <w:pPr>
              <w:spacing w:line="360" w:lineRule="auto"/>
              <w:jc w:val="center"/>
              <w:rPr>
                <w:rFonts w:ascii="宋体"/>
                <w:sz w:val="21"/>
                <w:szCs w:val="21"/>
              </w:rPr>
            </w:pPr>
          </w:p>
        </w:tc>
      </w:tr>
      <w:tr w14:paraId="3C311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45CF4905">
            <w:pPr>
              <w:spacing w:line="360" w:lineRule="auto"/>
              <w:rPr>
                <w:rFonts w:ascii="宋体"/>
                <w:sz w:val="21"/>
                <w:szCs w:val="21"/>
              </w:rPr>
            </w:pPr>
            <w:r>
              <w:rPr>
                <w:rFonts w:ascii="宋体"/>
                <w:sz w:val="21"/>
                <w:szCs w:val="21"/>
              </w:rPr>
              <w:t>合计人民币（小写）：</w:t>
            </w:r>
          </w:p>
        </w:tc>
      </w:tr>
      <w:tr w14:paraId="6DF76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41EAF64B">
            <w:pPr>
              <w:spacing w:line="360" w:lineRule="auto"/>
              <w:rPr>
                <w:rFonts w:ascii="宋体"/>
                <w:sz w:val="21"/>
                <w:szCs w:val="21"/>
              </w:rPr>
            </w:pPr>
            <w:r>
              <w:rPr>
                <w:rFonts w:ascii="宋体"/>
                <w:sz w:val="21"/>
                <w:szCs w:val="21"/>
              </w:rPr>
              <w:t>合计人民币（大写）：</w:t>
            </w:r>
          </w:p>
        </w:tc>
      </w:tr>
      <w:tr w14:paraId="5FC97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Pr>
          <w:p w14:paraId="4703794E">
            <w:pPr>
              <w:spacing w:line="360" w:lineRule="auto"/>
              <w:rPr>
                <w:rFonts w:ascii="宋体"/>
                <w:sz w:val="21"/>
                <w:szCs w:val="21"/>
              </w:rPr>
            </w:pPr>
            <w:r>
              <w:rPr>
                <w:rFonts w:ascii="宋体"/>
                <w:sz w:val="21"/>
                <w:szCs w:val="21"/>
              </w:rPr>
              <w:t>一、质量要求和技术标准：</w:t>
            </w:r>
          </w:p>
          <w:p w14:paraId="6B5183AB">
            <w:pPr>
              <w:spacing w:line="360" w:lineRule="auto"/>
              <w:rPr>
                <w:rFonts w:ascii="宋体"/>
                <w:sz w:val="21"/>
                <w:szCs w:val="21"/>
              </w:rPr>
            </w:pPr>
            <w:r>
              <w:rPr>
                <w:rFonts w:ascii="宋体"/>
                <w:sz w:val="21"/>
                <w:szCs w:val="21"/>
              </w:rPr>
              <w:t>1、服务措施：</w:t>
            </w:r>
          </w:p>
          <w:p w14:paraId="31352B43">
            <w:pPr>
              <w:spacing w:line="360" w:lineRule="auto"/>
              <w:rPr>
                <w:rFonts w:ascii="宋体"/>
                <w:sz w:val="21"/>
                <w:szCs w:val="21"/>
              </w:rPr>
            </w:pPr>
          </w:p>
        </w:tc>
      </w:tr>
      <w:tr w14:paraId="6D5A0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14:paraId="4E1F6B63">
            <w:pPr>
              <w:spacing w:line="360" w:lineRule="auto"/>
              <w:rPr>
                <w:rFonts w:ascii="宋体"/>
                <w:sz w:val="21"/>
                <w:szCs w:val="21"/>
              </w:rPr>
            </w:pPr>
            <w:r>
              <w:rPr>
                <w:rFonts w:hint="eastAsia" w:ascii="宋体"/>
                <w:sz w:val="21"/>
                <w:szCs w:val="21"/>
              </w:rPr>
              <w:t>二</w:t>
            </w:r>
            <w:r>
              <w:rPr>
                <w:rFonts w:ascii="宋体"/>
                <w:sz w:val="21"/>
                <w:szCs w:val="21"/>
              </w:rPr>
              <w:t>、验收标准、方法：</w:t>
            </w:r>
          </w:p>
          <w:p w14:paraId="26678B5C">
            <w:pPr>
              <w:spacing w:line="360" w:lineRule="auto"/>
              <w:rPr>
                <w:rFonts w:ascii="宋体"/>
                <w:sz w:val="21"/>
                <w:szCs w:val="21"/>
              </w:rPr>
            </w:pPr>
          </w:p>
        </w:tc>
      </w:tr>
      <w:tr w14:paraId="0530F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329CBBA6">
            <w:pPr>
              <w:spacing w:line="360" w:lineRule="auto"/>
              <w:rPr>
                <w:rFonts w:ascii="宋体"/>
                <w:sz w:val="21"/>
                <w:szCs w:val="21"/>
              </w:rPr>
            </w:pPr>
            <w:r>
              <w:rPr>
                <w:rFonts w:hint="eastAsia" w:ascii="宋体"/>
                <w:sz w:val="21"/>
                <w:szCs w:val="21"/>
              </w:rPr>
              <w:t>三</w:t>
            </w:r>
            <w:r>
              <w:rPr>
                <w:rFonts w:ascii="宋体"/>
                <w:sz w:val="21"/>
                <w:szCs w:val="21"/>
              </w:rPr>
              <w:t>、付款方式：</w:t>
            </w:r>
          </w:p>
          <w:p w14:paraId="41D78C5F">
            <w:pPr>
              <w:pStyle w:val="35"/>
              <w:spacing w:line="360" w:lineRule="auto"/>
              <w:ind w:left="980"/>
              <w:rPr>
                <w:rFonts w:ascii="宋体"/>
                <w:sz w:val="21"/>
                <w:szCs w:val="21"/>
              </w:rPr>
            </w:pPr>
          </w:p>
        </w:tc>
      </w:tr>
      <w:tr w14:paraId="64503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4204D5E9">
            <w:pPr>
              <w:spacing w:line="360" w:lineRule="auto"/>
              <w:rPr>
                <w:rFonts w:ascii="宋体"/>
                <w:sz w:val="21"/>
                <w:szCs w:val="21"/>
              </w:rPr>
            </w:pPr>
            <w:r>
              <w:rPr>
                <w:rFonts w:hint="eastAsia" w:ascii="宋体"/>
                <w:sz w:val="21"/>
                <w:szCs w:val="21"/>
              </w:rPr>
              <w:t>四</w:t>
            </w:r>
            <w:r>
              <w:rPr>
                <w:rFonts w:ascii="宋体"/>
                <w:sz w:val="21"/>
                <w:szCs w:val="21"/>
              </w:rPr>
              <w:t>、违约责任：</w:t>
            </w:r>
          </w:p>
          <w:p w14:paraId="4E8F2376">
            <w:pPr>
              <w:spacing w:line="360" w:lineRule="auto"/>
              <w:rPr>
                <w:rFonts w:ascii="宋体"/>
                <w:sz w:val="21"/>
                <w:szCs w:val="21"/>
              </w:rPr>
            </w:pPr>
            <w:r>
              <w:rPr>
                <w:rFonts w:ascii="宋体"/>
                <w:sz w:val="21"/>
                <w:szCs w:val="21"/>
              </w:rPr>
              <w:t>按《</w:t>
            </w:r>
            <w:r>
              <w:rPr>
                <w:rFonts w:hint="eastAsia" w:ascii="宋体"/>
                <w:sz w:val="21"/>
                <w:szCs w:val="21"/>
              </w:rPr>
              <w:t>中华人民共和国民法典</w:t>
            </w:r>
            <w:r>
              <w:rPr>
                <w:rFonts w:ascii="宋体"/>
                <w:sz w:val="21"/>
                <w:szCs w:val="21"/>
              </w:rPr>
              <w:t>》、《</w:t>
            </w:r>
            <w:r>
              <w:rPr>
                <w:rFonts w:hint="eastAsia" w:ascii="宋体"/>
                <w:sz w:val="21"/>
                <w:szCs w:val="21"/>
              </w:rPr>
              <w:t>中华人民共和国</w:t>
            </w:r>
            <w:r>
              <w:rPr>
                <w:rFonts w:ascii="宋体"/>
                <w:sz w:val="21"/>
                <w:szCs w:val="21"/>
              </w:rPr>
              <w:t>政府采购法》执行，或按双方约定。</w:t>
            </w:r>
          </w:p>
        </w:tc>
      </w:tr>
      <w:tr w14:paraId="2AE49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14:paraId="74FC5C2F">
            <w:pPr>
              <w:spacing w:line="360" w:lineRule="auto"/>
              <w:rPr>
                <w:rFonts w:ascii="宋体"/>
                <w:sz w:val="21"/>
                <w:szCs w:val="21"/>
              </w:rPr>
            </w:pPr>
            <w:r>
              <w:rPr>
                <w:rFonts w:hint="eastAsia" w:ascii="宋体"/>
                <w:sz w:val="21"/>
                <w:szCs w:val="21"/>
              </w:rPr>
              <w:t>五</w:t>
            </w:r>
            <w:r>
              <w:rPr>
                <w:rFonts w:ascii="宋体"/>
                <w:sz w:val="21"/>
                <w:szCs w:val="21"/>
              </w:rPr>
              <w:t>、其他约定事项：</w:t>
            </w:r>
          </w:p>
          <w:p w14:paraId="1069618D">
            <w:pPr>
              <w:spacing w:line="360" w:lineRule="auto"/>
              <w:rPr>
                <w:rFonts w:ascii="宋体"/>
                <w:sz w:val="21"/>
                <w:szCs w:val="21"/>
              </w:rPr>
            </w:pPr>
            <w:r>
              <w:rPr>
                <w:rFonts w:ascii="宋体"/>
                <w:sz w:val="21"/>
                <w:szCs w:val="21"/>
              </w:rPr>
              <w:t>1、</w:t>
            </w:r>
            <w:r>
              <w:rPr>
                <w:rFonts w:hint="eastAsia" w:ascii="宋体"/>
                <w:sz w:val="21"/>
                <w:szCs w:val="21"/>
              </w:rPr>
              <w:t>招标</w:t>
            </w:r>
            <w:r>
              <w:rPr>
                <w:rFonts w:ascii="宋体"/>
                <w:sz w:val="21"/>
                <w:szCs w:val="21"/>
              </w:rPr>
              <w:t>文件及其补遗文件、</w:t>
            </w:r>
            <w:r>
              <w:rPr>
                <w:rFonts w:hint="eastAsia" w:ascii="宋体"/>
                <w:sz w:val="21"/>
                <w:szCs w:val="21"/>
              </w:rPr>
              <w:t>投标</w:t>
            </w:r>
            <w:r>
              <w:rPr>
                <w:rFonts w:ascii="宋体"/>
                <w:sz w:val="21"/>
                <w:szCs w:val="21"/>
              </w:rPr>
              <w:t>文件和承诺是本合同不可分割的部分。</w:t>
            </w:r>
          </w:p>
          <w:p w14:paraId="35D0160C">
            <w:pPr>
              <w:spacing w:line="360" w:lineRule="auto"/>
              <w:ind w:left="360"/>
              <w:rPr>
                <w:rFonts w:ascii="宋体"/>
                <w:sz w:val="21"/>
                <w:szCs w:val="21"/>
              </w:rPr>
            </w:pPr>
            <w:r>
              <w:rPr>
                <w:rFonts w:ascii="宋体"/>
                <w:sz w:val="21"/>
                <w:szCs w:val="21"/>
              </w:rPr>
              <w:t>本合同如发生争议由双方协商解决，协商不成向需方所在人民法院提请诉讼。</w:t>
            </w:r>
          </w:p>
          <w:p w14:paraId="0AEA8A34">
            <w:pPr>
              <w:spacing w:line="360" w:lineRule="auto"/>
              <w:ind w:left="360"/>
              <w:rPr>
                <w:rFonts w:ascii="宋体"/>
                <w:sz w:val="21"/>
                <w:szCs w:val="21"/>
              </w:rPr>
            </w:pPr>
            <w:r>
              <w:rPr>
                <w:rFonts w:ascii="宋体"/>
                <w:sz w:val="21"/>
                <w:szCs w:val="21"/>
              </w:rPr>
              <w:t>本合同一式__份， 需方__份，供方__份，具同等法律效力。</w:t>
            </w:r>
          </w:p>
          <w:p w14:paraId="62C49713">
            <w:pPr>
              <w:spacing w:line="360" w:lineRule="auto"/>
              <w:rPr>
                <w:rFonts w:ascii="宋体"/>
                <w:sz w:val="21"/>
                <w:szCs w:val="21"/>
              </w:rPr>
            </w:pPr>
            <w:r>
              <w:rPr>
                <w:rFonts w:hint="eastAsia" w:ascii="宋体"/>
                <w:sz w:val="21"/>
                <w:szCs w:val="21"/>
              </w:rPr>
              <w:t>2</w:t>
            </w:r>
            <w:r>
              <w:rPr>
                <w:rFonts w:ascii="宋体"/>
                <w:sz w:val="21"/>
                <w:szCs w:val="21"/>
              </w:rPr>
              <w:t>、其他：</w:t>
            </w:r>
          </w:p>
        </w:tc>
      </w:tr>
      <w:tr w14:paraId="681AA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tcPr>
          <w:p w14:paraId="1EA2923D">
            <w:pPr>
              <w:spacing w:line="360" w:lineRule="auto"/>
              <w:rPr>
                <w:rFonts w:ascii="宋体"/>
                <w:sz w:val="21"/>
                <w:szCs w:val="21"/>
              </w:rPr>
            </w:pPr>
            <w:r>
              <w:rPr>
                <w:rFonts w:ascii="宋体"/>
                <w:sz w:val="21"/>
                <w:szCs w:val="21"/>
              </w:rPr>
              <w:t>需方：</w:t>
            </w:r>
          </w:p>
          <w:p w14:paraId="5DD0F44B">
            <w:pPr>
              <w:spacing w:line="360" w:lineRule="auto"/>
              <w:rPr>
                <w:rFonts w:ascii="宋体"/>
                <w:sz w:val="21"/>
                <w:szCs w:val="21"/>
              </w:rPr>
            </w:pPr>
            <w:r>
              <w:rPr>
                <w:rFonts w:ascii="宋体"/>
                <w:sz w:val="21"/>
                <w:szCs w:val="21"/>
              </w:rPr>
              <w:t>地址：</w:t>
            </w:r>
          </w:p>
          <w:p w14:paraId="3438BBB0">
            <w:pPr>
              <w:spacing w:line="360" w:lineRule="auto"/>
              <w:rPr>
                <w:rFonts w:ascii="宋体"/>
                <w:sz w:val="21"/>
                <w:szCs w:val="21"/>
              </w:rPr>
            </w:pPr>
            <w:r>
              <w:rPr>
                <w:rFonts w:ascii="宋体"/>
                <w:sz w:val="21"/>
                <w:szCs w:val="21"/>
              </w:rPr>
              <w:t>联系电话：</w:t>
            </w:r>
          </w:p>
          <w:p w14:paraId="7F850BA0">
            <w:pPr>
              <w:spacing w:line="360" w:lineRule="auto"/>
              <w:rPr>
                <w:rFonts w:ascii="宋体"/>
                <w:sz w:val="21"/>
                <w:szCs w:val="21"/>
              </w:rPr>
            </w:pPr>
            <w:r>
              <w:rPr>
                <w:rFonts w:ascii="宋体"/>
                <w:sz w:val="21"/>
                <w:szCs w:val="21"/>
              </w:rPr>
              <w:t>授权代表：</w:t>
            </w:r>
          </w:p>
        </w:tc>
        <w:tc>
          <w:tcPr>
            <w:tcW w:w="5125" w:type="dxa"/>
            <w:gridSpan w:val="5"/>
          </w:tcPr>
          <w:p w14:paraId="2E1BFE46">
            <w:pPr>
              <w:spacing w:line="360" w:lineRule="auto"/>
              <w:rPr>
                <w:rFonts w:ascii="宋体"/>
                <w:sz w:val="21"/>
                <w:szCs w:val="21"/>
              </w:rPr>
            </w:pPr>
            <w:r>
              <w:rPr>
                <w:rFonts w:ascii="宋体"/>
                <w:sz w:val="21"/>
                <w:szCs w:val="21"/>
              </w:rPr>
              <w:t>供方：</w:t>
            </w:r>
          </w:p>
          <w:p w14:paraId="02F694BB">
            <w:pPr>
              <w:spacing w:line="360" w:lineRule="auto"/>
              <w:rPr>
                <w:rFonts w:ascii="宋体"/>
                <w:sz w:val="21"/>
                <w:szCs w:val="21"/>
              </w:rPr>
            </w:pPr>
            <w:r>
              <w:rPr>
                <w:rFonts w:ascii="宋体"/>
                <w:sz w:val="21"/>
                <w:szCs w:val="21"/>
              </w:rPr>
              <w:t>地址：</w:t>
            </w:r>
          </w:p>
          <w:p w14:paraId="48B4807B">
            <w:pPr>
              <w:spacing w:line="360" w:lineRule="auto"/>
              <w:rPr>
                <w:rFonts w:ascii="宋体"/>
                <w:sz w:val="21"/>
                <w:szCs w:val="21"/>
              </w:rPr>
            </w:pPr>
            <w:r>
              <w:rPr>
                <w:rFonts w:ascii="宋体"/>
                <w:sz w:val="21"/>
                <w:szCs w:val="21"/>
              </w:rPr>
              <w:t>电话：</w:t>
            </w:r>
          </w:p>
          <w:p w14:paraId="4FB1D184">
            <w:pPr>
              <w:spacing w:line="360" w:lineRule="auto"/>
              <w:rPr>
                <w:rFonts w:ascii="宋体"/>
                <w:sz w:val="21"/>
                <w:szCs w:val="21"/>
              </w:rPr>
            </w:pPr>
            <w:r>
              <w:rPr>
                <w:rFonts w:ascii="宋体"/>
                <w:sz w:val="21"/>
                <w:szCs w:val="21"/>
              </w:rPr>
              <w:t>传真：</w:t>
            </w:r>
          </w:p>
          <w:p w14:paraId="73BF95D5">
            <w:pPr>
              <w:spacing w:line="360" w:lineRule="auto"/>
              <w:rPr>
                <w:rFonts w:ascii="宋体"/>
                <w:sz w:val="21"/>
                <w:szCs w:val="21"/>
              </w:rPr>
            </w:pPr>
            <w:r>
              <w:rPr>
                <w:rFonts w:ascii="宋体"/>
                <w:sz w:val="21"/>
                <w:szCs w:val="21"/>
              </w:rPr>
              <w:t>开户银行：</w:t>
            </w:r>
          </w:p>
          <w:p w14:paraId="17E40744">
            <w:pPr>
              <w:spacing w:line="360" w:lineRule="auto"/>
              <w:rPr>
                <w:rFonts w:ascii="宋体"/>
                <w:sz w:val="21"/>
                <w:szCs w:val="21"/>
              </w:rPr>
            </w:pPr>
            <w:r>
              <w:rPr>
                <w:rFonts w:ascii="宋体"/>
                <w:sz w:val="21"/>
                <w:szCs w:val="21"/>
              </w:rPr>
              <w:t>账号：</w:t>
            </w:r>
          </w:p>
          <w:p w14:paraId="21F76AFC">
            <w:pPr>
              <w:spacing w:line="360" w:lineRule="auto"/>
              <w:rPr>
                <w:rFonts w:ascii="宋体"/>
                <w:sz w:val="21"/>
                <w:szCs w:val="21"/>
              </w:rPr>
            </w:pPr>
            <w:r>
              <w:rPr>
                <w:rFonts w:ascii="宋体"/>
                <w:sz w:val="21"/>
                <w:szCs w:val="21"/>
              </w:rPr>
              <w:t>授权代表：</w:t>
            </w:r>
          </w:p>
          <w:p w14:paraId="2BD010A0">
            <w:pPr>
              <w:widowControl/>
              <w:spacing w:line="360" w:lineRule="auto"/>
              <w:jc w:val="left"/>
              <w:rPr>
                <w:rFonts w:ascii="宋体"/>
                <w:sz w:val="21"/>
                <w:szCs w:val="21"/>
              </w:rPr>
            </w:pPr>
            <w:r>
              <w:rPr>
                <w:rFonts w:ascii="宋体"/>
                <w:sz w:val="21"/>
                <w:szCs w:val="21"/>
              </w:rPr>
              <w:t>（本栏请用计算机打印以便于准确付款）</w:t>
            </w:r>
          </w:p>
        </w:tc>
      </w:tr>
      <w:tr w14:paraId="05AE3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14:paraId="6116CC24">
            <w:pPr>
              <w:spacing w:line="360" w:lineRule="auto"/>
              <w:rPr>
                <w:rFonts w:ascii="宋体"/>
                <w:sz w:val="21"/>
                <w:szCs w:val="21"/>
              </w:rPr>
            </w:pPr>
            <w:r>
              <w:rPr>
                <w:rFonts w:ascii="宋体"/>
                <w:sz w:val="21"/>
                <w:szCs w:val="21"/>
              </w:rPr>
              <w:t>备注：</w:t>
            </w:r>
          </w:p>
          <w:p w14:paraId="42A27897">
            <w:pPr>
              <w:spacing w:line="360" w:lineRule="auto"/>
              <w:rPr>
                <w:rFonts w:ascii="宋体"/>
                <w:sz w:val="21"/>
                <w:szCs w:val="21"/>
              </w:rPr>
            </w:pPr>
          </w:p>
          <w:p w14:paraId="6DF907D4">
            <w:pPr>
              <w:spacing w:line="360" w:lineRule="auto"/>
              <w:rPr>
                <w:rFonts w:ascii="宋体"/>
                <w:sz w:val="21"/>
                <w:szCs w:val="21"/>
              </w:rPr>
            </w:pPr>
          </w:p>
        </w:tc>
      </w:tr>
    </w:tbl>
    <w:p w14:paraId="081DAA90">
      <w:pPr>
        <w:spacing w:line="360" w:lineRule="auto"/>
        <w:ind w:firstLine="480" w:firstLineChars="200"/>
        <w:rPr>
          <w:rFonts w:ascii="宋体"/>
          <w:sz w:val="24"/>
        </w:rPr>
      </w:pPr>
      <w:r>
        <w:rPr>
          <w:rFonts w:ascii="宋体"/>
          <w:sz w:val="24"/>
        </w:rPr>
        <w:t>签约时间：           年   月   日      签约地点：</w:t>
      </w:r>
    </w:p>
    <w:p w14:paraId="2356149B">
      <w:pPr>
        <w:spacing w:line="500" w:lineRule="exact"/>
        <w:ind w:firstLine="480" w:firstLineChars="200"/>
        <w:rPr>
          <w:rFonts w:ascii="宋体"/>
          <w:sz w:val="24"/>
        </w:rPr>
        <w:sectPr>
          <w:headerReference r:id="rId13" w:type="default"/>
          <w:pgSz w:w="11907" w:h="16840"/>
          <w:pgMar w:top="1134" w:right="1191" w:bottom="1134" w:left="1191" w:header="851" w:footer="992" w:gutter="0"/>
          <w:pgNumType w:fmt="numberInDash"/>
          <w:cols w:space="720" w:num="1"/>
          <w:docGrid w:linePitch="381" w:charSpace="-5734"/>
        </w:sectPr>
      </w:pPr>
    </w:p>
    <w:p w14:paraId="26B35C79">
      <w:pPr>
        <w:pStyle w:val="4"/>
        <w:spacing w:line="360" w:lineRule="auto"/>
        <w:jc w:val="center"/>
        <w:rPr>
          <w:rFonts w:ascii="宋体" w:eastAsia="宋体"/>
          <w:sz w:val="36"/>
          <w:szCs w:val="30"/>
        </w:rPr>
      </w:pPr>
      <w:bookmarkStart w:id="119" w:name="_Toc141860882"/>
      <w:r>
        <w:rPr>
          <w:rFonts w:ascii="宋体" w:eastAsia="宋体"/>
          <w:sz w:val="36"/>
          <w:szCs w:val="30"/>
        </w:rPr>
        <w:t>第七篇  响应文件编制要求</w:t>
      </w:r>
      <w:bookmarkEnd w:id="118"/>
      <w:bookmarkEnd w:id="119"/>
    </w:p>
    <w:p w14:paraId="49EF5F1B">
      <w:pPr>
        <w:pStyle w:val="5"/>
        <w:spacing w:before="0" w:after="0" w:line="360" w:lineRule="auto"/>
        <w:ind w:firstLine="482" w:firstLineChars="200"/>
        <w:rPr>
          <w:rFonts w:ascii="宋体" w:hAnsi="宋体"/>
          <w:sz w:val="24"/>
          <w:szCs w:val="24"/>
        </w:rPr>
      </w:pPr>
      <w:bookmarkStart w:id="120" w:name="_Toc141860883"/>
      <w:bookmarkStart w:id="121" w:name="_Toc130496048"/>
      <w:r>
        <w:rPr>
          <w:rFonts w:ascii="宋体" w:hAnsi="宋体"/>
          <w:sz w:val="24"/>
          <w:szCs w:val="24"/>
        </w:rPr>
        <w:t>一、经济部分</w:t>
      </w:r>
      <w:bookmarkEnd w:id="120"/>
      <w:bookmarkEnd w:id="121"/>
    </w:p>
    <w:p w14:paraId="7F205DC8">
      <w:pPr>
        <w:snapToGrid w:val="0"/>
        <w:spacing w:line="360" w:lineRule="auto"/>
        <w:ind w:firstLine="480" w:firstLineChars="200"/>
        <w:rPr>
          <w:sz w:val="24"/>
          <w:szCs w:val="24"/>
        </w:rPr>
      </w:pPr>
      <w:r>
        <w:rPr>
          <w:sz w:val="24"/>
          <w:szCs w:val="24"/>
        </w:rPr>
        <w:t>（一）竞争性磋商报价函</w:t>
      </w:r>
    </w:p>
    <w:p w14:paraId="17BAACBB">
      <w:pPr>
        <w:snapToGrid w:val="0"/>
        <w:spacing w:line="360" w:lineRule="auto"/>
        <w:ind w:firstLine="480" w:firstLineChars="200"/>
        <w:rPr>
          <w:sz w:val="24"/>
          <w:szCs w:val="24"/>
        </w:rPr>
      </w:pPr>
      <w:r>
        <w:rPr>
          <w:rFonts w:hint="eastAsia"/>
          <w:sz w:val="24"/>
          <w:szCs w:val="24"/>
        </w:rPr>
        <w:t>（二）分项报价明细表</w:t>
      </w:r>
    </w:p>
    <w:p w14:paraId="6F814B23">
      <w:pPr>
        <w:pStyle w:val="5"/>
        <w:spacing w:before="0" w:after="0" w:line="360" w:lineRule="auto"/>
        <w:ind w:firstLine="482" w:firstLineChars="200"/>
        <w:rPr>
          <w:rFonts w:ascii="宋体" w:hAnsi="宋体"/>
          <w:sz w:val="24"/>
          <w:szCs w:val="24"/>
        </w:rPr>
      </w:pPr>
      <w:bookmarkStart w:id="122" w:name="_Toc78194469"/>
      <w:bookmarkStart w:id="123" w:name="_Toc141860884"/>
      <w:bookmarkStart w:id="124" w:name="_Toc130496049"/>
      <w:r>
        <w:rPr>
          <w:rFonts w:hint="eastAsia" w:ascii="宋体" w:hAnsi="宋体"/>
          <w:sz w:val="24"/>
          <w:szCs w:val="24"/>
        </w:rPr>
        <w:t>二、服务部分</w:t>
      </w:r>
      <w:bookmarkEnd w:id="122"/>
      <w:bookmarkEnd w:id="123"/>
      <w:bookmarkEnd w:id="124"/>
    </w:p>
    <w:p w14:paraId="4E2C6950">
      <w:pPr>
        <w:snapToGrid w:val="0"/>
        <w:spacing w:line="360" w:lineRule="auto"/>
        <w:ind w:firstLine="480" w:firstLineChars="200"/>
        <w:rPr>
          <w:rFonts w:ascii="宋体" w:hAnsi="宋体"/>
          <w:sz w:val="24"/>
          <w:szCs w:val="24"/>
        </w:rPr>
      </w:pPr>
      <w:r>
        <w:rPr>
          <w:rFonts w:hint="eastAsia" w:ascii="宋体" w:hAnsi="宋体"/>
          <w:sz w:val="24"/>
          <w:szCs w:val="24"/>
        </w:rPr>
        <w:t>（一）服务方案</w:t>
      </w:r>
    </w:p>
    <w:p w14:paraId="18D0F59C">
      <w:pPr>
        <w:snapToGrid w:val="0"/>
        <w:spacing w:line="360" w:lineRule="auto"/>
        <w:ind w:firstLine="480" w:firstLineChars="200"/>
        <w:rPr>
          <w:sz w:val="24"/>
          <w:szCs w:val="24"/>
        </w:rPr>
      </w:pPr>
      <w:r>
        <w:rPr>
          <w:rFonts w:hint="eastAsia" w:ascii="宋体" w:hAnsi="宋体"/>
          <w:sz w:val="24"/>
          <w:szCs w:val="24"/>
        </w:rPr>
        <w:t>（二）服务响应偏离表</w:t>
      </w:r>
    </w:p>
    <w:p w14:paraId="236B2975">
      <w:pPr>
        <w:pStyle w:val="5"/>
        <w:spacing w:before="0" w:after="0" w:line="360" w:lineRule="auto"/>
        <w:ind w:firstLine="482" w:firstLineChars="200"/>
        <w:rPr>
          <w:rFonts w:ascii="宋体" w:hAnsi="宋体"/>
          <w:sz w:val="24"/>
          <w:szCs w:val="24"/>
        </w:rPr>
      </w:pPr>
      <w:bookmarkStart w:id="125" w:name="_Toc130496050"/>
      <w:bookmarkStart w:id="126" w:name="_Toc141860885"/>
      <w:r>
        <w:rPr>
          <w:rFonts w:ascii="宋体" w:hAnsi="宋体"/>
          <w:sz w:val="24"/>
          <w:szCs w:val="24"/>
        </w:rPr>
        <w:t>三、商务部分</w:t>
      </w:r>
      <w:bookmarkEnd w:id="125"/>
      <w:bookmarkEnd w:id="126"/>
    </w:p>
    <w:p w14:paraId="6122216D">
      <w:pPr>
        <w:snapToGrid w:val="0"/>
        <w:spacing w:line="360" w:lineRule="auto"/>
        <w:ind w:firstLine="480" w:firstLineChars="200"/>
        <w:rPr>
          <w:sz w:val="24"/>
          <w:szCs w:val="24"/>
        </w:rPr>
      </w:pPr>
      <w:r>
        <w:rPr>
          <w:sz w:val="24"/>
          <w:szCs w:val="24"/>
        </w:rPr>
        <w:t>（一）</w:t>
      </w:r>
      <w:r>
        <w:rPr>
          <w:rFonts w:hint="eastAsia"/>
          <w:sz w:val="24"/>
          <w:szCs w:val="24"/>
        </w:rPr>
        <w:t>商务条款差异表</w:t>
      </w:r>
    </w:p>
    <w:p w14:paraId="75694E14">
      <w:pPr>
        <w:snapToGrid w:val="0"/>
        <w:spacing w:line="360" w:lineRule="auto"/>
        <w:ind w:firstLine="480" w:firstLineChars="200"/>
        <w:rPr>
          <w:sz w:val="24"/>
          <w:szCs w:val="24"/>
        </w:rPr>
      </w:pPr>
      <w:r>
        <w:rPr>
          <w:sz w:val="24"/>
          <w:szCs w:val="24"/>
        </w:rPr>
        <w:t>（二）</w:t>
      </w:r>
      <w:r>
        <w:rPr>
          <w:rFonts w:hint="eastAsia"/>
          <w:sz w:val="24"/>
          <w:szCs w:val="24"/>
        </w:rPr>
        <w:t>其它优惠服务承诺</w:t>
      </w:r>
    </w:p>
    <w:p w14:paraId="63E53C4A">
      <w:pPr>
        <w:pStyle w:val="5"/>
        <w:spacing w:before="0" w:after="0" w:line="360" w:lineRule="auto"/>
        <w:ind w:firstLine="482" w:firstLineChars="200"/>
        <w:rPr>
          <w:rFonts w:ascii="宋体" w:hAnsi="宋体"/>
          <w:sz w:val="24"/>
          <w:szCs w:val="24"/>
        </w:rPr>
      </w:pPr>
      <w:bookmarkStart w:id="127" w:name="_Toc130496051"/>
      <w:bookmarkStart w:id="128" w:name="_Toc141860886"/>
      <w:r>
        <w:rPr>
          <w:rFonts w:ascii="宋体" w:hAnsi="宋体"/>
          <w:sz w:val="24"/>
          <w:szCs w:val="24"/>
        </w:rPr>
        <w:t>四、资格条件及其他</w:t>
      </w:r>
      <w:bookmarkEnd w:id="127"/>
      <w:bookmarkEnd w:id="128"/>
    </w:p>
    <w:p w14:paraId="6C46D9CB">
      <w:pPr>
        <w:snapToGrid w:val="0"/>
        <w:spacing w:line="360" w:lineRule="auto"/>
        <w:ind w:firstLine="480" w:firstLineChars="200"/>
        <w:rPr>
          <w:rFonts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14:paraId="751E24B3">
      <w:pPr>
        <w:snapToGrid w:val="0"/>
        <w:spacing w:line="360" w:lineRule="auto"/>
        <w:ind w:firstLine="480" w:firstLineChars="200"/>
        <w:rPr>
          <w:rFonts w:ascii="宋体" w:hAnsi="宋体"/>
          <w:sz w:val="24"/>
          <w:szCs w:val="24"/>
        </w:rPr>
      </w:pPr>
      <w:r>
        <w:rPr>
          <w:rFonts w:hint="eastAsia" w:ascii="宋体" w:hAnsi="宋体"/>
          <w:sz w:val="24"/>
          <w:szCs w:val="24"/>
        </w:rPr>
        <w:t>（二）法定代表人身份证明书（格式）</w:t>
      </w:r>
    </w:p>
    <w:p w14:paraId="2072CCDB">
      <w:pPr>
        <w:snapToGrid w:val="0"/>
        <w:spacing w:line="360" w:lineRule="auto"/>
        <w:ind w:firstLine="480" w:firstLineChars="200"/>
        <w:rPr>
          <w:rFonts w:ascii="宋体" w:hAnsi="宋体"/>
          <w:sz w:val="24"/>
          <w:szCs w:val="24"/>
        </w:rPr>
      </w:pPr>
      <w:r>
        <w:rPr>
          <w:rFonts w:hint="eastAsia" w:ascii="宋体" w:hAnsi="宋体"/>
          <w:sz w:val="24"/>
          <w:szCs w:val="24"/>
        </w:rPr>
        <w:t>（三）法定代表人授权委托书（格式）</w:t>
      </w:r>
    </w:p>
    <w:p w14:paraId="6F29C1B3">
      <w:pPr>
        <w:snapToGrid w:val="0"/>
        <w:spacing w:line="360" w:lineRule="auto"/>
        <w:ind w:firstLine="480" w:firstLineChars="200"/>
        <w:rPr>
          <w:rFonts w:ascii="宋体" w:hAnsi="宋体"/>
          <w:sz w:val="24"/>
          <w:szCs w:val="24"/>
        </w:rPr>
      </w:pPr>
      <w:r>
        <w:rPr>
          <w:rFonts w:hint="eastAsia" w:ascii="宋体" w:hAnsi="宋体"/>
          <w:sz w:val="24"/>
          <w:szCs w:val="24"/>
        </w:rPr>
        <w:t>（四）基本资格条件承诺函（格式）</w:t>
      </w:r>
    </w:p>
    <w:p w14:paraId="2FF8EF8E">
      <w:pPr>
        <w:snapToGrid w:val="0"/>
        <w:spacing w:line="360" w:lineRule="auto"/>
        <w:ind w:firstLine="480" w:firstLineChars="200"/>
        <w:rPr>
          <w:rFonts w:ascii="宋体" w:hAnsi="宋体"/>
          <w:sz w:val="24"/>
          <w:szCs w:val="24"/>
        </w:rPr>
      </w:pPr>
      <w:r>
        <w:rPr>
          <w:rFonts w:hint="eastAsia" w:ascii="宋体" w:hAnsi="宋体"/>
          <w:sz w:val="24"/>
          <w:szCs w:val="24"/>
        </w:rPr>
        <w:t>（五）特定资格条件证书或证明文件（如有）</w:t>
      </w:r>
    </w:p>
    <w:p w14:paraId="7C0AFA6A">
      <w:pPr>
        <w:snapToGrid w:val="0"/>
        <w:spacing w:line="360" w:lineRule="auto"/>
        <w:ind w:firstLine="480" w:firstLineChars="200"/>
        <w:rPr>
          <w:rFonts w:ascii="宋体" w:hAnsi="宋体"/>
          <w:sz w:val="24"/>
          <w:szCs w:val="24"/>
        </w:rPr>
      </w:pPr>
      <w:r>
        <w:rPr>
          <w:rFonts w:hint="eastAsia" w:ascii="宋体" w:hAnsi="宋体"/>
          <w:sz w:val="24"/>
          <w:szCs w:val="24"/>
        </w:rPr>
        <w:t>（六）落实政府采购政策需满足的资格要求（如有）</w:t>
      </w:r>
    </w:p>
    <w:p w14:paraId="4C35C0EC">
      <w:pPr>
        <w:snapToGrid w:val="0"/>
        <w:spacing w:line="360" w:lineRule="auto"/>
        <w:ind w:firstLine="480" w:firstLineChars="200"/>
        <w:rPr>
          <w:rFonts w:ascii="宋体" w:hAnsi="宋体"/>
          <w:sz w:val="24"/>
          <w:szCs w:val="24"/>
        </w:rPr>
      </w:pPr>
      <w:r>
        <w:rPr>
          <w:rFonts w:hint="eastAsia" w:ascii="宋体" w:hAnsi="宋体"/>
          <w:sz w:val="24"/>
          <w:szCs w:val="24"/>
        </w:rPr>
        <w:t>（七）</w:t>
      </w:r>
      <w:r>
        <w:rPr>
          <w:rFonts w:ascii="宋体" w:hAnsi="宋体"/>
          <w:sz w:val="24"/>
          <w:szCs w:val="24"/>
        </w:rPr>
        <w:t>其他应提供的资料</w:t>
      </w:r>
    </w:p>
    <w:p w14:paraId="453706DC">
      <w:pPr>
        <w:snapToGrid w:val="0"/>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中小</w:t>
      </w:r>
      <w:r>
        <w:rPr>
          <w:rFonts w:ascii="宋体" w:hAnsi="宋体"/>
          <w:sz w:val="24"/>
          <w:szCs w:val="24"/>
        </w:rPr>
        <w:t>企业</w:t>
      </w:r>
      <w:r>
        <w:rPr>
          <w:rFonts w:hint="eastAsia" w:ascii="宋体" w:hAnsi="宋体"/>
          <w:sz w:val="24"/>
          <w:szCs w:val="24"/>
        </w:rPr>
        <w:t>声明函</w:t>
      </w:r>
      <w:r>
        <w:rPr>
          <w:rFonts w:ascii="宋体" w:hAnsi="宋体"/>
          <w:sz w:val="24"/>
          <w:szCs w:val="24"/>
        </w:rPr>
        <w:t>、监狱企业证明文件、残疾人福利性单位声明函</w:t>
      </w:r>
    </w:p>
    <w:p w14:paraId="6B0EF9B0">
      <w:pPr>
        <w:snapToGrid w:val="0"/>
        <w:spacing w:line="360" w:lineRule="auto"/>
        <w:ind w:firstLine="480" w:firstLineChars="200"/>
        <w:rPr>
          <w:rFonts w:ascii="宋体" w:hAnsi="宋体"/>
          <w:sz w:val="24"/>
          <w:szCs w:val="24"/>
        </w:rPr>
      </w:pPr>
      <w:r>
        <w:rPr>
          <w:rFonts w:ascii="宋体" w:hAnsi="宋体"/>
          <w:sz w:val="24"/>
          <w:szCs w:val="24"/>
        </w:rPr>
        <w:t>2.其他与项目有关的资料（自附）</w:t>
      </w:r>
    </w:p>
    <w:p w14:paraId="1BFD13E4">
      <w:pPr>
        <w:spacing w:line="440" w:lineRule="exact"/>
        <w:ind w:firstLine="480" w:firstLineChars="200"/>
        <w:rPr>
          <w:sz w:val="24"/>
          <w:szCs w:val="24"/>
        </w:rPr>
        <w:sectPr>
          <w:headerReference r:id="rId14" w:type="default"/>
          <w:pgSz w:w="11907" w:h="16840"/>
          <w:pgMar w:top="1134" w:right="1191" w:bottom="1134" w:left="1191" w:header="851" w:footer="992" w:gutter="0"/>
          <w:pgNumType w:fmt="numberInDash"/>
          <w:cols w:space="720" w:num="1"/>
          <w:docGrid w:linePitch="381" w:charSpace="-5735"/>
        </w:sectPr>
      </w:pPr>
    </w:p>
    <w:p w14:paraId="07BCD6E7">
      <w:pPr>
        <w:pageBreakBefore/>
        <w:tabs>
          <w:tab w:val="left" w:pos="6300"/>
        </w:tabs>
        <w:snapToGrid w:val="0"/>
        <w:spacing w:line="360" w:lineRule="auto"/>
        <w:rPr>
          <w:b/>
          <w:sz w:val="24"/>
          <w:szCs w:val="24"/>
        </w:rPr>
      </w:pPr>
      <w:r>
        <w:rPr>
          <w:rFonts w:hint="eastAsia"/>
          <w:b/>
          <w:sz w:val="24"/>
          <w:szCs w:val="24"/>
        </w:rPr>
        <w:t xml:space="preserve">    </w:t>
      </w:r>
      <w:bookmarkStart w:id="129" w:name="_Toc313008356"/>
      <w:bookmarkStart w:id="130" w:name="_Toc342913419"/>
      <w:bookmarkStart w:id="131" w:name="_Toc23764522"/>
      <w:bookmarkStart w:id="132" w:name="_Toc313888360"/>
      <w:bookmarkStart w:id="133" w:name="_Toc12789073"/>
      <w:bookmarkStart w:id="134" w:name="_Toc283382454"/>
      <w:r>
        <w:rPr>
          <w:b/>
          <w:sz w:val="24"/>
          <w:szCs w:val="24"/>
        </w:rPr>
        <w:t>一、经济部分</w:t>
      </w:r>
      <w:bookmarkEnd w:id="129"/>
      <w:bookmarkEnd w:id="130"/>
      <w:bookmarkEnd w:id="131"/>
      <w:bookmarkEnd w:id="132"/>
    </w:p>
    <w:bookmarkEnd w:id="133"/>
    <w:bookmarkEnd w:id="134"/>
    <w:p w14:paraId="728D154F">
      <w:pPr>
        <w:tabs>
          <w:tab w:val="left" w:pos="6300"/>
        </w:tabs>
        <w:snapToGrid w:val="0"/>
        <w:spacing w:line="520" w:lineRule="exact"/>
        <w:ind w:firstLine="480" w:firstLineChars="200"/>
        <w:rPr>
          <w:sz w:val="24"/>
          <w:szCs w:val="24"/>
        </w:rPr>
      </w:pPr>
      <w:r>
        <w:rPr>
          <w:sz w:val="24"/>
          <w:szCs w:val="24"/>
        </w:rPr>
        <w:t>（一）竞争性磋商报价函</w:t>
      </w:r>
    </w:p>
    <w:p w14:paraId="29777D26">
      <w:pPr>
        <w:tabs>
          <w:tab w:val="left" w:pos="6300"/>
        </w:tabs>
        <w:snapToGrid w:val="0"/>
        <w:spacing w:line="520" w:lineRule="exact"/>
        <w:jc w:val="center"/>
        <w:outlineLvl w:val="0"/>
        <w:rPr>
          <w:b/>
          <w:szCs w:val="28"/>
        </w:rPr>
      </w:pPr>
      <w:r>
        <w:rPr>
          <w:b/>
          <w:szCs w:val="28"/>
        </w:rPr>
        <w:t>竞争性磋商报价函</w:t>
      </w:r>
    </w:p>
    <w:p w14:paraId="6808E19C">
      <w:pPr>
        <w:tabs>
          <w:tab w:val="left" w:pos="6300"/>
        </w:tabs>
        <w:snapToGrid w:val="0"/>
        <w:spacing w:line="520" w:lineRule="exact"/>
        <w:rPr>
          <w:sz w:val="24"/>
          <w:szCs w:val="24"/>
        </w:rPr>
      </w:pPr>
      <w:r>
        <w:rPr>
          <w:sz w:val="24"/>
          <w:szCs w:val="24"/>
          <w:u w:val="single"/>
        </w:rPr>
        <w:t>（采购代理机构名称）</w:t>
      </w:r>
      <w:r>
        <w:rPr>
          <w:sz w:val="24"/>
          <w:szCs w:val="24"/>
        </w:rPr>
        <w:t>：</w:t>
      </w:r>
    </w:p>
    <w:p w14:paraId="37C41076">
      <w:pPr>
        <w:tabs>
          <w:tab w:val="left" w:pos="6300"/>
        </w:tabs>
        <w:snapToGrid w:val="0"/>
        <w:spacing w:line="520" w:lineRule="exact"/>
        <w:ind w:firstLine="480" w:firstLineChars="200"/>
        <w:rPr>
          <w:sz w:val="24"/>
          <w:szCs w:val="24"/>
        </w:rPr>
      </w:pPr>
      <w:r>
        <w:rPr>
          <w:sz w:val="24"/>
          <w:szCs w:val="24"/>
        </w:rPr>
        <w:t>我方收到____________________________（项目名称）的竞争性磋商文件，经详细研究，决定参加该项目的磋商。</w:t>
      </w:r>
    </w:p>
    <w:p w14:paraId="77B86331">
      <w:pPr>
        <w:tabs>
          <w:tab w:val="left" w:pos="6300"/>
        </w:tabs>
        <w:snapToGrid w:val="0"/>
        <w:spacing w:line="520" w:lineRule="exact"/>
        <w:ind w:firstLine="480" w:firstLineChars="200"/>
        <w:rPr>
          <w:sz w:val="24"/>
          <w:szCs w:val="24"/>
        </w:rPr>
      </w:pPr>
      <w:r>
        <w:rPr>
          <w:sz w:val="24"/>
          <w:szCs w:val="24"/>
        </w:rPr>
        <w:t>1.愿意按照竞争性磋商文件中的一切要求，提供本项目的服务，初始报价为人民币大写：</w:t>
      </w:r>
      <w:r>
        <w:rPr>
          <w:sz w:val="24"/>
          <w:szCs w:val="24"/>
          <w:u w:val="single"/>
        </w:rPr>
        <w:t xml:space="preserve">      </w:t>
      </w:r>
      <w:r>
        <w:rPr>
          <w:rFonts w:hint="eastAsia"/>
          <w:sz w:val="24"/>
          <w:szCs w:val="24"/>
        </w:rPr>
        <w:t>元</w:t>
      </w:r>
      <w:r>
        <w:rPr>
          <w:sz w:val="24"/>
          <w:szCs w:val="24"/>
        </w:rPr>
        <w:t>；人民币小写：</w:t>
      </w:r>
      <w:r>
        <w:rPr>
          <w:sz w:val="24"/>
          <w:szCs w:val="24"/>
          <w:u w:val="single"/>
        </w:rPr>
        <w:t xml:space="preserve">    </w:t>
      </w:r>
      <w:r>
        <w:rPr>
          <w:rFonts w:hint="eastAsia"/>
          <w:sz w:val="24"/>
          <w:szCs w:val="24"/>
        </w:rPr>
        <w:t>元</w:t>
      </w:r>
      <w:r>
        <w:rPr>
          <w:sz w:val="24"/>
          <w:szCs w:val="24"/>
        </w:rPr>
        <w:t>。以我公司最后报价为准。</w:t>
      </w:r>
    </w:p>
    <w:p w14:paraId="77C25751">
      <w:pPr>
        <w:tabs>
          <w:tab w:val="left" w:pos="6300"/>
        </w:tabs>
        <w:snapToGrid w:val="0"/>
        <w:spacing w:line="520" w:lineRule="exact"/>
        <w:ind w:firstLine="480" w:firstLineChars="200"/>
        <w:rPr>
          <w:rFonts w:ascii="宋体" w:hAnsi="宋体"/>
          <w:sz w:val="24"/>
          <w:szCs w:val="24"/>
        </w:rPr>
      </w:pPr>
      <w:r>
        <w:rPr>
          <w:rFonts w:ascii="宋体" w:hAnsi="宋体"/>
          <w:sz w:val="24"/>
          <w:szCs w:val="24"/>
        </w:rPr>
        <w:t>2.我方现提交的响应文件为：响应文件正本</w:t>
      </w:r>
      <w:r>
        <w:rPr>
          <w:rFonts w:ascii="宋体" w:hAnsi="宋体"/>
          <w:sz w:val="24"/>
          <w:szCs w:val="24"/>
          <w:u w:val="single"/>
        </w:rPr>
        <w:t xml:space="preserve">   </w:t>
      </w:r>
      <w:r>
        <w:rPr>
          <w:rFonts w:ascii="宋体" w:hAnsi="宋体"/>
          <w:sz w:val="24"/>
          <w:szCs w:val="24"/>
        </w:rPr>
        <w:t>份，副本</w:t>
      </w:r>
      <w:r>
        <w:rPr>
          <w:rFonts w:ascii="宋体" w:hAnsi="宋体"/>
          <w:sz w:val="24"/>
          <w:szCs w:val="24"/>
          <w:u w:val="single"/>
        </w:rPr>
        <w:t xml:space="preserve">   </w:t>
      </w:r>
      <w:r>
        <w:rPr>
          <w:rFonts w:ascii="宋体" w:hAnsi="宋体"/>
          <w:sz w:val="24"/>
          <w:szCs w:val="24"/>
        </w:rPr>
        <w:t>份</w:t>
      </w:r>
      <w:r>
        <w:rPr>
          <w:rFonts w:hint="eastAsia" w:ascii="宋体" w:hAnsi="宋体"/>
          <w:sz w:val="24"/>
          <w:szCs w:val="24"/>
        </w:rPr>
        <w:t>，电子文档</w:t>
      </w:r>
      <w:r>
        <w:rPr>
          <w:rFonts w:ascii="宋体" w:hAnsi="宋体"/>
          <w:sz w:val="24"/>
          <w:szCs w:val="24"/>
          <w:u w:val="single"/>
        </w:rPr>
        <w:t xml:space="preserve">   </w:t>
      </w:r>
      <w:r>
        <w:rPr>
          <w:rFonts w:ascii="宋体" w:hAnsi="宋体"/>
          <w:sz w:val="24"/>
          <w:szCs w:val="24"/>
        </w:rPr>
        <w:t>份 。</w:t>
      </w:r>
    </w:p>
    <w:p w14:paraId="759CBCD4">
      <w:pPr>
        <w:tabs>
          <w:tab w:val="left" w:pos="6300"/>
        </w:tabs>
        <w:snapToGrid w:val="0"/>
        <w:spacing w:line="520" w:lineRule="exact"/>
        <w:ind w:firstLine="480" w:firstLineChars="200"/>
        <w:rPr>
          <w:rFonts w:ascii="宋体" w:hAnsi="宋体"/>
          <w:sz w:val="24"/>
          <w:szCs w:val="24"/>
        </w:rPr>
      </w:pPr>
      <w:r>
        <w:rPr>
          <w:rFonts w:ascii="宋体" w:hAnsi="宋体"/>
          <w:sz w:val="24"/>
          <w:szCs w:val="24"/>
        </w:rPr>
        <w:t>3.我方承诺：本次磋商的有效期为90天。</w:t>
      </w:r>
    </w:p>
    <w:p w14:paraId="1904FB57">
      <w:pPr>
        <w:tabs>
          <w:tab w:val="left" w:pos="6300"/>
        </w:tabs>
        <w:snapToGrid w:val="0"/>
        <w:spacing w:line="520" w:lineRule="exact"/>
        <w:ind w:firstLine="480" w:firstLineChars="200"/>
        <w:rPr>
          <w:rFonts w:ascii="宋体" w:hAnsi="宋体"/>
          <w:sz w:val="24"/>
          <w:szCs w:val="24"/>
        </w:rPr>
      </w:pPr>
      <w:r>
        <w:rPr>
          <w:rFonts w:ascii="宋体" w:hAnsi="宋体"/>
          <w:sz w:val="24"/>
          <w:szCs w:val="24"/>
        </w:rPr>
        <w:t>4.我方完全理解和接受贵方竞争性磋商文件的一切规定和要求及评审办法。</w:t>
      </w:r>
    </w:p>
    <w:p w14:paraId="6F2B08DA">
      <w:pPr>
        <w:tabs>
          <w:tab w:val="left" w:pos="6300"/>
        </w:tabs>
        <w:snapToGrid w:val="0"/>
        <w:spacing w:line="520" w:lineRule="exact"/>
        <w:ind w:firstLine="480" w:firstLineChars="200"/>
        <w:rPr>
          <w:rFonts w:ascii="宋体" w:hAnsi="宋体"/>
          <w:sz w:val="24"/>
          <w:szCs w:val="24"/>
        </w:rPr>
      </w:pPr>
      <w:r>
        <w:rPr>
          <w:rFonts w:ascii="宋体" w:hAnsi="宋体"/>
          <w:sz w:val="24"/>
          <w:szCs w:val="24"/>
        </w:rPr>
        <w:t>5.在整个竞争性磋商过程中，我方若有违规行为，接受按照《中华人民共和国政府采购法》和《竞争性磋商文件》之规定给予惩罚。</w:t>
      </w:r>
    </w:p>
    <w:p w14:paraId="60FF81A3">
      <w:pPr>
        <w:tabs>
          <w:tab w:val="left" w:pos="6300"/>
        </w:tabs>
        <w:snapToGrid w:val="0"/>
        <w:spacing w:line="520" w:lineRule="exact"/>
        <w:ind w:firstLine="480" w:firstLineChars="200"/>
        <w:rPr>
          <w:rFonts w:ascii="宋体" w:hAnsi="宋体"/>
          <w:sz w:val="24"/>
          <w:szCs w:val="24"/>
        </w:rPr>
      </w:pPr>
      <w:r>
        <w:rPr>
          <w:rFonts w:ascii="宋体" w:hAnsi="宋体"/>
          <w:sz w:val="24"/>
          <w:szCs w:val="24"/>
        </w:rPr>
        <w:t>6.我方若成为成交供应商，将按照最终磋商结果签订合同，并且严格履行合同义务。本承诺函将成为合同不可分割的一部分，与合同具有同等的法律效力。</w:t>
      </w:r>
    </w:p>
    <w:p w14:paraId="451D4087">
      <w:pPr>
        <w:tabs>
          <w:tab w:val="left" w:pos="6300"/>
        </w:tabs>
        <w:snapToGrid w:val="0"/>
        <w:spacing w:line="520" w:lineRule="exact"/>
        <w:ind w:firstLine="480" w:firstLineChars="200"/>
        <w:rPr>
          <w:rFonts w:ascii="宋体" w:hAnsi="宋体"/>
          <w:sz w:val="24"/>
          <w:szCs w:val="24"/>
        </w:rPr>
      </w:pPr>
      <w:r>
        <w:rPr>
          <w:rFonts w:ascii="宋体" w:hAnsi="宋体"/>
          <w:sz w:val="24"/>
          <w:szCs w:val="24"/>
        </w:rPr>
        <w:t>7.我方同意按竞争性磋商文件规定，交纳竞争性磋商文件要求的磋商保证金。如果我方成为成交供应商，保证在接到成交通知书后，</w:t>
      </w:r>
      <w:r>
        <w:rPr>
          <w:rFonts w:hint="eastAsia" w:ascii="宋体" w:hAnsi="宋体"/>
          <w:sz w:val="24"/>
          <w:szCs w:val="24"/>
        </w:rPr>
        <w:t>按</w:t>
      </w:r>
      <w:r>
        <w:rPr>
          <w:rFonts w:ascii="宋体" w:hAnsi="宋体"/>
          <w:sz w:val="24"/>
          <w:szCs w:val="24"/>
        </w:rPr>
        <w:t>竞争性磋商文件规定</w:t>
      </w:r>
      <w:r>
        <w:rPr>
          <w:rFonts w:hint="eastAsia" w:ascii="宋体" w:hAnsi="宋体"/>
          <w:sz w:val="24"/>
          <w:szCs w:val="24"/>
        </w:rPr>
        <w:t>缴纳</w:t>
      </w:r>
      <w:r>
        <w:rPr>
          <w:rFonts w:ascii="宋体" w:hAnsi="宋体"/>
          <w:sz w:val="24"/>
          <w:szCs w:val="24"/>
        </w:rPr>
        <w:t>采购代理服务费。</w:t>
      </w:r>
    </w:p>
    <w:p w14:paraId="0E414D9E">
      <w:pPr>
        <w:tabs>
          <w:tab w:val="left" w:pos="6300"/>
        </w:tabs>
        <w:snapToGrid w:val="0"/>
        <w:spacing w:line="520" w:lineRule="exact"/>
        <w:ind w:firstLine="480" w:firstLineChars="200"/>
        <w:rPr>
          <w:sz w:val="24"/>
          <w:szCs w:val="24"/>
        </w:rPr>
      </w:pPr>
      <w:r>
        <w:rPr>
          <w:rFonts w:ascii="宋体" w:hAnsi="宋体"/>
          <w:sz w:val="24"/>
          <w:szCs w:val="24"/>
        </w:rPr>
        <w:t>8.</w:t>
      </w:r>
      <w:r>
        <w:rPr>
          <w:sz w:val="24"/>
          <w:szCs w:val="28"/>
        </w:rPr>
        <w:t>我方未</w:t>
      </w:r>
      <w:r>
        <w:rPr>
          <w:sz w:val="24"/>
          <w:szCs w:val="24"/>
        </w:rPr>
        <w:t>为采购项目提供整体设计、规范编制或者项目管理、监理、检测等服务。</w:t>
      </w:r>
    </w:p>
    <w:p w14:paraId="7A4B6051">
      <w:pPr>
        <w:tabs>
          <w:tab w:val="left" w:pos="6300"/>
        </w:tabs>
        <w:snapToGrid w:val="0"/>
        <w:spacing w:line="520" w:lineRule="exact"/>
        <w:ind w:firstLine="570"/>
        <w:rPr>
          <w:sz w:val="24"/>
          <w:szCs w:val="24"/>
        </w:rPr>
      </w:pPr>
      <w:r>
        <w:rPr>
          <w:sz w:val="24"/>
          <w:szCs w:val="24"/>
        </w:rPr>
        <w:t>供应商（公章）：</w:t>
      </w:r>
    </w:p>
    <w:p w14:paraId="38BAECED">
      <w:pPr>
        <w:tabs>
          <w:tab w:val="left" w:pos="6300"/>
        </w:tabs>
        <w:snapToGrid w:val="0"/>
        <w:spacing w:line="520" w:lineRule="exact"/>
        <w:ind w:firstLine="570"/>
        <w:rPr>
          <w:sz w:val="24"/>
          <w:szCs w:val="24"/>
        </w:rPr>
      </w:pPr>
      <w:r>
        <w:rPr>
          <w:sz w:val="24"/>
          <w:szCs w:val="24"/>
        </w:rPr>
        <w:t xml:space="preserve">地址：  </w:t>
      </w:r>
    </w:p>
    <w:p w14:paraId="76201058">
      <w:pPr>
        <w:tabs>
          <w:tab w:val="left" w:pos="6300"/>
        </w:tabs>
        <w:snapToGrid w:val="0"/>
        <w:spacing w:line="520" w:lineRule="exact"/>
        <w:ind w:firstLine="570"/>
        <w:rPr>
          <w:sz w:val="24"/>
          <w:szCs w:val="24"/>
        </w:rPr>
      </w:pPr>
      <w:r>
        <w:rPr>
          <w:sz w:val="24"/>
          <w:szCs w:val="24"/>
        </w:rPr>
        <w:t>电话：                                             传真：</w:t>
      </w:r>
    </w:p>
    <w:p w14:paraId="471FEE6A">
      <w:pPr>
        <w:tabs>
          <w:tab w:val="left" w:pos="6300"/>
        </w:tabs>
        <w:snapToGrid w:val="0"/>
        <w:spacing w:line="520" w:lineRule="exact"/>
        <w:ind w:firstLine="570"/>
        <w:rPr>
          <w:sz w:val="24"/>
          <w:szCs w:val="24"/>
        </w:rPr>
      </w:pPr>
      <w:r>
        <w:rPr>
          <w:sz w:val="24"/>
          <w:szCs w:val="24"/>
        </w:rPr>
        <w:t>网址：                                             邮编：</w:t>
      </w:r>
    </w:p>
    <w:p w14:paraId="2F0A2875">
      <w:pPr>
        <w:tabs>
          <w:tab w:val="left" w:pos="6300"/>
        </w:tabs>
        <w:snapToGrid w:val="0"/>
        <w:spacing w:line="520" w:lineRule="exact"/>
        <w:ind w:firstLine="570"/>
        <w:rPr>
          <w:sz w:val="24"/>
          <w:szCs w:val="24"/>
        </w:rPr>
      </w:pPr>
      <w:r>
        <w:rPr>
          <w:sz w:val="24"/>
          <w:szCs w:val="24"/>
        </w:rPr>
        <w:t>联系人：</w:t>
      </w:r>
    </w:p>
    <w:p w14:paraId="33BEE313">
      <w:pPr>
        <w:tabs>
          <w:tab w:val="left" w:pos="6300"/>
        </w:tabs>
        <w:snapToGrid w:val="0"/>
        <w:spacing w:line="520" w:lineRule="exact"/>
        <w:ind w:firstLine="570"/>
        <w:rPr>
          <w:sz w:val="24"/>
          <w:szCs w:val="24"/>
        </w:rPr>
      </w:pPr>
    </w:p>
    <w:p w14:paraId="3D1A3030">
      <w:pPr>
        <w:snapToGrid w:val="0"/>
        <w:spacing w:line="520" w:lineRule="exact"/>
        <w:ind w:firstLine="480" w:firstLineChars="200"/>
        <w:rPr>
          <w:sz w:val="24"/>
          <w:szCs w:val="24"/>
        </w:rPr>
      </w:pPr>
      <w:r>
        <w:rPr>
          <w:sz w:val="24"/>
          <w:szCs w:val="24"/>
        </w:rPr>
        <w:t xml:space="preserve">                                                  年   月   日</w:t>
      </w:r>
    </w:p>
    <w:p w14:paraId="30B76493">
      <w:pPr>
        <w:snapToGrid w:val="0"/>
        <w:spacing w:line="520" w:lineRule="exact"/>
        <w:ind w:firstLine="480" w:firstLineChars="200"/>
        <w:rPr>
          <w:sz w:val="24"/>
          <w:szCs w:val="24"/>
        </w:rPr>
      </w:pPr>
    </w:p>
    <w:p w14:paraId="1EB14606">
      <w:pPr>
        <w:snapToGrid w:val="0"/>
        <w:spacing w:line="520" w:lineRule="exact"/>
        <w:ind w:firstLine="480" w:firstLineChars="200"/>
        <w:rPr>
          <w:sz w:val="24"/>
          <w:szCs w:val="24"/>
        </w:rPr>
        <w:sectPr>
          <w:pgSz w:w="11907" w:h="16840"/>
          <w:pgMar w:top="1134" w:right="1191" w:bottom="1134" w:left="1191" w:header="851" w:footer="992" w:gutter="0"/>
          <w:pgNumType w:fmt="numberInDash"/>
          <w:cols w:space="720" w:num="1"/>
          <w:docGrid w:linePitch="380" w:charSpace="-5735"/>
        </w:sectPr>
      </w:pPr>
    </w:p>
    <w:p w14:paraId="63896DBF">
      <w:pPr>
        <w:pageBreakBefore/>
        <w:snapToGrid w:val="0"/>
        <w:spacing w:line="360" w:lineRule="auto"/>
        <w:ind w:firstLine="480" w:firstLineChars="200"/>
        <w:jc w:val="left"/>
        <w:rPr>
          <w:rFonts w:ascii="宋体" w:hAnsi="宋体"/>
          <w:sz w:val="24"/>
          <w:szCs w:val="24"/>
        </w:rPr>
      </w:pPr>
      <w:bookmarkStart w:id="135" w:name="_Toc23764523"/>
      <w:bookmarkStart w:id="136" w:name="_Toc342913420"/>
      <w:bookmarkStart w:id="137" w:name="_Toc313888361"/>
      <w:bookmarkStart w:id="138" w:name="_Toc313008357"/>
      <w:r>
        <w:rPr>
          <w:rFonts w:hint="eastAsia" w:ascii="宋体" w:hAnsi="宋体"/>
          <w:sz w:val="24"/>
          <w:szCs w:val="24"/>
        </w:rPr>
        <w:t>（二）分项报价明细表</w:t>
      </w:r>
    </w:p>
    <w:p w14:paraId="2A442E8D">
      <w:pPr>
        <w:jc w:val="center"/>
        <w:rPr>
          <w:rFonts w:ascii="宋体" w:hAnsi="宋体"/>
          <w:b/>
          <w:szCs w:val="28"/>
        </w:rPr>
      </w:pPr>
      <w:r>
        <w:rPr>
          <w:rFonts w:hint="eastAsia" w:ascii="宋体" w:hAnsi="宋体"/>
          <w:b/>
          <w:szCs w:val="28"/>
        </w:rPr>
        <w:t>分项报价明细表</w:t>
      </w:r>
    </w:p>
    <w:p w14:paraId="14BA9BDC">
      <w:pPr>
        <w:snapToGrid w:val="0"/>
        <w:rPr>
          <w:rFonts w:ascii="宋体" w:hAnsi="宋体"/>
          <w:sz w:val="24"/>
          <w:szCs w:val="24"/>
        </w:rPr>
      </w:pPr>
      <w:r>
        <w:rPr>
          <w:rFonts w:hint="eastAsia" w:ascii="宋体" w:hAnsi="宋体"/>
          <w:sz w:val="24"/>
          <w:szCs w:val="24"/>
        </w:rPr>
        <w:t>项目号：</w:t>
      </w:r>
    </w:p>
    <w:p w14:paraId="55FA0915">
      <w:pPr>
        <w:snapToGrid w:val="0"/>
        <w:rPr>
          <w:rFonts w:ascii="宋体" w:hAnsi="宋体"/>
          <w:sz w:val="24"/>
          <w:szCs w:val="24"/>
        </w:rPr>
      </w:pPr>
      <w:r>
        <w:rPr>
          <w:rFonts w:hint="eastAsia" w:ascii="宋体" w:hAnsi="宋体"/>
          <w:sz w:val="24"/>
          <w:szCs w:val="24"/>
        </w:rPr>
        <w:t>项目名称：</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985"/>
        <w:gridCol w:w="2126"/>
        <w:gridCol w:w="1985"/>
        <w:gridCol w:w="1275"/>
        <w:gridCol w:w="1638"/>
      </w:tblGrid>
      <w:tr w14:paraId="4ADCD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619" w:type="dxa"/>
            <w:vAlign w:val="center"/>
          </w:tcPr>
          <w:p w14:paraId="743B5360">
            <w:pPr>
              <w:jc w:val="center"/>
              <w:rPr>
                <w:b/>
                <w:sz w:val="21"/>
                <w:szCs w:val="21"/>
              </w:rPr>
            </w:pPr>
            <w:r>
              <w:rPr>
                <w:b/>
                <w:sz w:val="21"/>
                <w:szCs w:val="21"/>
              </w:rPr>
              <w:t>序号</w:t>
            </w:r>
          </w:p>
        </w:tc>
        <w:tc>
          <w:tcPr>
            <w:tcW w:w="1985" w:type="dxa"/>
            <w:vAlign w:val="center"/>
          </w:tcPr>
          <w:p w14:paraId="22FA8788">
            <w:pPr>
              <w:jc w:val="center"/>
              <w:rPr>
                <w:rFonts w:hint="eastAsia"/>
                <w:b/>
                <w:sz w:val="21"/>
                <w:szCs w:val="21"/>
              </w:rPr>
            </w:pPr>
            <w:r>
              <w:rPr>
                <w:rFonts w:hint="eastAsia"/>
                <w:b/>
                <w:sz w:val="21"/>
                <w:szCs w:val="21"/>
              </w:rPr>
              <w:t>分项名称</w:t>
            </w:r>
          </w:p>
        </w:tc>
        <w:tc>
          <w:tcPr>
            <w:tcW w:w="2126" w:type="dxa"/>
            <w:vAlign w:val="center"/>
          </w:tcPr>
          <w:p w14:paraId="7615F54E">
            <w:pPr>
              <w:jc w:val="center"/>
              <w:rPr>
                <w:b/>
                <w:sz w:val="21"/>
                <w:szCs w:val="21"/>
              </w:rPr>
            </w:pPr>
            <w:r>
              <w:rPr>
                <w:rFonts w:hint="eastAsia"/>
                <w:b/>
                <w:sz w:val="21"/>
                <w:szCs w:val="21"/>
              </w:rPr>
              <w:t>相关信息</w:t>
            </w:r>
          </w:p>
        </w:tc>
        <w:tc>
          <w:tcPr>
            <w:tcW w:w="1985" w:type="dxa"/>
            <w:vAlign w:val="center"/>
          </w:tcPr>
          <w:p w14:paraId="002E376A">
            <w:pPr>
              <w:jc w:val="center"/>
              <w:rPr>
                <w:b/>
                <w:sz w:val="21"/>
                <w:szCs w:val="21"/>
              </w:rPr>
            </w:pPr>
            <w:r>
              <w:rPr>
                <w:b/>
                <w:sz w:val="21"/>
                <w:szCs w:val="21"/>
              </w:rPr>
              <w:t>数量</w:t>
            </w:r>
          </w:p>
        </w:tc>
        <w:tc>
          <w:tcPr>
            <w:tcW w:w="1275" w:type="dxa"/>
            <w:vAlign w:val="center"/>
          </w:tcPr>
          <w:p w14:paraId="08108A2B">
            <w:pPr>
              <w:jc w:val="center"/>
              <w:rPr>
                <w:b/>
                <w:sz w:val="21"/>
                <w:szCs w:val="21"/>
              </w:rPr>
            </w:pPr>
            <w:r>
              <w:rPr>
                <w:b/>
                <w:sz w:val="21"/>
                <w:szCs w:val="21"/>
              </w:rPr>
              <w:t>单价</w:t>
            </w:r>
          </w:p>
        </w:tc>
        <w:tc>
          <w:tcPr>
            <w:tcW w:w="1638" w:type="dxa"/>
            <w:vAlign w:val="center"/>
          </w:tcPr>
          <w:p w14:paraId="7D9150FC">
            <w:pPr>
              <w:jc w:val="center"/>
              <w:rPr>
                <w:b/>
                <w:sz w:val="21"/>
                <w:szCs w:val="21"/>
              </w:rPr>
            </w:pPr>
            <w:r>
              <w:rPr>
                <w:b/>
                <w:sz w:val="21"/>
                <w:szCs w:val="21"/>
              </w:rPr>
              <w:t>合计</w:t>
            </w:r>
          </w:p>
        </w:tc>
      </w:tr>
      <w:tr w14:paraId="53349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19" w:type="dxa"/>
            <w:vAlign w:val="center"/>
          </w:tcPr>
          <w:p w14:paraId="157FF961">
            <w:pPr>
              <w:pStyle w:val="26"/>
              <w:spacing w:line="240" w:lineRule="atLeast"/>
              <w:ind w:left="0"/>
              <w:jc w:val="center"/>
              <w:outlineLvl w:val="0"/>
              <w:rPr>
                <w:sz w:val="21"/>
                <w:szCs w:val="21"/>
              </w:rPr>
            </w:pPr>
            <w:r>
              <w:rPr>
                <w:sz w:val="21"/>
                <w:szCs w:val="21"/>
              </w:rPr>
              <w:t>1</w:t>
            </w:r>
          </w:p>
        </w:tc>
        <w:tc>
          <w:tcPr>
            <w:tcW w:w="1985" w:type="dxa"/>
            <w:vAlign w:val="center"/>
          </w:tcPr>
          <w:p w14:paraId="698ECB6A">
            <w:pPr>
              <w:jc w:val="center"/>
              <w:rPr>
                <w:sz w:val="21"/>
                <w:szCs w:val="21"/>
              </w:rPr>
            </w:pPr>
          </w:p>
        </w:tc>
        <w:tc>
          <w:tcPr>
            <w:tcW w:w="2126" w:type="dxa"/>
            <w:vAlign w:val="center"/>
          </w:tcPr>
          <w:p w14:paraId="42B1819C">
            <w:pPr>
              <w:jc w:val="center"/>
              <w:rPr>
                <w:sz w:val="21"/>
                <w:szCs w:val="21"/>
              </w:rPr>
            </w:pPr>
          </w:p>
        </w:tc>
        <w:tc>
          <w:tcPr>
            <w:tcW w:w="1985" w:type="dxa"/>
            <w:vAlign w:val="center"/>
          </w:tcPr>
          <w:p w14:paraId="261E7ECC">
            <w:pPr>
              <w:jc w:val="center"/>
              <w:rPr>
                <w:sz w:val="21"/>
                <w:szCs w:val="21"/>
              </w:rPr>
            </w:pPr>
          </w:p>
        </w:tc>
        <w:tc>
          <w:tcPr>
            <w:tcW w:w="1275" w:type="dxa"/>
          </w:tcPr>
          <w:p w14:paraId="7AF3110D">
            <w:pPr>
              <w:jc w:val="center"/>
              <w:rPr>
                <w:sz w:val="21"/>
                <w:szCs w:val="21"/>
              </w:rPr>
            </w:pPr>
          </w:p>
        </w:tc>
        <w:tc>
          <w:tcPr>
            <w:tcW w:w="1638" w:type="dxa"/>
          </w:tcPr>
          <w:p w14:paraId="59E221B9">
            <w:pPr>
              <w:jc w:val="center"/>
              <w:rPr>
                <w:sz w:val="21"/>
                <w:szCs w:val="21"/>
              </w:rPr>
            </w:pPr>
          </w:p>
        </w:tc>
      </w:tr>
      <w:tr w14:paraId="7163E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19" w:type="dxa"/>
            <w:vAlign w:val="center"/>
          </w:tcPr>
          <w:p w14:paraId="23616434">
            <w:pPr>
              <w:pStyle w:val="26"/>
              <w:spacing w:line="240" w:lineRule="atLeast"/>
              <w:ind w:left="0"/>
              <w:jc w:val="center"/>
              <w:outlineLvl w:val="0"/>
              <w:rPr>
                <w:sz w:val="21"/>
                <w:szCs w:val="21"/>
              </w:rPr>
            </w:pPr>
            <w:r>
              <w:rPr>
                <w:sz w:val="21"/>
                <w:szCs w:val="21"/>
              </w:rPr>
              <w:t>2</w:t>
            </w:r>
          </w:p>
        </w:tc>
        <w:tc>
          <w:tcPr>
            <w:tcW w:w="1985" w:type="dxa"/>
            <w:vAlign w:val="center"/>
          </w:tcPr>
          <w:p w14:paraId="6A4DF1FC">
            <w:pPr>
              <w:jc w:val="center"/>
              <w:rPr>
                <w:sz w:val="21"/>
                <w:szCs w:val="21"/>
              </w:rPr>
            </w:pPr>
          </w:p>
        </w:tc>
        <w:tc>
          <w:tcPr>
            <w:tcW w:w="2126" w:type="dxa"/>
            <w:vAlign w:val="center"/>
          </w:tcPr>
          <w:p w14:paraId="2EA28B13">
            <w:pPr>
              <w:jc w:val="center"/>
              <w:rPr>
                <w:sz w:val="21"/>
                <w:szCs w:val="21"/>
              </w:rPr>
            </w:pPr>
          </w:p>
        </w:tc>
        <w:tc>
          <w:tcPr>
            <w:tcW w:w="1985" w:type="dxa"/>
            <w:vAlign w:val="center"/>
          </w:tcPr>
          <w:p w14:paraId="4B493B3F">
            <w:pPr>
              <w:jc w:val="center"/>
              <w:rPr>
                <w:sz w:val="21"/>
                <w:szCs w:val="21"/>
              </w:rPr>
            </w:pPr>
          </w:p>
        </w:tc>
        <w:tc>
          <w:tcPr>
            <w:tcW w:w="1275" w:type="dxa"/>
          </w:tcPr>
          <w:p w14:paraId="5372AC8A">
            <w:pPr>
              <w:jc w:val="center"/>
              <w:rPr>
                <w:sz w:val="21"/>
                <w:szCs w:val="21"/>
              </w:rPr>
            </w:pPr>
          </w:p>
        </w:tc>
        <w:tc>
          <w:tcPr>
            <w:tcW w:w="1638" w:type="dxa"/>
          </w:tcPr>
          <w:p w14:paraId="7151FD00">
            <w:pPr>
              <w:jc w:val="center"/>
              <w:rPr>
                <w:sz w:val="21"/>
                <w:szCs w:val="21"/>
              </w:rPr>
            </w:pPr>
          </w:p>
        </w:tc>
      </w:tr>
      <w:tr w14:paraId="5CBC8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19" w:type="dxa"/>
            <w:vAlign w:val="center"/>
          </w:tcPr>
          <w:p w14:paraId="205B08A0">
            <w:pPr>
              <w:pStyle w:val="26"/>
              <w:spacing w:line="240" w:lineRule="atLeast"/>
              <w:ind w:left="0"/>
              <w:jc w:val="center"/>
              <w:outlineLvl w:val="0"/>
              <w:rPr>
                <w:sz w:val="21"/>
                <w:szCs w:val="21"/>
              </w:rPr>
            </w:pPr>
            <w:r>
              <w:rPr>
                <w:sz w:val="21"/>
                <w:szCs w:val="21"/>
              </w:rPr>
              <w:t>3</w:t>
            </w:r>
          </w:p>
        </w:tc>
        <w:tc>
          <w:tcPr>
            <w:tcW w:w="1985" w:type="dxa"/>
            <w:vAlign w:val="center"/>
          </w:tcPr>
          <w:p w14:paraId="5F66948D">
            <w:pPr>
              <w:jc w:val="center"/>
              <w:rPr>
                <w:bCs/>
                <w:kern w:val="0"/>
                <w:sz w:val="22"/>
              </w:rPr>
            </w:pPr>
          </w:p>
        </w:tc>
        <w:tc>
          <w:tcPr>
            <w:tcW w:w="2126" w:type="dxa"/>
            <w:vAlign w:val="center"/>
          </w:tcPr>
          <w:p w14:paraId="41B9F3C7">
            <w:pPr>
              <w:jc w:val="center"/>
              <w:rPr>
                <w:bCs/>
                <w:kern w:val="0"/>
                <w:sz w:val="22"/>
              </w:rPr>
            </w:pPr>
          </w:p>
        </w:tc>
        <w:tc>
          <w:tcPr>
            <w:tcW w:w="1985" w:type="dxa"/>
            <w:vAlign w:val="center"/>
          </w:tcPr>
          <w:p w14:paraId="7D5DC86D">
            <w:pPr>
              <w:jc w:val="center"/>
              <w:rPr>
                <w:sz w:val="21"/>
                <w:szCs w:val="21"/>
              </w:rPr>
            </w:pPr>
          </w:p>
        </w:tc>
        <w:tc>
          <w:tcPr>
            <w:tcW w:w="1275" w:type="dxa"/>
          </w:tcPr>
          <w:p w14:paraId="11DEEA52">
            <w:pPr>
              <w:jc w:val="center"/>
              <w:rPr>
                <w:sz w:val="21"/>
                <w:szCs w:val="21"/>
              </w:rPr>
            </w:pPr>
          </w:p>
        </w:tc>
        <w:tc>
          <w:tcPr>
            <w:tcW w:w="1638" w:type="dxa"/>
          </w:tcPr>
          <w:p w14:paraId="2FD014D8">
            <w:pPr>
              <w:jc w:val="center"/>
              <w:rPr>
                <w:sz w:val="21"/>
                <w:szCs w:val="21"/>
              </w:rPr>
            </w:pPr>
          </w:p>
        </w:tc>
      </w:tr>
      <w:tr w14:paraId="6D68A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19" w:type="dxa"/>
            <w:vAlign w:val="center"/>
          </w:tcPr>
          <w:p w14:paraId="468C4DC6">
            <w:pPr>
              <w:pStyle w:val="26"/>
              <w:spacing w:line="240" w:lineRule="atLeast"/>
              <w:ind w:left="0"/>
              <w:jc w:val="center"/>
              <w:outlineLvl w:val="0"/>
              <w:rPr>
                <w:sz w:val="21"/>
                <w:szCs w:val="21"/>
              </w:rPr>
            </w:pPr>
            <w:r>
              <w:rPr>
                <w:sz w:val="21"/>
                <w:szCs w:val="21"/>
              </w:rPr>
              <w:t>4</w:t>
            </w:r>
          </w:p>
        </w:tc>
        <w:tc>
          <w:tcPr>
            <w:tcW w:w="1985" w:type="dxa"/>
            <w:vAlign w:val="center"/>
          </w:tcPr>
          <w:p w14:paraId="0F909254">
            <w:pPr>
              <w:jc w:val="center"/>
              <w:rPr>
                <w:bCs/>
                <w:kern w:val="0"/>
                <w:sz w:val="22"/>
              </w:rPr>
            </w:pPr>
          </w:p>
        </w:tc>
        <w:tc>
          <w:tcPr>
            <w:tcW w:w="2126" w:type="dxa"/>
            <w:vAlign w:val="center"/>
          </w:tcPr>
          <w:p w14:paraId="6914A9CA">
            <w:pPr>
              <w:jc w:val="center"/>
              <w:rPr>
                <w:bCs/>
                <w:kern w:val="0"/>
                <w:sz w:val="22"/>
              </w:rPr>
            </w:pPr>
          </w:p>
        </w:tc>
        <w:tc>
          <w:tcPr>
            <w:tcW w:w="1985" w:type="dxa"/>
            <w:vAlign w:val="center"/>
          </w:tcPr>
          <w:p w14:paraId="384A5B7C">
            <w:pPr>
              <w:jc w:val="center"/>
              <w:rPr>
                <w:sz w:val="21"/>
                <w:szCs w:val="21"/>
              </w:rPr>
            </w:pPr>
          </w:p>
        </w:tc>
        <w:tc>
          <w:tcPr>
            <w:tcW w:w="1275" w:type="dxa"/>
          </w:tcPr>
          <w:p w14:paraId="17A47C04">
            <w:pPr>
              <w:jc w:val="center"/>
              <w:rPr>
                <w:sz w:val="21"/>
                <w:szCs w:val="21"/>
              </w:rPr>
            </w:pPr>
          </w:p>
        </w:tc>
        <w:tc>
          <w:tcPr>
            <w:tcW w:w="1638" w:type="dxa"/>
          </w:tcPr>
          <w:p w14:paraId="1C36625F">
            <w:pPr>
              <w:jc w:val="center"/>
              <w:rPr>
                <w:sz w:val="21"/>
                <w:szCs w:val="21"/>
              </w:rPr>
            </w:pPr>
          </w:p>
        </w:tc>
      </w:tr>
      <w:tr w14:paraId="59BBB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19" w:type="dxa"/>
            <w:vAlign w:val="center"/>
          </w:tcPr>
          <w:p w14:paraId="626233F6">
            <w:pPr>
              <w:pStyle w:val="26"/>
              <w:spacing w:line="240" w:lineRule="atLeast"/>
              <w:ind w:left="0"/>
              <w:jc w:val="center"/>
              <w:outlineLvl w:val="0"/>
              <w:rPr>
                <w:sz w:val="21"/>
                <w:szCs w:val="21"/>
              </w:rPr>
            </w:pPr>
            <w:r>
              <w:rPr>
                <w:sz w:val="21"/>
                <w:szCs w:val="21"/>
              </w:rPr>
              <w:t>5</w:t>
            </w:r>
          </w:p>
        </w:tc>
        <w:tc>
          <w:tcPr>
            <w:tcW w:w="1985" w:type="dxa"/>
            <w:vAlign w:val="center"/>
          </w:tcPr>
          <w:p w14:paraId="6C7061DF">
            <w:pPr>
              <w:jc w:val="center"/>
              <w:rPr>
                <w:sz w:val="21"/>
                <w:szCs w:val="21"/>
              </w:rPr>
            </w:pPr>
            <w:r>
              <w:rPr>
                <w:sz w:val="21"/>
                <w:szCs w:val="21"/>
              </w:rPr>
              <w:t>人工费</w:t>
            </w:r>
          </w:p>
        </w:tc>
        <w:tc>
          <w:tcPr>
            <w:tcW w:w="2126" w:type="dxa"/>
            <w:vAlign w:val="center"/>
          </w:tcPr>
          <w:p w14:paraId="010A5993">
            <w:pPr>
              <w:jc w:val="center"/>
              <w:rPr>
                <w:sz w:val="21"/>
                <w:szCs w:val="21"/>
              </w:rPr>
            </w:pPr>
          </w:p>
        </w:tc>
        <w:tc>
          <w:tcPr>
            <w:tcW w:w="1985" w:type="dxa"/>
            <w:vAlign w:val="center"/>
          </w:tcPr>
          <w:p w14:paraId="2E678B5E">
            <w:pPr>
              <w:jc w:val="center"/>
              <w:rPr>
                <w:sz w:val="21"/>
                <w:szCs w:val="21"/>
              </w:rPr>
            </w:pPr>
          </w:p>
        </w:tc>
        <w:tc>
          <w:tcPr>
            <w:tcW w:w="1275" w:type="dxa"/>
          </w:tcPr>
          <w:p w14:paraId="555A6997">
            <w:pPr>
              <w:jc w:val="center"/>
              <w:rPr>
                <w:sz w:val="21"/>
                <w:szCs w:val="21"/>
              </w:rPr>
            </w:pPr>
          </w:p>
        </w:tc>
        <w:tc>
          <w:tcPr>
            <w:tcW w:w="1638" w:type="dxa"/>
          </w:tcPr>
          <w:p w14:paraId="0891BAE6">
            <w:pPr>
              <w:jc w:val="center"/>
              <w:rPr>
                <w:sz w:val="21"/>
                <w:szCs w:val="21"/>
              </w:rPr>
            </w:pPr>
          </w:p>
        </w:tc>
      </w:tr>
      <w:tr w14:paraId="48646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19" w:type="dxa"/>
            <w:vAlign w:val="center"/>
          </w:tcPr>
          <w:p w14:paraId="10B77FF2">
            <w:pPr>
              <w:pStyle w:val="26"/>
              <w:spacing w:line="240" w:lineRule="atLeast"/>
              <w:ind w:left="0"/>
              <w:jc w:val="center"/>
              <w:outlineLvl w:val="0"/>
              <w:rPr>
                <w:sz w:val="21"/>
                <w:szCs w:val="21"/>
              </w:rPr>
            </w:pPr>
            <w:r>
              <w:rPr>
                <w:sz w:val="21"/>
                <w:szCs w:val="21"/>
              </w:rPr>
              <w:t>6</w:t>
            </w:r>
          </w:p>
        </w:tc>
        <w:tc>
          <w:tcPr>
            <w:tcW w:w="1985" w:type="dxa"/>
            <w:vAlign w:val="center"/>
          </w:tcPr>
          <w:p w14:paraId="6AB423AE">
            <w:pPr>
              <w:jc w:val="center"/>
              <w:rPr>
                <w:sz w:val="21"/>
                <w:szCs w:val="21"/>
              </w:rPr>
            </w:pPr>
            <w:r>
              <w:rPr>
                <w:sz w:val="21"/>
                <w:szCs w:val="21"/>
              </w:rPr>
              <w:t>税费</w:t>
            </w:r>
          </w:p>
        </w:tc>
        <w:tc>
          <w:tcPr>
            <w:tcW w:w="2126" w:type="dxa"/>
            <w:vAlign w:val="center"/>
          </w:tcPr>
          <w:p w14:paraId="1EA5505B">
            <w:pPr>
              <w:jc w:val="center"/>
              <w:rPr>
                <w:sz w:val="21"/>
                <w:szCs w:val="21"/>
              </w:rPr>
            </w:pPr>
          </w:p>
        </w:tc>
        <w:tc>
          <w:tcPr>
            <w:tcW w:w="1985" w:type="dxa"/>
            <w:vAlign w:val="center"/>
          </w:tcPr>
          <w:p w14:paraId="1BC9AFF7">
            <w:pPr>
              <w:jc w:val="center"/>
              <w:rPr>
                <w:sz w:val="21"/>
                <w:szCs w:val="21"/>
              </w:rPr>
            </w:pPr>
          </w:p>
        </w:tc>
        <w:tc>
          <w:tcPr>
            <w:tcW w:w="1275" w:type="dxa"/>
          </w:tcPr>
          <w:p w14:paraId="237063D5">
            <w:pPr>
              <w:jc w:val="center"/>
              <w:rPr>
                <w:sz w:val="21"/>
                <w:szCs w:val="21"/>
              </w:rPr>
            </w:pPr>
          </w:p>
        </w:tc>
        <w:tc>
          <w:tcPr>
            <w:tcW w:w="1638" w:type="dxa"/>
          </w:tcPr>
          <w:p w14:paraId="29B2B8B3">
            <w:pPr>
              <w:jc w:val="center"/>
              <w:rPr>
                <w:sz w:val="21"/>
                <w:szCs w:val="21"/>
              </w:rPr>
            </w:pPr>
          </w:p>
        </w:tc>
      </w:tr>
      <w:tr w14:paraId="39CE2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19" w:type="dxa"/>
            <w:vAlign w:val="center"/>
          </w:tcPr>
          <w:p w14:paraId="4EFA3BFB">
            <w:pPr>
              <w:pStyle w:val="26"/>
              <w:spacing w:line="240" w:lineRule="atLeast"/>
              <w:ind w:left="0"/>
              <w:jc w:val="center"/>
              <w:outlineLvl w:val="0"/>
              <w:rPr>
                <w:sz w:val="21"/>
                <w:szCs w:val="21"/>
              </w:rPr>
            </w:pPr>
            <w:r>
              <w:rPr>
                <w:sz w:val="21"/>
                <w:szCs w:val="21"/>
              </w:rPr>
              <w:t>7</w:t>
            </w:r>
          </w:p>
        </w:tc>
        <w:tc>
          <w:tcPr>
            <w:tcW w:w="1985" w:type="dxa"/>
            <w:vAlign w:val="center"/>
          </w:tcPr>
          <w:p w14:paraId="70DBEF29">
            <w:pPr>
              <w:jc w:val="center"/>
              <w:rPr>
                <w:b/>
                <w:sz w:val="21"/>
                <w:szCs w:val="21"/>
              </w:rPr>
            </w:pPr>
            <w:r>
              <w:rPr>
                <w:b/>
                <w:sz w:val="21"/>
                <w:szCs w:val="21"/>
              </w:rPr>
              <w:t>……</w:t>
            </w:r>
          </w:p>
        </w:tc>
        <w:tc>
          <w:tcPr>
            <w:tcW w:w="2126" w:type="dxa"/>
            <w:vAlign w:val="center"/>
          </w:tcPr>
          <w:p w14:paraId="01F21FB3">
            <w:pPr>
              <w:jc w:val="center"/>
              <w:rPr>
                <w:b/>
                <w:sz w:val="21"/>
                <w:szCs w:val="21"/>
              </w:rPr>
            </w:pPr>
          </w:p>
        </w:tc>
        <w:tc>
          <w:tcPr>
            <w:tcW w:w="1985" w:type="dxa"/>
            <w:vAlign w:val="center"/>
          </w:tcPr>
          <w:p w14:paraId="4072F613">
            <w:pPr>
              <w:jc w:val="center"/>
              <w:rPr>
                <w:sz w:val="21"/>
                <w:szCs w:val="21"/>
              </w:rPr>
            </w:pPr>
          </w:p>
        </w:tc>
        <w:tc>
          <w:tcPr>
            <w:tcW w:w="1275" w:type="dxa"/>
          </w:tcPr>
          <w:p w14:paraId="15570C40">
            <w:pPr>
              <w:jc w:val="center"/>
              <w:rPr>
                <w:sz w:val="21"/>
                <w:szCs w:val="21"/>
              </w:rPr>
            </w:pPr>
          </w:p>
        </w:tc>
        <w:tc>
          <w:tcPr>
            <w:tcW w:w="1638" w:type="dxa"/>
          </w:tcPr>
          <w:p w14:paraId="477DA274">
            <w:pPr>
              <w:jc w:val="center"/>
              <w:rPr>
                <w:sz w:val="21"/>
                <w:szCs w:val="21"/>
              </w:rPr>
            </w:pPr>
          </w:p>
        </w:tc>
      </w:tr>
      <w:tr w14:paraId="40C70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19" w:type="dxa"/>
            <w:vAlign w:val="center"/>
          </w:tcPr>
          <w:p w14:paraId="34AC3325">
            <w:pPr>
              <w:pStyle w:val="26"/>
              <w:spacing w:line="240" w:lineRule="atLeast"/>
              <w:ind w:left="980" w:hanging="420"/>
              <w:outlineLvl w:val="0"/>
              <w:rPr>
                <w:sz w:val="21"/>
                <w:szCs w:val="21"/>
              </w:rPr>
            </w:pPr>
          </w:p>
        </w:tc>
        <w:tc>
          <w:tcPr>
            <w:tcW w:w="6096" w:type="dxa"/>
            <w:gridSpan w:val="3"/>
            <w:vAlign w:val="center"/>
          </w:tcPr>
          <w:p w14:paraId="4D32F1AD">
            <w:pPr>
              <w:jc w:val="center"/>
              <w:rPr>
                <w:b/>
                <w:sz w:val="21"/>
                <w:szCs w:val="21"/>
              </w:rPr>
            </w:pPr>
            <w:r>
              <w:rPr>
                <w:b/>
                <w:sz w:val="21"/>
                <w:szCs w:val="21"/>
              </w:rPr>
              <w:t>总计</w:t>
            </w:r>
          </w:p>
        </w:tc>
        <w:tc>
          <w:tcPr>
            <w:tcW w:w="2913" w:type="dxa"/>
            <w:gridSpan w:val="2"/>
          </w:tcPr>
          <w:p w14:paraId="366E4E84">
            <w:pPr>
              <w:rPr>
                <w:sz w:val="21"/>
                <w:szCs w:val="21"/>
              </w:rPr>
            </w:pPr>
          </w:p>
        </w:tc>
      </w:tr>
    </w:tbl>
    <w:p w14:paraId="2D92A79B">
      <w:pPr>
        <w:spacing w:line="360" w:lineRule="auto"/>
        <w:ind w:firstLine="600" w:firstLineChars="250"/>
        <w:rPr>
          <w:rFonts w:ascii="宋体" w:hAnsi="宋体"/>
          <w:sz w:val="24"/>
          <w:szCs w:val="28"/>
        </w:rPr>
      </w:pPr>
    </w:p>
    <w:p w14:paraId="6E34C00B">
      <w:pPr>
        <w:spacing w:line="360" w:lineRule="auto"/>
        <w:ind w:firstLine="960" w:firstLineChars="400"/>
        <w:rPr>
          <w:rFonts w:ascii="宋体" w:hAnsi="宋体"/>
          <w:sz w:val="24"/>
          <w:szCs w:val="28"/>
        </w:rPr>
      </w:pPr>
      <w:r>
        <w:rPr>
          <w:rFonts w:hint="eastAsia" w:ascii="宋体" w:hAnsi="宋体"/>
          <w:sz w:val="24"/>
          <w:szCs w:val="28"/>
        </w:rPr>
        <w:t xml:space="preserve">供应商：                    </w:t>
      </w:r>
      <w:r>
        <w:rPr>
          <w:rFonts w:ascii="宋体" w:hAnsi="宋体"/>
          <w:sz w:val="24"/>
          <w:szCs w:val="28"/>
        </w:rPr>
        <w:t xml:space="preserve">      </w:t>
      </w:r>
      <w:r>
        <w:rPr>
          <w:rFonts w:hint="eastAsia" w:ascii="宋体" w:hAnsi="宋体"/>
          <w:sz w:val="24"/>
          <w:szCs w:val="28"/>
        </w:rPr>
        <w:t xml:space="preserve"> 法定代表人（或法定代表人授权代表）：</w:t>
      </w:r>
    </w:p>
    <w:p w14:paraId="78B864EC">
      <w:pPr>
        <w:spacing w:line="360" w:lineRule="auto"/>
        <w:rPr>
          <w:rFonts w:ascii="宋体" w:hAnsi="宋体"/>
          <w:sz w:val="24"/>
          <w:szCs w:val="28"/>
        </w:rPr>
      </w:pPr>
      <w:r>
        <w:rPr>
          <w:rFonts w:hint="eastAsia" w:ascii="宋体" w:hAnsi="宋体"/>
          <w:sz w:val="24"/>
          <w:szCs w:val="28"/>
        </w:rPr>
        <w:t xml:space="preserve">   </w:t>
      </w:r>
    </w:p>
    <w:p w14:paraId="5504A68C">
      <w:pPr>
        <w:spacing w:line="360" w:lineRule="auto"/>
        <w:ind w:firstLine="720" w:firstLineChars="300"/>
        <w:rPr>
          <w:rFonts w:ascii="宋体" w:hAnsi="宋体"/>
          <w:sz w:val="24"/>
          <w:szCs w:val="28"/>
        </w:rPr>
      </w:pPr>
      <w:r>
        <w:rPr>
          <w:rFonts w:hint="eastAsia" w:ascii="宋体" w:hAnsi="宋体"/>
          <w:sz w:val="24"/>
          <w:szCs w:val="28"/>
        </w:rPr>
        <w:t>（供应商公章）                               （签字或盖章）</w:t>
      </w:r>
    </w:p>
    <w:p w14:paraId="2E762998">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14:paraId="062672CE">
      <w:pPr>
        <w:snapToGrid w:val="0"/>
        <w:spacing w:line="500" w:lineRule="exact"/>
        <w:ind w:firstLine="480" w:firstLineChars="200"/>
        <w:rPr>
          <w:rFonts w:ascii="宋体" w:hAnsi="宋体"/>
          <w:sz w:val="24"/>
          <w:szCs w:val="28"/>
        </w:rPr>
      </w:pPr>
    </w:p>
    <w:p w14:paraId="0C0F005C">
      <w:pPr>
        <w:snapToGrid w:val="0"/>
        <w:spacing w:line="360" w:lineRule="auto"/>
        <w:ind w:firstLine="480" w:firstLineChars="200"/>
        <w:rPr>
          <w:rFonts w:ascii="宋体" w:hAnsi="宋体"/>
          <w:sz w:val="24"/>
          <w:szCs w:val="28"/>
        </w:rPr>
      </w:pPr>
      <w:r>
        <w:rPr>
          <w:rFonts w:hint="eastAsia" w:ascii="宋体" w:hAnsi="宋体"/>
          <w:sz w:val="24"/>
          <w:szCs w:val="28"/>
        </w:rPr>
        <w:t>注：</w:t>
      </w:r>
    </w:p>
    <w:p w14:paraId="368D93C0">
      <w:pPr>
        <w:snapToGrid w:val="0"/>
        <w:spacing w:line="360" w:lineRule="auto"/>
        <w:ind w:firstLine="480" w:firstLineChars="200"/>
        <w:rPr>
          <w:rFonts w:ascii="宋体" w:hAnsi="宋体"/>
          <w:sz w:val="24"/>
          <w:szCs w:val="28"/>
        </w:rPr>
      </w:pPr>
      <w:r>
        <w:rPr>
          <w:rFonts w:hint="eastAsia" w:ascii="宋体" w:hAnsi="宋体"/>
          <w:sz w:val="24"/>
          <w:szCs w:val="28"/>
        </w:rPr>
        <w:t>1.供应商可自行设计表格格式，分项内容应当完整；</w:t>
      </w:r>
    </w:p>
    <w:p w14:paraId="706A0DC8">
      <w:pPr>
        <w:snapToGrid w:val="0"/>
        <w:spacing w:line="360" w:lineRule="auto"/>
        <w:ind w:firstLine="480" w:firstLineChars="200"/>
        <w:rPr>
          <w:rFonts w:ascii="宋体" w:hAnsi="宋体"/>
          <w:sz w:val="24"/>
          <w:szCs w:val="28"/>
        </w:rPr>
      </w:pPr>
      <w:r>
        <w:rPr>
          <w:rFonts w:hint="eastAsia" w:ascii="宋体" w:hAnsi="宋体"/>
          <w:sz w:val="24"/>
          <w:szCs w:val="28"/>
        </w:rPr>
        <w:t>2.该表可扩展；</w:t>
      </w:r>
    </w:p>
    <w:p w14:paraId="2F9F941D">
      <w:pPr>
        <w:snapToGrid w:val="0"/>
        <w:spacing w:line="360" w:lineRule="auto"/>
        <w:ind w:firstLine="480" w:firstLineChars="200"/>
        <w:rPr>
          <w:rFonts w:ascii="宋体" w:hAnsi="宋体"/>
          <w:sz w:val="24"/>
          <w:szCs w:val="28"/>
        </w:rPr>
      </w:pPr>
    </w:p>
    <w:p w14:paraId="1801EA17">
      <w:pPr>
        <w:snapToGrid w:val="0"/>
        <w:spacing w:line="360" w:lineRule="auto"/>
        <w:ind w:firstLine="480" w:firstLineChars="200"/>
        <w:rPr>
          <w:rFonts w:ascii="宋体" w:hAnsi="宋体"/>
          <w:sz w:val="24"/>
          <w:szCs w:val="28"/>
        </w:rPr>
      </w:pPr>
    </w:p>
    <w:p w14:paraId="1C7E27C2">
      <w:pPr>
        <w:snapToGrid w:val="0"/>
        <w:spacing w:line="360" w:lineRule="auto"/>
        <w:ind w:firstLine="480" w:firstLineChars="200"/>
        <w:rPr>
          <w:rFonts w:ascii="宋体" w:hAnsi="宋体"/>
          <w:sz w:val="24"/>
          <w:szCs w:val="28"/>
        </w:rPr>
      </w:pPr>
    </w:p>
    <w:p w14:paraId="2EC8082E">
      <w:pPr>
        <w:snapToGrid w:val="0"/>
        <w:spacing w:line="360" w:lineRule="auto"/>
        <w:ind w:firstLine="480" w:firstLineChars="200"/>
        <w:rPr>
          <w:rFonts w:ascii="宋体" w:hAnsi="宋体"/>
          <w:sz w:val="24"/>
          <w:szCs w:val="28"/>
        </w:rPr>
      </w:pPr>
    </w:p>
    <w:p w14:paraId="4AEEAA39">
      <w:pPr>
        <w:snapToGrid w:val="0"/>
        <w:spacing w:line="360" w:lineRule="auto"/>
        <w:ind w:firstLine="480" w:firstLineChars="200"/>
        <w:rPr>
          <w:rFonts w:ascii="宋体" w:hAnsi="宋体"/>
          <w:sz w:val="24"/>
          <w:szCs w:val="28"/>
        </w:rPr>
      </w:pPr>
    </w:p>
    <w:p w14:paraId="41051A8F">
      <w:pPr>
        <w:pageBreakBefore/>
        <w:tabs>
          <w:tab w:val="left" w:pos="6300"/>
        </w:tabs>
        <w:snapToGrid w:val="0"/>
        <w:spacing w:line="360" w:lineRule="auto"/>
        <w:rPr>
          <w:b/>
          <w:sz w:val="24"/>
          <w:szCs w:val="24"/>
        </w:rPr>
      </w:pPr>
      <w:r>
        <w:rPr>
          <w:rFonts w:hint="eastAsia"/>
          <w:b/>
          <w:sz w:val="24"/>
          <w:szCs w:val="24"/>
        </w:rPr>
        <w:t xml:space="preserve">    </w:t>
      </w:r>
      <w:r>
        <w:rPr>
          <w:b/>
          <w:sz w:val="24"/>
          <w:szCs w:val="24"/>
        </w:rPr>
        <w:t>二、</w:t>
      </w:r>
      <w:r>
        <w:rPr>
          <w:rFonts w:hint="eastAsia"/>
          <w:b/>
          <w:sz w:val="24"/>
          <w:szCs w:val="24"/>
        </w:rPr>
        <w:t>服务</w:t>
      </w:r>
      <w:r>
        <w:rPr>
          <w:b/>
          <w:sz w:val="24"/>
          <w:szCs w:val="24"/>
        </w:rPr>
        <w:t>部分</w:t>
      </w:r>
      <w:bookmarkEnd w:id="135"/>
      <w:bookmarkEnd w:id="136"/>
      <w:bookmarkEnd w:id="137"/>
      <w:bookmarkEnd w:id="138"/>
    </w:p>
    <w:p w14:paraId="7BD8AF38">
      <w:pPr>
        <w:snapToGrid w:val="0"/>
        <w:spacing w:line="360" w:lineRule="auto"/>
        <w:rPr>
          <w:rFonts w:ascii="宋体" w:hAnsi="宋体"/>
          <w:sz w:val="24"/>
          <w:szCs w:val="24"/>
        </w:rPr>
      </w:pPr>
      <w:r>
        <w:rPr>
          <w:rFonts w:hint="eastAsia"/>
          <w:sz w:val="24"/>
          <w:szCs w:val="24"/>
        </w:rPr>
        <w:t xml:space="preserve">    </w:t>
      </w:r>
      <w:r>
        <w:rPr>
          <w:rFonts w:hint="eastAsia" w:ascii="宋体" w:hAnsi="宋体"/>
          <w:sz w:val="24"/>
          <w:szCs w:val="24"/>
        </w:rPr>
        <w:t>（一）服务方案</w:t>
      </w:r>
    </w:p>
    <w:p w14:paraId="42C6FE4A">
      <w:pPr>
        <w:snapToGrid w:val="0"/>
        <w:spacing w:line="360" w:lineRule="auto"/>
        <w:rPr>
          <w:rFonts w:ascii="宋体" w:hAnsi="宋体"/>
          <w:sz w:val="24"/>
          <w:szCs w:val="24"/>
        </w:rPr>
      </w:pPr>
      <w:r>
        <w:rPr>
          <w:rFonts w:hint="eastAsia" w:ascii="宋体" w:hAnsi="宋体"/>
          <w:sz w:val="24"/>
          <w:szCs w:val="24"/>
        </w:rPr>
        <w:t xml:space="preserve">    （二）服务响应偏离表</w:t>
      </w:r>
    </w:p>
    <w:p w14:paraId="67163BF7">
      <w:pPr>
        <w:tabs>
          <w:tab w:val="left" w:pos="6300"/>
        </w:tabs>
        <w:snapToGrid w:val="0"/>
        <w:spacing w:line="360" w:lineRule="auto"/>
        <w:jc w:val="center"/>
        <w:rPr>
          <w:rFonts w:ascii="宋体" w:hAnsi="宋体"/>
          <w:szCs w:val="24"/>
        </w:rPr>
      </w:pPr>
      <w:bookmarkStart w:id="139" w:name="_Hlk71831631"/>
      <w:r>
        <w:rPr>
          <w:rFonts w:hint="eastAsia" w:ascii="宋体" w:hAnsi="宋体"/>
          <w:szCs w:val="24"/>
        </w:rPr>
        <w:t>服务</w:t>
      </w:r>
      <w:bookmarkEnd w:id="139"/>
      <w:r>
        <w:rPr>
          <w:rFonts w:hint="eastAsia" w:ascii="宋体" w:hAnsi="宋体"/>
          <w:szCs w:val="24"/>
        </w:rPr>
        <w:t>响应偏离表</w:t>
      </w:r>
    </w:p>
    <w:p w14:paraId="5B075FD3">
      <w:pPr>
        <w:pStyle w:val="35"/>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项目号：</w:t>
      </w:r>
    </w:p>
    <w:p w14:paraId="44F40D79">
      <w:pPr>
        <w:pStyle w:val="35"/>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项目名称：</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2D6F0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61B5C368">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658" w:type="dxa"/>
            <w:vAlign w:val="center"/>
          </w:tcPr>
          <w:p w14:paraId="15164E91">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759" w:type="dxa"/>
            <w:vAlign w:val="center"/>
          </w:tcPr>
          <w:p w14:paraId="13D0C5BA">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067" w:type="dxa"/>
            <w:vAlign w:val="center"/>
          </w:tcPr>
          <w:p w14:paraId="4B3E3B20">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14:paraId="61617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7E71C9F">
            <w:pPr>
              <w:tabs>
                <w:tab w:val="left" w:pos="6300"/>
              </w:tabs>
              <w:snapToGrid w:val="0"/>
              <w:jc w:val="center"/>
              <w:outlineLvl w:val="0"/>
              <w:rPr>
                <w:rFonts w:ascii="宋体" w:hAnsi="宋体"/>
                <w:sz w:val="21"/>
                <w:szCs w:val="21"/>
              </w:rPr>
            </w:pPr>
          </w:p>
        </w:tc>
        <w:tc>
          <w:tcPr>
            <w:tcW w:w="2658" w:type="dxa"/>
            <w:vAlign w:val="center"/>
          </w:tcPr>
          <w:p w14:paraId="1841CE4A">
            <w:pPr>
              <w:tabs>
                <w:tab w:val="left" w:pos="6300"/>
              </w:tabs>
              <w:snapToGrid w:val="0"/>
              <w:jc w:val="center"/>
              <w:outlineLvl w:val="0"/>
              <w:rPr>
                <w:rFonts w:ascii="宋体" w:hAnsi="宋体"/>
                <w:sz w:val="21"/>
                <w:szCs w:val="21"/>
              </w:rPr>
            </w:pPr>
          </w:p>
        </w:tc>
        <w:tc>
          <w:tcPr>
            <w:tcW w:w="2759" w:type="dxa"/>
            <w:vAlign w:val="center"/>
          </w:tcPr>
          <w:p w14:paraId="2F93AE26">
            <w:pPr>
              <w:tabs>
                <w:tab w:val="left" w:pos="6300"/>
              </w:tabs>
              <w:snapToGrid w:val="0"/>
              <w:jc w:val="center"/>
              <w:outlineLvl w:val="0"/>
              <w:rPr>
                <w:rFonts w:ascii="宋体" w:hAnsi="宋体"/>
                <w:sz w:val="21"/>
                <w:szCs w:val="21"/>
              </w:rPr>
            </w:pPr>
          </w:p>
        </w:tc>
        <w:tc>
          <w:tcPr>
            <w:tcW w:w="2067" w:type="dxa"/>
            <w:vAlign w:val="center"/>
          </w:tcPr>
          <w:p w14:paraId="4F8CA34C">
            <w:pPr>
              <w:tabs>
                <w:tab w:val="left" w:pos="6300"/>
              </w:tabs>
              <w:snapToGrid w:val="0"/>
              <w:jc w:val="center"/>
              <w:outlineLvl w:val="0"/>
              <w:rPr>
                <w:rFonts w:ascii="宋体" w:hAnsi="宋体"/>
                <w:sz w:val="21"/>
                <w:szCs w:val="21"/>
              </w:rPr>
            </w:pPr>
          </w:p>
        </w:tc>
      </w:tr>
      <w:tr w14:paraId="1B164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404E2B4">
            <w:pPr>
              <w:tabs>
                <w:tab w:val="left" w:pos="6300"/>
              </w:tabs>
              <w:snapToGrid w:val="0"/>
              <w:jc w:val="center"/>
              <w:outlineLvl w:val="0"/>
              <w:rPr>
                <w:rFonts w:ascii="宋体" w:hAnsi="宋体"/>
                <w:sz w:val="21"/>
                <w:szCs w:val="21"/>
              </w:rPr>
            </w:pPr>
          </w:p>
        </w:tc>
        <w:tc>
          <w:tcPr>
            <w:tcW w:w="2658" w:type="dxa"/>
            <w:vAlign w:val="center"/>
          </w:tcPr>
          <w:p w14:paraId="7A7A09B3">
            <w:pPr>
              <w:tabs>
                <w:tab w:val="left" w:pos="6300"/>
              </w:tabs>
              <w:snapToGrid w:val="0"/>
              <w:jc w:val="center"/>
              <w:outlineLvl w:val="0"/>
              <w:rPr>
                <w:rFonts w:ascii="宋体" w:hAnsi="宋体"/>
                <w:sz w:val="21"/>
                <w:szCs w:val="21"/>
              </w:rPr>
            </w:pPr>
          </w:p>
        </w:tc>
        <w:tc>
          <w:tcPr>
            <w:tcW w:w="2759" w:type="dxa"/>
            <w:vAlign w:val="center"/>
          </w:tcPr>
          <w:p w14:paraId="36D3110A">
            <w:pPr>
              <w:tabs>
                <w:tab w:val="left" w:pos="6300"/>
              </w:tabs>
              <w:snapToGrid w:val="0"/>
              <w:jc w:val="center"/>
              <w:outlineLvl w:val="0"/>
              <w:rPr>
                <w:rFonts w:ascii="宋体" w:hAnsi="宋体"/>
                <w:sz w:val="21"/>
                <w:szCs w:val="21"/>
              </w:rPr>
            </w:pPr>
          </w:p>
        </w:tc>
        <w:tc>
          <w:tcPr>
            <w:tcW w:w="2067" w:type="dxa"/>
            <w:vAlign w:val="center"/>
          </w:tcPr>
          <w:p w14:paraId="5A416D98">
            <w:pPr>
              <w:tabs>
                <w:tab w:val="left" w:pos="6300"/>
              </w:tabs>
              <w:snapToGrid w:val="0"/>
              <w:jc w:val="center"/>
              <w:outlineLvl w:val="0"/>
              <w:rPr>
                <w:rFonts w:ascii="宋体" w:hAnsi="宋体"/>
                <w:sz w:val="21"/>
                <w:szCs w:val="21"/>
              </w:rPr>
            </w:pPr>
          </w:p>
        </w:tc>
      </w:tr>
      <w:tr w14:paraId="636F4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184232E">
            <w:pPr>
              <w:tabs>
                <w:tab w:val="left" w:pos="6300"/>
              </w:tabs>
              <w:snapToGrid w:val="0"/>
              <w:jc w:val="center"/>
              <w:outlineLvl w:val="0"/>
              <w:rPr>
                <w:rFonts w:ascii="宋体" w:hAnsi="宋体"/>
                <w:sz w:val="21"/>
                <w:szCs w:val="21"/>
              </w:rPr>
            </w:pPr>
          </w:p>
        </w:tc>
        <w:tc>
          <w:tcPr>
            <w:tcW w:w="2658" w:type="dxa"/>
            <w:vAlign w:val="center"/>
          </w:tcPr>
          <w:p w14:paraId="054660A6">
            <w:pPr>
              <w:tabs>
                <w:tab w:val="left" w:pos="6300"/>
              </w:tabs>
              <w:snapToGrid w:val="0"/>
              <w:jc w:val="center"/>
              <w:outlineLvl w:val="0"/>
              <w:rPr>
                <w:rFonts w:ascii="宋体" w:hAnsi="宋体"/>
                <w:sz w:val="21"/>
                <w:szCs w:val="21"/>
              </w:rPr>
            </w:pPr>
          </w:p>
        </w:tc>
        <w:tc>
          <w:tcPr>
            <w:tcW w:w="2759" w:type="dxa"/>
            <w:vAlign w:val="center"/>
          </w:tcPr>
          <w:p w14:paraId="77F677F9">
            <w:pPr>
              <w:tabs>
                <w:tab w:val="left" w:pos="6300"/>
              </w:tabs>
              <w:snapToGrid w:val="0"/>
              <w:jc w:val="center"/>
              <w:outlineLvl w:val="0"/>
              <w:rPr>
                <w:rFonts w:ascii="宋体" w:hAnsi="宋体"/>
                <w:sz w:val="21"/>
                <w:szCs w:val="21"/>
              </w:rPr>
            </w:pPr>
          </w:p>
        </w:tc>
        <w:tc>
          <w:tcPr>
            <w:tcW w:w="2067" w:type="dxa"/>
            <w:vAlign w:val="center"/>
          </w:tcPr>
          <w:p w14:paraId="45658A16">
            <w:pPr>
              <w:tabs>
                <w:tab w:val="left" w:pos="6300"/>
              </w:tabs>
              <w:snapToGrid w:val="0"/>
              <w:jc w:val="center"/>
              <w:outlineLvl w:val="0"/>
              <w:rPr>
                <w:rFonts w:ascii="宋体" w:hAnsi="宋体"/>
                <w:sz w:val="21"/>
                <w:szCs w:val="21"/>
              </w:rPr>
            </w:pPr>
          </w:p>
        </w:tc>
      </w:tr>
      <w:tr w14:paraId="271CB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F01099A">
            <w:pPr>
              <w:tabs>
                <w:tab w:val="left" w:pos="6300"/>
              </w:tabs>
              <w:snapToGrid w:val="0"/>
              <w:jc w:val="center"/>
              <w:outlineLvl w:val="0"/>
              <w:rPr>
                <w:rFonts w:ascii="宋体" w:hAnsi="宋体"/>
                <w:sz w:val="21"/>
                <w:szCs w:val="21"/>
              </w:rPr>
            </w:pPr>
          </w:p>
        </w:tc>
        <w:tc>
          <w:tcPr>
            <w:tcW w:w="2658" w:type="dxa"/>
            <w:vAlign w:val="center"/>
          </w:tcPr>
          <w:p w14:paraId="25DA3D6D">
            <w:pPr>
              <w:tabs>
                <w:tab w:val="left" w:pos="6300"/>
              </w:tabs>
              <w:snapToGrid w:val="0"/>
              <w:jc w:val="center"/>
              <w:outlineLvl w:val="0"/>
              <w:rPr>
                <w:rFonts w:ascii="宋体" w:hAnsi="宋体"/>
                <w:sz w:val="21"/>
                <w:szCs w:val="21"/>
              </w:rPr>
            </w:pPr>
          </w:p>
        </w:tc>
        <w:tc>
          <w:tcPr>
            <w:tcW w:w="2759" w:type="dxa"/>
            <w:vAlign w:val="center"/>
          </w:tcPr>
          <w:p w14:paraId="40734854">
            <w:pPr>
              <w:tabs>
                <w:tab w:val="left" w:pos="6300"/>
              </w:tabs>
              <w:snapToGrid w:val="0"/>
              <w:jc w:val="center"/>
              <w:outlineLvl w:val="0"/>
              <w:rPr>
                <w:rFonts w:ascii="宋体" w:hAnsi="宋体"/>
                <w:sz w:val="21"/>
                <w:szCs w:val="21"/>
              </w:rPr>
            </w:pPr>
          </w:p>
        </w:tc>
        <w:tc>
          <w:tcPr>
            <w:tcW w:w="2067" w:type="dxa"/>
            <w:vAlign w:val="center"/>
          </w:tcPr>
          <w:p w14:paraId="21AA8E2B">
            <w:pPr>
              <w:tabs>
                <w:tab w:val="left" w:pos="6300"/>
              </w:tabs>
              <w:snapToGrid w:val="0"/>
              <w:jc w:val="center"/>
              <w:outlineLvl w:val="0"/>
              <w:rPr>
                <w:rFonts w:ascii="宋体" w:hAnsi="宋体"/>
                <w:sz w:val="21"/>
                <w:szCs w:val="21"/>
              </w:rPr>
            </w:pPr>
          </w:p>
        </w:tc>
      </w:tr>
      <w:tr w14:paraId="5986C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4BE1A32">
            <w:pPr>
              <w:tabs>
                <w:tab w:val="left" w:pos="6300"/>
              </w:tabs>
              <w:snapToGrid w:val="0"/>
              <w:jc w:val="center"/>
              <w:outlineLvl w:val="0"/>
              <w:rPr>
                <w:rFonts w:ascii="宋体" w:hAnsi="宋体"/>
                <w:sz w:val="21"/>
                <w:szCs w:val="21"/>
              </w:rPr>
            </w:pPr>
          </w:p>
        </w:tc>
        <w:tc>
          <w:tcPr>
            <w:tcW w:w="2658" w:type="dxa"/>
            <w:vAlign w:val="center"/>
          </w:tcPr>
          <w:p w14:paraId="5BFFB1CD">
            <w:pPr>
              <w:tabs>
                <w:tab w:val="left" w:pos="6300"/>
              </w:tabs>
              <w:snapToGrid w:val="0"/>
              <w:jc w:val="center"/>
              <w:outlineLvl w:val="0"/>
              <w:rPr>
                <w:rFonts w:ascii="宋体" w:hAnsi="宋体"/>
                <w:sz w:val="21"/>
                <w:szCs w:val="21"/>
              </w:rPr>
            </w:pPr>
          </w:p>
        </w:tc>
        <w:tc>
          <w:tcPr>
            <w:tcW w:w="2759" w:type="dxa"/>
            <w:vAlign w:val="center"/>
          </w:tcPr>
          <w:p w14:paraId="7B54E3CE">
            <w:pPr>
              <w:tabs>
                <w:tab w:val="left" w:pos="6300"/>
              </w:tabs>
              <w:snapToGrid w:val="0"/>
              <w:jc w:val="center"/>
              <w:outlineLvl w:val="0"/>
              <w:rPr>
                <w:rFonts w:ascii="宋体" w:hAnsi="宋体"/>
                <w:sz w:val="21"/>
                <w:szCs w:val="21"/>
              </w:rPr>
            </w:pPr>
          </w:p>
        </w:tc>
        <w:tc>
          <w:tcPr>
            <w:tcW w:w="2067" w:type="dxa"/>
            <w:vAlign w:val="center"/>
          </w:tcPr>
          <w:p w14:paraId="02B449FB">
            <w:pPr>
              <w:tabs>
                <w:tab w:val="left" w:pos="6300"/>
              </w:tabs>
              <w:snapToGrid w:val="0"/>
              <w:jc w:val="center"/>
              <w:outlineLvl w:val="0"/>
              <w:rPr>
                <w:rFonts w:ascii="宋体" w:hAnsi="宋体"/>
                <w:sz w:val="21"/>
                <w:szCs w:val="21"/>
              </w:rPr>
            </w:pPr>
          </w:p>
        </w:tc>
      </w:tr>
      <w:tr w14:paraId="3DD04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224A413">
            <w:pPr>
              <w:tabs>
                <w:tab w:val="left" w:pos="6300"/>
              </w:tabs>
              <w:snapToGrid w:val="0"/>
              <w:jc w:val="center"/>
              <w:outlineLvl w:val="0"/>
              <w:rPr>
                <w:rFonts w:ascii="宋体" w:hAnsi="宋体"/>
                <w:sz w:val="21"/>
                <w:szCs w:val="21"/>
              </w:rPr>
            </w:pPr>
          </w:p>
        </w:tc>
        <w:tc>
          <w:tcPr>
            <w:tcW w:w="2658" w:type="dxa"/>
            <w:vAlign w:val="center"/>
          </w:tcPr>
          <w:p w14:paraId="72B733EE">
            <w:pPr>
              <w:tabs>
                <w:tab w:val="left" w:pos="6300"/>
              </w:tabs>
              <w:snapToGrid w:val="0"/>
              <w:jc w:val="center"/>
              <w:outlineLvl w:val="0"/>
              <w:rPr>
                <w:rFonts w:ascii="宋体" w:hAnsi="宋体"/>
                <w:sz w:val="21"/>
                <w:szCs w:val="21"/>
              </w:rPr>
            </w:pPr>
          </w:p>
        </w:tc>
        <w:tc>
          <w:tcPr>
            <w:tcW w:w="2759" w:type="dxa"/>
            <w:vAlign w:val="center"/>
          </w:tcPr>
          <w:p w14:paraId="79503927">
            <w:pPr>
              <w:tabs>
                <w:tab w:val="left" w:pos="6300"/>
              </w:tabs>
              <w:snapToGrid w:val="0"/>
              <w:jc w:val="center"/>
              <w:outlineLvl w:val="0"/>
              <w:rPr>
                <w:rFonts w:ascii="宋体" w:hAnsi="宋体"/>
                <w:sz w:val="21"/>
                <w:szCs w:val="21"/>
              </w:rPr>
            </w:pPr>
          </w:p>
        </w:tc>
        <w:tc>
          <w:tcPr>
            <w:tcW w:w="2067" w:type="dxa"/>
            <w:vAlign w:val="center"/>
          </w:tcPr>
          <w:p w14:paraId="15AD8B93">
            <w:pPr>
              <w:tabs>
                <w:tab w:val="left" w:pos="6300"/>
              </w:tabs>
              <w:snapToGrid w:val="0"/>
              <w:jc w:val="center"/>
              <w:outlineLvl w:val="0"/>
              <w:rPr>
                <w:rFonts w:ascii="宋体" w:hAnsi="宋体"/>
                <w:sz w:val="21"/>
                <w:szCs w:val="21"/>
              </w:rPr>
            </w:pPr>
          </w:p>
        </w:tc>
      </w:tr>
      <w:tr w14:paraId="1FBB8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AC1A1F5">
            <w:pPr>
              <w:tabs>
                <w:tab w:val="left" w:pos="6300"/>
              </w:tabs>
              <w:snapToGrid w:val="0"/>
              <w:jc w:val="center"/>
              <w:outlineLvl w:val="0"/>
              <w:rPr>
                <w:rFonts w:ascii="宋体" w:hAnsi="宋体"/>
                <w:sz w:val="21"/>
                <w:szCs w:val="21"/>
              </w:rPr>
            </w:pPr>
          </w:p>
        </w:tc>
        <w:tc>
          <w:tcPr>
            <w:tcW w:w="2658" w:type="dxa"/>
            <w:vAlign w:val="center"/>
          </w:tcPr>
          <w:p w14:paraId="716F1B7A">
            <w:pPr>
              <w:tabs>
                <w:tab w:val="left" w:pos="6300"/>
              </w:tabs>
              <w:snapToGrid w:val="0"/>
              <w:jc w:val="center"/>
              <w:outlineLvl w:val="0"/>
              <w:rPr>
                <w:rFonts w:ascii="宋体" w:hAnsi="宋体"/>
                <w:sz w:val="21"/>
                <w:szCs w:val="21"/>
              </w:rPr>
            </w:pPr>
          </w:p>
        </w:tc>
        <w:tc>
          <w:tcPr>
            <w:tcW w:w="2759" w:type="dxa"/>
            <w:vAlign w:val="center"/>
          </w:tcPr>
          <w:p w14:paraId="4E7E11AD">
            <w:pPr>
              <w:tabs>
                <w:tab w:val="left" w:pos="6300"/>
              </w:tabs>
              <w:snapToGrid w:val="0"/>
              <w:jc w:val="center"/>
              <w:outlineLvl w:val="0"/>
              <w:rPr>
                <w:rFonts w:ascii="宋体" w:hAnsi="宋体"/>
                <w:sz w:val="21"/>
                <w:szCs w:val="21"/>
              </w:rPr>
            </w:pPr>
          </w:p>
        </w:tc>
        <w:tc>
          <w:tcPr>
            <w:tcW w:w="2067" w:type="dxa"/>
            <w:vAlign w:val="center"/>
          </w:tcPr>
          <w:p w14:paraId="55790B83">
            <w:pPr>
              <w:tabs>
                <w:tab w:val="left" w:pos="6300"/>
              </w:tabs>
              <w:snapToGrid w:val="0"/>
              <w:jc w:val="center"/>
              <w:outlineLvl w:val="0"/>
              <w:rPr>
                <w:rFonts w:ascii="宋体" w:hAnsi="宋体"/>
                <w:sz w:val="21"/>
                <w:szCs w:val="21"/>
              </w:rPr>
            </w:pPr>
          </w:p>
        </w:tc>
      </w:tr>
    </w:tbl>
    <w:p w14:paraId="797C5B4A">
      <w:pPr>
        <w:spacing w:line="360" w:lineRule="auto"/>
        <w:ind w:firstLine="480" w:firstLineChars="200"/>
        <w:rPr>
          <w:rFonts w:ascii="宋体" w:hAnsi="宋体"/>
          <w:sz w:val="24"/>
          <w:szCs w:val="28"/>
        </w:rPr>
      </w:pPr>
    </w:p>
    <w:p w14:paraId="32C71E85">
      <w:pPr>
        <w:spacing w:line="360" w:lineRule="auto"/>
        <w:ind w:firstLine="480" w:firstLineChars="200"/>
        <w:rPr>
          <w:rFonts w:ascii="宋体" w:hAnsi="宋体"/>
          <w:sz w:val="24"/>
          <w:szCs w:val="28"/>
        </w:rPr>
      </w:pPr>
      <w:r>
        <w:rPr>
          <w:rFonts w:hint="eastAsia" w:ascii="宋体" w:hAnsi="宋体"/>
          <w:sz w:val="24"/>
          <w:szCs w:val="28"/>
        </w:rPr>
        <w:t xml:space="preserve">供应商：            </w:t>
      </w:r>
      <w:r>
        <w:rPr>
          <w:rFonts w:ascii="宋体" w:hAnsi="宋体"/>
          <w:sz w:val="24"/>
          <w:szCs w:val="28"/>
        </w:rPr>
        <w:t xml:space="preserve">           </w:t>
      </w:r>
      <w:r>
        <w:rPr>
          <w:rFonts w:hint="eastAsia" w:ascii="宋体" w:hAnsi="宋体"/>
          <w:sz w:val="24"/>
          <w:szCs w:val="28"/>
        </w:rPr>
        <w:t xml:space="preserve"> 法定代表人（或法定代表人授权代表）：</w:t>
      </w:r>
    </w:p>
    <w:p w14:paraId="1BEA98E1">
      <w:pPr>
        <w:spacing w:line="360" w:lineRule="auto"/>
        <w:ind w:firstLine="600" w:firstLineChars="250"/>
        <w:rPr>
          <w:rFonts w:ascii="宋体" w:hAnsi="宋体"/>
          <w:sz w:val="24"/>
          <w:szCs w:val="28"/>
        </w:rPr>
      </w:pPr>
    </w:p>
    <w:p w14:paraId="11F7AAEF">
      <w:pPr>
        <w:spacing w:line="360" w:lineRule="auto"/>
        <w:rPr>
          <w:rFonts w:ascii="宋体" w:hAnsi="宋体"/>
          <w:sz w:val="24"/>
          <w:szCs w:val="28"/>
        </w:rPr>
      </w:pPr>
      <w:r>
        <w:rPr>
          <w:rFonts w:hint="eastAsia" w:ascii="宋体" w:hAnsi="宋体"/>
          <w:sz w:val="24"/>
          <w:szCs w:val="28"/>
        </w:rPr>
        <w:t xml:space="preserve">   （供应商公章）                               （签字或盖章）</w:t>
      </w:r>
    </w:p>
    <w:p w14:paraId="65655954">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14:paraId="7C20E8CB">
      <w:pPr>
        <w:tabs>
          <w:tab w:val="left" w:pos="6300"/>
        </w:tabs>
        <w:snapToGrid w:val="0"/>
        <w:spacing w:line="360" w:lineRule="auto"/>
        <w:ind w:firstLine="480" w:firstLineChars="200"/>
        <w:rPr>
          <w:rFonts w:ascii="宋体" w:hAnsi="宋体"/>
          <w:sz w:val="24"/>
        </w:rPr>
      </w:pPr>
      <w:r>
        <w:rPr>
          <w:rFonts w:hint="eastAsia" w:ascii="宋体" w:hAnsi="宋体"/>
          <w:sz w:val="24"/>
        </w:rPr>
        <w:t>注：</w:t>
      </w:r>
    </w:p>
    <w:p w14:paraId="158FA890">
      <w:pPr>
        <w:tabs>
          <w:tab w:val="left" w:pos="6300"/>
        </w:tabs>
        <w:snapToGrid w:val="0"/>
        <w:spacing w:line="360" w:lineRule="auto"/>
        <w:ind w:firstLine="480" w:firstLineChars="200"/>
        <w:rPr>
          <w:rFonts w:ascii="宋体" w:hAnsi="宋体"/>
          <w:sz w:val="24"/>
        </w:rPr>
      </w:pPr>
      <w:r>
        <w:rPr>
          <w:rFonts w:hint="eastAsia" w:ascii="宋体" w:hAnsi="宋体"/>
          <w:sz w:val="24"/>
          <w:szCs w:val="24"/>
        </w:rPr>
        <w:t>1</w:t>
      </w:r>
      <w:r>
        <w:rPr>
          <w:rFonts w:hint="eastAsia" w:ascii="宋体" w:hAnsi="宋体"/>
          <w:sz w:val="24"/>
        </w:rPr>
        <w:t>.本表即为对本项目“第二篇  项目技术、服务需求”中所列技术要求进行比较和响应；</w:t>
      </w:r>
    </w:p>
    <w:p w14:paraId="434256AF">
      <w:pPr>
        <w:tabs>
          <w:tab w:val="left" w:pos="6300"/>
        </w:tabs>
        <w:snapToGrid w:val="0"/>
        <w:spacing w:line="360" w:lineRule="auto"/>
        <w:ind w:firstLine="480" w:firstLineChars="200"/>
        <w:rPr>
          <w:rFonts w:ascii="宋体" w:hAnsi="宋体"/>
          <w:sz w:val="24"/>
        </w:rPr>
      </w:pPr>
      <w:r>
        <w:rPr>
          <w:rFonts w:hint="eastAsia" w:ascii="宋体" w:hAnsi="宋体"/>
          <w:sz w:val="24"/>
        </w:rPr>
        <w:t>2.该表必须按照招标要求逐条如实填写，根据响应情况在“差异说明”项填写正偏离或负偏离及原因，完全符合的填写“无差异”；</w:t>
      </w:r>
    </w:p>
    <w:p w14:paraId="63043E28">
      <w:pPr>
        <w:tabs>
          <w:tab w:val="left" w:pos="6300"/>
        </w:tabs>
        <w:snapToGrid w:val="0"/>
        <w:spacing w:line="360" w:lineRule="auto"/>
        <w:ind w:firstLine="480" w:firstLineChars="200"/>
        <w:rPr>
          <w:rFonts w:ascii="宋体" w:hAnsi="宋体"/>
          <w:sz w:val="24"/>
        </w:rPr>
      </w:pPr>
      <w:r>
        <w:rPr>
          <w:rFonts w:hint="eastAsia" w:ascii="宋体" w:hAnsi="宋体"/>
          <w:sz w:val="24"/>
        </w:rPr>
        <w:t>3.该表可扩展；</w:t>
      </w:r>
    </w:p>
    <w:p w14:paraId="34D1626B">
      <w:pPr>
        <w:pageBreakBefore/>
        <w:tabs>
          <w:tab w:val="left" w:pos="6300"/>
        </w:tabs>
        <w:snapToGrid w:val="0"/>
        <w:spacing w:line="360" w:lineRule="auto"/>
        <w:rPr>
          <w:b/>
          <w:sz w:val="24"/>
          <w:szCs w:val="24"/>
        </w:rPr>
      </w:pPr>
      <w:bookmarkStart w:id="140" w:name="_Toc23764524"/>
      <w:bookmarkStart w:id="141" w:name="_Toc313888362"/>
      <w:bookmarkStart w:id="142" w:name="_Toc342913421"/>
      <w:bookmarkStart w:id="143" w:name="_Toc313008358"/>
      <w:r>
        <w:rPr>
          <w:rFonts w:hint="eastAsia"/>
          <w:sz w:val="24"/>
          <w:szCs w:val="24"/>
        </w:rPr>
        <w:t xml:space="preserve">   </w:t>
      </w:r>
      <w:r>
        <w:rPr>
          <w:rFonts w:hint="eastAsia"/>
          <w:b/>
          <w:sz w:val="24"/>
          <w:szCs w:val="24"/>
        </w:rPr>
        <w:t xml:space="preserve"> </w:t>
      </w:r>
      <w:r>
        <w:rPr>
          <w:b/>
          <w:sz w:val="24"/>
          <w:szCs w:val="24"/>
        </w:rPr>
        <w:t>三、商务部分</w:t>
      </w:r>
      <w:bookmarkEnd w:id="140"/>
      <w:bookmarkEnd w:id="141"/>
      <w:bookmarkEnd w:id="142"/>
      <w:bookmarkEnd w:id="143"/>
    </w:p>
    <w:p w14:paraId="5FB96D33">
      <w:pPr>
        <w:tabs>
          <w:tab w:val="left" w:pos="6300"/>
        </w:tabs>
        <w:snapToGrid w:val="0"/>
        <w:spacing w:line="360" w:lineRule="auto"/>
        <w:rPr>
          <w:rFonts w:ascii="宋体" w:hAnsi="宋体"/>
          <w:sz w:val="24"/>
          <w:szCs w:val="24"/>
        </w:rPr>
      </w:pPr>
      <w:r>
        <w:rPr>
          <w:rFonts w:hint="eastAsia"/>
          <w:sz w:val="24"/>
          <w:szCs w:val="24"/>
        </w:rPr>
        <w:t xml:space="preserve">    （一）商务响应偏离表</w:t>
      </w:r>
    </w:p>
    <w:p w14:paraId="679F1E8F">
      <w:pPr>
        <w:tabs>
          <w:tab w:val="left" w:pos="6300"/>
        </w:tabs>
        <w:snapToGrid w:val="0"/>
        <w:spacing w:line="360" w:lineRule="auto"/>
        <w:jc w:val="center"/>
        <w:rPr>
          <w:rFonts w:ascii="宋体" w:hAnsi="宋体"/>
          <w:szCs w:val="28"/>
        </w:rPr>
      </w:pPr>
      <w:r>
        <w:rPr>
          <w:rFonts w:hint="eastAsia" w:ascii="宋体" w:hAnsi="宋体"/>
          <w:szCs w:val="28"/>
        </w:rPr>
        <w:t>商务条款差异表</w:t>
      </w:r>
    </w:p>
    <w:p w14:paraId="5E643667">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项目号：</w:t>
      </w:r>
    </w:p>
    <w:p w14:paraId="4588012F">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项目名称：</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14:paraId="5513F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580" w:type="dxa"/>
            <w:vAlign w:val="center"/>
          </w:tcPr>
          <w:p w14:paraId="0DA233E8">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428" w:type="dxa"/>
            <w:vAlign w:val="center"/>
          </w:tcPr>
          <w:p w14:paraId="22ADF7DE">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520" w:type="dxa"/>
            <w:vAlign w:val="center"/>
          </w:tcPr>
          <w:p w14:paraId="070AB60D">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416" w:type="dxa"/>
            <w:vAlign w:val="center"/>
          </w:tcPr>
          <w:p w14:paraId="40F6BF41">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14:paraId="3707E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7953F321">
            <w:pPr>
              <w:tabs>
                <w:tab w:val="left" w:pos="6300"/>
              </w:tabs>
              <w:snapToGrid w:val="0"/>
              <w:ind w:firstLine="420" w:firstLineChars="200"/>
              <w:rPr>
                <w:rFonts w:ascii="宋体" w:hAnsi="宋体"/>
                <w:sz w:val="21"/>
                <w:szCs w:val="21"/>
              </w:rPr>
            </w:pPr>
          </w:p>
        </w:tc>
        <w:tc>
          <w:tcPr>
            <w:tcW w:w="2428" w:type="dxa"/>
            <w:vAlign w:val="center"/>
          </w:tcPr>
          <w:p w14:paraId="24A33B37">
            <w:pPr>
              <w:tabs>
                <w:tab w:val="left" w:pos="6300"/>
              </w:tabs>
              <w:snapToGrid w:val="0"/>
              <w:ind w:firstLine="420" w:firstLineChars="200"/>
              <w:rPr>
                <w:rFonts w:ascii="宋体" w:hAnsi="宋体"/>
                <w:sz w:val="21"/>
                <w:szCs w:val="21"/>
              </w:rPr>
            </w:pPr>
          </w:p>
        </w:tc>
        <w:tc>
          <w:tcPr>
            <w:tcW w:w="2520" w:type="dxa"/>
            <w:vAlign w:val="center"/>
          </w:tcPr>
          <w:p w14:paraId="25237B22">
            <w:pPr>
              <w:tabs>
                <w:tab w:val="left" w:pos="6300"/>
              </w:tabs>
              <w:snapToGrid w:val="0"/>
              <w:ind w:firstLine="420" w:firstLineChars="200"/>
              <w:rPr>
                <w:rFonts w:ascii="宋体" w:hAnsi="宋体"/>
                <w:sz w:val="21"/>
                <w:szCs w:val="21"/>
              </w:rPr>
            </w:pPr>
          </w:p>
        </w:tc>
        <w:tc>
          <w:tcPr>
            <w:tcW w:w="2416" w:type="dxa"/>
            <w:vAlign w:val="center"/>
          </w:tcPr>
          <w:p w14:paraId="5D378C22">
            <w:pPr>
              <w:tabs>
                <w:tab w:val="left" w:pos="6300"/>
              </w:tabs>
              <w:snapToGrid w:val="0"/>
              <w:ind w:firstLine="420" w:firstLineChars="200"/>
              <w:rPr>
                <w:rFonts w:ascii="宋体" w:hAnsi="宋体"/>
                <w:sz w:val="21"/>
                <w:szCs w:val="21"/>
              </w:rPr>
            </w:pPr>
          </w:p>
        </w:tc>
      </w:tr>
      <w:tr w14:paraId="29E7A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45C80E12">
            <w:pPr>
              <w:tabs>
                <w:tab w:val="left" w:pos="6300"/>
              </w:tabs>
              <w:snapToGrid w:val="0"/>
              <w:ind w:firstLine="420" w:firstLineChars="200"/>
              <w:rPr>
                <w:rFonts w:ascii="宋体" w:hAnsi="宋体"/>
                <w:sz w:val="21"/>
                <w:szCs w:val="21"/>
              </w:rPr>
            </w:pPr>
          </w:p>
        </w:tc>
        <w:tc>
          <w:tcPr>
            <w:tcW w:w="2428" w:type="dxa"/>
            <w:vAlign w:val="center"/>
          </w:tcPr>
          <w:p w14:paraId="26D0A095">
            <w:pPr>
              <w:tabs>
                <w:tab w:val="left" w:pos="6300"/>
              </w:tabs>
              <w:snapToGrid w:val="0"/>
              <w:ind w:firstLine="420" w:firstLineChars="200"/>
              <w:rPr>
                <w:rFonts w:ascii="宋体" w:hAnsi="宋体"/>
                <w:sz w:val="21"/>
                <w:szCs w:val="21"/>
              </w:rPr>
            </w:pPr>
          </w:p>
        </w:tc>
        <w:tc>
          <w:tcPr>
            <w:tcW w:w="2520" w:type="dxa"/>
            <w:vAlign w:val="center"/>
          </w:tcPr>
          <w:p w14:paraId="2CAD3804">
            <w:pPr>
              <w:tabs>
                <w:tab w:val="left" w:pos="6300"/>
              </w:tabs>
              <w:snapToGrid w:val="0"/>
              <w:ind w:firstLine="420" w:firstLineChars="200"/>
              <w:rPr>
                <w:rFonts w:ascii="宋体" w:hAnsi="宋体"/>
                <w:sz w:val="21"/>
                <w:szCs w:val="21"/>
              </w:rPr>
            </w:pPr>
          </w:p>
        </w:tc>
        <w:tc>
          <w:tcPr>
            <w:tcW w:w="2416" w:type="dxa"/>
            <w:vAlign w:val="center"/>
          </w:tcPr>
          <w:p w14:paraId="0C4ABAA9">
            <w:pPr>
              <w:tabs>
                <w:tab w:val="left" w:pos="6300"/>
              </w:tabs>
              <w:snapToGrid w:val="0"/>
              <w:ind w:firstLine="420" w:firstLineChars="200"/>
              <w:rPr>
                <w:rFonts w:ascii="宋体" w:hAnsi="宋体"/>
                <w:sz w:val="21"/>
                <w:szCs w:val="21"/>
              </w:rPr>
            </w:pPr>
          </w:p>
        </w:tc>
      </w:tr>
      <w:tr w14:paraId="4A463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3789B609">
            <w:pPr>
              <w:tabs>
                <w:tab w:val="left" w:pos="6300"/>
              </w:tabs>
              <w:snapToGrid w:val="0"/>
              <w:ind w:firstLine="420" w:firstLineChars="200"/>
              <w:rPr>
                <w:rFonts w:ascii="宋体" w:hAnsi="宋体"/>
                <w:sz w:val="21"/>
                <w:szCs w:val="21"/>
              </w:rPr>
            </w:pPr>
          </w:p>
        </w:tc>
        <w:tc>
          <w:tcPr>
            <w:tcW w:w="2428" w:type="dxa"/>
            <w:vAlign w:val="center"/>
          </w:tcPr>
          <w:p w14:paraId="39193F0D">
            <w:pPr>
              <w:tabs>
                <w:tab w:val="left" w:pos="6300"/>
              </w:tabs>
              <w:snapToGrid w:val="0"/>
              <w:ind w:firstLine="420" w:firstLineChars="200"/>
              <w:rPr>
                <w:rFonts w:ascii="宋体" w:hAnsi="宋体"/>
                <w:sz w:val="21"/>
                <w:szCs w:val="21"/>
              </w:rPr>
            </w:pPr>
          </w:p>
        </w:tc>
        <w:tc>
          <w:tcPr>
            <w:tcW w:w="2520" w:type="dxa"/>
            <w:vAlign w:val="center"/>
          </w:tcPr>
          <w:p w14:paraId="1894B004">
            <w:pPr>
              <w:tabs>
                <w:tab w:val="left" w:pos="6300"/>
              </w:tabs>
              <w:snapToGrid w:val="0"/>
              <w:ind w:firstLine="420" w:firstLineChars="200"/>
              <w:rPr>
                <w:rFonts w:ascii="宋体" w:hAnsi="宋体"/>
                <w:sz w:val="21"/>
                <w:szCs w:val="21"/>
              </w:rPr>
            </w:pPr>
          </w:p>
        </w:tc>
        <w:tc>
          <w:tcPr>
            <w:tcW w:w="2416" w:type="dxa"/>
            <w:vAlign w:val="center"/>
          </w:tcPr>
          <w:p w14:paraId="1B313836">
            <w:pPr>
              <w:tabs>
                <w:tab w:val="left" w:pos="6300"/>
              </w:tabs>
              <w:snapToGrid w:val="0"/>
              <w:ind w:firstLine="420" w:firstLineChars="200"/>
              <w:rPr>
                <w:rFonts w:ascii="宋体" w:hAnsi="宋体"/>
                <w:sz w:val="21"/>
                <w:szCs w:val="21"/>
              </w:rPr>
            </w:pPr>
          </w:p>
        </w:tc>
      </w:tr>
      <w:tr w14:paraId="5E208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01B70AA2">
            <w:pPr>
              <w:tabs>
                <w:tab w:val="left" w:pos="6300"/>
              </w:tabs>
              <w:snapToGrid w:val="0"/>
              <w:ind w:firstLine="420" w:firstLineChars="200"/>
              <w:rPr>
                <w:rFonts w:ascii="宋体" w:hAnsi="宋体"/>
                <w:sz w:val="21"/>
                <w:szCs w:val="21"/>
              </w:rPr>
            </w:pPr>
          </w:p>
        </w:tc>
        <w:tc>
          <w:tcPr>
            <w:tcW w:w="2428" w:type="dxa"/>
            <w:vAlign w:val="center"/>
          </w:tcPr>
          <w:p w14:paraId="661F9F79">
            <w:pPr>
              <w:tabs>
                <w:tab w:val="left" w:pos="6300"/>
              </w:tabs>
              <w:snapToGrid w:val="0"/>
              <w:ind w:firstLine="420" w:firstLineChars="200"/>
              <w:rPr>
                <w:rFonts w:ascii="宋体" w:hAnsi="宋体"/>
                <w:sz w:val="21"/>
                <w:szCs w:val="21"/>
              </w:rPr>
            </w:pPr>
          </w:p>
        </w:tc>
        <w:tc>
          <w:tcPr>
            <w:tcW w:w="2520" w:type="dxa"/>
            <w:vAlign w:val="center"/>
          </w:tcPr>
          <w:p w14:paraId="6635CEC2">
            <w:pPr>
              <w:tabs>
                <w:tab w:val="left" w:pos="6300"/>
              </w:tabs>
              <w:snapToGrid w:val="0"/>
              <w:ind w:firstLine="420" w:firstLineChars="200"/>
              <w:rPr>
                <w:rFonts w:ascii="宋体" w:hAnsi="宋体"/>
                <w:sz w:val="21"/>
                <w:szCs w:val="21"/>
              </w:rPr>
            </w:pPr>
          </w:p>
        </w:tc>
        <w:tc>
          <w:tcPr>
            <w:tcW w:w="2416" w:type="dxa"/>
            <w:vAlign w:val="center"/>
          </w:tcPr>
          <w:p w14:paraId="3949C53D">
            <w:pPr>
              <w:tabs>
                <w:tab w:val="left" w:pos="6300"/>
              </w:tabs>
              <w:snapToGrid w:val="0"/>
              <w:ind w:firstLine="420" w:firstLineChars="200"/>
              <w:rPr>
                <w:rFonts w:ascii="宋体" w:hAnsi="宋体"/>
                <w:sz w:val="21"/>
                <w:szCs w:val="21"/>
              </w:rPr>
            </w:pPr>
          </w:p>
        </w:tc>
      </w:tr>
      <w:tr w14:paraId="72271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215D0D36">
            <w:pPr>
              <w:tabs>
                <w:tab w:val="left" w:pos="6300"/>
              </w:tabs>
              <w:snapToGrid w:val="0"/>
              <w:ind w:firstLine="420" w:firstLineChars="200"/>
              <w:rPr>
                <w:rFonts w:ascii="宋体" w:hAnsi="宋体"/>
                <w:sz w:val="21"/>
                <w:szCs w:val="21"/>
              </w:rPr>
            </w:pPr>
          </w:p>
        </w:tc>
        <w:tc>
          <w:tcPr>
            <w:tcW w:w="2428" w:type="dxa"/>
            <w:vAlign w:val="center"/>
          </w:tcPr>
          <w:p w14:paraId="09D08718">
            <w:pPr>
              <w:tabs>
                <w:tab w:val="left" w:pos="6300"/>
              </w:tabs>
              <w:snapToGrid w:val="0"/>
              <w:ind w:firstLine="420" w:firstLineChars="200"/>
              <w:rPr>
                <w:rFonts w:ascii="宋体" w:hAnsi="宋体"/>
                <w:sz w:val="21"/>
                <w:szCs w:val="21"/>
              </w:rPr>
            </w:pPr>
          </w:p>
        </w:tc>
        <w:tc>
          <w:tcPr>
            <w:tcW w:w="2520" w:type="dxa"/>
            <w:vAlign w:val="center"/>
          </w:tcPr>
          <w:p w14:paraId="1FDB5938">
            <w:pPr>
              <w:tabs>
                <w:tab w:val="left" w:pos="6300"/>
              </w:tabs>
              <w:snapToGrid w:val="0"/>
              <w:ind w:firstLine="420" w:firstLineChars="200"/>
              <w:rPr>
                <w:rFonts w:ascii="宋体" w:hAnsi="宋体"/>
                <w:sz w:val="21"/>
                <w:szCs w:val="21"/>
              </w:rPr>
            </w:pPr>
          </w:p>
        </w:tc>
        <w:tc>
          <w:tcPr>
            <w:tcW w:w="2416" w:type="dxa"/>
            <w:vAlign w:val="center"/>
          </w:tcPr>
          <w:p w14:paraId="3CFA8758">
            <w:pPr>
              <w:tabs>
                <w:tab w:val="left" w:pos="6300"/>
              </w:tabs>
              <w:snapToGrid w:val="0"/>
              <w:ind w:firstLine="420" w:firstLineChars="200"/>
              <w:rPr>
                <w:rFonts w:ascii="宋体" w:hAnsi="宋体"/>
                <w:sz w:val="21"/>
                <w:szCs w:val="21"/>
              </w:rPr>
            </w:pPr>
          </w:p>
        </w:tc>
      </w:tr>
      <w:tr w14:paraId="2FCA4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60D7750D">
            <w:pPr>
              <w:tabs>
                <w:tab w:val="left" w:pos="6300"/>
              </w:tabs>
              <w:snapToGrid w:val="0"/>
              <w:ind w:firstLine="420" w:firstLineChars="200"/>
              <w:rPr>
                <w:rFonts w:ascii="宋体" w:hAnsi="宋体"/>
                <w:sz w:val="21"/>
                <w:szCs w:val="21"/>
              </w:rPr>
            </w:pPr>
          </w:p>
        </w:tc>
        <w:tc>
          <w:tcPr>
            <w:tcW w:w="2428" w:type="dxa"/>
            <w:vAlign w:val="center"/>
          </w:tcPr>
          <w:p w14:paraId="44B2538E">
            <w:pPr>
              <w:tabs>
                <w:tab w:val="left" w:pos="6300"/>
              </w:tabs>
              <w:snapToGrid w:val="0"/>
              <w:ind w:firstLine="420" w:firstLineChars="200"/>
              <w:rPr>
                <w:rFonts w:ascii="宋体" w:hAnsi="宋体"/>
                <w:sz w:val="21"/>
                <w:szCs w:val="21"/>
              </w:rPr>
            </w:pPr>
          </w:p>
        </w:tc>
        <w:tc>
          <w:tcPr>
            <w:tcW w:w="2520" w:type="dxa"/>
            <w:vAlign w:val="center"/>
          </w:tcPr>
          <w:p w14:paraId="083C54A4">
            <w:pPr>
              <w:tabs>
                <w:tab w:val="left" w:pos="6300"/>
              </w:tabs>
              <w:snapToGrid w:val="0"/>
              <w:ind w:firstLine="420" w:firstLineChars="200"/>
              <w:rPr>
                <w:rFonts w:ascii="宋体" w:hAnsi="宋体"/>
                <w:sz w:val="21"/>
                <w:szCs w:val="21"/>
              </w:rPr>
            </w:pPr>
          </w:p>
        </w:tc>
        <w:tc>
          <w:tcPr>
            <w:tcW w:w="2416" w:type="dxa"/>
            <w:vAlign w:val="center"/>
          </w:tcPr>
          <w:p w14:paraId="0D87DA31">
            <w:pPr>
              <w:tabs>
                <w:tab w:val="left" w:pos="6300"/>
              </w:tabs>
              <w:snapToGrid w:val="0"/>
              <w:ind w:firstLine="420" w:firstLineChars="200"/>
              <w:rPr>
                <w:rFonts w:ascii="宋体" w:hAnsi="宋体"/>
                <w:sz w:val="21"/>
                <w:szCs w:val="21"/>
              </w:rPr>
            </w:pPr>
          </w:p>
        </w:tc>
      </w:tr>
      <w:tr w14:paraId="7443A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7F5DDEC7">
            <w:pPr>
              <w:tabs>
                <w:tab w:val="left" w:pos="6300"/>
              </w:tabs>
              <w:snapToGrid w:val="0"/>
              <w:ind w:firstLine="420" w:firstLineChars="200"/>
              <w:rPr>
                <w:rFonts w:ascii="宋体" w:hAnsi="宋体"/>
                <w:sz w:val="21"/>
                <w:szCs w:val="21"/>
              </w:rPr>
            </w:pPr>
          </w:p>
        </w:tc>
        <w:tc>
          <w:tcPr>
            <w:tcW w:w="2428" w:type="dxa"/>
            <w:vAlign w:val="center"/>
          </w:tcPr>
          <w:p w14:paraId="4F386BD5">
            <w:pPr>
              <w:tabs>
                <w:tab w:val="left" w:pos="6300"/>
              </w:tabs>
              <w:snapToGrid w:val="0"/>
              <w:ind w:firstLine="420" w:firstLineChars="200"/>
              <w:rPr>
                <w:rFonts w:ascii="宋体" w:hAnsi="宋体"/>
                <w:sz w:val="21"/>
                <w:szCs w:val="21"/>
              </w:rPr>
            </w:pPr>
          </w:p>
        </w:tc>
        <w:tc>
          <w:tcPr>
            <w:tcW w:w="2520" w:type="dxa"/>
            <w:vAlign w:val="center"/>
          </w:tcPr>
          <w:p w14:paraId="428DA7D1">
            <w:pPr>
              <w:tabs>
                <w:tab w:val="left" w:pos="6300"/>
              </w:tabs>
              <w:snapToGrid w:val="0"/>
              <w:ind w:firstLine="420" w:firstLineChars="200"/>
              <w:rPr>
                <w:rFonts w:ascii="宋体" w:hAnsi="宋体"/>
                <w:sz w:val="21"/>
                <w:szCs w:val="21"/>
              </w:rPr>
            </w:pPr>
          </w:p>
        </w:tc>
        <w:tc>
          <w:tcPr>
            <w:tcW w:w="2416" w:type="dxa"/>
            <w:vAlign w:val="center"/>
          </w:tcPr>
          <w:p w14:paraId="4F6BC3CF">
            <w:pPr>
              <w:tabs>
                <w:tab w:val="left" w:pos="6300"/>
              </w:tabs>
              <w:snapToGrid w:val="0"/>
              <w:ind w:firstLine="420" w:firstLineChars="200"/>
              <w:rPr>
                <w:rFonts w:ascii="宋体" w:hAnsi="宋体"/>
                <w:sz w:val="21"/>
                <w:szCs w:val="21"/>
              </w:rPr>
            </w:pPr>
          </w:p>
        </w:tc>
      </w:tr>
      <w:tr w14:paraId="2C2C5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63B43A6D">
            <w:pPr>
              <w:tabs>
                <w:tab w:val="left" w:pos="6300"/>
              </w:tabs>
              <w:snapToGrid w:val="0"/>
              <w:ind w:firstLine="420" w:firstLineChars="200"/>
              <w:rPr>
                <w:rFonts w:ascii="宋体" w:hAnsi="宋体"/>
                <w:sz w:val="21"/>
                <w:szCs w:val="21"/>
              </w:rPr>
            </w:pPr>
          </w:p>
        </w:tc>
        <w:tc>
          <w:tcPr>
            <w:tcW w:w="2428" w:type="dxa"/>
            <w:vAlign w:val="center"/>
          </w:tcPr>
          <w:p w14:paraId="14324A22">
            <w:pPr>
              <w:tabs>
                <w:tab w:val="left" w:pos="6300"/>
              </w:tabs>
              <w:snapToGrid w:val="0"/>
              <w:ind w:firstLine="420" w:firstLineChars="200"/>
              <w:rPr>
                <w:rFonts w:ascii="宋体" w:hAnsi="宋体"/>
                <w:sz w:val="21"/>
                <w:szCs w:val="21"/>
              </w:rPr>
            </w:pPr>
          </w:p>
        </w:tc>
        <w:tc>
          <w:tcPr>
            <w:tcW w:w="2520" w:type="dxa"/>
            <w:vAlign w:val="center"/>
          </w:tcPr>
          <w:p w14:paraId="6852A85B">
            <w:pPr>
              <w:tabs>
                <w:tab w:val="left" w:pos="6300"/>
              </w:tabs>
              <w:snapToGrid w:val="0"/>
              <w:ind w:firstLine="420" w:firstLineChars="200"/>
              <w:rPr>
                <w:rFonts w:ascii="宋体" w:hAnsi="宋体"/>
                <w:sz w:val="21"/>
                <w:szCs w:val="21"/>
              </w:rPr>
            </w:pPr>
          </w:p>
        </w:tc>
        <w:tc>
          <w:tcPr>
            <w:tcW w:w="2416" w:type="dxa"/>
            <w:vAlign w:val="center"/>
          </w:tcPr>
          <w:p w14:paraId="46119921">
            <w:pPr>
              <w:tabs>
                <w:tab w:val="left" w:pos="6300"/>
              </w:tabs>
              <w:snapToGrid w:val="0"/>
              <w:ind w:firstLine="420" w:firstLineChars="200"/>
              <w:rPr>
                <w:rFonts w:ascii="宋体" w:hAnsi="宋体"/>
                <w:sz w:val="21"/>
                <w:szCs w:val="21"/>
              </w:rPr>
            </w:pPr>
          </w:p>
        </w:tc>
      </w:tr>
      <w:tr w14:paraId="62E48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14:paraId="3C9161F0">
            <w:pPr>
              <w:tabs>
                <w:tab w:val="left" w:pos="6300"/>
              </w:tabs>
              <w:snapToGrid w:val="0"/>
              <w:ind w:firstLine="420" w:firstLineChars="200"/>
              <w:rPr>
                <w:rFonts w:ascii="宋体" w:hAnsi="宋体"/>
                <w:sz w:val="21"/>
                <w:szCs w:val="21"/>
              </w:rPr>
            </w:pPr>
          </w:p>
        </w:tc>
        <w:tc>
          <w:tcPr>
            <w:tcW w:w="2428" w:type="dxa"/>
            <w:vAlign w:val="center"/>
          </w:tcPr>
          <w:p w14:paraId="30671AD7">
            <w:pPr>
              <w:tabs>
                <w:tab w:val="left" w:pos="6300"/>
              </w:tabs>
              <w:snapToGrid w:val="0"/>
              <w:ind w:firstLine="420" w:firstLineChars="200"/>
              <w:rPr>
                <w:rFonts w:ascii="宋体" w:hAnsi="宋体"/>
                <w:sz w:val="21"/>
                <w:szCs w:val="21"/>
              </w:rPr>
            </w:pPr>
          </w:p>
        </w:tc>
        <w:tc>
          <w:tcPr>
            <w:tcW w:w="2520" w:type="dxa"/>
            <w:vAlign w:val="center"/>
          </w:tcPr>
          <w:p w14:paraId="7E7D7E19">
            <w:pPr>
              <w:tabs>
                <w:tab w:val="left" w:pos="6300"/>
              </w:tabs>
              <w:snapToGrid w:val="0"/>
              <w:ind w:firstLine="420" w:firstLineChars="200"/>
              <w:rPr>
                <w:rFonts w:ascii="宋体" w:hAnsi="宋体"/>
                <w:sz w:val="21"/>
                <w:szCs w:val="21"/>
              </w:rPr>
            </w:pPr>
          </w:p>
        </w:tc>
        <w:tc>
          <w:tcPr>
            <w:tcW w:w="2416" w:type="dxa"/>
            <w:vAlign w:val="center"/>
          </w:tcPr>
          <w:p w14:paraId="2F5B76AD">
            <w:pPr>
              <w:tabs>
                <w:tab w:val="left" w:pos="6300"/>
              </w:tabs>
              <w:snapToGrid w:val="0"/>
              <w:ind w:firstLine="420" w:firstLineChars="200"/>
              <w:rPr>
                <w:rFonts w:ascii="宋体" w:hAnsi="宋体"/>
                <w:sz w:val="21"/>
                <w:szCs w:val="21"/>
              </w:rPr>
            </w:pPr>
          </w:p>
        </w:tc>
      </w:tr>
    </w:tbl>
    <w:p w14:paraId="74EB6F82">
      <w:pPr>
        <w:spacing w:line="360" w:lineRule="auto"/>
        <w:ind w:firstLine="480" w:firstLineChars="200"/>
        <w:rPr>
          <w:rFonts w:ascii="宋体" w:hAnsi="宋体"/>
          <w:sz w:val="24"/>
          <w:szCs w:val="28"/>
        </w:rPr>
      </w:pPr>
      <w:r>
        <w:rPr>
          <w:rFonts w:hint="eastAsia" w:ascii="宋体" w:hAnsi="宋体"/>
          <w:sz w:val="24"/>
          <w:szCs w:val="28"/>
        </w:rPr>
        <w:t xml:space="preserve">供应商：                     </w:t>
      </w:r>
      <w:r>
        <w:rPr>
          <w:rFonts w:ascii="宋体" w:hAnsi="宋体"/>
          <w:sz w:val="24"/>
          <w:szCs w:val="28"/>
        </w:rPr>
        <w:t xml:space="preserve">  </w:t>
      </w:r>
      <w:r>
        <w:rPr>
          <w:rFonts w:hint="eastAsia" w:ascii="宋体" w:hAnsi="宋体"/>
          <w:sz w:val="24"/>
          <w:szCs w:val="28"/>
        </w:rPr>
        <w:t xml:space="preserve">     法定代表人（或法定代表人授权代表）：</w:t>
      </w:r>
    </w:p>
    <w:p w14:paraId="0721C67E">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（供应商公章）                          （签字或盖章）</w:t>
      </w:r>
    </w:p>
    <w:p w14:paraId="35C8716B">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年     月     日</w:t>
      </w:r>
    </w:p>
    <w:p w14:paraId="65B3DEB3">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注：1.本表即为对本项目“第三篇 项目商务要求”中所列商务条款进行比较和响应；</w:t>
      </w:r>
    </w:p>
    <w:p w14:paraId="40736825">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2.该表必须按照采购文件要求逐条如实填写，根据投标情况在“差异说明”项填写正偏离或负偏离及原因，完全符合的填写“无差异”。</w:t>
      </w:r>
    </w:p>
    <w:p w14:paraId="266F3B98">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3.该表可扩展。</w:t>
      </w:r>
    </w:p>
    <w:p w14:paraId="144DFC21">
      <w:pPr>
        <w:tabs>
          <w:tab w:val="left" w:pos="6300"/>
        </w:tabs>
        <w:snapToGrid w:val="0"/>
        <w:spacing w:line="360" w:lineRule="auto"/>
        <w:ind w:firstLine="480" w:firstLineChars="200"/>
        <w:rPr>
          <w:rFonts w:ascii="宋体" w:hAnsi="宋体"/>
          <w:sz w:val="24"/>
          <w:szCs w:val="24"/>
        </w:rPr>
      </w:pPr>
    </w:p>
    <w:p w14:paraId="0ECE4386">
      <w:pPr>
        <w:pStyle w:val="24"/>
      </w:pPr>
    </w:p>
    <w:p w14:paraId="1A0134BD">
      <w:pPr>
        <w:tabs>
          <w:tab w:val="left" w:pos="6300"/>
        </w:tabs>
        <w:snapToGrid w:val="0"/>
        <w:spacing w:line="500" w:lineRule="exact"/>
        <w:ind w:firstLine="480" w:firstLineChars="200"/>
        <w:rPr>
          <w:rFonts w:ascii="宋体" w:hAnsi="宋体"/>
          <w:sz w:val="24"/>
          <w:szCs w:val="24"/>
        </w:rPr>
      </w:pPr>
      <w:r>
        <w:rPr>
          <w:rFonts w:hint="eastAsia" w:ascii="宋体" w:hAnsi="宋体"/>
          <w:sz w:val="24"/>
          <w:szCs w:val="24"/>
        </w:rPr>
        <w:t>（二）其它优惠承诺（格式自定）</w:t>
      </w:r>
    </w:p>
    <w:p w14:paraId="3B50EDF5">
      <w:pPr>
        <w:pStyle w:val="24"/>
      </w:pPr>
    </w:p>
    <w:p w14:paraId="2AC5ABCB">
      <w:pPr>
        <w:pageBreakBefore/>
        <w:tabs>
          <w:tab w:val="left" w:pos="6300"/>
        </w:tabs>
        <w:snapToGrid w:val="0"/>
        <w:spacing w:line="360" w:lineRule="auto"/>
        <w:rPr>
          <w:b/>
          <w:sz w:val="24"/>
          <w:szCs w:val="24"/>
        </w:rPr>
      </w:pPr>
      <w:r>
        <w:rPr>
          <w:rFonts w:hint="eastAsia"/>
          <w:b/>
          <w:sz w:val="24"/>
          <w:szCs w:val="24"/>
        </w:rPr>
        <w:t xml:space="preserve">    </w:t>
      </w:r>
      <w:bookmarkStart w:id="144" w:name="_Toc23764525"/>
      <w:bookmarkStart w:id="145" w:name="_Toc313008359"/>
      <w:bookmarkStart w:id="146" w:name="_Toc342913422"/>
      <w:bookmarkStart w:id="147" w:name="_Toc313888363"/>
      <w:r>
        <w:rPr>
          <w:b/>
          <w:sz w:val="24"/>
          <w:szCs w:val="24"/>
        </w:rPr>
        <w:t>四、资格条件及其他</w:t>
      </w:r>
      <w:bookmarkEnd w:id="144"/>
      <w:bookmarkEnd w:id="145"/>
      <w:bookmarkEnd w:id="146"/>
      <w:bookmarkEnd w:id="147"/>
    </w:p>
    <w:p w14:paraId="7C5C51C6">
      <w:pPr>
        <w:tabs>
          <w:tab w:val="left" w:pos="6300"/>
        </w:tabs>
        <w:snapToGrid w:val="0"/>
        <w:spacing w:line="360" w:lineRule="auto"/>
        <w:ind w:firstLine="570"/>
        <w:rPr>
          <w:rFonts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14:paraId="7CBA209F">
      <w:pPr>
        <w:tabs>
          <w:tab w:val="left" w:pos="6300"/>
        </w:tabs>
        <w:snapToGrid w:val="0"/>
        <w:spacing w:line="360" w:lineRule="auto"/>
        <w:ind w:firstLine="570"/>
        <w:rPr>
          <w:rFonts w:ascii="宋体" w:hAnsi="宋体"/>
        </w:rPr>
      </w:pPr>
    </w:p>
    <w:p w14:paraId="0B82722B">
      <w:pPr>
        <w:snapToGrid w:val="0"/>
        <w:spacing w:line="360" w:lineRule="auto"/>
        <w:ind w:firstLine="480" w:firstLineChars="200"/>
        <w:rPr>
          <w:rFonts w:ascii="宋体" w:hAnsi="宋体"/>
          <w:sz w:val="24"/>
          <w:szCs w:val="24"/>
        </w:rPr>
      </w:pPr>
      <w:r>
        <w:rPr>
          <w:rFonts w:hint="eastAsia" w:ascii="宋体" w:hAnsi="宋体"/>
          <w:sz w:val="24"/>
          <w:szCs w:val="24"/>
        </w:rPr>
        <w:t>（二）法定代表人身份证明书（格式）</w:t>
      </w:r>
    </w:p>
    <w:p w14:paraId="26629F95">
      <w:pPr>
        <w:tabs>
          <w:tab w:val="left" w:pos="6300"/>
        </w:tabs>
        <w:snapToGrid w:val="0"/>
        <w:spacing w:line="360" w:lineRule="auto"/>
        <w:ind w:firstLine="570"/>
        <w:rPr>
          <w:rFonts w:ascii="宋体" w:hAnsi="宋体"/>
          <w:sz w:val="24"/>
        </w:rPr>
      </w:pPr>
    </w:p>
    <w:p w14:paraId="3090E74E">
      <w:pPr>
        <w:tabs>
          <w:tab w:val="left" w:pos="6300"/>
        </w:tabs>
        <w:snapToGrid w:val="0"/>
        <w:spacing w:line="360" w:lineRule="auto"/>
        <w:ind w:firstLine="570"/>
        <w:rPr>
          <w:rFonts w:ascii="宋体" w:hAnsi="宋体"/>
          <w:sz w:val="24"/>
        </w:rPr>
      </w:pPr>
      <w:r>
        <w:rPr>
          <w:rFonts w:hint="eastAsia" w:ascii="宋体" w:hAnsi="宋体"/>
          <w:sz w:val="24"/>
        </w:rPr>
        <w:t>项目名称：</w:t>
      </w:r>
      <w:r>
        <w:rPr>
          <w:rFonts w:hint="eastAsia" w:ascii="宋体" w:hAnsi="宋体"/>
          <w:sz w:val="24"/>
          <w:u w:val="single"/>
        </w:rPr>
        <w:t xml:space="preserve">                                                </w:t>
      </w:r>
    </w:p>
    <w:p w14:paraId="42065C73">
      <w:pPr>
        <w:tabs>
          <w:tab w:val="left" w:pos="6300"/>
        </w:tabs>
        <w:snapToGrid w:val="0"/>
        <w:spacing w:line="360" w:lineRule="auto"/>
        <w:ind w:firstLine="570"/>
        <w:rPr>
          <w:rFonts w:ascii="宋体" w:hAnsi="宋体"/>
          <w:sz w:val="24"/>
        </w:rPr>
      </w:pPr>
    </w:p>
    <w:p w14:paraId="09157BB3">
      <w:pPr>
        <w:tabs>
          <w:tab w:val="left" w:pos="6300"/>
        </w:tabs>
        <w:snapToGrid w:val="0"/>
        <w:spacing w:line="360" w:lineRule="auto"/>
        <w:rPr>
          <w:rFonts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（采购代理机构名称）：</w:t>
      </w:r>
    </w:p>
    <w:p w14:paraId="1837464A">
      <w:pPr>
        <w:tabs>
          <w:tab w:val="left" w:pos="6300"/>
        </w:tabs>
        <w:snapToGrid w:val="0"/>
        <w:spacing w:line="360" w:lineRule="auto"/>
        <w:ind w:firstLine="570"/>
        <w:rPr>
          <w:rFonts w:ascii="宋体" w:hAnsi="宋体"/>
          <w:sz w:val="24"/>
        </w:rPr>
      </w:pPr>
      <w:r>
        <w:rPr>
          <w:rFonts w:hint="eastAsia" w:ascii="宋体" w:hAnsi="宋体"/>
          <w:sz w:val="24"/>
          <w:u w:val="single"/>
        </w:rPr>
        <w:t xml:space="preserve">        </w:t>
      </w:r>
      <w:r>
        <w:rPr>
          <w:rFonts w:hint="eastAsia" w:ascii="宋体" w:hAnsi="宋体"/>
          <w:sz w:val="24"/>
        </w:rPr>
        <w:t>（法定代表人姓名）在</w:t>
      </w:r>
      <w:r>
        <w:rPr>
          <w:rFonts w:hint="eastAsia" w:ascii="宋体" w:hAnsi="宋体"/>
          <w:sz w:val="24"/>
          <w:u w:val="single"/>
        </w:rPr>
        <w:t xml:space="preserve">                       </w:t>
      </w:r>
      <w:r>
        <w:rPr>
          <w:rFonts w:hint="eastAsia" w:ascii="宋体" w:hAnsi="宋体"/>
          <w:sz w:val="24"/>
        </w:rPr>
        <w:t>（供应商名称）任</w:t>
      </w:r>
      <w:r>
        <w:rPr>
          <w:rFonts w:hint="eastAsia" w:ascii="宋体" w:hAnsi="宋体"/>
          <w:sz w:val="24"/>
          <w:u w:val="single"/>
        </w:rPr>
        <w:t xml:space="preserve">    </w:t>
      </w:r>
      <w:r>
        <w:rPr>
          <w:rFonts w:hint="eastAsia" w:ascii="宋体" w:hAnsi="宋体"/>
          <w:sz w:val="24"/>
        </w:rPr>
        <w:t>（职务名称）职务，是（供应商名称）</w:t>
      </w:r>
      <w:r>
        <w:rPr>
          <w:rFonts w:hint="eastAsia" w:ascii="宋体" w:hAnsi="宋体"/>
          <w:sz w:val="24"/>
          <w:u w:val="single"/>
        </w:rPr>
        <w:t xml:space="preserve">              </w:t>
      </w:r>
      <w:r>
        <w:rPr>
          <w:rFonts w:hint="eastAsia" w:ascii="宋体" w:hAnsi="宋体"/>
          <w:sz w:val="24"/>
        </w:rPr>
        <w:t>的法定代表人。</w:t>
      </w:r>
    </w:p>
    <w:p w14:paraId="1B904A92">
      <w:pPr>
        <w:tabs>
          <w:tab w:val="left" w:pos="6300"/>
        </w:tabs>
        <w:snapToGrid w:val="0"/>
        <w:spacing w:line="360" w:lineRule="auto"/>
        <w:ind w:firstLine="570"/>
        <w:rPr>
          <w:rFonts w:ascii="宋体" w:hAnsi="宋体"/>
          <w:sz w:val="24"/>
        </w:rPr>
      </w:pPr>
    </w:p>
    <w:p w14:paraId="098973AC">
      <w:pPr>
        <w:tabs>
          <w:tab w:val="left" w:pos="6300"/>
        </w:tabs>
        <w:snapToGrid w:val="0"/>
        <w:spacing w:line="360" w:lineRule="auto"/>
        <w:ind w:firstLine="570"/>
        <w:rPr>
          <w:rFonts w:ascii="宋体" w:hAnsi="宋体"/>
          <w:sz w:val="24"/>
        </w:rPr>
      </w:pPr>
      <w:r>
        <w:rPr>
          <w:rFonts w:hint="eastAsia" w:ascii="宋体" w:hAnsi="宋体"/>
          <w:sz w:val="24"/>
        </w:rPr>
        <w:t>特此证明。</w:t>
      </w:r>
    </w:p>
    <w:p w14:paraId="79273C89">
      <w:pPr>
        <w:tabs>
          <w:tab w:val="left" w:pos="6300"/>
        </w:tabs>
        <w:snapToGrid w:val="0"/>
        <w:spacing w:line="360" w:lineRule="auto"/>
        <w:ind w:firstLine="570"/>
        <w:rPr>
          <w:rFonts w:ascii="宋体" w:hAnsi="宋体"/>
          <w:sz w:val="24"/>
        </w:rPr>
      </w:pPr>
    </w:p>
    <w:p w14:paraId="714A56AB">
      <w:pPr>
        <w:tabs>
          <w:tab w:val="left" w:pos="6300"/>
        </w:tabs>
        <w:snapToGrid w:val="0"/>
        <w:spacing w:line="360" w:lineRule="auto"/>
        <w:ind w:firstLine="570"/>
        <w:rPr>
          <w:rFonts w:ascii="宋体" w:hAnsi="宋体"/>
          <w:sz w:val="24"/>
        </w:rPr>
      </w:pPr>
    </w:p>
    <w:p w14:paraId="4BEBC48C">
      <w:pPr>
        <w:tabs>
          <w:tab w:val="left" w:pos="6300"/>
        </w:tabs>
        <w:snapToGrid w:val="0"/>
        <w:spacing w:line="360" w:lineRule="auto"/>
        <w:ind w:firstLine="570"/>
        <w:rPr>
          <w:rFonts w:ascii="宋体" w:hAnsi="宋体"/>
          <w:sz w:val="24"/>
        </w:rPr>
      </w:pPr>
    </w:p>
    <w:p w14:paraId="2EE01463">
      <w:pPr>
        <w:tabs>
          <w:tab w:val="left" w:pos="6300"/>
        </w:tabs>
        <w:snapToGrid w:val="0"/>
        <w:spacing w:line="360" w:lineRule="auto"/>
        <w:ind w:firstLine="570"/>
        <w:rPr>
          <w:rFonts w:ascii="宋体" w:hAnsi="宋体"/>
          <w:sz w:val="24"/>
        </w:rPr>
      </w:pPr>
      <w:r>
        <w:rPr>
          <w:rFonts w:hint="eastAsia" w:ascii="宋体" w:hAnsi="宋体"/>
          <w:sz w:val="24"/>
        </w:rPr>
        <w:t xml:space="preserve">                                             （供应商公章）</w:t>
      </w:r>
    </w:p>
    <w:p w14:paraId="657AF886">
      <w:pPr>
        <w:tabs>
          <w:tab w:val="left" w:pos="6300"/>
        </w:tabs>
        <w:snapToGrid w:val="0"/>
        <w:spacing w:line="360" w:lineRule="auto"/>
        <w:ind w:firstLine="570"/>
        <w:rPr>
          <w:rFonts w:ascii="宋体" w:hAnsi="宋体"/>
          <w:sz w:val="24"/>
        </w:rPr>
      </w:pPr>
    </w:p>
    <w:p w14:paraId="399D0F5C">
      <w:pPr>
        <w:tabs>
          <w:tab w:val="left" w:pos="6300"/>
        </w:tabs>
        <w:snapToGrid w:val="0"/>
        <w:spacing w:line="360" w:lineRule="auto"/>
        <w:ind w:firstLine="570"/>
        <w:rPr>
          <w:rFonts w:ascii="宋体" w:hAnsi="宋体"/>
          <w:sz w:val="24"/>
        </w:rPr>
      </w:pPr>
      <w:r>
        <w:rPr>
          <w:rFonts w:hint="eastAsia" w:ascii="宋体" w:hAnsi="宋体"/>
          <w:sz w:val="24"/>
        </w:rPr>
        <w:t xml:space="preserve">                                             年   月   日</w:t>
      </w:r>
    </w:p>
    <w:p w14:paraId="59631EBA">
      <w:pPr>
        <w:tabs>
          <w:tab w:val="left" w:pos="6300"/>
        </w:tabs>
        <w:snapToGrid w:val="0"/>
        <w:spacing w:line="360" w:lineRule="auto"/>
        <w:ind w:firstLine="570"/>
        <w:rPr>
          <w:rFonts w:ascii="宋体" w:hAnsi="宋体"/>
          <w:sz w:val="24"/>
        </w:rPr>
      </w:pPr>
      <w:r>
        <w:rPr>
          <w:rFonts w:hint="eastAsia" w:ascii="宋体" w:hAnsi="宋体"/>
          <w:sz w:val="24"/>
        </w:rPr>
        <w:t>法定代表人电话：XXXXXXX      电子邮箱：XXXXXX@XXXXX（若授权他人办理并签署响应文件的可不填写）</w:t>
      </w:r>
    </w:p>
    <w:p w14:paraId="4A9EAB66">
      <w:pPr>
        <w:tabs>
          <w:tab w:val="left" w:pos="6300"/>
        </w:tabs>
        <w:snapToGrid w:val="0"/>
        <w:spacing w:line="360" w:lineRule="auto"/>
        <w:ind w:firstLine="570"/>
        <w:rPr>
          <w:rFonts w:ascii="宋体" w:hAnsi="宋体"/>
          <w:sz w:val="24"/>
        </w:rPr>
      </w:pPr>
      <w:r>
        <w:rPr>
          <w:rFonts w:hint="eastAsia" w:ascii="宋体" w:hAnsi="宋体"/>
          <w:sz w:val="24"/>
        </w:rPr>
        <w:t>（附：法定代表人身份证正反面复印件）</w:t>
      </w:r>
    </w:p>
    <w:p w14:paraId="44223C20">
      <w:pPr>
        <w:tabs>
          <w:tab w:val="left" w:pos="6300"/>
        </w:tabs>
        <w:snapToGrid w:val="0"/>
        <w:spacing w:line="360" w:lineRule="auto"/>
        <w:ind w:firstLine="570"/>
        <w:rPr>
          <w:rFonts w:ascii="宋体" w:hAnsi="宋体"/>
          <w:sz w:val="24"/>
        </w:rPr>
      </w:pPr>
    </w:p>
    <w:p w14:paraId="706969D2">
      <w:pPr>
        <w:tabs>
          <w:tab w:val="left" w:pos="6300"/>
        </w:tabs>
        <w:snapToGrid w:val="0"/>
        <w:spacing w:line="360" w:lineRule="auto"/>
        <w:ind w:firstLine="570"/>
        <w:rPr>
          <w:rFonts w:ascii="宋体" w:hAnsi="宋体"/>
          <w:sz w:val="24"/>
        </w:rPr>
      </w:pPr>
    </w:p>
    <w:p w14:paraId="170D8119">
      <w:pPr>
        <w:tabs>
          <w:tab w:val="left" w:pos="6300"/>
        </w:tabs>
        <w:snapToGrid w:val="0"/>
        <w:spacing w:line="360" w:lineRule="auto"/>
        <w:ind w:firstLine="570"/>
        <w:rPr>
          <w:rFonts w:ascii="宋体" w:hAnsi="宋体"/>
          <w:sz w:val="24"/>
        </w:rPr>
      </w:pPr>
    </w:p>
    <w:p w14:paraId="7C1E4D75">
      <w:pPr>
        <w:tabs>
          <w:tab w:val="left" w:pos="6300"/>
        </w:tabs>
        <w:snapToGrid w:val="0"/>
        <w:spacing w:line="360" w:lineRule="auto"/>
        <w:ind w:firstLine="570"/>
        <w:rPr>
          <w:rFonts w:ascii="宋体" w:hAnsi="宋体"/>
          <w:sz w:val="24"/>
        </w:rPr>
      </w:pPr>
    </w:p>
    <w:p w14:paraId="318E763E">
      <w:pPr>
        <w:tabs>
          <w:tab w:val="left" w:pos="6300"/>
        </w:tabs>
        <w:snapToGrid w:val="0"/>
        <w:spacing w:line="360" w:lineRule="auto"/>
        <w:ind w:firstLine="570"/>
        <w:rPr>
          <w:rFonts w:ascii="宋体" w:hAnsi="宋体"/>
          <w:sz w:val="24"/>
        </w:rPr>
      </w:pPr>
    </w:p>
    <w:p w14:paraId="415B025D">
      <w:pPr>
        <w:tabs>
          <w:tab w:val="left" w:pos="6300"/>
        </w:tabs>
        <w:snapToGrid w:val="0"/>
        <w:spacing w:line="360" w:lineRule="auto"/>
        <w:ind w:firstLine="570"/>
        <w:rPr>
          <w:rFonts w:ascii="宋体" w:hAnsi="宋体"/>
          <w:sz w:val="24"/>
        </w:rPr>
      </w:pPr>
    </w:p>
    <w:p w14:paraId="5B767B75">
      <w:pPr>
        <w:snapToGrid w:val="0"/>
        <w:spacing w:line="360" w:lineRule="auto"/>
        <w:ind w:firstLine="560" w:firstLineChars="200"/>
        <w:rPr>
          <w:rFonts w:ascii="宋体" w:hAnsi="宋体"/>
          <w:sz w:val="24"/>
          <w:szCs w:val="24"/>
        </w:rPr>
      </w:pPr>
      <w:r>
        <w:rPr>
          <w:rFonts w:ascii="宋体" w:hAnsi="宋体"/>
        </w:rPr>
        <w:br w:type="column"/>
      </w:r>
      <w:r>
        <w:rPr>
          <w:rFonts w:hint="eastAsia" w:ascii="宋体" w:hAnsi="宋体"/>
          <w:sz w:val="24"/>
          <w:szCs w:val="24"/>
        </w:rPr>
        <w:t>（三）法定代表人授权委托书（格式）</w:t>
      </w:r>
    </w:p>
    <w:p w14:paraId="6B6B10E4">
      <w:pPr>
        <w:tabs>
          <w:tab w:val="left" w:pos="6300"/>
        </w:tabs>
        <w:snapToGrid w:val="0"/>
        <w:spacing w:line="360" w:lineRule="auto"/>
        <w:ind w:firstLine="570"/>
        <w:rPr>
          <w:rFonts w:ascii="宋体" w:hAnsi="宋体"/>
          <w:sz w:val="24"/>
        </w:rPr>
      </w:pPr>
      <w:r>
        <w:rPr>
          <w:rFonts w:hint="eastAsia" w:ascii="宋体" w:hAnsi="宋体"/>
          <w:sz w:val="24"/>
        </w:rPr>
        <w:t xml:space="preserve">    </w:t>
      </w:r>
    </w:p>
    <w:p w14:paraId="0573EF6C">
      <w:pPr>
        <w:tabs>
          <w:tab w:val="left" w:pos="6300"/>
        </w:tabs>
        <w:snapToGrid w:val="0"/>
        <w:spacing w:line="360" w:lineRule="auto"/>
        <w:ind w:firstLine="480" w:firstLineChars="200"/>
        <w:rPr>
          <w:rFonts w:ascii="宋体" w:hAnsi="宋体"/>
          <w:sz w:val="24"/>
        </w:rPr>
      </w:pPr>
      <w:r>
        <w:rPr>
          <w:rFonts w:hint="eastAsia" w:ascii="宋体" w:hAnsi="宋体"/>
          <w:sz w:val="24"/>
          <w:szCs w:val="28"/>
        </w:rPr>
        <w:t>项目名称</w:t>
      </w:r>
      <w:r>
        <w:rPr>
          <w:rFonts w:hint="eastAsia" w:ascii="宋体" w:hAnsi="宋体"/>
          <w:sz w:val="24"/>
        </w:rPr>
        <w:t>：</w:t>
      </w:r>
      <w:r>
        <w:rPr>
          <w:rFonts w:hint="eastAsia" w:ascii="宋体" w:hAnsi="宋体"/>
          <w:sz w:val="24"/>
          <w:u w:val="single"/>
        </w:rPr>
        <w:t xml:space="preserve">                                                </w:t>
      </w:r>
    </w:p>
    <w:p w14:paraId="4BB4A7A0">
      <w:pPr>
        <w:tabs>
          <w:tab w:val="left" w:pos="6300"/>
        </w:tabs>
        <w:snapToGrid w:val="0"/>
        <w:spacing w:line="360" w:lineRule="auto"/>
        <w:ind w:firstLine="570"/>
        <w:rPr>
          <w:rFonts w:ascii="宋体" w:hAnsi="宋体"/>
          <w:sz w:val="24"/>
        </w:rPr>
      </w:pPr>
    </w:p>
    <w:p w14:paraId="6C8F711A">
      <w:pPr>
        <w:tabs>
          <w:tab w:val="left" w:pos="6300"/>
        </w:tabs>
        <w:snapToGrid w:val="0"/>
        <w:spacing w:line="360" w:lineRule="auto"/>
        <w:rPr>
          <w:rFonts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（采购代理机构名称）：</w:t>
      </w:r>
    </w:p>
    <w:p w14:paraId="55F2D354">
      <w:pPr>
        <w:tabs>
          <w:tab w:val="left" w:pos="6300"/>
        </w:tabs>
        <w:snapToGrid w:val="0"/>
        <w:spacing w:line="360" w:lineRule="auto"/>
        <w:ind w:firstLine="480" w:firstLineChars="200"/>
        <w:rPr>
          <w:rFonts w:ascii="宋体" w:hAnsi="宋体"/>
          <w:sz w:val="24"/>
        </w:rPr>
      </w:pPr>
      <w:r>
        <w:rPr>
          <w:rFonts w:hint="eastAsia" w:ascii="宋体" w:hAnsi="宋体"/>
          <w:sz w:val="24"/>
          <w:u w:val="single"/>
        </w:rPr>
        <w:t xml:space="preserve">            </w:t>
      </w:r>
      <w:r>
        <w:rPr>
          <w:rFonts w:hint="eastAsia" w:ascii="宋体" w:hAnsi="宋体"/>
          <w:sz w:val="24"/>
        </w:rPr>
        <w:t>（供应商法定代表人名称）是</w:t>
      </w:r>
      <w:r>
        <w:rPr>
          <w:rFonts w:hint="eastAsia" w:ascii="宋体" w:hAnsi="宋体"/>
          <w:sz w:val="24"/>
          <w:u w:val="single"/>
        </w:rPr>
        <w:t xml:space="preserve">                    </w:t>
      </w:r>
      <w:r>
        <w:rPr>
          <w:rFonts w:hint="eastAsia" w:ascii="宋体" w:hAnsi="宋体"/>
          <w:sz w:val="24"/>
        </w:rPr>
        <w:t>（供应商名称）的法定代表人，特授权</w:t>
      </w:r>
      <w:r>
        <w:rPr>
          <w:rFonts w:hint="eastAsia" w:ascii="宋体" w:hAnsi="宋体"/>
          <w:sz w:val="24"/>
          <w:u w:val="single"/>
        </w:rPr>
        <w:t xml:space="preserve">          </w:t>
      </w:r>
      <w:r>
        <w:rPr>
          <w:rFonts w:hint="eastAsia" w:ascii="宋体" w:hAnsi="宋体"/>
          <w:sz w:val="24"/>
        </w:rPr>
        <w:t>（被授权人姓名及身份证代码）代表我单位全权办理上述项目的磋商、签约等具体工作，并签署全部有关文件、协议及合同。</w:t>
      </w:r>
    </w:p>
    <w:p w14:paraId="5FA2121C">
      <w:pPr>
        <w:tabs>
          <w:tab w:val="left" w:pos="6300"/>
        </w:tabs>
        <w:snapToGrid w:val="0"/>
        <w:spacing w:line="360" w:lineRule="auto"/>
        <w:ind w:firstLine="480" w:firstLineChars="200"/>
        <w:rPr>
          <w:rFonts w:ascii="宋体" w:hAnsi="宋体"/>
          <w:sz w:val="24"/>
        </w:rPr>
      </w:pPr>
      <w:r>
        <w:rPr>
          <w:rFonts w:hint="eastAsia" w:ascii="宋体" w:hAnsi="宋体"/>
          <w:sz w:val="24"/>
        </w:rPr>
        <w:t>我单位对被授权人的</w:t>
      </w:r>
      <w:r>
        <w:rPr>
          <w:rFonts w:hint="eastAsia" w:ascii="宋体" w:hAnsi="宋体"/>
          <w:sz w:val="24"/>
          <w:szCs w:val="28"/>
        </w:rPr>
        <w:t>签署</w:t>
      </w:r>
      <w:r>
        <w:rPr>
          <w:rFonts w:hint="eastAsia" w:ascii="宋体" w:hAnsi="宋体"/>
          <w:sz w:val="24"/>
        </w:rPr>
        <w:t>负全部责任。</w:t>
      </w:r>
    </w:p>
    <w:p w14:paraId="679D98C8">
      <w:pPr>
        <w:tabs>
          <w:tab w:val="left" w:pos="6300"/>
        </w:tabs>
        <w:snapToGrid w:val="0"/>
        <w:spacing w:line="360" w:lineRule="auto"/>
        <w:ind w:firstLine="480" w:firstLineChars="200"/>
        <w:rPr>
          <w:rFonts w:ascii="宋体" w:hAnsi="宋体"/>
          <w:sz w:val="24"/>
        </w:rPr>
      </w:pPr>
      <w:r>
        <w:rPr>
          <w:rFonts w:hint="eastAsia" w:ascii="宋体" w:hAnsi="宋体"/>
          <w:sz w:val="24"/>
        </w:rPr>
        <w:t>在撤销授权的书面通知以前，本授权书一直有效。被授权人在授权书有效期内签署的所有文件不因授权的撤销而失效。</w:t>
      </w:r>
    </w:p>
    <w:p w14:paraId="23FB1DFB">
      <w:pPr>
        <w:tabs>
          <w:tab w:val="left" w:pos="6300"/>
        </w:tabs>
        <w:snapToGrid w:val="0"/>
        <w:spacing w:line="360" w:lineRule="auto"/>
        <w:ind w:firstLine="570"/>
        <w:rPr>
          <w:rFonts w:ascii="宋体" w:hAnsi="宋体"/>
          <w:sz w:val="24"/>
        </w:rPr>
      </w:pPr>
    </w:p>
    <w:p w14:paraId="73B9DA2E">
      <w:pPr>
        <w:tabs>
          <w:tab w:val="left" w:pos="6300"/>
        </w:tabs>
        <w:snapToGrid w:val="0"/>
        <w:spacing w:line="360" w:lineRule="auto"/>
        <w:ind w:firstLine="570"/>
        <w:rPr>
          <w:rFonts w:ascii="宋体" w:hAnsi="宋体"/>
          <w:sz w:val="24"/>
        </w:rPr>
      </w:pPr>
    </w:p>
    <w:p w14:paraId="3BF41929">
      <w:pPr>
        <w:tabs>
          <w:tab w:val="left" w:pos="6300"/>
        </w:tabs>
        <w:snapToGrid w:val="0"/>
        <w:spacing w:line="360" w:lineRule="auto"/>
        <w:ind w:firstLine="570"/>
        <w:rPr>
          <w:rFonts w:ascii="宋体" w:hAnsi="宋体"/>
          <w:sz w:val="24"/>
        </w:rPr>
      </w:pPr>
      <w:r>
        <w:rPr>
          <w:rFonts w:hint="eastAsia" w:ascii="宋体" w:hAnsi="宋体"/>
          <w:sz w:val="24"/>
        </w:rPr>
        <w:t>被授权人：                                 供应商法定代表人：</w:t>
      </w:r>
    </w:p>
    <w:p w14:paraId="1E761CE1">
      <w:pPr>
        <w:tabs>
          <w:tab w:val="left" w:pos="6300"/>
        </w:tabs>
        <w:snapToGrid w:val="0"/>
        <w:spacing w:line="360" w:lineRule="auto"/>
        <w:ind w:firstLine="570"/>
        <w:rPr>
          <w:rFonts w:ascii="宋体" w:hAnsi="宋体"/>
          <w:sz w:val="24"/>
          <w:szCs w:val="28"/>
        </w:rPr>
      </w:pPr>
      <w:r>
        <w:rPr>
          <w:rFonts w:hint="eastAsia" w:ascii="宋体" w:hAnsi="宋体"/>
          <w:sz w:val="24"/>
          <w:szCs w:val="28"/>
        </w:rPr>
        <w:t>（签署或盖章）                                （签署或盖章）</w:t>
      </w:r>
    </w:p>
    <w:p w14:paraId="343E9531">
      <w:pPr>
        <w:tabs>
          <w:tab w:val="left" w:pos="6300"/>
        </w:tabs>
        <w:snapToGrid w:val="0"/>
        <w:spacing w:line="360" w:lineRule="auto"/>
        <w:ind w:firstLine="570"/>
        <w:rPr>
          <w:rFonts w:ascii="宋体" w:hAnsi="宋体"/>
          <w:sz w:val="24"/>
          <w:szCs w:val="28"/>
        </w:rPr>
      </w:pPr>
    </w:p>
    <w:p w14:paraId="5FEE4E24">
      <w:pPr>
        <w:tabs>
          <w:tab w:val="left" w:pos="6300"/>
        </w:tabs>
        <w:snapToGrid w:val="0"/>
        <w:spacing w:line="360" w:lineRule="auto"/>
        <w:ind w:firstLine="570"/>
        <w:rPr>
          <w:rFonts w:ascii="宋体" w:hAnsi="宋体"/>
          <w:sz w:val="24"/>
        </w:rPr>
      </w:pPr>
    </w:p>
    <w:p w14:paraId="5438B702">
      <w:pPr>
        <w:tabs>
          <w:tab w:val="left" w:pos="6300"/>
        </w:tabs>
        <w:snapToGrid w:val="0"/>
        <w:spacing w:line="360" w:lineRule="auto"/>
        <w:ind w:firstLine="570"/>
        <w:rPr>
          <w:rFonts w:ascii="宋体" w:hAnsi="宋体"/>
          <w:sz w:val="24"/>
        </w:rPr>
      </w:pPr>
      <w:r>
        <w:rPr>
          <w:rFonts w:hint="eastAsia" w:ascii="宋体" w:hAnsi="宋体"/>
          <w:sz w:val="24"/>
        </w:rPr>
        <w:t>（附：被授权人身份证正反面复印件）</w:t>
      </w:r>
    </w:p>
    <w:p w14:paraId="1ED1B234">
      <w:pPr>
        <w:tabs>
          <w:tab w:val="left" w:pos="6300"/>
        </w:tabs>
        <w:snapToGrid w:val="0"/>
        <w:spacing w:line="360" w:lineRule="auto"/>
        <w:ind w:firstLine="570"/>
        <w:rPr>
          <w:rFonts w:ascii="宋体" w:hAnsi="宋体"/>
          <w:sz w:val="24"/>
        </w:rPr>
      </w:pPr>
      <w:r>
        <w:rPr>
          <w:rFonts w:hint="eastAsia" w:ascii="宋体" w:hAnsi="宋体"/>
          <w:sz w:val="24"/>
        </w:rPr>
        <w:t xml:space="preserve">                                          </w:t>
      </w:r>
    </w:p>
    <w:p w14:paraId="6DAE2CA3">
      <w:pPr>
        <w:tabs>
          <w:tab w:val="left" w:pos="6300"/>
        </w:tabs>
        <w:snapToGrid w:val="0"/>
        <w:spacing w:line="360" w:lineRule="auto"/>
        <w:ind w:firstLine="570"/>
        <w:rPr>
          <w:rFonts w:ascii="宋体" w:hAnsi="宋体"/>
          <w:sz w:val="24"/>
        </w:rPr>
      </w:pPr>
    </w:p>
    <w:p w14:paraId="4DF34873">
      <w:pPr>
        <w:tabs>
          <w:tab w:val="left" w:pos="6300"/>
        </w:tabs>
        <w:snapToGrid w:val="0"/>
        <w:spacing w:line="360" w:lineRule="auto"/>
        <w:ind w:firstLine="570"/>
        <w:rPr>
          <w:rFonts w:ascii="宋体" w:hAnsi="宋体"/>
          <w:sz w:val="24"/>
        </w:rPr>
      </w:pPr>
    </w:p>
    <w:p w14:paraId="092F3886">
      <w:pPr>
        <w:tabs>
          <w:tab w:val="left" w:pos="6300"/>
        </w:tabs>
        <w:snapToGrid w:val="0"/>
        <w:spacing w:line="360" w:lineRule="auto"/>
        <w:ind w:right="480" w:firstLine="570"/>
        <w:jc w:val="right"/>
        <w:rPr>
          <w:rFonts w:ascii="宋体" w:hAnsi="宋体"/>
          <w:sz w:val="24"/>
        </w:rPr>
      </w:pPr>
      <w:r>
        <w:rPr>
          <w:rFonts w:hint="eastAsia" w:ascii="宋体" w:hAnsi="宋体"/>
          <w:sz w:val="24"/>
        </w:rPr>
        <w:t>（供应商公章）</w:t>
      </w:r>
    </w:p>
    <w:p w14:paraId="739830DD">
      <w:pPr>
        <w:tabs>
          <w:tab w:val="left" w:pos="6300"/>
        </w:tabs>
        <w:snapToGrid w:val="0"/>
        <w:spacing w:line="360" w:lineRule="auto"/>
        <w:ind w:right="480" w:firstLine="570"/>
        <w:jc w:val="right"/>
        <w:rPr>
          <w:rFonts w:ascii="宋体" w:hAnsi="宋体"/>
          <w:sz w:val="24"/>
        </w:rPr>
      </w:pPr>
      <w:r>
        <w:rPr>
          <w:rFonts w:hint="eastAsia" w:ascii="宋体" w:hAnsi="宋体"/>
          <w:sz w:val="24"/>
        </w:rPr>
        <w:t>年   月   日</w:t>
      </w:r>
    </w:p>
    <w:p w14:paraId="3097735D">
      <w:pPr>
        <w:tabs>
          <w:tab w:val="left" w:pos="6300"/>
        </w:tabs>
        <w:snapToGrid w:val="0"/>
        <w:spacing w:line="360" w:lineRule="auto"/>
        <w:ind w:right="480" w:firstLine="570"/>
        <w:jc w:val="left"/>
        <w:rPr>
          <w:rFonts w:ascii="宋体" w:hAnsi="宋体"/>
          <w:sz w:val="24"/>
        </w:rPr>
      </w:pPr>
      <w:r>
        <w:rPr>
          <w:rFonts w:hint="eastAsia" w:ascii="宋体" w:hAnsi="宋体"/>
          <w:sz w:val="24"/>
        </w:rPr>
        <w:t>被授权人电话：XXXXXXX     电子邮箱：XXXXXX@XXXXX（若法定代表人办理并签署响应文件的可不填写）</w:t>
      </w:r>
    </w:p>
    <w:p w14:paraId="3D3191F9">
      <w:pPr>
        <w:tabs>
          <w:tab w:val="left" w:pos="6300"/>
        </w:tabs>
        <w:snapToGrid w:val="0"/>
        <w:spacing w:line="360" w:lineRule="auto"/>
        <w:ind w:right="480" w:firstLine="570"/>
        <w:jc w:val="left"/>
        <w:rPr>
          <w:rFonts w:ascii="宋体" w:hAnsi="宋体"/>
          <w:sz w:val="24"/>
        </w:rPr>
      </w:pPr>
      <w:r>
        <w:rPr>
          <w:rFonts w:hint="eastAsia" w:ascii="宋体" w:hAnsi="宋体"/>
          <w:sz w:val="24"/>
        </w:rPr>
        <w:t>注：</w:t>
      </w:r>
    </w:p>
    <w:p w14:paraId="31B9D978">
      <w:pPr>
        <w:tabs>
          <w:tab w:val="left" w:pos="6300"/>
        </w:tabs>
        <w:snapToGrid w:val="0"/>
        <w:spacing w:line="360" w:lineRule="auto"/>
        <w:ind w:right="480" w:firstLine="570"/>
        <w:jc w:val="left"/>
        <w:rPr>
          <w:rFonts w:ascii="宋体" w:hAnsi="宋体"/>
          <w:sz w:val="24"/>
        </w:rPr>
      </w:pPr>
      <w:r>
        <w:rPr>
          <w:rFonts w:hint="eastAsia" w:ascii="宋体" w:hAnsi="宋体"/>
          <w:sz w:val="24"/>
        </w:rPr>
        <w:t>1.若为法定代表人办理并签署响应文件的，不提供此文件。</w:t>
      </w:r>
    </w:p>
    <w:p w14:paraId="41D8AC88">
      <w:pPr>
        <w:tabs>
          <w:tab w:val="left" w:pos="6300"/>
        </w:tabs>
        <w:snapToGrid w:val="0"/>
        <w:spacing w:line="360" w:lineRule="auto"/>
        <w:ind w:firstLine="570"/>
        <w:rPr>
          <w:rFonts w:ascii="宋体" w:hAnsi="宋体"/>
          <w:sz w:val="24"/>
          <w:szCs w:val="24"/>
        </w:rPr>
      </w:pPr>
      <w:r>
        <w:rPr>
          <w:rFonts w:ascii="宋体" w:hAnsi="宋体"/>
        </w:rPr>
        <w:br w:type="column"/>
      </w:r>
      <w:r>
        <w:rPr>
          <w:rFonts w:hint="eastAsia" w:ascii="宋体" w:hAnsi="宋体"/>
          <w:sz w:val="24"/>
          <w:szCs w:val="24"/>
        </w:rPr>
        <w:t>（四）</w:t>
      </w:r>
      <w:r>
        <w:rPr>
          <w:rFonts w:hint="eastAsia" w:ascii="宋体" w:hAnsi="宋体"/>
          <w:sz w:val="24"/>
          <w:szCs w:val="28"/>
        </w:rPr>
        <w:t>基本资格条件承诺函</w:t>
      </w:r>
    </w:p>
    <w:p w14:paraId="305FB260">
      <w:pPr>
        <w:tabs>
          <w:tab w:val="left" w:pos="6300"/>
        </w:tabs>
        <w:snapToGrid w:val="0"/>
        <w:spacing w:line="360" w:lineRule="auto"/>
        <w:ind w:firstLine="643" w:firstLineChars="200"/>
        <w:jc w:val="center"/>
        <w:rPr>
          <w:rFonts w:ascii="宋体" w:hAnsi="宋体" w:cs="方正仿宋_GBK"/>
          <w:b/>
          <w:bCs/>
          <w:sz w:val="32"/>
          <w:szCs w:val="32"/>
        </w:rPr>
      </w:pPr>
      <w:r>
        <w:rPr>
          <w:rFonts w:hint="eastAsia" w:ascii="宋体" w:hAnsi="宋体" w:cs="方正仿宋_GBK"/>
          <w:b/>
          <w:bCs/>
          <w:sz w:val="32"/>
          <w:szCs w:val="32"/>
        </w:rPr>
        <w:t>基本资格条件承诺函</w:t>
      </w:r>
    </w:p>
    <w:p w14:paraId="624AE5F7">
      <w:pPr>
        <w:tabs>
          <w:tab w:val="left" w:pos="6300"/>
        </w:tabs>
        <w:snapToGrid w:val="0"/>
        <w:spacing w:line="360" w:lineRule="auto"/>
        <w:rPr>
          <w:rFonts w:ascii="宋体" w:hAnsi="宋体"/>
          <w:sz w:val="24"/>
        </w:rPr>
      </w:pPr>
    </w:p>
    <w:p w14:paraId="6E650D71">
      <w:pPr>
        <w:tabs>
          <w:tab w:val="left" w:pos="6300"/>
        </w:tabs>
        <w:snapToGrid w:val="0"/>
        <w:spacing w:line="360" w:lineRule="auto"/>
        <w:ind w:firstLine="480" w:firstLineChars="200"/>
        <w:rPr>
          <w:rFonts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（采购代理机构名称）：</w:t>
      </w:r>
    </w:p>
    <w:p w14:paraId="35C1AAA7">
      <w:pPr>
        <w:tabs>
          <w:tab w:val="left" w:pos="6300"/>
        </w:tabs>
        <w:snapToGrid w:val="0"/>
        <w:spacing w:line="360" w:lineRule="auto"/>
        <w:ind w:firstLine="480" w:firstLineChars="200"/>
        <w:rPr>
          <w:rFonts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（供应商名称）郑重承诺：</w:t>
      </w:r>
    </w:p>
    <w:p w14:paraId="61BC9338">
      <w:pPr>
        <w:tabs>
          <w:tab w:val="left" w:pos="6300"/>
        </w:tabs>
        <w:snapToGrid w:val="0"/>
        <w:spacing w:line="360" w:lineRule="auto"/>
        <w:ind w:firstLine="480" w:firstLineChars="200"/>
        <w:rPr>
          <w:rFonts w:ascii="宋体" w:hAnsi="宋体"/>
          <w:sz w:val="24"/>
        </w:rPr>
      </w:pPr>
      <w:r>
        <w:rPr>
          <w:rFonts w:hint="eastAsia" w:ascii="宋体" w:hAnsi="宋体"/>
          <w:sz w:val="24"/>
        </w:rPr>
        <w:t>1.我方具有良好的商业信誉和健全的财务会计制度，具有履行合同所必需的设备和专业技术能力，具</w:t>
      </w:r>
      <w:r>
        <w:rPr>
          <w:rFonts w:hint="eastAsia" w:ascii="宋体" w:hAnsi="宋体"/>
          <w:sz w:val="24"/>
          <w:lang w:val="zh-CN"/>
        </w:rPr>
        <w:t>有依法缴纳税收和社会保障金的良好记录</w:t>
      </w:r>
      <w:r>
        <w:rPr>
          <w:rFonts w:hint="eastAsia" w:ascii="宋体" w:hAnsi="宋体"/>
          <w:sz w:val="24"/>
        </w:rPr>
        <w:t>，参加本项目采购活动前三年内无重大违法活动记录。</w:t>
      </w:r>
    </w:p>
    <w:p w14:paraId="1A68C149">
      <w:pPr>
        <w:tabs>
          <w:tab w:val="left" w:pos="6300"/>
        </w:tabs>
        <w:snapToGrid w:val="0"/>
        <w:spacing w:line="360" w:lineRule="auto"/>
        <w:ind w:firstLine="480" w:firstLineChars="200"/>
        <w:rPr>
          <w:rFonts w:ascii="宋体" w:hAnsi="宋体"/>
          <w:sz w:val="24"/>
        </w:rPr>
      </w:pPr>
      <w:r>
        <w:rPr>
          <w:rFonts w:hint="eastAsia" w:ascii="宋体" w:hAnsi="宋体"/>
          <w:sz w:val="24"/>
        </w:rPr>
        <w:t>2.我方未列入在信用中国网站（www.creditchina.gov.cn）“失信被执行人”、“重大税收违法案件当事人名单”中，也未列入中国政府采购网（www.ccgp.gov.cn）“政府采购严重违法失信行为记录名单”中。</w:t>
      </w:r>
    </w:p>
    <w:p w14:paraId="3FCBBD40">
      <w:pPr>
        <w:tabs>
          <w:tab w:val="left" w:pos="6300"/>
        </w:tabs>
        <w:snapToGrid w:val="0"/>
        <w:spacing w:line="360" w:lineRule="auto"/>
        <w:ind w:firstLine="480" w:firstLineChars="200"/>
        <w:rPr>
          <w:rFonts w:ascii="宋体" w:hAnsi="宋体"/>
          <w:sz w:val="24"/>
        </w:rPr>
      </w:pPr>
      <w:r>
        <w:rPr>
          <w:rFonts w:hint="eastAsia" w:ascii="宋体" w:hAnsi="宋体"/>
          <w:sz w:val="24"/>
        </w:rPr>
        <w:t>3.我方在采购项目评审（评标）环节结束后，随时接受采购人、采购代理机构的检查验证，配合提供相关证明材料，证明符合《中华人民共和国政府采购法》规定的供应商基本资格条件。</w:t>
      </w:r>
    </w:p>
    <w:p w14:paraId="06280EC7">
      <w:pPr>
        <w:tabs>
          <w:tab w:val="left" w:pos="6300"/>
        </w:tabs>
        <w:snapToGrid w:val="0"/>
        <w:spacing w:line="360" w:lineRule="auto"/>
        <w:ind w:firstLine="480" w:firstLineChars="200"/>
        <w:rPr>
          <w:rFonts w:ascii="宋体" w:hAnsi="宋体"/>
          <w:sz w:val="24"/>
        </w:rPr>
      </w:pPr>
      <w:r>
        <w:rPr>
          <w:rFonts w:hint="eastAsia" w:ascii="宋体" w:hAnsi="宋体"/>
          <w:sz w:val="24"/>
        </w:rPr>
        <w:t>我方对以上承诺负全部法律责任。</w:t>
      </w:r>
    </w:p>
    <w:p w14:paraId="49CBA98E">
      <w:pPr>
        <w:tabs>
          <w:tab w:val="left" w:pos="6300"/>
        </w:tabs>
        <w:snapToGrid w:val="0"/>
        <w:spacing w:line="360" w:lineRule="auto"/>
        <w:ind w:firstLine="480" w:firstLineChars="200"/>
        <w:rPr>
          <w:rFonts w:ascii="宋体" w:hAnsi="宋体"/>
          <w:sz w:val="24"/>
        </w:rPr>
      </w:pPr>
      <w:r>
        <w:rPr>
          <w:rFonts w:hint="eastAsia" w:ascii="宋体" w:hAnsi="宋体"/>
          <w:sz w:val="24"/>
        </w:rPr>
        <w:t>特此承诺。</w:t>
      </w:r>
    </w:p>
    <w:p w14:paraId="25348E72">
      <w:pPr>
        <w:tabs>
          <w:tab w:val="left" w:pos="6300"/>
        </w:tabs>
        <w:snapToGrid w:val="0"/>
        <w:spacing w:line="360" w:lineRule="auto"/>
        <w:ind w:firstLine="480" w:firstLineChars="200"/>
        <w:rPr>
          <w:rFonts w:ascii="宋体" w:hAnsi="宋体"/>
          <w:sz w:val="24"/>
        </w:rPr>
      </w:pPr>
    </w:p>
    <w:p w14:paraId="6C49676E">
      <w:pPr>
        <w:tabs>
          <w:tab w:val="left" w:pos="6300"/>
        </w:tabs>
        <w:snapToGrid w:val="0"/>
        <w:spacing w:line="360" w:lineRule="auto"/>
        <w:ind w:firstLine="480" w:firstLineChars="200"/>
        <w:jc w:val="right"/>
        <w:rPr>
          <w:rFonts w:ascii="宋体" w:hAnsi="宋体"/>
          <w:sz w:val="24"/>
        </w:rPr>
      </w:pPr>
      <w:r>
        <w:rPr>
          <w:rFonts w:hint="eastAsia" w:ascii="宋体" w:hAnsi="宋体"/>
          <w:sz w:val="24"/>
        </w:rPr>
        <w:t>（供应商公章）</w:t>
      </w:r>
    </w:p>
    <w:p w14:paraId="5711D3C1">
      <w:pPr>
        <w:tabs>
          <w:tab w:val="left" w:pos="6300"/>
        </w:tabs>
        <w:snapToGrid w:val="0"/>
        <w:spacing w:line="360" w:lineRule="auto"/>
        <w:ind w:firstLine="7920" w:firstLineChars="3300"/>
        <w:rPr>
          <w:rFonts w:ascii="宋体" w:hAnsi="宋体"/>
          <w:sz w:val="24"/>
        </w:rPr>
      </w:pPr>
      <w:r>
        <w:rPr>
          <w:rFonts w:hint="eastAsia" w:ascii="宋体" w:hAnsi="宋体"/>
          <w:sz w:val="24"/>
        </w:rPr>
        <w:t>年   月   日</w:t>
      </w:r>
    </w:p>
    <w:p w14:paraId="61F5896C">
      <w:pPr>
        <w:snapToGrid w:val="0"/>
        <w:spacing w:line="360" w:lineRule="auto"/>
        <w:ind w:firstLine="480" w:firstLineChars="200"/>
        <w:rPr>
          <w:rFonts w:ascii="宋体" w:hAnsi="宋体"/>
          <w:sz w:val="24"/>
          <w:szCs w:val="24"/>
        </w:rPr>
      </w:pPr>
    </w:p>
    <w:p w14:paraId="23A5ED2C">
      <w:pPr>
        <w:snapToGrid w:val="0"/>
        <w:spacing w:line="360" w:lineRule="auto"/>
        <w:ind w:firstLine="480" w:firstLineChars="200"/>
        <w:rPr>
          <w:rFonts w:ascii="宋体" w:hAnsi="宋体"/>
          <w:sz w:val="24"/>
          <w:szCs w:val="24"/>
        </w:rPr>
      </w:pPr>
      <w:r>
        <w:rPr>
          <w:rFonts w:hint="eastAsia" w:ascii="宋体" w:hAnsi="宋体"/>
          <w:sz w:val="24"/>
          <w:szCs w:val="24"/>
        </w:rPr>
        <w:t>（五）特定资格条件证明文件（如有）</w:t>
      </w:r>
    </w:p>
    <w:p w14:paraId="2F886AE8">
      <w:pPr>
        <w:tabs>
          <w:tab w:val="left" w:pos="6300"/>
        </w:tabs>
        <w:snapToGrid w:val="0"/>
        <w:spacing w:line="360" w:lineRule="auto"/>
        <w:ind w:firstLine="480" w:firstLineChars="200"/>
        <w:rPr>
          <w:rFonts w:ascii="宋体" w:hAnsi="宋体"/>
          <w:sz w:val="24"/>
          <w:szCs w:val="24"/>
        </w:rPr>
      </w:pPr>
    </w:p>
    <w:p w14:paraId="1F7A096B">
      <w:pPr>
        <w:snapToGrid w:val="0"/>
        <w:spacing w:line="360" w:lineRule="auto"/>
        <w:ind w:firstLine="480" w:firstLineChars="200"/>
        <w:rPr>
          <w:rFonts w:ascii="宋体" w:hAnsi="宋体"/>
          <w:sz w:val="24"/>
          <w:szCs w:val="24"/>
        </w:rPr>
      </w:pPr>
      <w:r>
        <w:rPr>
          <w:rFonts w:hint="eastAsia" w:ascii="宋体" w:hAnsi="宋体"/>
          <w:sz w:val="24"/>
          <w:szCs w:val="24"/>
        </w:rPr>
        <w:t>（六）落实政府采购政策需满足的资格要求（如有）</w:t>
      </w:r>
    </w:p>
    <w:p w14:paraId="27C81E1F">
      <w:pPr>
        <w:tabs>
          <w:tab w:val="left" w:pos="6300"/>
        </w:tabs>
        <w:snapToGrid w:val="0"/>
        <w:spacing w:line="360" w:lineRule="auto"/>
        <w:ind w:firstLine="480" w:firstLineChars="200"/>
        <w:rPr>
          <w:rFonts w:ascii="宋体" w:hAnsi="宋体"/>
          <w:sz w:val="24"/>
          <w:szCs w:val="24"/>
        </w:rPr>
      </w:pPr>
    </w:p>
    <w:p w14:paraId="43385358">
      <w:pPr>
        <w:pStyle w:val="5"/>
        <w:snapToGrid w:val="0"/>
        <w:spacing w:before="0" w:after="0" w:line="360" w:lineRule="auto"/>
        <w:ind w:firstLine="560" w:firstLineChars="200"/>
        <w:rPr>
          <w:sz w:val="24"/>
          <w:szCs w:val="24"/>
        </w:rPr>
      </w:pPr>
      <w:bookmarkStart w:id="148" w:name="_Toc14422"/>
      <w:r>
        <w:rPr>
          <w:rFonts w:ascii="宋体" w:hAnsi="宋体"/>
          <w:b w:val="0"/>
          <w:sz w:val="28"/>
        </w:rPr>
        <w:br w:type="page"/>
      </w:r>
      <w:bookmarkStart w:id="149" w:name="_Toc110935338"/>
      <w:bookmarkStart w:id="150" w:name="_Toc111112240"/>
      <w:bookmarkStart w:id="151" w:name="_Toc107390435"/>
      <w:bookmarkStart w:id="152" w:name="_Toc76462354"/>
      <w:bookmarkStart w:id="153" w:name="_Toc130394649"/>
      <w:bookmarkStart w:id="154" w:name="_Toc111463666"/>
      <w:bookmarkStart w:id="155" w:name="_Toc130496052"/>
      <w:bookmarkStart w:id="156" w:name="_Toc141860887"/>
      <w:r>
        <w:rPr>
          <w:rFonts w:hint="eastAsia"/>
          <w:sz w:val="24"/>
          <w:szCs w:val="24"/>
        </w:rPr>
        <w:t>五、其他资料</w:t>
      </w:r>
      <w:bookmarkEnd w:id="148"/>
      <w:bookmarkEnd w:id="149"/>
      <w:bookmarkEnd w:id="150"/>
      <w:bookmarkEnd w:id="151"/>
      <w:bookmarkEnd w:id="152"/>
      <w:bookmarkEnd w:id="153"/>
      <w:bookmarkEnd w:id="154"/>
      <w:bookmarkEnd w:id="155"/>
      <w:bookmarkEnd w:id="156"/>
    </w:p>
    <w:p w14:paraId="62E226C4">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（一）中小企业声明函、监狱企业证明文件、残疾人福利性单位声明函</w:t>
      </w:r>
    </w:p>
    <w:p w14:paraId="18F61834">
      <w:pPr>
        <w:tabs>
          <w:tab w:val="left" w:pos="6300"/>
        </w:tabs>
        <w:snapToGrid w:val="0"/>
        <w:spacing w:line="360" w:lineRule="auto"/>
        <w:ind w:firstLine="560" w:firstLineChars="200"/>
        <w:jc w:val="center"/>
        <w:rPr>
          <w:rFonts w:ascii="宋体" w:hAnsi="宋体"/>
        </w:rPr>
      </w:pPr>
      <w:r>
        <w:rPr>
          <w:rFonts w:hint="eastAsia" w:ascii="宋体" w:hAnsi="宋体"/>
        </w:rPr>
        <w:t>中小企业声明函</w:t>
      </w:r>
    </w:p>
    <w:p w14:paraId="340B450E">
      <w:pPr>
        <w:tabs>
          <w:tab w:val="left" w:pos="6300"/>
        </w:tabs>
        <w:snapToGrid w:val="0"/>
        <w:spacing w:line="360" w:lineRule="auto"/>
        <w:ind w:firstLine="480" w:firstLineChars="200"/>
        <w:rPr>
          <w:rFonts w:ascii="宋体" w:hAnsi="宋体"/>
          <w:sz w:val="24"/>
          <w:szCs w:val="28"/>
        </w:rPr>
      </w:pPr>
      <w:r>
        <w:rPr>
          <w:rFonts w:hint="eastAsia" w:ascii="宋体" w:hAnsi="宋体"/>
          <w:sz w:val="24"/>
          <w:szCs w:val="28"/>
        </w:rPr>
        <w:t>本公司（联合体）郑重声明，根据《政府采购促进中小企业发展管理办法》（</w:t>
      </w:r>
      <w:r>
        <w:rPr>
          <w:rFonts w:hint="eastAsia" w:ascii="宋体" w:hAnsi="宋体"/>
          <w:sz w:val="24"/>
          <w:szCs w:val="24"/>
        </w:rPr>
        <w:t>财库〔2020〕46号</w:t>
      </w:r>
      <w:r>
        <w:rPr>
          <w:rFonts w:hint="eastAsia" w:ascii="宋体" w:hAnsi="宋体"/>
          <w:sz w:val="24"/>
          <w:szCs w:val="28"/>
        </w:rPr>
        <w:t>）的规定，本公司（联合体）参加</w:t>
      </w:r>
      <w:r>
        <w:rPr>
          <w:rFonts w:hint="eastAsia" w:ascii="宋体" w:hAnsi="宋体"/>
          <w:i/>
          <w:sz w:val="24"/>
          <w:szCs w:val="28"/>
          <w:u w:val="single"/>
        </w:rPr>
        <w:t>（单位名称）</w:t>
      </w:r>
      <w:r>
        <w:rPr>
          <w:rFonts w:hint="eastAsia" w:ascii="宋体" w:hAnsi="宋体"/>
          <w:sz w:val="24"/>
          <w:szCs w:val="28"/>
        </w:rPr>
        <w:t>的</w:t>
      </w:r>
      <w:r>
        <w:rPr>
          <w:rFonts w:hint="eastAsia" w:ascii="宋体" w:hAnsi="宋体"/>
          <w:i/>
          <w:sz w:val="24"/>
          <w:szCs w:val="28"/>
          <w:u w:val="single"/>
        </w:rPr>
        <w:t>（项目名称）</w:t>
      </w:r>
      <w:r>
        <w:rPr>
          <w:rFonts w:hint="eastAsia" w:ascii="宋体" w:hAnsi="宋体"/>
          <w:sz w:val="24"/>
          <w:szCs w:val="28"/>
        </w:rPr>
        <w:t>采购活动，服务全部由符合政策要求的中小企业承接。相关企业（含联合体中的中小企业、签订分包意向协议的中小企业）的具体情况如下：</w:t>
      </w:r>
    </w:p>
    <w:p w14:paraId="2F64EC79">
      <w:pPr>
        <w:tabs>
          <w:tab w:val="left" w:pos="6300"/>
        </w:tabs>
        <w:snapToGrid w:val="0"/>
        <w:spacing w:line="360" w:lineRule="auto"/>
        <w:ind w:firstLine="480" w:firstLineChars="200"/>
        <w:rPr>
          <w:rFonts w:ascii="宋体" w:hAnsi="宋体"/>
          <w:sz w:val="24"/>
          <w:szCs w:val="28"/>
        </w:rPr>
      </w:pPr>
      <w:r>
        <w:rPr>
          <w:rFonts w:hint="eastAsia" w:ascii="宋体" w:hAnsi="宋体"/>
          <w:i/>
          <w:sz w:val="24"/>
          <w:szCs w:val="28"/>
          <w:u w:val="single"/>
        </w:rPr>
        <w:t>（标的名称）</w:t>
      </w:r>
      <w:r>
        <w:rPr>
          <w:rFonts w:hint="eastAsia" w:ascii="宋体" w:hAnsi="宋体"/>
          <w:sz w:val="24"/>
          <w:szCs w:val="28"/>
        </w:rPr>
        <w:t>，属于</w:t>
      </w:r>
      <w:r>
        <w:rPr>
          <w:rFonts w:hint="eastAsia" w:ascii="宋体" w:hAnsi="宋体"/>
          <w:i/>
          <w:sz w:val="24"/>
          <w:szCs w:val="28"/>
          <w:u w:val="single"/>
        </w:rPr>
        <w:t>（采购文件中明确的所属行业）</w:t>
      </w:r>
      <w:r>
        <w:rPr>
          <w:rFonts w:hint="eastAsia" w:ascii="宋体" w:hAnsi="宋体"/>
          <w:sz w:val="24"/>
          <w:szCs w:val="28"/>
        </w:rPr>
        <w:t>；承接企业为</w:t>
      </w:r>
      <w:r>
        <w:rPr>
          <w:rFonts w:hint="eastAsia" w:ascii="宋体" w:hAnsi="宋体"/>
          <w:i/>
          <w:sz w:val="24"/>
          <w:szCs w:val="28"/>
          <w:u w:val="single"/>
        </w:rPr>
        <w:t>（企业名称）</w:t>
      </w:r>
      <w:r>
        <w:rPr>
          <w:rFonts w:hint="eastAsia" w:ascii="宋体" w:hAnsi="宋体"/>
          <w:sz w:val="24"/>
          <w:szCs w:val="28"/>
        </w:rPr>
        <w:t>，从业人员</w:t>
      </w:r>
      <w:r>
        <w:rPr>
          <w:rFonts w:hint="eastAsia" w:ascii="宋体" w:hAnsi="宋体"/>
          <w:sz w:val="24"/>
          <w:szCs w:val="28"/>
          <w:u w:val="single"/>
        </w:rPr>
        <w:t xml:space="preserve">      </w:t>
      </w:r>
      <w:r>
        <w:rPr>
          <w:rFonts w:hint="eastAsia" w:ascii="宋体" w:hAnsi="宋体"/>
          <w:sz w:val="24"/>
          <w:szCs w:val="28"/>
        </w:rPr>
        <w:t>人，营业收入为</w:t>
      </w:r>
      <w:r>
        <w:rPr>
          <w:rFonts w:hint="eastAsia" w:ascii="宋体" w:hAnsi="宋体"/>
          <w:sz w:val="24"/>
          <w:szCs w:val="28"/>
          <w:u w:val="single"/>
        </w:rPr>
        <w:t xml:space="preserve">    </w:t>
      </w:r>
      <w:r>
        <w:rPr>
          <w:rFonts w:hint="eastAsia" w:ascii="宋体" w:hAnsi="宋体"/>
          <w:sz w:val="24"/>
          <w:szCs w:val="28"/>
        </w:rPr>
        <w:t>万元，资产总额为</w:t>
      </w:r>
      <w:r>
        <w:rPr>
          <w:rFonts w:hint="eastAsia" w:ascii="宋体" w:hAnsi="宋体"/>
          <w:sz w:val="24"/>
          <w:szCs w:val="28"/>
          <w:u w:val="single"/>
        </w:rPr>
        <w:t xml:space="preserve">    </w:t>
      </w:r>
      <w:r>
        <w:rPr>
          <w:rFonts w:hint="eastAsia" w:ascii="宋体" w:hAnsi="宋体"/>
          <w:sz w:val="24"/>
          <w:szCs w:val="28"/>
        </w:rPr>
        <w:t>万元，属于</w:t>
      </w:r>
      <w:r>
        <w:rPr>
          <w:rFonts w:hint="eastAsia" w:ascii="宋体" w:hAnsi="宋体"/>
          <w:i/>
          <w:sz w:val="24"/>
          <w:szCs w:val="28"/>
          <w:u w:val="single"/>
        </w:rPr>
        <w:t>（中型企业、小型企业、微型企业）</w:t>
      </w:r>
      <w:r>
        <w:rPr>
          <w:rFonts w:hint="eastAsia" w:ascii="宋体" w:hAnsi="宋体"/>
          <w:sz w:val="24"/>
          <w:szCs w:val="28"/>
        </w:rPr>
        <w:t>；</w:t>
      </w:r>
    </w:p>
    <w:p w14:paraId="4DD0B53F">
      <w:pPr>
        <w:tabs>
          <w:tab w:val="left" w:pos="6300"/>
        </w:tabs>
        <w:snapToGrid w:val="0"/>
        <w:spacing w:line="360" w:lineRule="auto"/>
        <w:ind w:firstLine="480" w:firstLineChars="200"/>
        <w:rPr>
          <w:rFonts w:ascii="宋体" w:hAnsi="宋体"/>
          <w:sz w:val="24"/>
          <w:szCs w:val="28"/>
        </w:rPr>
      </w:pPr>
      <w:r>
        <w:rPr>
          <w:rFonts w:hint="eastAsia" w:ascii="宋体" w:hAnsi="宋体"/>
          <w:sz w:val="24"/>
          <w:szCs w:val="28"/>
        </w:rPr>
        <w:t>为本标的提供的服务人员</w:t>
      </w:r>
      <w:r>
        <w:rPr>
          <w:rFonts w:hint="eastAsia" w:ascii="宋体" w:hAnsi="宋体"/>
          <w:sz w:val="24"/>
          <w:szCs w:val="28"/>
          <w:u w:val="single"/>
        </w:rPr>
        <w:t xml:space="preserve">   </w:t>
      </w:r>
      <w:r>
        <w:rPr>
          <w:rFonts w:hint="eastAsia" w:ascii="宋体" w:hAnsi="宋体"/>
          <w:sz w:val="24"/>
          <w:szCs w:val="28"/>
        </w:rPr>
        <w:t>人，其中与本企业签订劳动合同</w:t>
      </w:r>
      <w:r>
        <w:rPr>
          <w:rFonts w:hint="eastAsia" w:ascii="宋体" w:hAnsi="宋体"/>
          <w:sz w:val="24"/>
          <w:szCs w:val="28"/>
          <w:u w:val="single"/>
        </w:rPr>
        <w:t xml:space="preserve">   </w:t>
      </w:r>
      <w:r>
        <w:rPr>
          <w:rFonts w:hint="eastAsia" w:ascii="宋体" w:hAnsi="宋体"/>
          <w:sz w:val="24"/>
          <w:szCs w:val="28"/>
        </w:rPr>
        <w:t>人，其他人员</w:t>
      </w:r>
      <w:r>
        <w:rPr>
          <w:rFonts w:hint="eastAsia" w:ascii="宋体" w:hAnsi="宋体"/>
          <w:sz w:val="24"/>
          <w:szCs w:val="28"/>
          <w:u w:val="single"/>
        </w:rPr>
        <w:t xml:space="preserve">   </w:t>
      </w:r>
      <w:r>
        <w:rPr>
          <w:rFonts w:hint="eastAsia" w:ascii="宋体" w:hAnsi="宋体"/>
          <w:sz w:val="24"/>
          <w:szCs w:val="28"/>
        </w:rPr>
        <w:t>人。</w:t>
      </w:r>
      <w:r>
        <w:rPr>
          <w:rFonts w:hint="eastAsia" w:ascii="宋体" w:hAnsi="宋体"/>
          <w:b/>
          <w:bCs/>
          <w:sz w:val="24"/>
          <w:szCs w:val="28"/>
        </w:rPr>
        <w:t>有其他人员的不符合中小企业扶持政策</w:t>
      </w:r>
      <w:r>
        <w:rPr>
          <w:rFonts w:hint="eastAsia" w:ascii="宋体" w:hAnsi="宋体"/>
          <w:sz w:val="24"/>
          <w:szCs w:val="28"/>
        </w:rPr>
        <w:t>（适用于服务采购项目）;</w:t>
      </w:r>
    </w:p>
    <w:p w14:paraId="5AC6232D">
      <w:pPr>
        <w:tabs>
          <w:tab w:val="left" w:pos="6300"/>
        </w:tabs>
        <w:snapToGrid w:val="0"/>
        <w:spacing w:line="360" w:lineRule="auto"/>
        <w:ind w:firstLine="480" w:firstLineChars="200"/>
        <w:rPr>
          <w:rFonts w:ascii="宋体" w:hAnsi="宋体"/>
          <w:sz w:val="24"/>
          <w:szCs w:val="28"/>
        </w:rPr>
      </w:pPr>
      <w:r>
        <w:rPr>
          <w:rFonts w:hint="eastAsia" w:ascii="宋体" w:hAnsi="宋体"/>
          <w:sz w:val="24"/>
          <w:szCs w:val="28"/>
        </w:rPr>
        <w:t>以上企业，不属于大企业的分支机构，不存在控股股东为大企业的情形，也不存在与大企业的负责人为同一人的情形。</w:t>
      </w:r>
    </w:p>
    <w:p w14:paraId="7E4067C2">
      <w:pPr>
        <w:tabs>
          <w:tab w:val="left" w:pos="6300"/>
        </w:tabs>
        <w:snapToGrid w:val="0"/>
        <w:spacing w:line="360" w:lineRule="auto"/>
        <w:ind w:firstLine="480" w:firstLineChars="200"/>
        <w:rPr>
          <w:rFonts w:ascii="宋体" w:hAnsi="宋体"/>
          <w:sz w:val="24"/>
          <w:szCs w:val="28"/>
        </w:rPr>
      </w:pPr>
      <w:r>
        <w:rPr>
          <w:rFonts w:hint="eastAsia" w:ascii="宋体" w:hAnsi="宋体"/>
          <w:sz w:val="24"/>
          <w:szCs w:val="28"/>
        </w:rPr>
        <w:t>本企业对上述声明内容的真实性负责。如有虚假，将依法承担相应责任。</w:t>
      </w:r>
    </w:p>
    <w:p w14:paraId="07D98BB2">
      <w:pPr>
        <w:tabs>
          <w:tab w:val="left" w:pos="6300"/>
        </w:tabs>
        <w:snapToGrid w:val="0"/>
        <w:spacing w:line="360" w:lineRule="auto"/>
        <w:ind w:firstLine="480" w:firstLineChars="200"/>
        <w:rPr>
          <w:rFonts w:ascii="宋体" w:hAnsi="宋体"/>
          <w:sz w:val="24"/>
          <w:szCs w:val="28"/>
        </w:rPr>
      </w:pPr>
      <w:r>
        <w:rPr>
          <w:rFonts w:hint="eastAsia" w:ascii="宋体" w:hAnsi="宋体"/>
          <w:sz w:val="24"/>
          <w:szCs w:val="28"/>
        </w:rPr>
        <w:t xml:space="preserve">                                                    </w:t>
      </w:r>
    </w:p>
    <w:p w14:paraId="3FD0D5D9">
      <w:pPr>
        <w:tabs>
          <w:tab w:val="left" w:pos="6300"/>
        </w:tabs>
        <w:snapToGrid w:val="0"/>
        <w:spacing w:line="360" w:lineRule="auto"/>
        <w:ind w:firstLine="6120" w:firstLineChars="2550"/>
        <w:rPr>
          <w:rFonts w:ascii="宋体" w:hAnsi="宋体"/>
          <w:sz w:val="24"/>
          <w:szCs w:val="28"/>
        </w:rPr>
      </w:pPr>
      <w:r>
        <w:rPr>
          <w:rFonts w:hint="eastAsia" w:ascii="宋体" w:hAnsi="宋体"/>
          <w:sz w:val="24"/>
          <w:szCs w:val="28"/>
        </w:rPr>
        <w:t xml:space="preserve">企业名称（盖章）： </w:t>
      </w:r>
    </w:p>
    <w:p w14:paraId="49A8C9C9">
      <w:pPr>
        <w:tabs>
          <w:tab w:val="left" w:pos="6300"/>
        </w:tabs>
        <w:snapToGrid w:val="0"/>
        <w:spacing w:line="360" w:lineRule="auto"/>
        <w:ind w:right="784" w:firstLine="6120" w:firstLineChars="2550"/>
        <w:rPr>
          <w:rFonts w:ascii="宋体" w:hAnsi="宋体"/>
          <w:sz w:val="24"/>
        </w:rPr>
      </w:pPr>
      <w:r>
        <w:rPr>
          <w:rFonts w:hint="eastAsia" w:ascii="宋体" w:hAnsi="宋体"/>
          <w:sz w:val="24"/>
          <w:szCs w:val="28"/>
        </w:rPr>
        <w:t>日期：</w:t>
      </w:r>
    </w:p>
    <w:p w14:paraId="6B5209B2">
      <w:pPr>
        <w:tabs>
          <w:tab w:val="left" w:pos="6300"/>
        </w:tabs>
        <w:snapToGrid w:val="0"/>
        <w:spacing w:line="360" w:lineRule="auto"/>
        <w:rPr>
          <w:rFonts w:ascii="宋体" w:hAnsi="宋体" w:cs="宋体"/>
          <w:kern w:val="0"/>
          <w:sz w:val="21"/>
          <w:szCs w:val="21"/>
        </w:rPr>
      </w:pPr>
      <w:r>
        <w:rPr>
          <w:rFonts w:hint="eastAsia" w:ascii="宋体" w:hAnsi="宋体" w:cs="宋体"/>
          <w:kern w:val="0"/>
          <w:sz w:val="21"/>
          <w:szCs w:val="21"/>
        </w:rPr>
        <w:t>填写时应注意以下事项：</w:t>
      </w:r>
    </w:p>
    <w:p w14:paraId="454ADE29">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1.从业人员、营业收入、资产总额填报上一年度数据，无上一年度数据的新成立企业可不填报。</w:t>
      </w:r>
    </w:p>
    <w:p w14:paraId="6439A555">
      <w:pPr>
        <w:tabs>
          <w:tab w:val="left" w:pos="6300"/>
        </w:tabs>
        <w:snapToGrid w:val="0"/>
        <w:spacing w:line="360" w:lineRule="auto"/>
        <w:ind w:firstLine="422" w:firstLineChars="200"/>
        <w:rPr>
          <w:rFonts w:ascii="宋体" w:hAnsi="宋体" w:cs="宋体"/>
          <w:b/>
          <w:kern w:val="0"/>
          <w:sz w:val="21"/>
          <w:szCs w:val="21"/>
        </w:rPr>
      </w:pPr>
      <w:r>
        <w:rPr>
          <w:rFonts w:hint="eastAsia" w:ascii="宋体" w:hAnsi="宋体" w:cs="宋体"/>
          <w:b/>
          <w:kern w:val="0"/>
          <w:sz w:val="21"/>
          <w:szCs w:val="21"/>
        </w:rPr>
        <w:t>2.中小企业应当按照《中小企业划型标准规定》（工信部联企业〔2011〕300号），如实填写并提交《中小企业声明函》。</w:t>
      </w:r>
    </w:p>
    <w:p w14:paraId="128890F0">
      <w:pPr>
        <w:tabs>
          <w:tab w:val="left" w:pos="6300"/>
        </w:tabs>
        <w:snapToGrid w:val="0"/>
        <w:spacing w:line="360" w:lineRule="auto"/>
        <w:ind w:firstLine="422" w:firstLineChars="200"/>
        <w:rPr>
          <w:rFonts w:ascii="宋体" w:hAnsi="宋体" w:cs="宋体"/>
          <w:b/>
          <w:kern w:val="0"/>
          <w:sz w:val="21"/>
          <w:szCs w:val="21"/>
        </w:rPr>
      </w:pPr>
      <w:r>
        <w:rPr>
          <w:rFonts w:hint="eastAsia" w:ascii="宋体" w:hAnsi="宋体" w:cs="宋体"/>
          <w:b/>
          <w:kern w:val="0"/>
          <w:sz w:val="21"/>
          <w:szCs w:val="21"/>
        </w:rPr>
        <w:t>3.供应商填写《中小企业声明函》中所属行业时，应与采购文件第一篇“采购标的对应的中小企业划分标准所属行业”中填写的所属行业一致。</w:t>
      </w:r>
    </w:p>
    <w:p w14:paraId="1C2CFF9C">
      <w:pPr>
        <w:tabs>
          <w:tab w:val="left" w:pos="6300"/>
        </w:tabs>
        <w:snapToGrid w:val="0"/>
        <w:spacing w:line="360" w:lineRule="auto"/>
        <w:ind w:firstLine="422" w:firstLineChars="200"/>
        <w:rPr>
          <w:rFonts w:ascii="宋体" w:hAnsi="宋体" w:cs="宋体"/>
          <w:b/>
          <w:kern w:val="0"/>
          <w:sz w:val="21"/>
          <w:szCs w:val="21"/>
        </w:rPr>
      </w:pPr>
      <w:r>
        <w:rPr>
          <w:rFonts w:hint="eastAsia" w:ascii="宋体" w:hAnsi="宋体" w:cs="宋体"/>
          <w:b/>
          <w:kern w:val="0"/>
          <w:sz w:val="21"/>
          <w:szCs w:val="21"/>
        </w:rPr>
        <w:t>4.本声明函“企业名称（盖章）”处为供应商盖章。</w:t>
      </w:r>
    </w:p>
    <w:p w14:paraId="0556D4E6">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注：各行业划型标准：</w:t>
      </w:r>
    </w:p>
    <w:p w14:paraId="6F322B22">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（一）农、林、牧、渔业。营业收入20000万元以下的为中小微型企业。其中，营业收入500万元及以上的为中型企业，营业收入50万元及以上的为小型企业，营业收入50万元以下的为微型企业。</w:t>
      </w:r>
    </w:p>
    <w:p w14:paraId="72AD9E4D">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99EDFFE">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F03DC08">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21CE0B2">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8E4D292">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D6F16F0">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9CFBE3F">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1C22E2F">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1729CDD">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4F89151">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EEBB1C3">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30F3772">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9CECD54">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DA80336">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18FE432">
      <w:pPr>
        <w:tabs>
          <w:tab w:val="left" w:pos="6300"/>
        </w:tabs>
        <w:snapToGri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（十六）其他未列明行业。从业人员300人以下的为中小微型企业。其中，从业人员100人及以上的为中型企业；从业人员10人及以上的为小型企业；从业人员10人以下的为微型企业。</w:t>
      </w:r>
    </w:p>
    <w:p w14:paraId="083200C6">
      <w:pPr>
        <w:tabs>
          <w:tab w:val="left" w:pos="6300"/>
        </w:tabs>
        <w:snapToGrid w:val="0"/>
        <w:spacing w:line="360" w:lineRule="auto"/>
        <w:ind w:firstLine="480" w:firstLineChars="200"/>
        <w:jc w:val="center"/>
        <w:rPr>
          <w:rFonts w:ascii="宋体" w:hAnsi="宋体"/>
        </w:rPr>
      </w:pPr>
      <w:r>
        <w:rPr>
          <w:rFonts w:ascii="宋体" w:hAnsi="宋体"/>
          <w:sz w:val="24"/>
          <w:szCs w:val="24"/>
        </w:rPr>
        <w:br w:type="page"/>
      </w:r>
      <w:r>
        <w:rPr>
          <w:rFonts w:hint="eastAsia" w:ascii="宋体" w:hAnsi="宋体"/>
        </w:rPr>
        <w:t>监狱企业证明文件</w:t>
      </w:r>
    </w:p>
    <w:p w14:paraId="01545EA9">
      <w:pPr>
        <w:tabs>
          <w:tab w:val="left" w:pos="6300"/>
        </w:tabs>
        <w:snapToGrid w:val="0"/>
        <w:spacing w:line="360" w:lineRule="auto"/>
        <w:ind w:firstLine="480" w:firstLineChars="200"/>
        <w:rPr>
          <w:rFonts w:ascii="宋体" w:hAnsi="宋体"/>
          <w:sz w:val="24"/>
        </w:rPr>
      </w:pPr>
      <w:r>
        <w:rPr>
          <w:rFonts w:hint="eastAsia" w:ascii="宋体" w:hAnsi="宋体"/>
          <w:sz w:val="24"/>
        </w:rPr>
        <w:t>以省级以上监狱管理局、戒毒管理局（含新疆生产建设兵团）出具的属于监狱企业的证明文件为准。</w:t>
      </w:r>
    </w:p>
    <w:p w14:paraId="1CC03740">
      <w:pPr>
        <w:tabs>
          <w:tab w:val="left" w:pos="6300"/>
        </w:tabs>
        <w:snapToGrid w:val="0"/>
        <w:spacing w:line="360" w:lineRule="auto"/>
        <w:ind w:firstLine="560" w:firstLineChars="200"/>
        <w:jc w:val="center"/>
        <w:rPr>
          <w:rFonts w:ascii="宋体" w:hAnsi="宋体"/>
        </w:rPr>
      </w:pPr>
    </w:p>
    <w:p w14:paraId="151456C7">
      <w:pPr>
        <w:tabs>
          <w:tab w:val="left" w:pos="6300"/>
        </w:tabs>
        <w:snapToGrid w:val="0"/>
        <w:spacing w:line="360" w:lineRule="auto"/>
        <w:ind w:firstLine="560" w:firstLineChars="200"/>
        <w:jc w:val="center"/>
        <w:rPr>
          <w:rFonts w:ascii="宋体" w:hAnsi="宋体"/>
        </w:rPr>
      </w:pPr>
      <w:r>
        <w:rPr>
          <w:rFonts w:hint="eastAsia" w:ascii="宋体" w:hAnsi="宋体"/>
        </w:rPr>
        <w:t>残疾人福利性单位声明函</w:t>
      </w:r>
    </w:p>
    <w:p w14:paraId="4851C052">
      <w:pPr>
        <w:tabs>
          <w:tab w:val="left" w:pos="6300"/>
        </w:tabs>
        <w:snapToGrid w:val="0"/>
        <w:spacing w:line="360" w:lineRule="auto"/>
        <w:ind w:firstLine="480" w:firstLineChars="200"/>
        <w:rPr>
          <w:rFonts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34BF431">
      <w:pPr>
        <w:tabs>
          <w:tab w:val="left" w:pos="6300"/>
        </w:tabs>
        <w:snapToGrid w:val="0"/>
        <w:spacing w:line="36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14:paraId="13E3AC95">
      <w:pPr>
        <w:tabs>
          <w:tab w:val="left" w:pos="6300"/>
        </w:tabs>
        <w:snapToGrid w:val="0"/>
        <w:spacing w:line="360" w:lineRule="auto"/>
        <w:ind w:firstLine="480" w:firstLineChars="200"/>
        <w:rPr>
          <w:rFonts w:ascii="宋体" w:hAnsi="宋体"/>
          <w:sz w:val="24"/>
        </w:rPr>
      </w:pPr>
    </w:p>
    <w:p w14:paraId="20608D20">
      <w:pPr>
        <w:tabs>
          <w:tab w:val="left" w:pos="6300"/>
        </w:tabs>
        <w:snapToGrid w:val="0"/>
        <w:spacing w:line="360" w:lineRule="auto"/>
        <w:ind w:firstLine="480" w:firstLineChars="200"/>
        <w:rPr>
          <w:rFonts w:ascii="宋体" w:hAnsi="宋体"/>
          <w:sz w:val="24"/>
        </w:rPr>
      </w:pPr>
    </w:p>
    <w:p w14:paraId="3312C98F">
      <w:pPr>
        <w:tabs>
          <w:tab w:val="left" w:pos="6300"/>
        </w:tabs>
        <w:snapToGrid w:val="0"/>
        <w:spacing w:line="360" w:lineRule="auto"/>
        <w:ind w:firstLine="480" w:firstLineChars="200"/>
        <w:rPr>
          <w:rFonts w:ascii="宋体" w:hAnsi="宋体"/>
          <w:sz w:val="24"/>
        </w:rPr>
      </w:pPr>
      <w:r>
        <w:rPr>
          <w:rFonts w:hint="eastAsia" w:ascii="宋体" w:hAnsi="宋体"/>
          <w:sz w:val="24"/>
        </w:rPr>
        <w:t xml:space="preserve">                                                 供应商名称（盖章）：</w:t>
      </w:r>
    </w:p>
    <w:p w14:paraId="72CB50FB">
      <w:pPr>
        <w:snapToGrid w:val="0"/>
        <w:spacing w:line="360" w:lineRule="auto"/>
        <w:ind w:firstLine="480" w:firstLineChars="200"/>
        <w:rPr>
          <w:rFonts w:ascii="宋体" w:hAnsi="宋体"/>
          <w:sz w:val="24"/>
        </w:rPr>
      </w:pPr>
      <w:r>
        <w:rPr>
          <w:rFonts w:hint="eastAsia" w:ascii="宋体" w:hAnsi="宋体"/>
          <w:sz w:val="24"/>
        </w:rPr>
        <w:t xml:space="preserve">                                                  日  期：</w:t>
      </w:r>
    </w:p>
    <w:p w14:paraId="7CEEABCF">
      <w:pPr>
        <w:snapToGrid w:val="0"/>
        <w:spacing w:line="360" w:lineRule="auto"/>
        <w:ind w:firstLine="480" w:firstLineChars="200"/>
        <w:rPr>
          <w:rFonts w:ascii="宋体" w:hAnsi="宋体" w:cs="宋体"/>
          <w:kern w:val="0"/>
          <w:sz w:val="24"/>
        </w:rPr>
      </w:pPr>
    </w:p>
    <w:p w14:paraId="6B422380">
      <w:pPr>
        <w:snapToGrid w:val="0"/>
        <w:spacing w:line="360" w:lineRule="auto"/>
        <w:ind w:firstLine="480" w:firstLineChars="200"/>
        <w:rPr>
          <w:rFonts w:ascii="宋体" w:hAnsi="宋体"/>
          <w:sz w:val="24"/>
        </w:rPr>
      </w:pPr>
      <w:r>
        <w:rPr>
          <w:rFonts w:hint="eastAsia" w:ascii="宋体" w:hAnsi="宋体" w:cs="宋体"/>
          <w:kern w:val="0"/>
          <w:sz w:val="24"/>
        </w:rPr>
        <w:t>若成交供应商为残疾人福利性单位的，将在结果公告时公告其《残疾人福利性单位声明函》。</w:t>
      </w:r>
    </w:p>
    <w:p w14:paraId="6358D6B7">
      <w:pPr>
        <w:snapToGrid w:val="0"/>
        <w:spacing w:line="360" w:lineRule="auto"/>
        <w:ind w:firstLine="480" w:firstLineChars="200"/>
        <w:rPr>
          <w:rFonts w:ascii="宋体" w:hAnsi="宋体"/>
          <w:sz w:val="24"/>
          <w:szCs w:val="24"/>
        </w:rPr>
      </w:pPr>
    </w:p>
    <w:p w14:paraId="62321600">
      <w:pPr>
        <w:snapToGrid w:val="0"/>
        <w:spacing w:line="360" w:lineRule="auto"/>
        <w:ind w:firstLine="480" w:firstLineChars="200"/>
        <w:rPr>
          <w:rFonts w:ascii="宋体" w:hAnsi="宋体"/>
          <w:sz w:val="24"/>
          <w:szCs w:val="24"/>
        </w:rPr>
      </w:pPr>
      <w:r>
        <w:rPr>
          <w:rFonts w:hint="eastAsia" w:ascii="宋体" w:hAnsi="宋体"/>
          <w:sz w:val="24"/>
          <w:szCs w:val="24"/>
        </w:rPr>
        <w:t>（二）其他与项目有关的资料</w:t>
      </w:r>
    </w:p>
    <w:p w14:paraId="3682F0F1">
      <w:pPr>
        <w:spacing w:line="360" w:lineRule="auto"/>
        <w:ind w:firstLine="480" w:firstLineChars="200"/>
        <w:rPr>
          <w:rFonts w:ascii="宋体" w:hAnsi="宋体"/>
          <w:sz w:val="24"/>
          <w:szCs w:val="24"/>
        </w:rPr>
      </w:pPr>
      <w:r>
        <w:rPr>
          <w:rFonts w:hint="eastAsia" w:ascii="宋体" w:hAnsi="宋体"/>
          <w:sz w:val="24"/>
          <w:szCs w:val="24"/>
        </w:rPr>
        <w:t>其他与项目有关的资料（自附）：供应商总体情况介绍、其他与本项目有关的资料等。</w:t>
      </w:r>
    </w:p>
    <w:p w14:paraId="58621974">
      <w:pPr>
        <w:spacing w:line="360" w:lineRule="auto"/>
        <w:ind w:firstLine="480" w:firstLineChars="200"/>
        <w:rPr>
          <w:rFonts w:ascii="宋体" w:hAnsi="宋体"/>
          <w:sz w:val="24"/>
          <w:szCs w:val="24"/>
        </w:rPr>
      </w:pPr>
    </w:p>
    <w:p w14:paraId="4677510E">
      <w:pPr>
        <w:spacing w:line="360" w:lineRule="auto"/>
        <w:ind w:firstLine="480" w:firstLineChars="200"/>
        <w:jc w:val="center"/>
        <w:rPr>
          <w:rFonts w:ascii="宋体" w:hAnsi="宋体"/>
          <w:sz w:val="24"/>
          <w:szCs w:val="24"/>
        </w:rPr>
      </w:pPr>
    </w:p>
    <w:p w14:paraId="6A6D5EB9">
      <w:pPr>
        <w:spacing w:line="360" w:lineRule="auto"/>
        <w:ind w:firstLine="480" w:firstLineChars="200"/>
        <w:jc w:val="center"/>
        <w:rPr>
          <w:rFonts w:ascii="宋体" w:hAnsi="宋体"/>
          <w:sz w:val="24"/>
          <w:szCs w:val="24"/>
        </w:rPr>
      </w:pPr>
    </w:p>
    <w:p w14:paraId="00D7DAD8">
      <w:pPr>
        <w:spacing w:line="360" w:lineRule="auto"/>
        <w:ind w:firstLine="480" w:firstLineChars="200"/>
        <w:jc w:val="center"/>
        <w:rPr>
          <w:rFonts w:ascii="宋体" w:hAnsi="宋体"/>
          <w:sz w:val="24"/>
          <w:szCs w:val="24"/>
        </w:rPr>
      </w:pPr>
    </w:p>
    <w:p w14:paraId="73F338B4">
      <w:pPr>
        <w:spacing w:line="360" w:lineRule="auto"/>
        <w:ind w:firstLine="480" w:firstLineChars="200"/>
        <w:jc w:val="center"/>
        <w:rPr>
          <w:rFonts w:ascii="宋体" w:hAnsi="宋体"/>
          <w:sz w:val="24"/>
          <w:szCs w:val="24"/>
        </w:rPr>
      </w:pPr>
    </w:p>
    <w:p w14:paraId="54D33FFC">
      <w:pPr>
        <w:spacing w:line="360" w:lineRule="auto"/>
        <w:ind w:firstLine="480" w:firstLineChars="200"/>
        <w:jc w:val="center"/>
        <w:rPr>
          <w:rFonts w:ascii="宋体" w:hAnsi="宋体"/>
          <w:sz w:val="24"/>
          <w:szCs w:val="24"/>
        </w:rPr>
      </w:pPr>
    </w:p>
    <w:p w14:paraId="474A8FD2">
      <w:pPr>
        <w:spacing w:line="360" w:lineRule="auto"/>
        <w:ind w:firstLine="480" w:firstLineChars="200"/>
        <w:jc w:val="center"/>
        <w:outlineLvl w:val="0"/>
        <w:rPr>
          <w:rFonts w:ascii="宋体" w:hAnsi="宋体"/>
        </w:rPr>
      </w:pPr>
      <w:r>
        <w:rPr>
          <w:rFonts w:hint="eastAsia" w:ascii="宋体" w:hAnsi="宋体"/>
          <w:sz w:val="24"/>
          <w:szCs w:val="24"/>
        </w:rPr>
        <w:t>（结束）</w:t>
      </w:r>
    </w:p>
    <w:sectPr>
      <w:headerReference r:id="rId15" w:type="default"/>
      <w:pgSz w:w="11907" w:h="16840"/>
      <w:pgMar w:top="1134" w:right="1191" w:bottom="1134" w:left="1191" w:header="851" w:footer="992" w:gutter="0"/>
      <w:pgNumType w:fmt="numberInDash"/>
      <w:cols w:space="720" w:num="1"/>
      <w:docGrid w:linePitch="380" w:charSpace="-57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PMingLiU">
    <w:altName w:val="Microsoft JhengHei UI"/>
    <w:panose1 w:val="02010601000101010101"/>
    <w:charset w:val="88"/>
    <w:family w:val="roman"/>
    <w:pitch w:val="default"/>
    <w:sig w:usb0="00000000" w:usb1="00000000" w:usb2="00000016" w:usb3="00000000" w:csb0="00100001" w:csb1="00000000"/>
  </w:font>
  <w:font w:name="PMingLiU">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_x000B__x000C_">
    <w:altName w:val="Times New Roman"/>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文鼎粗黑">
    <w:altName w:val="宋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font>
  <w:font w:name="FrutigerNextLT-Light">
    <w:altName w:val="Times New Roman"/>
    <w:panose1 w:val="00000000000000000000"/>
    <w:charset w:val="00"/>
    <w:family w:val="roman"/>
    <w:pitch w:val="default"/>
    <w:sig w:usb0="00000000" w:usb1="00000000" w:usb2="00000000" w:usb3="00000000" w:csb0="00040001" w:csb1="00000000"/>
  </w:font>
  <w:font w:name="方正仿宋_GBK">
    <w:panose1 w:val="03000509000000000000"/>
    <w:charset w:val="86"/>
    <w:family w:val="script"/>
    <w:pitch w:val="default"/>
    <w:sig w:usb0="00000001" w:usb1="080E0000" w:usb2="00000000" w:usb3="00000000" w:csb0="00040000" w:csb1="00000000"/>
  </w:font>
  <w:font w:name="Microsoft JhengHei UI">
    <w:panose1 w:val="020B0604030504040204"/>
    <w:charset w:val="88"/>
    <w:family w:val="auto"/>
    <w:pitch w:val="default"/>
    <w:sig w:usb0="0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EF5FD">
    <w:pPr>
      <w:pStyle w:val="38"/>
      <w:framePr w:wrap="around" w:vAnchor="text" w:hAnchor="margin" w:xAlign="center" w:y="1"/>
      <w:rPr>
        <w:rStyle w:val="65"/>
      </w:rPr>
    </w:pPr>
    <w:r>
      <w:rPr>
        <w:rStyle w:val="65"/>
      </w:rPr>
      <w:fldChar w:fldCharType="begin"/>
    </w:r>
    <w:r>
      <w:rPr>
        <w:rStyle w:val="65"/>
      </w:rPr>
      <w:instrText xml:space="preserve">PAGE  </w:instrText>
    </w:r>
    <w:r>
      <w:fldChar w:fldCharType="end"/>
    </w:r>
  </w:p>
  <w:p w14:paraId="430FD695">
    <w:pPr>
      <w:pStyle w:val="3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3C9AD">
    <w:pPr>
      <w:pStyle w:val="38"/>
      <w:framePr w:wrap="around" w:vAnchor="text" w:hAnchor="margin" w:xAlign="center" w:y="1"/>
      <w:rPr>
        <w:rStyle w:val="65"/>
      </w:rPr>
    </w:pPr>
  </w:p>
  <w:p w14:paraId="4A2CACBE">
    <w:pPr>
      <w:pStyle w:val="38"/>
      <w:jc w:val="center"/>
      <w:rPr>
        <w:rFonts w:asci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66808">
    <w:pPr>
      <w:pStyle w:val="38"/>
      <w:framePr w:wrap="around" w:vAnchor="text" w:hAnchor="margin" w:xAlign="center" w:y="1"/>
      <w:jc w:val="center"/>
      <w:rPr>
        <w:rStyle w:val="65"/>
        <w:rFonts w:ascii="宋体"/>
        <w:sz w:val="21"/>
        <w:szCs w:val="21"/>
      </w:rPr>
    </w:pPr>
    <w:r>
      <w:rPr>
        <w:rStyle w:val="65"/>
      </w:rPr>
      <w:fldChar w:fldCharType="begin"/>
    </w:r>
    <w:r>
      <w:rPr>
        <w:rStyle w:val="65"/>
        <w:rFonts w:ascii="宋体"/>
        <w:sz w:val="21"/>
        <w:szCs w:val="21"/>
      </w:rPr>
      <w:instrText xml:space="preserve">PAGE  </w:instrText>
    </w:r>
    <w:r>
      <w:rPr>
        <w:rFonts w:ascii="宋体"/>
        <w:sz w:val="21"/>
        <w:szCs w:val="21"/>
      </w:rPr>
      <w:fldChar w:fldCharType="separate"/>
    </w:r>
    <w:r>
      <w:rPr>
        <w:rStyle w:val="65"/>
        <w:rFonts w:ascii="宋体"/>
        <w:sz w:val="21"/>
        <w:szCs w:val="21"/>
      </w:rPr>
      <w:t>- 2 -</w:t>
    </w:r>
    <w:r>
      <w:rPr>
        <w:rFonts w:ascii="宋体"/>
        <w:sz w:val="21"/>
        <w:szCs w:val="21"/>
      </w:rPr>
      <w:fldChar w:fldCharType="end"/>
    </w:r>
  </w:p>
  <w:p w14:paraId="2901B25B">
    <w:pPr>
      <w:pStyle w:val="3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0090C">
    <w:pPr>
      <w:pStyle w:val="38"/>
      <w:jc w:val="center"/>
      <w:rPr>
        <w:sz w:val="22"/>
        <w:szCs w:val="22"/>
      </w:rPr>
    </w:pPr>
    <w:r>
      <w:rPr>
        <w:sz w:val="22"/>
        <w:szCs w:val="22"/>
      </w:rPr>
      <w:fldChar w:fldCharType="begin"/>
    </w:r>
    <w:r>
      <w:rPr>
        <w:sz w:val="22"/>
        <w:szCs w:val="22"/>
      </w:rPr>
      <w:instrText xml:space="preserve">PAGE   \* MERGEFORMAT</w:instrText>
    </w:r>
    <w:r>
      <w:rPr>
        <w:sz w:val="22"/>
        <w:szCs w:val="22"/>
      </w:rPr>
      <w:fldChar w:fldCharType="separate"/>
    </w:r>
    <w:r>
      <w:rPr>
        <w:sz w:val="22"/>
        <w:szCs w:val="22"/>
        <w:lang w:val="zh-CN"/>
      </w:rPr>
      <w:t>-</w:t>
    </w:r>
    <w:r>
      <w:rPr>
        <w:sz w:val="22"/>
        <w:szCs w:val="22"/>
      </w:rPr>
      <w:t xml:space="preserve"> 10 -</w:t>
    </w:r>
    <w:r>
      <w:rPr>
        <w:sz w:val="22"/>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95E80">
    <w:pPr>
      <w:pStyle w:val="38"/>
      <w:jc w:val="center"/>
      <w:rPr>
        <w:rFonts w:ascii="宋体"/>
        <w:sz w:val="21"/>
        <w:szCs w:val="21"/>
      </w:rPr>
    </w:pPr>
    <w:r>
      <w:rPr>
        <w:rStyle w:val="65"/>
      </w:rPr>
      <w:fldChar w:fldCharType="begin"/>
    </w:r>
    <w:r>
      <w:rPr>
        <w:rStyle w:val="65"/>
        <w:rFonts w:ascii="宋体"/>
        <w:sz w:val="21"/>
        <w:szCs w:val="21"/>
      </w:rPr>
      <w:instrText xml:space="preserve"> PAGE </w:instrText>
    </w:r>
    <w:r>
      <w:rPr>
        <w:rFonts w:ascii="宋体"/>
        <w:sz w:val="21"/>
        <w:szCs w:val="21"/>
      </w:rPr>
      <w:fldChar w:fldCharType="separate"/>
    </w:r>
    <w:r>
      <w:rPr>
        <w:rStyle w:val="65"/>
        <w:rFonts w:ascii="宋体"/>
        <w:sz w:val="21"/>
        <w:szCs w:val="21"/>
      </w:rPr>
      <w:t>- 15 -</w:t>
    </w:r>
    <w:r>
      <w:rPr>
        <w:rFonts w:asci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E7A8C">
    <w:pPr>
      <w:pStyle w:val="38"/>
      <w:framePr w:wrap="around" w:vAnchor="text" w:hAnchor="margin" w:xAlign="center" w:y="1"/>
      <w:rPr>
        <w:rStyle w:val="65"/>
      </w:rPr>
    </w:pPr>
    <w:r>
      <w:rPr>
        <w:rStyle w:val="65"/>
      </w:rPr>
      <w:fldChar w:fldCharType="begin"/>
    </w:r>
    <w:r>
      <w:rPr>
        <w:rStyle w:val="65"/>
      </w:rPr>
      <w:instrText xml:space="preserve">PAGE  </w:instrText>
    </w:r>
    <w:r>
      <w:fldChar w:fldCharType="end"/>
    </w:r>
  </w:p>
  <w:p w14:paraId="00AFFE8B">
    <w:pPr>
      <w:pStyle w:val="3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89538">
    <w:pPr>
      <w:pStyle w:val="39"/>
      <w:jc w:val="both"/>
      <w:rPr>
        <w:rFonts w:ascii="宋体"/>
        <w:sz w:val="21"/>
        <w:szCs w:val="21"/>
      </w:rPr>
    </w:pPr>
    <w:r>
      <w:rPr>
        <w:rFonts w:hint="eastAsia" w:ascii="宋体"/>
        <w:sz w:val="21"/>
        <w:szCs w:val="21"/>
      </w:rPr>
      <w:t>重庆中基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436CC">
    <w:pPr>
      <w:pStyle w:val="3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4BDFA">
    <w:pPr>
      <w:pStyle w:val="39"/>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EC0B2">
    <w:pPr>
      <w:pStyle w:val="39"/>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E9D68">
    <w:pPr>
      <w:pStyle w:val="39"/>
      <w:jc w:val="left"/>
      <w:rPr>
        <w:rFonts w:ascii="宋体"/>
        <w:sz w:val="21"/>
        <w:szCs w:val="21"/>
      </w:rPr>
    </w:pPr>
    <w:r>
      <w:rPr>
        <w:rFonts w:hint="eastAsia" w:ascii="宋体"/>
        <w:sz w:val="21"/>
        <w:szCs w:val="21"/>
      </w:rPr>
      <w:t>重庆中基                     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3D2E9">
    <w:pPr>
      <w:pStyle w:val="39"/>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2A715">
    <w:pPr>
      <w:pStyle w:val="39"/>
      <w:jc w:val="both"/>
      <w:rPr>
        <w:rFonts w:ascii="宋体"/>
        <w:sz w:val="21"/>
        <w:szCs w:val="21"/>
      </w:rPr>
    </w:pPr>
    <w:r>
      <w:rPr>
        <w:rFonts w:hint="eastAsia" w:ascii="宋体"/>
        <w:sz w:val="21"/>
        <w:szCs w:val="21"/>
      </w:rPr>
      <w:t>重庆中基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274"/>
      <w:suff w:val="nothing"/>
      <w:lvlText w:val="附　录　%1"/>
      <w:lvlJc w:val="left"/>
      <w:pPr>
        <w:tabs>
          <w:tab w:val="left" w:pos="0"/>
        </w:tabs>
        <w:ind w:left="0" w:firstLine="0"/>
      </w:pPr>
      <w:rPr>
        <w:rFonts w:hint="eastAsia" w:ascii="黑体" w:hAnsi="黑体" w:eastAsia="黑体"/>
        <w:b w:val="0"/>
        <w:i w:val="0"/>
        <w:sz w:val="21"/>
      </w:rPr>
    </w:lvl>
    <w:lvl w:ilvl="1" w:tentative="0">
      <w:start w:val="1"/>
      <w:numFmt w:val="decimal"/>
      <w:pStyle w:val="140"/>
      <w:suff w:val="nothing"/>
      <w:lvlText w:val="%1.%2　"/>
      <w:lvlJc w:val="left"/>
      <w:pPr>
        <w:tabs>
          <w:tab w:val="left" w:pos="0"/>
        </w:tabs>
        <w:ind w:left="210" w:firstLine="0"/>
      </w:pPr>
      <w:rPr>
        <w:rFonts w:hint="eastAsia" w:ascii="黑体" w:hAnsi="黑体" w:eastAsia="黑体"/>
        <w:b w:val="0"/>
        <w:i w:val="0"/>
        <w:snapToGrid/>
        <w:spacing w:val="0"/>
        <w:w w:val="100"/>
        <w:kern w:val="21"/>
        <w:sz w:val="21"/>
      </w:rPr>
    </w:lvl>
    <w:lvl w:ilvl="2" w:tentative="0">
      <w:start w:val="1"/>
      <w:numFmt w:val="decimal"/>
      <w:suff w:val="nothing"/>
      <w:lvlText w:val="%1.%2.%3　"/>
      <w:lvlJc w:val="left"/>
      <w:pPr>
        <w:tabs>
          <w:tab w:val="left" w:pos="0"/>
        </w:tabs>
        <w:ind w:left="0" w:firstLine="0"/>
      </w:pPr>
      <w:rPr>
        <w:rFonts w:hint="eastAsia" w:ascii="黑体" w:hAnsi="黑体" w:eastAsia="黑体"/>
        <w:b w:val="0"/>
        <w:i w:val="0"/>
        <w:sz w:val="21"/>
      </w:rPr>
    </w:lvl>
    <w:lvl w:ilvl="3" w:tentative="0">
      <w:start w:val="1"/>
      <w:numFmt w:val="decimal"/>
      <w:suff w:val="nothing"/>
      <w:lvlText w:val="%1.%2.%3.%4　"/>
      <w:lvlJc w:val="left"/>
      <w:pPr>
        <w:tabs>
          <w:tab w:val="left" w:pos="0"/>
        </w:tabs>
        <w:ind w:left="0" w:firstLine="0"/>
      </w:pPr>
      <w:rPr>
        <w:rFonts w:hint="eastAsia" w:ascii="黑体" w:hAnsi="黑体" w:eastAsia="黑体"/>
        <w:b w:val="0"/>
        <w:i w:val="0"/>
        <w:sz w:val="21"/>
      </w:rPr>
    </w:lvl>
    <w:lvl w:ilvl="4" w:tentative="0">
      <w:start w:val="1"/>
      <w:numFmt w:val="decimal"/>
      <w:suff w:val="nothing"/>
      <w:lvlText w:val="%1.%2.%3.%4.%5　"/>
      <w:lvlJc w:val="left"/>
      <w:pPr>
        <w:tabs>
          <w:tab w:val="left" w:pos="0"/>
        </w:tabs>
        <w:ind w:left="0" w:firstLine="0"/>
      </w:pPr>
      <w:rPr>
        <w:rFonts w:hint="eastAsia" w:ascii="黑体" w:hAnsi="黑体" w:eastAsia="黑体"/>
        <w:b w:val="0"/>
        <w:i w:val="0"/>
        <w:sz w:val="21"/>
      </w:rPr>
    </w:lvl>
    <w:lvl w:ilvl="5" w:tentative="0">
      <w:start w:val="1"/>
      <w:numFmt w:val="decimal"/>
      <w:suff w:val="nothing"/>
      <w:lvlText w:val="%1.%2.%3.%4.%5.%6　"/>
      <w:lvlJc w:val="left"/>
      <w:pPr>
        <w:tabs>
          <w:tab w:val="left" w:pos="0"/>
        </w:tabs>
        <w:ind w:left="0" w:firstLine="0"/>
      </w:pPr>
      <w:rPr>
        <w:rFonts w:hint="eastAsia" w:ascii="黑体" w:hAnsi="黑体" w:eastAsia="黑体"/>
        <w:b w:val="0"/>
        <w:i w:val="0"/>
        <w:sz w:val="21"/>
      </w:rPr>
    </w:lvl>
    <w:lvl w:ilvl="6" w:tentative="0">
      <w:start w:val="1"/>
      <w:numFmt w:val="decimal"/>
      <w:suff w:val="nothing"/>
      <w:lvlText w:val="%1.%2.%3.%4.%5.%6.%7　"/>
      <w:lvlJc w:val="left"/>
      <w:pPr>
        <w:tabs>
          <w:tab w:val="left" w:pos="0"/>
        </w:tabs>
        <w:ind w:left="0" w:firstLine="0"/>
      </w:pPr>
      <w:rPr>
        <w:rFonts w:hint="eastAsia" w:ascii="黑体" w:hAnsi="黑体" w:eastAsia="黑体"/>
        <w:b w:val="0"/>
        <w:i w:val="0"/>
        <w:sz w:val="21"/>
      </w:rPr>
    </w:lvl>
    <w:lvl w:ilvl="7" w:tentative="0">
      <w:start w:val="1"/>
      <w:numFmt w:val="decimal"/>
      <w:lvlText w:val="%1.%2.%3.%4.%5.%6.%7.%8"/>
      <w:lvlJc w:val="left"/>
      <w:pPr>
        <w:tabs>
          <w:tab w:val="left" w:pos="0"/>
        </w:tabs>
        <w:ind w:left="4394" w:hanging="1418"/>
      </w:pPr>
      <w:rPr>
        <w:rFonts w:hint="eastAsia"/>
      </w:rPr>
    </w:lvl>
    <w:lvl w:ilvl="8" w:tentative="0">
      <w:start w:val="1"/>
      <w:numFmt w:val="decimal"/>
      <w:lvlText w:val="%1.%2.%3.%4.%5.%6.%7.%8.%9"/>
      <w:lvlJc w:val="left"/>
      <w:pPr>
        <w:tabs>
          <w:tab w:val="left" w:pos="0"/>
        </w:tabs>
        <w:ind w:left="5102" w:hanging="1700"/>
      </w:pPr>
      <w:rPr>
        <w:rFonts w:hint="eastAsia"/>
      </w:rPr>
    </w:lvl>
  </w:abstractNum>
  <w:abstractNum w:abstractNumId="1">
    <w:nsid w:val="0000000A"/>
    <w:multiLevelType w:val="multilevel"/>
    <w:tmpl w:val="0000000A"/>
    <w:lvl w:ilvl="0" w:tentative="0">
      <w:start w:val="1"/>
      <w:numFmt w:val="bullet"/>
      <w:pStyle w:val="201"/>
      <w:lvlText w:val=""/>
      <w:lvlJc w:val="left"/>
      <w:pPr>
        <w:tabs>
          <w:tab w:val="left" w:pos="0"/>
        </w:tabs>
        <w:ind w:left="987" w:hanging="420"/>
      </w:pPr>
      <w:rPr>
        <w:rFonts w:hint="default" w:ascii="Wingdings" w:hAnsi="Wingdings"/>
      </w:rPr>
    </w:lvl>
    <w:lvl w:ilvl="1" w:tentative="0">
      <w:start w:val="1"/>
      <w:numFmt w:val="lowerLetter"/>
      <w:lvlText w:val="%2)"/>
      <w:lvlJc w:val="left"/>
      <w:pPr>
        <w:tabs>
          <w:tab w:val="left" w:pos="0"/>
        </w:tabs>
        <w:ind w:left="840" w:hanging="420"/>
      </w:pPr>
    </w:lvl>
    <w:lvl w:ilvl="2" w:tentative="0">
      <w:start w:val="1"/>
      <w:numFmt w:val="decimal"/>
      <w:lvlText w:val="%3、"/>
      <w:lvlJc w:val="left"/>
      <w:pPr>
        <w:tabs>
          <w:tab w:val="left" w:pos="0"/>
        </w:tabs>
        <w:ind w:left="1200" w:hanging="360"/>
      </w:pPr>
      <w:rPr>
        <w:rFonts w:hint="eastAsia"/>
      </w:rPr>
    </w:lvl>
    <w:lvl w:ilvl="3" w:tentative="0">
      <w:start w:val="1"/>
      <w:numFmt w:val="bullet"/>
      <w:lvlText w:val=""/>
      <w:lvlJc w:val="left"/>
      <w:pPr>
        <w:tabs>
          <w:tab w:val="left" w:pos="0"/>
        </w:tabs>
        <w:ind w:left="1680" w:hanging="420"/>
      </w:pPr>
      <w:rPr>
        <w:rFonts w:hint="default" w:ascii="Wingdings" w:hAnsi="Wingdings"/>
      </w:r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2">
    <w:nsid w:val="0000000B"/>
    <w:multiLevelType w:val="singleLevel"/>
    <w:tmpl w:val="0000000B"/>
    <w:lvl w:ilvl="0" w:tentative="0">
      <w:start w:val="1"/>
      <w:numFmt w:val="bullet"/>
      <w:pStyle w:val="221"/>
      <w:lvlText w:val=""/>
      <w:lvlJc w:val="left"/>
      <w:pPr>
        <w:tabs>
          <w:tab w:val="left" w:pos="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30"/>
      <w:lvlText w:val="%1、"/>
      <w:lvlJc w:val="left"/>
      <w:pPr>
        <w:tabs>
          <w:tab w:val="left" w:pos="0"/>
        </w:tabs>
        <w:ind w:left="480" w:hanging="48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4">
    <w:nsid w:val="0000000D"/>
    <w:multiLevelType w:val="singleLevel"/>
    <w:tmpl w:val="0000000D"/>
    <w:lvl w:ilvl="0" w:tentative="0">
      <w:start w:val="1"/>
      <w:numFmt w:val="bullet"/>
      <w:pStyle w:val="137"/>
      <w:lvlText w:val=""/>
      <w:lvlJc w:val="left"/>
      <w:pPr>
        <w:tabs>
          <w:tab w:val="left" w:pos="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10"/>
      <w:lvlText w:val=""/>
      <w:lvlJc w:val="left"/>
      <w:pPr>
        <w:tabs>
          <w:tab w:val="left" w:pos="0"/>
        </w:tabs>
        <w:ind w:left="540" w:firstLine="0"/>
      </w:pPr>
      <w:rPr>
        <w:rFonts w:hint="default" w:ascii="Wingdings" w:hAnsi="Wingdings"/>
        <w:sz w:val="16"/>
      </w:rPr>
    </w:lvl>
    <w:lvl w:ilvl="1" w:tentative="0">
      <w:start w:val="1"/>
      <w:numFmt w:val="bullet"/>
      <w:lvlText w:val=""/>
      <w:lvlJc w:val="left"/>
      <w:pPr>
        <w:tabs>
          <w:tab w:val="left" w:pos="0"/>
        </w:tabs>
        <w:ind w:left="1940" w:hanging="420"/>
      </w:pPr>
      <w:rPr>
        <w:rFonts w:hint="default" w:ascii="Wingdings" w:hAnsi="Wingdings"/>
      </w:rPr>
    </w:lvl>
    <w:lvl w:ilvl="2" w:tentative="0">
      <w:start w:val="1"/>
      <w:numFmt w:val="bullet"/>
      <w:lvlText w:val=""/>
      <w:lvlJc w:val="left"/>
      <w:pPr>
        <w:tabs>
          <w:tab w:val="left" w:pos="0"/>
        </w:tabs>
        <w:ind w:left="2360" w:hanging="420"/>
      </w:pPr>
      <w:rPr>
        <w:rFonts w:hint="default" w:ascii="Wingdings" w:hAnsi="Wingdings"/>
      </w:rPr>
    </w:lvl>
    <w:lvl w:ilvl="3" w:tentative="0">
      <w:start w:val="1"/>
      <w:numFmt w:val="bullet"/>
      <w:lvlText w:val=""/>
      <w:lvlJc w:val="left"/>
      <w:pPr>
        <w:tabs>
          <w:tab w:val="left" w:pos="0"/>
        </w:tabs>
        <w:ind w:left="2780" w:hanging="420"/>
      </w:pPr>
      <w:rPr>
        <w:rFonts w:hint="default" w:ascii="Wingdings" w:hAnsi="Wingdings"/>
      </w:rPr>
    </w:lvl>
    <w:lvl w:ilvl="4" w:tentative="0">
      <w:start w:val="1"/>
      <w:numFmt w:val="bullet"/>
      <w:lvlText w:val=""/>
      <w:lvlJc w:val="left"/>
      <w:pPr>
        <w:tabs>
          <w:tab w:val="left" w:pos="0"/>
        </w:tabs>
        <w:ind w:left="3200" w:hanging="420"/>
      </w:pPr>
      <w:rPr>
        <w:rFonts w:hint="default" w:ascii="Wingdings" w:hAnsi="Wingdings"/>
      </w:rPr>
    </w:lvl>
    <w:lvl w:ilvl="5" w:tentative="0">
      <w:start w:val="1"/>
      <w:numFmt w:val="bullet"/>
      <w:lvlText w:val=""/>
      <w:lvlJc w:val="left"/>
      <w:pPr>
        <w:tabs>
          <w:tab w:val="left" w:pos="0"/>
        </w:tabs>
        <w:ind w:left="3620" w:hanging="420"/>
      </w:pPr>
      <w:rPr>
        <w:rFonts w:hint="default" w:ascii="Wingdings" w:hAnsi="Wingdings"/>
      </w:rPr>
    </w:lvl>
    <w:lvl w:ilvl="6" w:tentative="0">
      <w:start w:val="1"/>
      <w:numFmt w:val="bullet"/>
      <w:lvlText w:val=""/>
      <w:lvlJc w:val="left"/>
      <w:pPr>
        <w:tabs>
          <w:tab w:val="left" w:pos="0"/>
        </w:tabs>
        <w:ind w:left="4040" w:hanging="420"/>
      </w:pPr>
      <w:rPr>
        <w:rFonts w:hint="default" w:ascii="Wingdings" w:hAnsi="Wingdings"/>
      </w:rPr>
    </w:lvl>
    <w:lvl w:ilvl="7" w:tentative="0">
      <w:start w:val="1"/>
      <w:numFmt w:val="bullet"/>
      <w:lvlText w:val=""/>
      <w:lvlJc w:val="left"/>
      <w:pPr>
        <w:tabs>
          <w:tab w:val="left" w:pos="0"/>
        </w:tabs>
        <w:ind w:left="4460" w:hanging="420"/>
      </w:pPr>
      <w:rPr>
        <w:rFonts w:hint="default" w:ascii="Wingdings" w:hAnsi="Wingdings"/>
      </w:rPr>
    </w:lvl>
    <w:lvl w:ilvl="8" w:tentative="0">
      <w:start w:val="1"/>
      <w:numFmt w:val="bullet"/>
      <w:lvlText w:val=""/>
      <w:lvlJc w:val="left"/>
      <w:pPr>
        <w:tabs>
          <w:tab w:val="left" w:pos="0"/>
        </w:tabs>
        <w:ind w:left="4880" w:hanging="420"/>
      </w:pPr>
      <w:rPr>
        <w:rFonts w:hint="default" w:ascii="Wingdings" w:hAnsi="Wingdings"/>
      </w:rPr>
    </w:lvl>
  </w:abstractNum>
  <w:abstractNum w:abstractNumId="6">
    <w:nsid w:val="00000011"/>
    <w:multiLevelType w:val="multilevel"/>
    <w:tmpl w:val="00000011"/>
    <w:lvl w:ilvl="0" w:tentative="0">
      <w:start w:val="1"/>
      <w:numFmt w:val="decimal"/>
      <w:pStyle w:val="197"/>
      <w:lvlText w:val="（%1）"/>
      <w:lvlJc w:val="left"/>
      <w:pPr>
        <w:tabs>
          <w:tab w:val="left" w:pos="0"/>
        </w:tabs>
        <w:ind w:left="0" w:firstLine="510"/>
      </w:pPr>
      <w:rPr>
        <w:rFonts w:hint="default" w:ascii="Arial" w:hAnsi="Arial"/>
        <w:b w:val="0"/>
        <w:i w:val="0"/>
        <w:sz w:val="24"/>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7">
    <w:nsid w:val="00000012"/>
    <w:multiLevelType w:val="multilevel"/>
    <w:tmpl w:val="00000012"/>
    <w:lvl w:ilvl="0" w:tentative="0">
      <w:start w:val="1"/>
      <w:numFmt w:val="bullet"/>
      <w:pStyle w:val="172"/>
      <w:lvlText w:val=""/>
      <w:lvlJc w:val="left"/>
      <w:pPr>
        <w:tabs>
          <w:tab w:val="left" w:pos="0"/>
        </w:tabs>
        <w:ind w:left="1644" w:hanging="510"/>
      </w:pPr>
      <w:rPr>
        <w:rFonts w:hint="default" w:ascii="Wingdings" w:hAnsi="Wingdings"/>
        <w:color w:val="auto"/>
        <w:sz w:val="13"/>
        <w:u w:val="none"/>
      </w:rPr>
    </w:lvl>
    <w:lvl w:ilvl="1" w:tentative="0">
      <w:start w:val="1"/>
      <w:numFmt w:val="bullet"/>
      <w:lvlText w:val=""/>
      <w:lvlJc w:val="left"/>
      <w:pPr>
        <w:tabs>
          <w:tab w:val="left" w:pos="0"/>
        </w:tabs>
        <w:ind w:left="840" w:hanging="420"/>
      </w:pPr>
      <w:rPr>
        <w:rFonts w:hint="default" w:ascii="Wingdings" w:hAnsi="Wingdings"/>
        <w:color w:val="auto"/>
        <w:sz w:val="13"/>
        <w:u w:val="none"/>
      </w:rPr>
    </w:lvl>
    <w:lvl w:ilvl="2" w:tentative="0">
      <w:start w:val="1"/>
      <w:numFmt w:val="bullet"/>
      <w:lvlText w:val=""/>
      <w:lvlJc w:val="left"/>
      <w:pPr>
        <w:tabs>
          <w:tab w:val="left" w:pos="0"/>
        </w:tabs>
        <w:ind w:left="1260" w:hanging="420"/>
      </w:pPr>
      <w:rPr>
        <w:rFonts w:hint="default" w:ascii="Wingdings" w:hAnsi="Wingdings"/>
      </w:rPr>
    </w:lvl>
    <w:lvl w:ilvl="3" w:tentative="0">
      <w:start w:val="1"/>
      <w:numFmt w:val="bullet"/>
      <w:lvlText w:val=""/>
      <w:lvlJc w:val="left"/>
      <w:pPr>
        <w:tabs>
          <w:tab w:val="left" w:pos="0"/>
        </w:tabs>
        <w:ind w:left="1680" w:hanging="420"/>
      </w:pPr>
      <w:rPr>
        <w:rFonts w:hint="default" w:ascii="Wingdings" w:hAnsi="Wingdings"/>
      </w:rPr>
    </w:lvl>
    <w:lvl w:ilvl="4" w:tentative="0">
      <w:start w:val="1"/>
      <w:numFmt w:val="bullet"/>
      <w:lvlText w:val=""/>
      <w:lvlJc w:val="left"/>
      <w:pPr>
        <w:tabs>
          <w:tab w:val="left" w:pos="0"/>
        </w:tabs>
        <w:ind w:left="2100" w:hanging="420"/>
      </w:pPr>
      <w:rPr>
        <w:rFonts w:hint="default" w:ascii="Wingdings" w:hAnsi="Wingdings"/>
      </w:rPr>
    </w:lvl>
    <w:lvl w:ilvl="5" w:tentative="0">
      <w:start w:val="1"/>
      <w:numFmt w:val="bullet"/>
      <w:lvlText w:val=""/>
      <w:lvlJc w:val="left"/>
      <w:pPr>
        <w:tabs>
          <w:tab w:val="left" w:pos="0"/>
        </w:tabs>
        <w:ind w:left="2520" w:hanging="420"/>
      </w:pPr>
      <w:rPr>
        <w:rFonts w:hint="default" w:ascii="Wingdings" w:hAnsi="Wingdings"/>
      </w:rPr>
    </w:lvl>
    <w:lvl w:ilvl="6" w:tentative="0">
      <w:start w:val="1"/>
      <w:numFmt w:val="bullet"/>
      <w:lvlText w:val=""/>
      <w:lvlJc w:val="left"/>
      <w:pPr>
        <w:tabs>
          <w:tab w:val="left" w:pos="0"/>
        </w:tabs>
        <w:ind w:left="2940" w:hanging="420"/>
      </w:pPr>
      <w:rPr>
        <w:rFonts w:hint="default" w:ascii="Wingdings" w:hAnsi="Wingdings"/>
      </w:rPr>
    </w:lvl>
    <w:lvl w:ilvl="7" w:tentative="0">
      <w:start w:val="1"/>
      <w:numFmt w:val="bullet"/>
      <w:lvlText w:val=""/>
      <w:lvlJc w:val="left"/>
      <w:pPr>
        <w:tabs>
          <w:tab w:val="left" w:pos="0"/>
        </w:tabs>
        <w:ind w:left="3360" w:hanging="420"/>
      </w:pPr>
      <w:rPr>
        <w:rFonts w:hint="default" w:ascii="Wingdings" w:hAnsi="Wingdings"/>
      </w:rPr>
    </w:lvl>
    <w:lvl w:ilvl="8" w:tentative="0">
      <w:start w:val="1"/>
      <w:numFmt w:val="bullet"/>
      <w:lvlText w:val=""/>
      <w:lvlJc w:val="left"/>
      <w:pPr>
        <w:tabs>
          <w:tab w:val="left" w:pos="0"/>
        </w:tabs>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4"/>
      <w:lvlText w:val="%1."/>
      <w:lvlJc w:val="left"/>
      <w:pPr>
        <w:tabs>
          <w:tab w:val="left" w:pos="0"/>
        </w:tabs>
        <w:ind w:left="425" w:hanging="425"/>
      </w:pPr>
      <w:rPr>
        <w:rFonts w:hint="default"/>
      </w:rPr>
    </w:lvl>
  </w:abstractNum>
  <w:abstractNum w:abstractNumId="9">
    <w:nsid w:val="00000014"/>
    <w:multiLevelType w:val="singleLevel"/>
    <w:tmpl w:val="00000014"/>
    <w:lvl w:ilvl="0" w:tentative="0">
      <w:start w:val="1"/>
      <w:numFmt w:val="bullet"/>
      <w:pStyle w:val="30"/>
      <w:lvlText w:val=""/>
      <w:lvlJc w:val="left"/>
      <w:pPr>
        <w:tabs>
          <w:tab w:val="left" w:pos="0"/>
        </w:tabs>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175"/>
      <w:lvlText w:val="%1)"/>
      <w:lvlJc w:val="left"/>
      <w:pPr>
        <w:tabs>
          <w:tab w:val="left" w:pos="0"/>
        </w:tabs>
        <w:ind w:left="425" w:hanging="425"/>
      </w:pPr>
      <w:rPr>
        <w:rFonts w:hint="eastAsia"/>
      </w:rPr>
    </w:lvl>
  </w:abstractNum>
  <w:abstractNum w:abstractNumId="11">
    <w:nsid w:val="00000017"/>
    <w:multiLevelType w:val="multilevel"/>
    <w:tmpl w:val="00000017"/>
    <w:lvl w:ilvl="0" w:tentative="0">
      <w:start w:val="1"/>
      <w:numFmt w:val="chineseCountingThousand"/>
      <w:pStyle w:val="179"/>
      <w:lvlText w:val="%1、"/>
      <w:lvlJc w:val="left"/>
      <w:pPr>
        <w:tabs>
          <w:tab w:val="left" w:pos="0"/>
        </w:tabs>
        <w:ind w:left="420" w:hanging="42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2">
    <w:nsid w:val="5E7A3C32"/>
    <w:multiLevelType w:val="multilevel"/>
    <w:tmpl w:val="5E7A3C32"/>
    <w:lvl w:ilvl="0" w:tentative="0">
      <w:start w:val="1"/>
      <w:numFmt w:val="bullet"/>
      <w:lvlText w:val=""/>
      <w:lvlJc w:val="left"/>
      <w:pPr>
        <w:tabs>
          <w:tab w:val="left" w:pos="0"/>
        </w:tabs>
        <w:ind w:left="420" w:hanging="420"/>
      </w:pPr>
      <w:rPr>
        <w:rFonts w:hint="default" w:ascii="Wingdings" w:hAnsi="Wingdings"/>
      </w:rPr>
    </w:lvl>
    <w:lvl w:ilvl="1" w:tentative="0">
      <w:start w:val="1"/>
      <w:numFmt w:val="bullet"/>
      <w:lvlText w:val=""/>
      <w:lvlJc w:val="left"/>
      <w:pPr>
        <w:tabs>
          <w:tab w:val="left" w:pos="0"/>
        </w:tabs>
        <w:ind w:left="840" w:hanging="420"/>
      </w:pPr>
      <w:rPr>
        <w:rFonts w:hint="default" w:ascii="Wingdings" w:hAnsi="Wingdings"/>
      </w:rPr>
    </w:lvl>
    <w:lvl w:ilvl="2" w:tentative="0">
      <w:start w:val="1"/>
      <w:numFmt w:val="bullet"/>
      <w:pStyle w:val="77"/>
      <w:lvlText w:val=""/>
      <w:lvlJc w:val="left"/>
      <w:pPr>
        <w:tabs>
          <w:tab w:val="left" w:pos="0"/>
        </w:tabs>
        <w:ind w:left="1260" w:hanging="420"/>
      </w:pPr>
      <w:rPr>
        <w:rFonts w:hint="default" w:ascii="Wingdings" w:hAnsi="Wingdings"/>
      </w:rPr>
    </w:lvl>
    <w:lvl w:ilvl="3" w:tentative="0">
      <w:start w:val="1"/>
      <w:numFmt w:val="bullet"/>
      <w:lvlText w:val=""/>
      <w:lvlJc w:val="left"/>
      <w:pPr>
        <w:tabs>
          <w:tab w:val="left" w:pos="0"/>
        </w:tabs>
        <w:ind w:left="1680" w:hanging="420"/>
      </w:pPr>
      <w:rPr>
        <w:rFonts w:hint="default" w:ascii="Wingdings" w:hAnsi="Wingdings"/>
      </w:rPr>
    </w:lvl>
    <w:lvl w:ilvl="4" w:tentative="0">
      <w:start w:val="1"/>
      <w:numFmt w:val="bullet"/>
      <w:lvlText w:val=""/>
      <w:lvlJc w:val="left"/>
      <w:pPr>
        <w:tabs>
          <w:tab w:val="left" w:pos="0"/>
        </w:tabs>
        <w:ind w:left="2100" w:hanging="420"/>
      </w:pPr>
      <w:rPr>
        <w:rFonts w:hint="default" w:ascii="Wingdings" w:hAnsi="Wingdings"/>
      </w:rPr>
    </w:lvl>
    <w:lvl w:ilvl="5" w:tentative="0">
      <w:start w:val="1"/>
      <w:numFmt w:val="bullet"/>
      <w:lvlText w:val=""/>
      <w:lvlJc w:val="left"/>
      <w:pPr>
        <w:tabs>
          <w:tab w:val="left" w:pos="0"/>
        </w:tabs>
        <w:ind w:left="2520" w:hanging="420"/>
      </w:pPr>
      <w:rPr>
        <w:rFonts w:hint="default" w:ascii="Wingdings" w:hAnsi="Wingdings"/>
      </w:rPr>
    </w:lvl>
    <w:lvl w:ilvl="6" w:tentative="0">
      <w:start w:val="1"/>
      <w:numFmt w:val="bullet"/>
      <w:lvlText w:val=""/>
      <w:lvlJc w:val="left"/>
      <w:pPr>
        <w:tabs>
          <w:tab w:val="left" w:pos="0"/>
        </w:tabs>
        <w:ind w:left="2940" w:hanging="420"/>
      </w:pPr>
      <w:rPr>
        <w:rFonts w:hint="default" w:ascii="Wingdings" w:hAnsi="Wingdings"/>
      </w:rPr>
    </w:lvl>
    <w:lvl w:ilvl="7" w:tentative="0">
      <w:start w:val="1"/>
      <w:numFmt w:val="bullet"/>
      <w:lvlText w:val=""/>
      <w:lvlJc w:val="left"/>
      <w:pPr>
        <w:tabs>
          <w:tab w:val="left" w:pos="0"/>
        </w:tabs>
        <w:ind w:left="3360" w:hanging="420"/>
      </w:pPr>
      <w:rPr>
        <w:rFonts w:hint="default" w:ascii="Wingdings" w:hAnsi="Wingdings"/>
      </w:rPr>
    </w:lvl>
    <w:lvl w:ilvl="8" w:tentative="0">
      <w:start w:val="1"/>
      <w:numFmt w:val="bullet"/>
      <w:lvlText w:val=""/>
      <w:lvlJc w:val="left"/>
      <w:pPr>
        <w:tabs>
          <w:tab w:val="left" w:pos="0"/>
        </w:tabs>
        <w:ind w:left="3780" w:hanging="420"/>
      </w:pPr>
      <w:rPr>
        <w:rFonts w:hint="default" w:ascii="Wingdings" w:hAnsi="Wingdings"/>
      </w:rPr>
    </w:lvl>
  </w:abstractNum>
  <w:num w:numId="1">
    <w:abstractNumId w:val="8"/>
  </w:num>
  <w:num w:numId="2">
    <w:abstractNumId w:val="9"/>
  </w:num>
  <w:num w:numId="3">
    <w:abstractNumId w:val="12"/>
  </w:num>
  <w:num w:numId="4">
    <w:abstractNumId w:val="3"/>
  </w:num>
  <w:num w:numId="5">
    <w:abstractNumId w:val="4"/>
  </w:num>
  <w:num w:numId="6">
    <w:abstractNumId w:val="0"/>
  </w:num>
  <w:num w:numId="7">
    <w:abstractNumId w:val="7"/>
  </w:num>
  <w:num w:numId="8">
    <w:abstractNumId w:val="10"/>
  </w:num>
  <w:num w:numId="9">
    <w:abstractNumId w:val="11"/>
  </w:num>
  <w:num w:numId="10">
    <w:abstractNumId w:val="6"/>
  </w:num>
  <w:num w:numId="11">
    <w:abstractNumId w:val="1"/>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26"/>
  <w:drawingGridVerticalSpacing w:val="156"/>
  <w:displayHorizontalDrawingGridEvery w:val="0"/>
  <w:noPunctuationKerning w:val="1"/>
  <w:characterSpacingControl w:val="compressPunctuation"/>
  <w:compat>
    <w:spaceForUL/>
    <w:balanceSingleByteDoubleByteWidth/>
    <w:ulTrailSpace/>
    <w:doNotExpandShiftReturn/>
    <w:adjustLineHeightInTable/>
    <w:useFELayout/>
    <w:doNotUseIndentAsNumberingTabStop/>
    <w:compatSetting w:name="compatibilityMode" w:uri="http://schemas.microsoft.com/office/word" w:val="12"/>
  </w:compat>
  <w:docVars>
    <w:docVar w:name="commondata" w:val="eyJoZGlkIjoiNmRiMDc2MjM2ZGY1YzkyMWVlNmQxNjA4YTQ5OWIwMjMifQ=="/>
  </w:docVars>
  <w:rsids>
    <w:rsidRoot w:val="00F8011D"/>
    <w:rsid w:val="00001303"/>
    <w:rsid w:val="00025D45"/>
    <w:rsid w:val="000339C9"/>
    <w:rsid w:val="00034929"/>
    <w:rsid w:val="00054EF5"/>
    <w:rsid w:val="00063D16"/>
    <w:rsid w:val="00063ECD"/>
    <w:rsid w:val="000707C6"/>
    <w:rsid w:val="00071483"/>
    <w:rsid w:val="0009609C"/>
    <w:rsid w:val="000A7B64"/>
    <w:rsid w:val="000C3F62"/>
    <w:rsid w:val="000C68FF"/>
    <w:rsid w:val="000D42EF"/>
    <w:rsid w:val="000E0412"/>
    <w:rsid w:val="000F3295"/>
    <w:rsid w:val="000F3A51"/>
    <w:rsid w:val="00101496"/>
    <w:rsid w:val="001231BD"/>
    <w:rsid w:val="00134372"/>
    <w:rsid w:val="00137E66"/>
    <w:rsid w:val="00185466"/>
    <w:rsid w:val="001A575A"/>
    <w:rsid w:val="001D4C73"/>
    <w:rsid w:val="00244CC1"/>
    <w:rsid w:val="002700D6"/>
    <w:rsid w:val="002805F0"/>
    <w:rsid w:val="0034003E"/>
    <w:rsid w:val="0034063A"/>
    <w:rsid w:val="00343F62"/>
    <w:rsid w:val="00355867"/>
    <w:rsid w:val="00360FC2"/>
    <w:rsid w:val="00364654"/>
    <w:rsid w:val="00370C38"/>
    <w:rsid w:val="00383131"/>
    <w:rsid w:val="003836E0"/>
    <w:rsid w:val="00386212"/>
    <w:rsid w:val="003A7E7A"/>
    <w:rsid w:val="003E09F3"/>
    <w:rsid w:val="00416901"/>
    <w:rsid w:val="00417DC3"/>
    <w:rsid w:val="00441CBC"/>
    <w:rsid w:val="00443914"/>
    <w:rsid w:val="00447EA7"/>
    <w:rsid w:val="00472C62"/>
    <w:rsid w:val="004761CF"/>
    <w:rsid w:val="004836D7"/>
    <w:rsid w:val="00492D1A"/>
    <w:rsid w:val="00496B99"/>
    <w:rsid w:val="004B56F4"/>
    <w:rsid w:val="004B7026"/>
    <w:rsid w:val="004F34CA"/>
    <w:rsid w:val="004F7912"/>
    <w:rsid w:val="004F7AAB"/>
    <w:rsid w:val="00500638"/>
    <w:rsid w:val="005122C9"/>
    <w:rsid w:val="00540225"/>
    <w:rsid w:val="005736AE"/>
    <w:rsid w:val="005753B0"/>
    <w:rsid w:val="00575B71"/>
    <w:rsid w:val="00592FA5"/>
    <w:rsid w:val="005B61B5"/>
    <w:rsid w:val="005C6965"/>
    <w:rsid w:val="005D5233"/>
    <w:rsid w:val="005F2440"/>
    <w:rsid w:val="005F46EB"/>
    <w:rsid w:val="006007CC"/>
    <w:rsid w:val="00633E4F"/>
    <w:rsid w:val="0064515E"/>
    <w:rsid w:val="006528C9"/>
    <w:rsid w:val="006A3AB1"/>
    <w:rsid w:val="006C12FC"/>
    <w:rsid w:val="006E5BA2"/>
    <w:rsid w:val="00707848"/>
    <w:rsid w:val="007134A2"/>
    <w:rsid w:val="00742BD7"/>
    <w:rsid w:val="00757475"/>
    <w:rsid w:val="00766514"/>
    <w:rsid w:val="007711FC"/>
    <w:rsid w:val="00771836"/>
    <w:rsid w:val="00790E80"/>
    <w:rsid w:val="007B77A5"/>
    <w:rsid w:val="007D0CE1"/>
    <w:rsid w:val="007D648E"/>
    <w:rsid w:val="00802490"/>
    <w:rsid w:val="00810128"/>
    <w:rsid w:val="00824B15"/>
    <w:rsid w:val="00847B37"/>
    <w:rsid w:val="00851015"/>
    <w:rsid w:val="008551EF"/>
    <w:rsid w:val="00864CF5"/>
    <w:rsid w:val="0087058A"/>
    <w:rsid w:val="008C0018"/>
    <w:rsid w:val="008C028A"/>
    <w:rsid w:val="008E1073"/>
    <w:rsid w:val="008F341B"/>
    <w:rsid w:val="0093756E"/>
    <w:rsid w:val="00951EAB"/>
    <w:rsid w:val="009529A5"/>
    <w:rsid w:val="009669EE"/>
    <w:rsid w:val="00966C49"/>
    <w:rsid w:val="009718E3"/>
    <w:rsid w:val="00974E4D"/>
    <w:rsid w:val="00994564"/>
    <w:rsid w:val="009A1592"/>
    <w:rsid w:val="009B1D8F"/>
    <w:rsid w:val="009B30CD"/>
    <w:rsid w:val="009E4AEC"/>
    <w:rsid w:val="009F21BE"/>
    <w:rsid w:val="00A06BA6"/>
    <w:rsid w:val="00A11700"/>
    <w:rsid w:val="00A3239E"/>
    <w:rsid w:val="00A440CE"/>
    <w:rsid w:val="00AA2D1D"/>
    <w:rsid w:val="00AC7A66"/>
    <w:rsid w:val="00AD0C16"/>
    <w:rsid w:val="00AE119A"/>
    <w:rsid w:val="00AF0752"/>
    <w:rsid w:val="00AF2A12"/>
    <w:rsid w:val="00AF6462"/>
    <w:rsid w:val="00B01E44"/>
    <w:rsid w:val="00B031D9"/>
    <w:rsid w:val="00B07D65"/>
    <w:rsid w:val="00B1067C"/>
    <w:rsid w:val="00B130A4"/>
    <w:rsid w:val="00B34AF5"/>
    <w:rsid w:val="00B421B9"/>
    <w:rsid w:val="00B46A8B"/>
    <w:rsid w:val="00B51D7C"/>
    <w:rsid w:val="00B567B5"/>
    <w:rsid w:val="00B71F14"/>
    <w:rsid w:val="00B84D50"/>
    <w:rsid w:val="00B96DB5"/>
    <w:rsid w:val="00BA0E0A"/>
    <w:rsid w:val="00BC2B55"/>
    <w:rsid w:val="00BD50C6"/>
    <w:rsid w:val="00BF68B4"/>
    <w:rsid w:val="00C00677"/>
    <w:rsid w:val="00C0402F"/>
    <w:rsid w:val="00C05306"/>
    <w:rsid w:val="00C0788E"/>
    <w:rsid w:val="00C11341"/>
    <w:rsid w:val="00C52726"/>
    <w:rsid w:val="00C94049"/>
    <w:rsid w:val="00CA63AA"/>
    <w:rsid w:val="00CB0BAD"/>
    <w:rsid w:val="00CC2250"/>
    <w:rsid w:val="00CC2B8E"/>
    <w:rsid w:val="00CC588F"/>
    <w:rsid w:val="00CE1B39"/>
    <w:rsid w:val="00CE35AE"/>
    <w:rsid w:val="00CE3C73"/>
    <w:rsid w:val="00CF7FFC"/>
    <w:rsid w:val="00D10715"/>
    <w:rsid w:val="00D33507"/>
    <w:rsid w:val="00D621E1"/>
    <w:rsid w:val="00D85D34"/>
    <w:rsid w:val="00DC4756"/>
    <w:rsid w:val="00DE79A3"/>
    <w:rsid w:val="00E21BD9"/>
    <w:rsid w:val="00E65025"/>
    <w:rsid w:val="00E732DF"/>
    <w:rsid w:val="00E80378"/>
    <w:rsid w:val="00EA478B"/>
    <w:rsid w:val="00F0291B"/>
    <w:rsid w:val="00F05D2D"/>
    <w:rsid w:val="00F24251"/>
    <w:rsid w:val="00F5302F"/>
    <w:rsid w:val="00F754B4"/>
    <w:rsid w:val="00F8011D"/>
    <w:rsid w:val="00F8474E"/>
    <w:rsid w:val="00FA04C8"/>
    <w:rsid w:val="00FB04E6"/>
    <w:rsid w:val="00FB2690"/>
    <w:rsid w:val="00FB5F63"/>
    <w:rsid w:val="00FD5CE4"/>
    <w:rsid w:val="00FD62AC"/>
    <w:rsid w:val="00FD7368"/>
    <w:rsid w:val="00FE30A1"/>
    <w:rsid w:val="00FE50C0"/>
    <w:rsid w:val="00FF185F"/>
    <w:rsid w:val="01BD6429"/>
    <w:rsid w:val="028C6335"/>
    <w:rsid w:val="04496B69"/>
    <w:rsid w:val="044D2712"/>
    <w:rsid w:val="0C2B09D6"/>
    <w:rsid w:val="0D6A46B1"/>
    <w:rsid w:val="12EF3359"/>
    <w:rsid w:val="133201DC"/>
    <w:rsid w:val="133A1575"/>
    <w:rsid w:val="137A3EAD"/>
    <w:rsid w:val="16100AFF"/>
    <w:rsid w:val="168A083F"/>
    <w:rsid w:val="16CF5E02"/>
    <w:rsid w:val="17517AAC"/>
    <w:rsid w:val="182830D7"/>
    <w:rsid w:val="1A1D7730"/>
    <w:rsid w:val="1CFB6B76"/>
    <w:rsid w:val="1E99309E"/>
    <w:rsid w:val="21263596"/>
    <w:rsid w:val="22042467"/>
    <w:rsid w:val="244F1E44"/>
    <w:rsid w:val="26491CBF"/>
    <w:rsid w:val="291E67ED"/>
    <w:rsid w:val="2A327B6A"/>
    <w:rsid w:val="2C133AA5"/>
    <w:rsid w:val="2C7F22C6"/>
    <w:rsid w:val="2E884DBD"/>
    <w:rsid w:val="30CB6B66"/>
    <w:rsid w:val="30DC38C3"/>
    <w:rsid w:val="311F1C3B"/>
    <w:rsid w:val="3177065A"/>
    <w:rsid w:val="32257D1B"/>
    <w:rsid w:val="336851F8"/>
    <w:rsid w:val="336A31F3"/>
    <w:rsid w:val="343B3FB1"/>
    <w:rsid w:val="35D31B89"/>
    <w:rsid w:val="392C147D"/>
    <w:rsid w:val="396724D0"/>
    <w:rsid w:val="3B632B7A"/>
    <w:rsid w:val="3BAB6C2A"/>
    <w:rsid w:val="3BF857AB"/>
    <w:rsid w:val="3C353A10"/>
    <w:rsid w:val="3E8A31A2"/>
    <w:rsid w:val="3EDD6834"/>
    <w:rsid w:val="3EEF12B8"/>
    <w:rsid w:val="3FE62C38"/>
    <w:rsid w:val="42430DDF"/>
    <w:rsid w:val="42C54884"/>
    <w:rsid w:val="44D373DA"/>
    <w:rsid w:val="454D5577"/>
    <w:rsid w:val="474B46F2"/>
    <w:rsid w:val="474E69BC"/>
    <w:rsid w:val="480C1C24"/>
    <w:rsid w:val="48FB5D34"/>
    <w:rsid w:val="4925216C"/>
    <w:rsid w:val="4B7D3E1E"/>
    <w:rsid w:val="4DD30361"/>
    <w:rsid w:val="4E2B7EDD"/>
    <w:rsid w:val="4ECC2160"/>
    <w:rsid w:val="51EB103B"/>
    <w:rsid w:val="53D923AB"/>
    <w:rsid w:val="574071A4"/>
    <w:rsid w:val="57D64FA4"/>
    <w:rsid w:val="582349A4"/>
    <w:rsid w:val="58A600B4"/>
    <w:rsid w:val="58C678EE"/>
    <w:rsid w:val="590C5993"/>
    <w:rsid w:val="59932E16"/>
    <w:rsid w:val="5AF21CB4"/>
    <w:rsid w:val="5B766A91"/>
    <w:rsid w:val="5DC42740"/>
    <w:rsid w:val="5E240B5D"/>
    <w:rsid w:val="60247101"/>
    <w:rsid w:val="61EB1697"/>
    <w:rsid w:val="62B45691"/>
    <w:rsid w:val="630614DF"/>
    <w:rsid w:val="63E552FB"/>
    <w:rsid w:val="66817D3D"/>
    <w:rsid w:val="66C71792"/>
    <w:rsid w:val="675A6205"/>
    <w:rsid w:val="68C51DCE"/>
    <w:rsid w:val="69957EAE"/>
    <w:rsid w:val="69E24374"/>
    <w:rsid w:val="6A7476A4"/>
    <w:rsid w:val="6BD31315"/>
    <w:rsid w:val="6D3558B7"/>
    <w:rsid w:val="6D8F3536"/>
    <w:rsid w:val="6E2860C8"/>
    <w:rsid w:val="70332F92"/>
    <w:rsid w:val="70A9549D"/>
    <w:rsid w:val="71911819"/>
    <w:rsid w:val="720D5704"/>
    <w:rsid w:val="72FC3B45"/>
    <w:rsid w:val="73BA22F0"/>
    <w:rsid w:val="73F975F3"/>
    <w:rsid w:val="7463267F"/>
    <w:rsid w:val="746F679B"/>
    <w:rsid w:val="798547FD"/>
    <w:rsid w:val="79E20E39"/>
    <w:rsid w:val="7A39688B"/>
    <w:rsid w:val="7A885852"/>
    <w:rsid w:val="7B16098B"/>
    <w:rsid w:val="7B231095"/>
    <w:rsid w:val="7CBA73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qFormat="1" w:unhideWhenUsed="0" w:uiPriority="0" w:semiHidden="0" w:name="index 7"/>
    <w:lsdException w:uiPriority="0" w:name="index 8"/>
    <w:lsdException w:uiPriority="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0" w:semiHidden="0" w:name="toa heading"/>
    <w:lsdException w:unhideWhenUsed="0" w:uiPriority="0" w:semiHidden="0" w:name="List"/>
    <w:lsdException w:unhideWhenUsed="0" w:uiPriority="0" w:semiHidden="0" w:name="List Bullet"/>
    <w:lsdException w:uiPriority="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3">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12">
    <w:name w:val="List 3"/>
    <w:basedOn w:val="1"/>
    <w:qFormat/>
    <w:uiPriority w:val="0"/>
    <w:pPr>
      <w:adjustRightInd w:val="0"/>
      <w:snapToGrid w:val="0"/>
      <w:spacing w:line="360" w:lineRule="auto"/>
      <w:ind w:left="600" w:leftChars="400" w:hanging="200" w:hangingChars="200"/>
    </w:pPr>
    <w:rPr>
      <w:sz w:val="24"/>
    </w:rPr>
  </w:style>
  <w:style w:type="paragraph" w:styleId="13">
    <w:name w:val="toc 7"/>
    <w:basedOn w:val="1"/>
    <w:next w:val="1"/>
    <w:qFormat/>
    <w:uiPriority w:val="0"/>
    <w:pPr>
      <w:ind w:left="1200" w:leftChars="1200"/>
    </w:pPr>
  </w:style>
  <w:style w:type="paragraph" w:styleId="14">
    <w:name w:val="List Number 2"/>
    <w:basedOn w:val="1"/>
    <w:qFormat/>
    <w:uiPriority w:val="0"/>
    <w:pPr>
      <w:numPr>
        <w:ilvl w:val="0"/>
        <w:numId w:val="1"/>
      </w:numPr>
      <w:tabs>
        <w:tab w:val="left" w:pos="780"/>
      </w:tabs>
      <w:spacing w:line="360" w:lineRule="auto"/>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qFormat/>
    <w:uiPriority w:val="0"/>
    <w:pPr>
      <w:adjustRightInd w:val="0"/>
      <w:spacing w:line="360" w:lineRule="atLeast"/>
      <w:jc w:val="left"/>
      <w:textAlignment w:val="baseline"/>
    </w:pPr>
    <w:rPr>
      <w:kern w:val="0"/>
      <w:sz w:val="24"/>
    </w:rPr>
  </w:style>
  <w:style w:type="paragraph" w:styleId="21">
    <w:name w:val="Salutation"/>
    <w:basedOn w:val="1"/>
    <w:next w:val="1"/>
    <w:qFormat/>
    <w:uiPriority w:val="0"/>
    <w:rPr>
      <w:kern w:val="0"/>
      <w:sz w:val="18"/>
    </w:rPr>
  </w:style>
  <w:style w:type="paragraph" w:styleId="22">
    <w:name w:val="Body Text 3"/>
    <w:basedOn w:val="1"/>
    <w:qFormat/>
    <w:uiPriority w:val="0"/>
    <w:pPr>
      <w:adjustRightInd w:val="0"/>
      <w:snapToGrid w:val="0"/>
      <w:spacing w:after="120" w:line="360" w:lineRule="auto"/>
    </w:pPr>
    <w:rPr>
      <w:sz w:val="16"/>
    </w:rPr>
  </w:style>
  <w:style w:type="paragraph" w:styleId="23">
    <w:name w:val="List Bullet 3"/>
    <w:basedOn w:val="1"/>
    <w:qFormat/>
    <w:uiPriority w:val="0"/>
    <w:pPr>
      <w:tabs>
        <w:tab w:val="left" w:pos="1200"/>
      </w:tabs>
      <w:adjustRightInd w:val="0"/>
      <w:snapToGrid w:val="0"/>
      <w:spacing w:line="360" w:lineRule="auto"/>
      <w:ind w:left="1200" w:hanging="360"/>
    </w:pPr>
    <w:rPr>
      <w:sz w:val="24"/>
    </w:rPr>
  </w:style>
  <w:style w:type="paragraph" w:styleId="24">
    <w:name w:val="Body Text"/>
    <w:basedOn w:val="1"/>
    <w:next w:val="25"/>
    <w:qFormat/>
    <w:uiPriority w:val="0"/>
    <w:rPr>
      <w:rFonts w:ascii="仿宋_GB2312" w:eastAsia="仿宋_GB2312"/>
      <w:sz w:val="32"/>
    </w:rPr>
  </w:style>
  <w:style w:type="paragraph" w:styleId="25">
    <w:name w:val="index 7"/>
    <w:basedOn w:val="1"/>
    <w:next w:val="1"/>
    <w:qFormat/>
    <w:uiPriority w:val="0"/>
    <w:pPr>
      <w:ind w:left="2520"/>
    </w:pPr>
  </w:style>
  <w:style w:type="paragraph" w:styleId="26">
    <w:name w:val="Body Text Indent"/>
    <w:basedOn w:val="1"/>
    <w:qFormat/>
    <w:uiPriority w:val="0"/>
    <w:pPr>
      <w:spacing w:line="700" w:lineRule="exact"/>
      <w:ind w:left="960"/>
    </w:pPr>
    <w:rPr>
      <w:sz w:val="44"/>
    </w:rPr>
  </w:style>
  <w:style w:type="paragraph" w:styleId="27">
    <w:name w:val="List Number 3"/>
    <w:basedOn w:val="1"/>
    <w:qFormat/>
    <w:uiPriority w:val="0"/>
    <w:pPr>
      <w:tabs>
        <w:tab w:val="left" w:pos="2120"/>
      </w:tabs>
      <w:adjustRightInd w:val="0"/>
      <w:snapToGrid w:val="0"/>
      <w:spacing w:line="360" w:lineRule="auto"/>
      <w:ind w:left="2120" w:hanging="720"/>
    </w:pPr>
    <w:rPr>
      <w:sz w:val="24"/>
    </w:rPr>
  </w:style>
  <w:style w:type="paragraph" w:styleId="28">
    <w:name w:val="List 2"/>
    <w:basedOn w:val="1"/>
    <w:qFormat/>
    <w:uiPriority w:val="0"/>
    <w:pPr>
      <w:adjustRightInd w:val="0"/>
      <w:snapToGrid w:val="0"/>
      <w:spacing w:line="360" w:lineRule="auto"/>
      <w:ind w:left="400" w:leftChars="200" w:hanging="200" w:hangingChars="200"/>
    </w:pPr>
    <w:rPr>
      <w:sz w:val="24"/>
    </w:rPr>
  </w:style>
  <w:style w:type="paragraph" w:styleId="29">
    <w:name w:val="List Continue"/>
    <w:basedOn w:val="1"/>
    <w:qFormat/>
    <w:uiPriority w:val="0"/>
    <w:pPr>
      <w:adjustRightInd w:val="0"/>
      <w:snapToGrid w:val="0"/>
      <w:spacing w:after="120" w:line="360" w:lineRule="auto"/>
      <w:ind w:left="200" w:leftChars="200"/>
    </w:pPr>
    <w:rPr>
      <w:sz w:val="24"/>
    </w:rPr>
  </w:style>
  <w:style w:type="paragraph" w:styleId="30">
    <w:name w:val="List Bullet 2"/>
    <w:basedOn w:val="1"/>
    <w:qFormat/>
    <w:uiPriority w:val="0"/>
    <w:pPr>
      <w:numPr>
        <w:ilvl w:val="0"/>
        <w:numId w:val="2"/>
      </w:numPr>
      <w:adjustRightInd w:val="0"/>
      <w:snapToGrid w:val="0"/>
      <w:spacing w:line="360" w:lineRule="auto"/>
    </w:pPr>
    <w:rPr>
      <w:sz w:val="24"/>
    </w:rPr>
  </w:style>
  <w:style w:type="paragraph" w:styleId="31">
    <w:name w:val="toc 5"/>
    <w:basedOn w:val="1"/>
    <w:next w:val="1"/>
    <w:qFormat/>
    <w:uiPriority w:val="0"/>
    <w:pPr>
      <w:ind w:left="800" w:leftChars="800"/>
    </w:pPr>
  </w:style>
  <w:style w:type="paragraph" w:styleId="32">
    <w:name w:val="toc 3"/>
    <w:basedOn w:val="1"/>
    <w:next w:val="1"/>
    <w:qFormat/>
    <w:uiPriority w:val="39"/>
    <w:pPr>
      <w:ind w:left="400" w:leftChars="400"/>
    </w:pPr>
  </w:style>
  <w:style w:type="paragraph" w:styleId="33">
    <w:name w:val="Plain Text"/>
    <w:basedOn w:val="1"/>
    <w:qFormat/>
    <w:uiPriority w:val="0"/>
    <w:rPr>
      <w:rFonts w:ascii="宋体"/>
      <w:sz w:val="21"/>
    </w:rPr>
  </w:style>
  <w:style w:type="paragraph" w:styleId="34">
    <w:name w:val="toc 8"/>
    <w:basedOn w:val="1"/>
    <w:next w:val="1"/>
    <w:qFormat/>
    <w:uiPriority w:val="0"/>
    <w:pPr>
      <w:ind w:left="1400" w:leftChars="1400"/>
    </w:pPr>
  </w:style>
  <w:style w:type="paragraph" w:styleId="35">
    <w:name w:val="Date"/>
    <w:basedOn w:val="1"/>
    <w:next w:val="1"/>
    <w:qFormat/>
    <w:uiPriority w:val="0"/>
  </w:style>
  <w:style w:type="paragraph" w:styleId="36">
    <w:name w:val="Body Text Indent 2"/>
    <w:basedOn w:val="1"/>
    <w:qFormat/>
    <w:uiPriority w:val="0"/>
    <w:pPr>
      <w:snapToGrid w:val="0"/>
      <w:spacing w:line="560" w:lineRule="atLeast"/>
      <w:ind w:firstLine="540"/>
    </w:pPr>
  </w:style>
  <w:style w:type="paragraph" w:styleId="37">
    <w:name w:val="Balloon Text"/>
    <w:basedOn w:val="1"/>
    <w:qFormat/>
    <w:uiPriority w:val="0"/>
    <w:rPr>
      <w:sz w:val="18"/>
    </w:rPr>
  </w:style>
  <w:style w:type="paragraph" w:styleId="38">
    <w:name w:val="footer"/>
    <w:basedOn w:val="1"/>
    <w:link w:val="295"/>
    <w:qFormat/>
    <w:uiPriority w:val="99"/>
    <w:pPr>
      <w:tabs>
        <w:tab w:val="center" w:pos="4153"/>
        <w:tab w:val="right" w:pos="8306"/>
      </w:tabs>
      <w:snapToGrid w:val="0"/>
      <w:jc w:val="left"/>
    </w:pPr>
    <w:rPr>
      <w:sz w:val="18"/>
    </w:rPr>
  </w:style>
  <w:style w:type="paragraph" w:styleId="39">
    <w:name w:val="header"/>
    <w:basedOn w:val="1"/>
    <w:link w:val="296"/>
    <w:qFormat/>
    <w:uiPriority w:val="99"/>
    <w:pPr>
      <w:pBdr>
        <w:bottom w:val="single" w:color="auto" w:sz="6" w:space="1"/>
      </w:pBdr>
      <w:tabs>
        <w:tab w:val="center" w:pos="4153"/>
        <w:tab w:val="right" w:pos="8306"/>
      </w:tabs>
      <w:snapToGrid w:val="0"/>
      <w:jc w:val="center"/>
    </w:pPr>
    <w:rPr>
      <w:sz w:val="18"/>
    </w:rPr>
  </w:style>
  <w:style w:type="paragraph" w:styleId="40">
    <w:name w:val="toc 1"/>
    <w:basedOn w:val="1"/>
    <w:next w:val="1"/>
    <w:qFormat/>
    <w:uiPriority w:val="0"/>
    <w:pPr>
      <w:spacing w:line="180" w:lineRule="auto"/>
      <w:jc w:val="center"/>
    </w:pPr>
    <w:rPr>
      <w:sz w:val="30"/>
    </w:rPr>
  </w:style>
  <w:style w:type="paragraph" w:styleId="41">
    <w:name w:val="List Continue 4"/>
    <w:basedOn w:val="1"/>
    <w:qFormat/>
    <w:uiPriority w:val="0"/>
    <w:pPr>
      <w:adjustRightInd w:val="0"/>
      <w:snapToGrid w:val="0"/>
      <w:spacing w:after="120" w:line="360" w:lineRule="auto"/>
      <w:ind w:left="800" w:leftChars="800"/>
    </w:pPr>
    <w:rPr>
      <w:sz w:val="24"/>
    </w:rPr>
  </w:style>
  <w:style w:type="paragraph" w:styleId="42">
    <w:name w:val="toc 4"/>
    <w:basedOn w:val="1"/>
    <w:next w:val="1"/>
    <w:qFormat/>
    <w:uiPriority w:val="0"/>
    <w:pPr>
      <w:ind w:left="600" w:leftChars="600"/>
    </w:pPr>
  </w:style>
  <w:style w:type="paragraph" w:styleId="43">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44">
    <w:name w:val="footnote text"/>
    <w:basedOn w:val="1"/>
    <w:qFormat/>
    <w:uiPriority w:val="0"/>
    <w:pPr>
      <w:spacing w:line="360" w:lineRule="auto"/>
    </w:pPr>
    <w:rPr>
      <w:sz w:val="18"/>
    </w:rPr>
  </w:style>
  <w:style w:type="paragraph" w:styleId="45">
    <w:name w:val="toc 6"/>
    <w:basedOn w:val="1"/>
    <w:next w:val="1"/>
    <w:qFormat/>
    <w:uiPriority w:val="0"/>
    <w:pPr>
      <w:ind w:left="1000" w:leftChars="1000"/>
    </w:pPr>
  </w:style>
  <w:style w:type="paragraph" w:styleId="46">
    <w:name w:val="List 5"/>
    <w:basedOn w:val="1"/>
    <w:qFormat/>
    <w:uiPriority w:val="0"/>
    <w:pPr>
      <w:adjustRightInd w:val="0"/>
      <w:snapToGrid w:val="0"/>
      <w:spacing w:line="360" w:lineRule="auto"/>
      <w:ind w:left="1000" w:leftChars="800" w:hanging="200" w:hangingChars="200"/>
    </w:pPr>
    <w:rPr>
      <w:sz w:val="24"/>
    </w:rPr>
  </w:style>
  <w:style w:type="paragraph" w:styleId="47">
    <w:name w:val="Body Text Indent 3"/>
    <w:basedOn w:val="1"/>
    <w:qFormat/>
    <w:uiPriority w:val="0"/>
    <w:pPr>
      <w:spacing w:line="360" w:lineRule="auto"/>
      <w:ind w:firstLine="632"/>
    </w:pPr>
    <w:rPr>
      <w:rFonts w:ascii="黑体" w:eastAsia="黑体"/>
    </w:rPr>
  </w:style>
  <w:style w:type="paragraph" w:styleId="48">
    <w:name w:val="table of figures"/>
    <w:basedOn w:val="1"/>
    <w:next w:val="1"/>
    <w:qFormat/>
    <w:uiPriority w:val="0"/>
    <w:pPr>
      <w:tabs>
        <w:tab w:val="right" w:leader="dot" w:pos="8640"/>
      </w:tabs>
      <w:spacing w:line="360" w:lineRule="auto"/>
      <w:ind w:left="400" w:hanging="400"/>
    </w:pPr>
    <w:rPr>
      <w:sz w:val="24"/>
    </w:rPr>
  </w:style>
  <w:style w:type="paragraph" w:styleId="49">
    <w:name w:val="toc 2"/>
    <w:basedOn w:val="1"/>
    <w:next w:val="1"/>
    <w:qFormat/>
    <w:uiPriority w:val="39"/>
    <w:pPr>
      <w:ind w:left="200" w:leftChars="200"/>
    </w:pPr>
  </w:style>
  <w:style w:type="paragraph" w:styleId="50">
    <w:name w:val="toc 9"/>
    <w:basedOn w:val="1"/>
    <w:next w:val="1"/>
    <w:qFormat/>
    <w:uiPriority w:val="0"/>
    <w:pPr>
      <w:ind w:left="1600" w:leftChars="1600"/>
    </w:pPr>
  </w:style>
  <w:style w:type="paragraph" w:styleId="51">
    <w:name w:val="Body Text 2"/>
    <w:basedOn w:val="1"/>
    <w:qFormat/>
    <w:uiPriority w:val="0"/>
    <w:pPr>
      <w:adjustRightInd w:val="0"/>
      <w:snapToGrid w:val="0"/>
      <w:spacing w:after="120" w:line="480" w:lineRule="auto"/>
    </w:pPr>
    <w:rPr>
      <w:sz w:val="24"/>
    </w:rPr>
  </w:style>
  <w:style w:type="paragraph" w:styleId="52">
    <w:name w:val="List 4"/>
    <w:basedOn w:val="1"/>
    <w:qFormat/>
    <w:uiPriority w:val="0"/>
    <w:pPr>
      <w:adjustRightInd w:val="0"/>
      <w:snapToGrid w:val="0"/>
      <w:spacing w:line="360" w:lineRule="auto"/>
      <w:ind w:left="800" w:leftChars="600" w:hanging="200" w:hangingChars="200"/>
    </w:pPr>
    <w:rPr>
      <w:sz w:val="24"/>
    </w:rPr>
  </w:style>
  <w:style w:type="paragraph" w:styleId="53">
    <w:name w:val="List Continue 2"/>
    <w:basedOn w:val="1"/>
    <w:qFormat/>
    <w:uiPriority w:val="0"/>
    <w:pPr>
      <w:adjustRightInd w:val="0"/>
      <w:snapToGrid w:val="0"/>
      <w:spacing w:after="120" w:line="360" w:lineRule="auto"/>
      <w:ind w:left="400" w:leftChars="400"/>
    </w:pPr>
    <w:rPr>
      <w:sz w:val="24"/>
    </w:rPr>
  </w:style>
  <w:style w:type="paragraph" w:styleId="54">
    <w:name w:val="Normal (Web)"/>
    <w:basedOn w:val="1"/>
    <w:qFormat/>
    <w:uiPriority w:val="0"/>
    <w:pPr>
      <w:widowControl/>
      <w:spacing w:before="100" w:beforeAutospacing="1" w:after="100" w:afterAutospacing="1"/>
      <w:jc w:val="left"/>
    </w:pPr>
    <w:rPr>
      <w:rFonts w:ascii="宋体"/>
      <w:kern w:val="0"/>
      <w:sz w:val="24"/>
    </w:rPr>
  </w:style>
  <w:style w:type="paragraph" w:styleId="55">
    <w:name w:val="List Continue 3"/>
    <w:basedOn w:val="1"/>
    <w:qFormat/>
    <w:uiPriority w:val="0"/>
    <w:pPr>
      <w:adjustRightInd w:val="0"/>
      <w:snapToGrid w:val="0"/>
      <w:spacing w:after="120" w:line="360" w:lineRule="auto"/>
      <w:ind w:left="600" w:leftChars="600"/>
    </w:pPr>
    <w:rPr>
      <w:sz w:val="24"/>
    </w:rPr>
  </w:style>
  <w:style w:type="paragraph" w:styleId="56">
    <w:name w:val="index 1"/>
    <w:basedOn w:val="1"/>
    <w:next w:val="1"/>
    <w:qFormat/>
    <w:uiPriority w:val="0"/>
    <w:pPr>
      <w:adjustRightInd w:val="0"/>
      <w:spacing w:line="240" w:lineRule="atLeast"/>
      <w:textAlignment w:val="baseline"/>
    </w:pPr>
    <w:rPr>
      <w:rFonts w:ascii="宋体"/>
      <w:kern w:val="0"/>
      <w:sz w:val="21"/>
    </w:rPr>
  </w:style>
  <w:style w:type="paragraph" w:styleId="57">
    <w:name w:val="Title"/>
    <w:basedOn w:val="58"/>
    <w:qFormat/>
    <w:uiPriority w:val="0"/>
    <w:pPr>
      <w:spacing w:after="240" w:line="360" w:lineRule="auto"/>
      <w:jc w:val="center"/>
    </w:pPr>
    <w:rPr>
      <w:rFonts w:ascii="Arial" w:hAnsi="Arial"/>
      <w:b/>
      <w:smallCaps/>
      <w:kern w:val="28"/>
      <w:sz w:val="36"/>
    </w:rPr>
  </w:style>
  <w:style w:type="paragraph" w:customStyle="1" w:styleId="58">
    <w:name w:val="正文（绿盟科技）"/>
    <w:qFormat/>
    <w:uiPriority w:val="0"/>
    <w:pPr>
      <w:spacing w:line="300" w:lineRule="auto"/>
    </w:pPr>
    <w:rPr>
      <w:rFonts w:ascii="Times New Roman" w:hAnsi="Times New Roman" w:eastAsia="宋体" w:cs="Times New Roman"/>
      <w:sz w:val="21"/>
      <w:szCs w:val="21"/>
      <w:lang w:val="en-US" w:eastAsia="zh-CN" w:bidi="ar-SA"/>
    </w:rPr>
  </w:style>
  <w:style w:type="paragraph" w:styleId="59">
    <w:name w:val="annotation subject"/>
    <w:basedOn w:val="20"/>
    <w:next w:val="20"/>
    <w:qFormat/>
    <w:uiPriority w:val="0"/>
    <w:pPr>
      <w:adjustRightInd/>
      <w:spacing w:line="240" w:lineRule="auto"/>
      <w:textAlignment w:val="auto"/>
    </w:pPr>
  </w:style>
  <w:style w:type="paragraph" w:styleId="60">
    <w:name w:val="Body Text First Indent"/>
    <w:basedOn w:val="1"/>
    <w:qFormat/>
    <w:uiPriority w:val="0"/>
    <w:pPr>
      <w:spacing w:line="360" w:lineRule="auto"/>
      <w:ind w:firstLine="420"/>
    </w:pPr>
    <w:rPr>
      <w:rFonts w:ascii="宋体"/>
      <w:sz w:val="24"/>
    </w:rPr>
  </w:style>
  <w:style w:type="paragraph" w:styleId="61">
    <w:name w:val="Body Text First Indent 2"/>
    <w:basedOn w:val="26"/>
    <w:qFormat/>
    <w:uiPriority w:val="0"/>
    <w:pPr>
      <w:spacing w:after="120" w:line="240" w:lineRule="auto"/>
      <w:ind w:left="200" w:leftChars="200" w:firstLine="200" w:firstLineChars="200"/>
    </w:pPr>
  </w:style>
  <w:style w:type="character" w:styleId="64">
    <w:name w:val="Strong"/>
    <w:qFormat/>
    <w:uiPriority w:val="0"/>
    <w:rPr>
      <w:b/>
    </w:rPr>
  </w:style>
  <w:style w:type="character" w:styleId="65">
    <w:name w:val="page number"/>
    <w:basedOn w:val="63"/>
    <w:qFormat/>
    <w:uiPriority w:val="0"/>
  </w:style>
  <w:style w:type="character" w:styleId="66">
    <w:name w:val="FollowedHyperlink"/>
    <w:qFormat/>
    <w:uiPriority w:val="0"/>
    <w:rPr>
      <w:color w:val="800080"/>
      <w:u w:val="single"/>
    </w:rPr>
  </w:style>
  <w:style w:type="character" w:styleId="67">
    <w:name w:val="Emphasis"/>
    <w:qFormat/>
    <w:uiPriority w:val="0"/>
    <w:rPr>
      <w:i/>
    </w:rPr>
  </w:style>
  <w:style w:type="character" w:styleId="68">
    <w:name w:val="Hyperlink"/>
    <w:qFormat/>
    <w:uiPriority w:val="99"/>
    <w:rPr>
      <w:color w:val="0000FF"/>
      <w:u w:val="single"/>
    </w:rPr>
  </w:style>
  <w:style w:type="character" w:styleId="69">
    <w:name w:val="annotation reference"/>
    <w:qFormat/>
    <w:uiPriority w:val="0"/>
    <w:rPr>
      <w:sz w:val="21"/>
      <w:szCs w:val="21"/>
    </w:rPr>
  </w:style>
  <w:style w:type="character" w:styleId="70">
    <w:name w:val="footnote reference"/>
    <w:qFormat/>
    <w:uiPriority w:val="0"/>
    <w:rPr>
      <w:position w:val="6"/>
      <w:sz w:val="14"/>
      <w:vertAlign w:val="superscript"/>
    </w:rPr>
  </w:style>
  <w:style w:type="character" w:customStyle="1" w:styleId="71">
    <w:name w:val="正文 + 三号 Char"/>
    <w:qFormat/>
    <w:uiPriority w:val="0"/>
    <w:rPr>
      <w:rFonts w:eastAsia="宋体"/>
      <w:kern w:val="2"/>
      <w:sz w:val="21"/>
      <w:lang w:val="en-US" w:eastAsia="zh-CN"/>
    </w:rPr>
  </w:style>
  <w:style w:type="character" w:customStyle="1" w:styleId="72">
    <w:name w:val="正文文本缩进 Char"/>
    <w:qFormat/>
    <w:uiPriority w:val="0"/>
    <w:rPr>
      <w:kern w:val="2"/>
      <w:sz w:val="44"/>
    </w:rPr>
  </w:style>
  <w:style w:type="character" w:customStyle="1" w:styleId="73">
    <w:name w:val="日期 字符1"/>
    <w:qFormat/>
    <w:uiPriority w:val="0"/>
    <w:rPr>
      <w:rFonts w:ascii="Times New Roman" w:hAnsi="Times New Roman" w:eastAsia="宋体" w:cs="Times New Roman"/>
      <w:kern w:val="2"/>
      <w:sz w:val="28"/>
    </w:rPr>
  </w:style>
  <w:style w:type="character" w:customStyle="1" w:styleId="74">
    <w:name w:val="H2 Char"/>
    <w:qFormat/>
    <w:uiPriority w:val="0"/>
    <w:rPr>
      <w:rFonts w:ascii="Arial" w:hAnsi="Arial" w:eastAsia="宋体"/>
      <w:kern w:val="2"/>
      <w:sz w:val="28"/>
      <w:lang w:val="en-US" w:eastAsia="zh-CN"/>
    </w:rPr>
  </w:style>
  <w:style w:type="character" w:customStyle="1" w:styleId="75">
    <w:name w:val="无"/>
    <w:qFormat/>
    <w:uiPriority w:val="0"/>
    <w:rPr>
      <w:rFonts w:ascii="Times New Roman" w:hAnsi="Times New Roman" w:eastAsia="宋体" w:cs="Times New Roman"/>
    </w:rPr>
  </w:style>
  <w:style w:type="character" w:customStyle="1" w:styleId="76">
    <w:name w:val="日期 Char"/>
    <w:qFormat/>
    <w:uiPriority w:val="0"/>
    <w:rPr>
      <w:kern w:val="2"/>
      <w:sz w:val="28"/>
    </w:rPr>
  </w:style>
  <w:style w:type="paragraph" w:customStyle="1" w:styleId="77">
    <w:name w:val="(符号)五标题1.1.1"/>
    <w:basedOn w:val="1"/>
    <w:qFormat/>
    <w:uiPriority w:val="0"/>
    <w:pPr>
      <w:numPr>
        <w:ilvl w:val="2"/>
        <w:numId w:val="3"/>
      </w:numPr>
      <w:tabs>
        <w:tab w:val="left" w:pos="1000"/>
      </w:tabs>
      <w:spacing w:line="500" w:lineRule="exact"/>
    </w:pPr>
    <w:rPr>
      <w:rFonts w:ascii="宋体"/>
      <w:color w:val="000000"/>
      <w:sz w:val="24"/>
    </w:rPr>
  </w:style>
  <w:style w:type="character" w:customStyle="1" w:styleId="78">
    <w:name w:val="标题 3 Char1"/>
    <w:qFormat/>
    <w:uiPriority w:val="0"/>
    <w:rPr>
      <w:rFonts w:eastAsia="宋体"/>
      <w:b/>
      <w:kern w:val="2"/>
      <w:sz w:val="32"/>
      <w:lang w:val="en-US" w:eastAsia="zh-CN"/>
    </w:rPr>
  </w:style>
  <w:style w:type="character" w:customStyle="1" w:styleId="79">
    <w:name w:val="标题 3 字符1"/>
    <w:qFormat/>
    <w:uiPriority w:val="0"/>
    <w:rPr>
      <w:rFonts w:eastAsia="宋体"/>
      <w:b/>
      <w:kern w:val="2"/>
      <w:sz w:val="32"/>
      <w:lang w:val="en-US" w:eastAsia="zh-CN"/>
    </w:rPr>
  </w:style>
  <w:style w:type="character" w:customStyle="1" w:styleId="80">
    <w:name w:val="未命名11"/>
    <w:qFormat/>
    <w:uiPriority w:val="0"/>
    <w:rPr>
      <w:color w:val="77FFFF"/>
      <w:sz w:val="24"/>
    </w:rPr>
  </w:style>
  <w:style w:type="character" w:customStyle="1" w:styleId="81">
    <w:name w:val="小 Char"/>
    <w:qFormat/>
    <w:uiPriority w:val="0"/>
    <w:rPr>
      <w:rFonts w:ascii="宋体" w:eastAsia="宋体"/>
      <w:kern w:val="2"/>
      <w:sz w:val="21"/>
      <w:lang w:val="en-US" w:eastAsia="zh-CN" w:bidi="ar-SA"/>
    </w:rPr>
  </w:style>
  <w:style w:type="paragraph" w:customStyle="1" w:styleId="82">
    <w:name w:val="Table Text Char Char Char"/>
    <w:qFormat/>
    <w:uiPriority w:val="0"/>
    <w:pPr>
      <w:snapToGrid w:val="0"/>
      <w:spacing w:before="80" w:after="80"/>
    </w:pPr>
    <w:rPr>
      <w:rFonts w:ascii="Arial" w:hAnsi="Arial" w:eastAsia="宋体" w:cs="Times New Roman"/>
      <w:kern w:val="2"/>
      <w:sz w:val="18"/>
      <w:lang w:val="en-US" w:eastAsia="zh-CN" w:bidi="ar-SA"/>
    </w:rPr>
  </w:style>
  <w:style w:type="character" w:customStyle="1" w:styleId="83">
    <w:name w:val="标书正文:  0.74 厘米 Char1"/>
    <w:qFormat/>
    <w:uiPriority w:val="0"/>
    <w:rPr>
      <w:rFonts w:eastAsia="宋体"/>
      <w:kern w:val="2"/>
      <w:sz w:val="24"/>
      <w:lang w:val="en-US" w:eastAsia="zh-CN"/>
    </w:rPr>
  </w:style>
  <w:style w:type="character" w:customStyle="1" w:styleId="84">
    <w:name w:val="Char Char4"/>
    <w:qFormat/>
    <w:uiPriority w:val="0"/>
    <w:rPr>
      <w:rFonts w:eastAsia="宋体"/>
      <w:b/>
      <w:kern w:val="2"/>
      <w:sz w:val="21"/>
      <w:lang w:val="en-US" w:eastAsia="zh-CN"/>
    </w:rPr>
  </w:style>
  <w:style w:type="character" w:customStyle="1" w:styleId="85">
    <w:name w:val="title_emph1"/>
    <w:qFormat/>
    <w:uiPriority w:val="0"/>
    <w:rPr>
      <w:rFonts w:ascii="Arial" w:hAnsi="Arial"/>
      <w:b/>
      <w:sz w:val="20"/>
    </w:rPr>
  </w:style>
  <w:style w:type="character" w:customStyle="1" w:styleId="86">
    <w:name w:val="Table Heading Char Char"/>
    <w:qFormat/>
    <w:uiPriority w:val="0"/>
    <w:rPr>
      <w:rFonts w:ascii="Arial" w:hAnsi="Arial" w:eastAsia="黑体"/>
      <w:kern w:val="2"/>
      <w:sz w:val="18"/>
      <w:lang w:val="en-US" w:eastAsia="zh-CN"/>
    </w:rPr>
  </w:style>
  <w:style w:type="character" w:customStyle="1" w:styleId="87">
    <w:name w:val="正文文本缩进 字符1"/>
    <w:qFormat/>
    <w:locked/>
    <w:uiPriority w:val="0"/>
    <w:rPr>
      <w:kern w:val="2"/>
      <w:sz w:val="44"/>
    </w:rPr>
  </w:style>
  <w:style w:type="character" w:customStyle="1" w:styleId="88">
    <w:name w:val="样式 宋体"/>
    <w:qFormat/>
    <w:uiPriority w:val="0"/>
    <w:rPr>
      <w:rFonts w:ascii="宋体" w:eastAsia="宋体"/>
      <w:sz w:val="28"/>
    </w:rPr>
  </w:style>
  <w:style w:type="character" w:customStyle="1" w:styleId="89">
    <w:name w:val="标题 2 字符1"/>
    <w:qFormat/>
    <w:uiPriority w:val="0"/>
    <w:rPr>
      <w:rFonts w:ascii="宋体" w:eastAsia="宋体" w:cs="Times New Roman"/>
      <w:kern w:val="2"/>
      <w:sz w:val="28"/>
    </w:rPr>
  </w:style>
  <w:style w:type="character" w:customStyle="1" w:styleId="90">
    <w:name w:val="Char Char5"/>
    <w:qFormat/>
    <w:uiPriority w:val="0"/>
    <w:rPr>
      <w:rFonts w:ascii="Arial" w:hAnsi="Arial" w:eastAsia="宋体"/>
      <w:b/>
      <w:smallCaps/>
      <w:kern w:val="28"/>
      <w:sz w:val="36"/>
      <w:lang w:val="en-US"/>
    </w:rPr>
  </w:style>
  <w:style w:type="paragraph" w:styleId="91">
    <w:name w:val="List Paragraph"/>
    <w:basedOn w:val="1"/>
    <w:qFormat/>
    <w:uiPriority w:val="0"/>
    <w:pPr>
      <w:ind w:firstLine="200" w:firstLineChars="200"/>
    </w:pPr>
    <w:rPr>
      <w:sz w:val="21"/>
      <w:szCs w:val="22"/>
    </w:rPr>
  </w:style>
  <w:style w:type="character" w:customStyle="1" w:styleId="92">
    <w:name w:val="Char Char2"/>
    <w:qFormat/>
    <w:uiPriority w:val="0"/>
    <w:rPr>
      <w:rFonts w:eastAsia="宋体"/>
      <w:kern w:val="2"/>
      <w:sz w:val="18"/>
      <w:lang w:val="en-US" w:eastAsia="zh-CN"/>
    </w:rPr>
  </w:style>
  <w:style w:type="character" w:customStyle="1" w:styleId="93">
    <w:name w:val="标题 2 Char"/>
    <w:qFormat/>
    <w:uiPriority w:val="0"/>
    <w:rPr>
      <w:rFonts w:ascii="Arial" w:hAnsi="Arial" w:eastAsia="黑体"/>
      <w:b/>
      <w:kern w:val="2"/>
      <w:sz w:val="32"/>
    </w:rPr>
  </w:style>
  <w:style w:type="character" w:customStyle="1" w:styleId="94">
    <w:name w:val="Table Text Char1 Char"/>
    <w:qFormat/>
    <w:uiPriority w:val="0"/>
    <w:rPr>
      <w:rFonts w:ascii="Arial" w:hAnsi="Arial"/>
      <w:kern w:val="2"/>
      <w:sz w:val="18"/>
      <w:lang w:val="en-US" w:eastAsia="zh-CN" w:bidi="ar-SA"/>
    </w:rPr>
  </w:style>
  <w:style w:type="character" w:customStyle="1" w:styleId="95">
    <w:name w:val="Char Char6"/>
    <w:qFormat/>
    <w:uiPriority w:val="0"/>
    <w:rPr>
      <w:rFonts w:ascii="仿宋_GB2312" w:eastAsia="仿宋_GB2312"/>
      <w:kern w:val="2"/>
      <w:sz w:val="32"/>
    </w:rPr>
  </w:style>
  <w:style w:type="character" w:customStyle="1" w:styleId="96">
    <w:name w:val="content-white1"/>
    <w:qFormat/>
    <w:uiPriority w:val="0"/>
    <w:rPr>
      <w:rFonts w:ascii="_x000B__x000C_" w:hAnsi="_x000B__x000C_"/>
      <w:color w:val="auto"/>
      <w:sz w:val="18"/>
      <w:u w:val="none"/>
    </w:rPr>
  </w:style>
  <w:style w:type="character" w:customStyle="1" w:styleId="97">
    <w:name w:val="fontstyle01"/>
    <w:qFormat/>
    <w:uiPriority w:val="0"/>
    <w:rPr>
      <w:rFonts w:ascii="宋体" w:eastAsia="宋体"/>
      <w:color w:val="000000"/>
      <w:sz w:val="24"/>
      <w:szCs w:val="24"/>
    </w:rPr>
  </w:style>
  <w:style w:type="character" w:customStyle="1" w:styleId="98">
    <w:name w:val="Char Char7"/>
    <w:qFormat/>
    <w:uiPriority w:val="0"/>
    <w:rPr>
      <w:rFonts w:ascii="宋体" w:eastAsia="宋体"/>
      <w:kern w:val="2"/>
      <w:sz w:val="28"/>
    </w:rPr>
  </w:style>
  <w:style w:type="character" w:customStyle="1" w:styleId="99">
    <w:name w:val="标题 3 Char"/>
    <w:qFormat/>
    <w:uiPriority w:val="0"/>
    <w:rPr>
      <w:rFonts w:eastAsia="宋体"/>
      <w:b/>
      <w:kern w:val="2"/>
      <w:sz w:val="32"/>
      <w:lang w:val="en-US" w:eastAsia="zh-CN"/>
    </w:rPr>
  </w:style>
  <w:style w:type="character" w:customStyle="1" w:styleId="100">
    <w:name w:val="crowed11"/>
    <w:qFormat/>
    <w:uiPriority w:val="0"/>
    <w:rPr>
      <w:rFonts w:ascii="_x000B__x000C_" w:hAnsi="_x000B__x000C_"/>
      <w:sz w:val="24"/>
    </w:rPr>
  </w:style>
  <w:style w:type="paragraph" w:customStyle="1" w:styleId="101">
    <w:name w:val="文字"/>
    <w:basedOn w:val="1"/>
    <w:qFormat/>
    <w:uiPriority w:val="0"/>
    <w:pPr>
      <w:tabs>
        <w:tab w:val="left" w:pos="8520"/>
      </w:tabs>
      <w:spacing w:line="312" w:lineRule="auto"/>
      <w:ind w:right="-210" w:firstLine="556"/>
    </w:pPr>
    <w:rPr>
      <w:rFonts w:ascii="宋体"/>
    </w:rPr>
  </w:style>
  <w:style w:type="character" w:customStyle="1" w:styleId="102">
    <w:name w:val="Char Char3"/>
    <w:qFormat/>
    <w:uiPriority w:val="0"/>
    <w:rPr>
      <w:rFonts w:eastAsia="宋体"/>
      <w:kern w:val="2"/>
      <w:sz w:val="18"/>
      <w:lang w:val="en-US" w:eastAsia="zh-CN"/>
    </w:rPr>
  </w:style>
  <w:style w:type="character" w:customStyle="1" w:styleId="103">
    <w:name w:val="font1"/>
    <w:qFormat/>
    <w:uiPriority w:val="0"/>
    <w:rPr>
      <w:color w:val="000000"/>
      <w:sz w:val="18"/>
    </w:rPr>
  </w:style>
  <w:style w:type="character" w:customStyle="1" w:styleId="104">
    <w:name w:val="v151"/>
    <w:qFormat/>
    <w:uiPriority w:val="0"/>
    <w:rPr>
      <w:sz w:val="18"/>
    </w:rPr>
  </w:style>
  <w:style w:type="character" w:customStyle="1" w:styleId="105">
    <w:name w:val="Char Char11"/>
    <w:qFormat/>
    <w:uiPriority w:val="0"/>
    <w:rPr>
      <w:rFonts w:ascii="宋体"/>
      <w:kern w:val="2"/>
      <w:sz w:val="28"/>
    </w:rPr>
  </w:style>
  <w:style w:type="character" w:customStyle="1" w:styleId="106">
    <w:name w:val="Char Char"/>
    <w:qFormat/>
    <w:uiPriority w:val="0"/>
    <w:rPr>
      <w:rFonts w:ascii="宋体" w:eastAsia="宋体"/>
      <w:kern w:val="2"/>
      <w:sz w:val="24"/>
      <w:lang w:val="en-US" w:eastAsia="zh-CN" w:bidi="ar-SA"/>
    </w:rPr>
  </w:style>
  <w:style w:type="paragraph" w:customStyle="1" w:styleId="107">
    <w:name w:val="样式 文档正文 Char + (西文) 宋体 (中文) 宋体 小四 黑色"/>
    <w:basedOn w:val="1"/>
    <w:qFormat/>
    <w:uiPriority w:val="0"/>
    <w:pPr>
      <w:adjustRightInd w:val="0"/>
      <w:snapToGrid w:val="0"/>
      <w:spacing w:line="360" w:lineRule="auto"/>
      <w:ind w:firstLine="567"/>
      <w:textAlignment w:val="baseline"/>
    </w:pPr>
    <w:rPr>
      <w:rFonts w:ascii="宋体"/>
      <w:color w:val="000000"/>
      <w:sz w:val="24"/>
      <w:szCs w:val="24"/>
    </w:rPr>
  </w:style>
  <w:style w:type="character" w:customStyle="1" w:styleId="108">
    <w:name w:val="_Style 121"/>
    <w:qFormat/>
    <w:uiPriority w:val="0"/>
    <w:rPr>
      <w:color w:val="605E5C"/>
      <w:shd w:val="clear" w:color="auto" w:fill="E1DFDD"/>
    </w:rPr>
  </w:style>
  <w:style w:type="character" w:customStyle="1" w:styleId="109">
    <w:name w:val="top-det1"/>
    <w:qFormat/>
    <w:uiPriority w:val="0"/>
    <w:rPr>
      <w:b/>
      <w:color w:val="000000"/>
    </w:rPr>
  </w:style>
  <w:style w:type="paragraph" w:customStyle="1" w:styleId="110">
    <w:name w:val="Table Text"/>
    <w:qFormat/>
    <w:uiPriority w:val="0"/>
    <w:pPr>
      <w:snapToGrid w:val="0"/>
      <w:spacing w:before="80" w:after="80"/>
    </w:pPr>
    <w:rPr>
      <w:rFonts w:ascii="Arial" w:hAnsi="Arial" w:eastAsia="宋体" w:cs="Times New Roman"/>
      <w:kern w:val="2"/>
      <w:sz w:val="18"/>
      <w:lang w:val="en-US" w:eastAsia="zh-CN" w:bidi="ar-SA"/>
    </w:rPr>
  </w:style>
  <w:style w:type="paragraph" w:customStyle="1" w:styleId="111">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2">
    <w:name w:val="首行缩进 1"/>
    <w:basedOn w:val="1"/>
    <w:qFormat/>
    <w:uiPriority w:val="0"/>
    <w:pPr>
      <w:spacing w:after="120" w:line="360" w:lineRule="auto"/>
      <w:ind w:firstLine="200" w:firstLineChars="200"/>
    </w:pPr>
    <w:rPr>
      <w:sz w:val="24"/>
    </w:rPr>
  </w:style>
  <w:style w:type="paragraph" w:customStyle="1" w:styleId="113">
    <w:name w:val="IN Feature"/>
    <w:next w:val="114"/>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14">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15">
    <w:name w:val="Char Char Char Char"/>
    <w:basedOn w:val="1"/>
    <w:qFormat/>
    <w:uiPriority w:val="0"/>
    <w:pPr>
      <w:pageBreakBefore/>
      <w:widowControl/>
      <w:spacing w:after="160" w:line="240" w:lineRule="exact"/>
      <w:jc w:val="left"/>
    </w:pPr>
    <w:rPr>
      <w:rFonts w:ascii="Verdana" w:hAnsi="Verdana"/>
      <w:kern w:val="0"/>
      <w:sz w:val="20"/>
    </w:rPr>
  </w:style>
  <w:style w:type="paragraph" w:customStyle="1" w:styleId="116">
    <w:name w:val="Table Contents"/>
    <w:basedOn w:val="24"/>
    <w:qFormat/>
    <w:uiPriority w:val="0"/>
    <w:pPr>
      <w:suppressAutoHyphens/>
      <w:jc w:val="left"/>
    </w:pPr>
    <w:rPr>
      <w:rFonts w:ascii="Times New Roman" w:hAnsi="Times New Roman" w:eastAsia="Times New Roman"/>
      <w:kern w:val="0"/>
      <w:sz w:val="24"/>
    </w:rPr>
  </w:style>
  <w:style w:type="paragraph" w:customStyle="1" w:styleId="117">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18">
    <w:name w:val="1.正文"/>
    <w:basedOn w:val="1"/>
    <w:qFormat/>
    <w:uiPriority w:val="0"/>
    <w:pPr>
      <w:spacing w:line="360" w:lineRule="auto"/>
      <w:ind w:left="225" w:leftChars="225" w:firstLine="225" w:firstLineChars="225"/>
    </w:pPr>
    <w:rPr>
      <w:sz w:val="24"/>
    </w:rPr>
  </w:style>
  <w:style w:type="paragraph" w:customStyle="1" w:styleId="119">
    <w:name w:val="样式 标题 6第五层条 + 三号 段前: 0.5 行"/>
    <w:basedOn w:val="8"/>
    <w:qFormat/>
    <w:uiPriority w:val="0"/>
    <w:pPr>
      <w:widowControl/>
      <w:adjustRightInd/>
      <w:snapToGrid/>
      <w:spacing w:beforeLines="50"/>
      <w:jc w:val="left"/>
    </w:pPr>
    <w:rPr>
      <w:snapToGrid w:val="0"/>
      <w:kern w:val="24"/>
      <w:sz w:val="28"/>
    </w:rPr>
  </w:style>
  <w:style w:type="paragraph" w:customStyle="1" w:styleId="120">
    <w:name w:val="正文文本 21"/>
    <w:basedOn w:val="1"/>
    <w:qFormat/>
    <w:uiPriority w:val="0"/>
    <w:pPr>
      <w:adjustRightInd w:val="0"/>
      <w:spacing w:before="120" w:line="360" w:lineRule="auto"/>
      <w:ind w:firstLine="480"/>
      <w:textAlignment w:val="baseline"/>
    </w:pPr>
    <w:rPr>
      <w:sz w:val="24"/>
    </w:rPr>
  </w:style>
  <w:style w:type="paragraph" w:customStyle="1" w:styleId="121">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22">
    <w:name w:val="标准正文"/>
    <w:basedOn w:val="26"/>
    <w:qFormat/>
    <w:uiPriority w:val="0"/>
    <w:pPr>
      <w:spacing w:before="60" w:after="60" w:line="360" w:lineRule="auto"/>
      <w:ind w:left="0" w:firstLine="482"/>
    </w:pPr>
    <w:rPr>
      <w:rFonts w:ascii="Arial" w:hAnsi="Arial"/>
      <w:sz w:val="24"/>
    </w:rPr>
  </w:style>
  <w:style w:type="paragraph" w:customStyle="1" w:styleId="123">
    <w:name w:val="段落正文"/>
    <w:basedOn w:val="1"/>
    <w:qFormat/>
    <w:uiPriority w:val="0"/>
    <w:pPr>
      <w:spacing w:beforeLines="50" w:line="360" w:lineRule="auto"/>
      <w:ind w:firstLine="200" w:firstLineChars="200"/>
    </w:pPr>
    <w:rPr>
      <w:spacing w:val="2"/>
      <w:sz w:val="24"/>
    </w:rPr>
  </w:style>
  <w:style w:type="paragraph" w:customStyle="1" w:styleId="12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5">
    <w:name w:val="二级列表"/>
    <w:basedOn w:val="123"/>
    <w:next w:val="123"/>
    <w:qFormat/>
    <w:uiPriority w:val="0"/>
    <w:pPr>
      <w:tabs>
        <w:tab w:val="left" w:pos="2120"/>
      </w:tabs>
      <w:ind w:firstLine="0" w:firstLineChars="0"/>
    </w:pPr>
    <w:rPr>
      <w:b/>
    </w:rPr>
  </w:style>
  <w:style w:type="paragraph" w:customStyle="1" w:styleId="126">
    <w:name w:val="表文字"/>
    <w:qFormat/>
    <w:uiPriority w:val="0"/>
    <w:rPr>
      <w:rFonts w:ascii="宋体" w:hAnsi="Times New Roman" w:eastAsia="宋体" w:cs="Times New Roman"/>
      <w:kern w:val="2"/>
      <w:lang w:val="en-US" w:eastAsia="zh-CN" w:bidi="ar-SA"/>
    </w:rPr>
  </w:style>
  <w:style w:type="paragraph" w:customStyle="1" w:styleId="127">
    <w:name w:val="Char Char Char1 Char Char Char Char Char Char Char Char Char Char Char Char Char"/>
    <w:basedOn w:val="1"/>
    <w:qFormat/>
    <w:uiPriority w:val="0"/>
    <w:pPr>
      <w:widowControl/>
      <w:spacing w:after="160" w:line="240" w:lineRule="exact"/>
      <w:jc w:val="left"/>
    </w:pPr>
    <w:rPr>
      <w:rFonts w:ascii="Verdana" w:hAnsi="Verdana"/>
      <w:kern w:val="0"/>
      <w:sz w:val="18"/>
    </w:rPr>
  </w:style>
  <w:style w:type="paragraph" w:customStyle="1" w:styleId="128">
    <w:name w:val="摘要"/>
    <w:basedOn w:val="1"/>
    <w:next w:val="4"/>
    <w:qFormat/>
    <w:uiPriority w:val="0"/>
    <w:pPr>
      <w:spacing w:line="360" w:lineRule="auto"/>
    </w:pPr>
    <w:rPr>
      <w:rFonts w:eastAsia="黑体"/>
      <w:sz w:val="20"/>
    </w:rPr>
  </w:style>
  <w:style w:type="paragraph" w:customStyle="1" w:styleId="129">
    <w:name w:val="正文文本缩进 21"/>
    <w:basedOn w:val="1"/>
    <w:qFormat/>
    <w:uiPriority w:val="0"/>
    <w:pPr>
      <w:adjustRightInd w:val="0"/>
      <w:spacing w:before="120"/>
      <w:ind w:firstLine="420"/>
      <w:textAlignment w:val="baseline"/>
    </w:pPr>
    <w:rPr>
      <w:sz w:val="24"/>
    </w:rPr>
  </w:style>
  <w:style w:type="paragraph" w:customStyle="1" w:styleId="130">
    <w:name w:val="A项目符号"/>
    <w:basedOn w:val="1"/>
    <w:qFormat/>
    <w:uiPriority w:val="0"/>
    <w:pPr>
      <w:numPr>
        <w:ilvl w:val="0"/>
        <w:numId w:val="4"/>
      </w:numPr>
      <w:tabs>
        <w:tab w:val="left" w:pos="1080"/>
      </w:tabs>
      <w:adjustRightInd w:val="0"/>
      <w:snapToGrid w:val="0"/>
      <w:spacing w:afterLines="50" w:line="360" w:lineRule="auto"/>
    </w:pPr>
    <w:rPr>
      <w:b/>
      <w:bCs/>
      <w:spacing w:val="12"/>
      <w:kern w:val="0"/>
      <w:sz w:val="24"/>
      <w:szCs w:val="24"/>
    </w:rPr>
  </w:style>
  <w:style w:type="paragraph" w:customStyle="1" w:styleId="131">
    <w:name w:val="正文4"/>
    <w:basedOn w:val="1"/>
    <w:qFormat/>
    <w:uiPriority w:val="0"/>
    <w:pPr>
      <w:tabs>
        <w:tab w:val="left" w:pos="1275"/>
      </w:tabs>
      <w:spacing w:before="60" w:after="60" w:line="360" w:lineRule="auto"/>
      <w:ind w:left="1105" w:leftChars="400" w:hanging="705"/>
    </w:pPr>
    <w:rPr>
      <w:sz w:val="24"/>
    </w:rPr>
  </w:style>
  <w:style w:type="paragraph" w:customStyle="1" w:styleId="132">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kern w:val="0"/>
      <w:sz w:val="21"/>
    </w:rPr>
  </w:style>
  <w:style w:type="paragraph" w:customStyle="1" w:styleId="133">
    <w:name w:val="Style Heading 3h3Heading 3 - oldLevel 3 HeadH3level_3PIM 3se..."/>
    <w:basedOn w:val="5"/>
    <w:qFormat/>
    <w:uiPriority w:val="0"/>
    <w:pPr>
      <w:tabs>
        <w:tab w:val="left" w:pos="0"/>
        <w:tab w:val="left" w:pos="709"/>
      </w:tabs>
      <w:ind w:left="1620" w:hanging="360"/>
    </w:pPr>
  </w:style>
  <w:style w:type="paragraph" w:customStyle="1" w:styleId="134">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rPr>
  </w:style>
  <w:style w:type="paragraph" w:customStyle="1" w:styleId="135">
    <w:name w:val="样式 标题 1 + 居中 段前: 6 磅 段后: 6 磅 行距: 1.5 倍行距"/>
    <w:basedOn w:val="3"/>
    <w:qFormat/>
    <w:uiPriority w:val="0"/>
    <w:pPr>
      <w:keepLines/>
      <w:adjustRightInd w:val="0"/>
      <w:spacing w:before="120" w:after="120" w:line="360" w:lineRule="auto"/>
      <w:jc w:val="center"/>
    </w:pPr>
    <w:rPr>
      <w:rFonts w:ascii="Times New Roman" w:hAnsi="Times New Roman"/>
      <w:b/>
      <w:kern w:val="44"/>
      <w:sz w:val="32"/>
    </w:rPr>
  </w:style>
  <w:style w:type="paragraph" w:customStyle="1" w:styleId="136">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kern w:val="0"/>
      <w:sz w:val="24"/>
    </w:rPr>
  </w:style>
  <w:style w:type="paragraph" w:customStyle="1" w:styleId="137">
    <w:name w:val="列表项目"/>
    <w:basedOn w:val="1"/>
    <w:qFormat/>
    <w:uiPriority w:val="0"/>
    <w:pPr>
      <w:numPr>
        <w:ilvl w:val="0"/>
        <w:numId w:val="5"/>
      </w:numPr>
      <w:tabs>
        <w:tab w:val="left" w:pos="420"/>
      </w:tabs>
      <w:spacing w:line="288" w:lineRule="auto"/>
      <w:ind w:left="400" w:leftChars="200" w:hanging="200" w:hangingChars="200"/>
    </w:pPr>
    <w:rPr>
      <w:sz w:val="21"/>
    </w:rPr>
  </w:style>
  <w:style w:type="paragraph" w:customStyle="1" w:styleId="138">
    <w:name w:val="00"/>
    <w:basedOn w:val="1"/>
    <w:qFormat/>
    <w:uiPriority w:val="0"/>
    <w:pPr>
      <w:autoSpaceDE w:val="0"/>
      <w:autoSpaceDN w:val="0"/>
      <w:adjustRightInd w:val="0"/>
      <w:jc w:val="left"/>
    </w:pPr>
    <w:rPr>
      <w:rFonts w:ascii="黑体" w:eastAsia="黑体"/>
      <w:b/>
      <w:kern w:val="0"/>
      <w:sz w:val="20"/>
    </w:rPr>
  </w:style>
  <w:style w:type="paragraph" w:customStyle="1" w:styleId="139">
    <w:name w:val="正文 + 三号"/>
    <w:basedOn w:val="1"/>
    <w:qFormat/>
    <w:uiPriority w:val="0"/>
    <w:rPr>
      <w:sz w:val="21"/>
    </w:rPr>
  </w:style>
  <w:style w:type="paragraph" w:customStyle="1" w:styleId="140">
    <w:name w:val="章标题"/>
    <w:next w:val="1"/>
    <w:qFormat/>
    <w:uiPriority w:val="0"/>
    <w:pPr>
      <w:numPr>
        <w:ilvl w:val="1"/>
        <w:numId w:val="6"/>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41">
    <w:name w:val="一级条标题"/>
    <w:basedOn w:val="140"/>
    <w:next w:val="124"/>
    <w:qFormat/>
    <w:uiPriority w:val="0"/>
    <w:pPr>
      <w:numPr>
        <w:ilvl w:val="0"/>
        <w:numId w:val="0"/>
      </w:numPr>
      <w:spacing w:beforeLines="0" w:afterLines="0"/>
      <w:ind w:left="525"/>
      <w:outlineLvl w:val="2"/>
    </w:pPr>
    <w:rPr>
      <w:sz w:val="21"/>
    </w:rPr>
  </w:style>
  <w:style w:type="paragraph" w:customStyle="1" w:styleId="142">
    <w:name w:val="二级条标题"/>
    <w:basedOn w:val="141"/>
    <w:next w:val="124"/>
    <w:qFormat/>
    <w:uiPriority w:val="0"/>
    <w:pPr>
      <w:ind w:left="840"/>
      <w:outlineLvl w:val="3"/>
    </w:pPr>
  </w:style>
  <w:style w:type="paragraph" w:customStyle="1" w:styleId="143">
    <w:name w:val="文本框样式1"/>
    <w:basedOn w:val="1"/>
    <w:qFormat/>
    <w:uiPriority w:val="0"/>
    <w:pPr>
      <w:adjustRightInd w:val="0"/>
      <w:snapToGrid w:val="0"/>
      <w:spacing w:before="60" w:line="180" w:lineRule="exact"/>
      <w:jc w:val="center"/>
    </w:pPr>
    <w:rPr>
      <w:sz w:val="21"/>
    </w:rPr>
  </w:style>
  <w:style w:type="paragraph" w:customStyle="1" w:styleId="144">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45">
    <w:name w:val="af"/>
    <w:basedOn w:val="1"/>
    <w:qFormat/>
    <w:uiPriority w:val="0"/>
    <w:pPr>
      <w:widowControl/>
      <w:spacing w:line="300" w:lineRule="atLeast"/>
      <w:jc w:val="left"/>
    </w:pPr>
    <w:rPr>
      <w:rFonts w:ascii="宋体"/>
      <w:kern w:val="0"/>
      <w:sz w:val="18"/>
    </w:rPr>
  </w:style>
  <w:style w:type="paragraph" w:customStyle="1" w:styleId="146">
    <w:name w:val="Char Char1"/>
    <w:basedOn w:val="1"/>
    <w:qFormat/>
    <w:uiPriority w:val="0"/>
    <w:pPr>
      <w:widowControl/>
      <w:spacing w:after="160" w:line="240" w:lineRule="exact"/>
      <w:jc w:val="left"/>
    </w:pPr>
    <w:rPr>
      <w:rFonts w:ascii="Verdana" w:hAnsi="Verdana"/>
      <w:kern w:val="0"/>
      <w:sz w:val="20"/>
    </w:rPr>
  </w:style>
  <w:style w:type="paragraph" w:customStyle="1" w:styleId="147">
    <w:name w:val="没有缩进（为图形使用）"/>
    <w:basedOn w:val="1"/>
    <w:qFormat/>
    <w:uiPriority w:val="0"/>
    <w:pPr>
      <w:spacing w:before="120" w:after="120" w:line="360" w:lineRule="auto"/>
    </w:pPr>
    <w:rPr>
      <w:sz w:val="24"/>
    </w:rPr>
  </w:style>
  <w:style w:type="paragraph" w:customStyle="1" w:styleId="148">
    <w:name w:val="样式1"/>
    <w:basedOn w:val="6"/>
    <w:qFormat/>
    <w:uiPriority w:val="0"/>
    <w:pPr>
      <w:tabs>
        <w:tab w:val="left" w:pos="720"/>
      </w:tabs>
      <w:spacing w:before="500" w:after="260" w:line="560" w:lineRule="atLeast"/>
      <w:ind w:left="420" w:hanging="420"/>
    </w:pPr>
  </w:style>
  <w:style w:type="paragraph" w:customStyle="1" w:styleId="149">
    <w:name w:val="文章正文"/>
    <w:basedOn w:val="1"/>
    <w:qFormat/>
    <w:uiPriority w:val="0"/>
    <w:pPr>
      <w:ind w:firstLine="200" w:firstLineChars="200"/>
    </w:pPr>
    <w:rPr>
      <w:rFonts w:ascii="仿宋_GB2312" w:eastAsia="仿宋_GB2312"/>
      <w:color w:val="000000"/>
    </w:rPr>
  </w:style>
  <w:style w:type="paragraph" w:customStyle="1" w:styleId="150">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51">
    <w:name w:val="Char Char Char Char Char"/>
    <w:basedOn w:val="1"/>
    <w:qFormat/>
    <w:uiPriority w:val="0"/>
    <w:pPr>
      <w:tabs>
        <w:tab w:val="left" w:pos="425"/>
      </w:tabs>
      <w:ind w:left="1620" w:hanging="360"/>
    </w:pPr>
    <w:rPr>
      <w:rFonts w:ascii="Tahoma" w:hAnsi="Tahoma"/>
      <w:sz w:val="24"/>
    </w:rPr>
  </w:style>
  <w:style w:type="paragraph" w:customStyle="1" w:styleId="152">
    <w:name w:val="默认段落字体 Para Char Char Char Char Char Char Char"/>
    <w:basedOn w:val="1"/>
    <w:qFormat/>
    <w:uiPriority w:val="0"/>
    <w:rPr>
      <w:rFonts w:ascii="Tahoma" w:hAnsi="Tahoma"/>
      <w:sz w:val="24"/>
    </w:rPr>
  </w:style>
  <w:style w:type="paragraph" w:customStyle="1" w:styleId="153">
    <w:name w:val="样式3"/>
    <w:basedOn w:val="3"/>
    <w:next w:val="3"/>
    <w:qFormat/>
    <w:uiPriority w:val="0"/>
    <w:pPr>
      <w:keepLines/>
      <w:adjustRightInd w:val="0"/>
      <w:spacing w:before="340" w:after="330" w:line="576" w:lineRule="auto"/>
    </w:pPr>
    <w:rPr>
      <w:rFonts w:ascii="Times New Roman" w:hAnsi="Times New Roman" w:eastAsia="黑体"/>
      <w:b/>
      <w:kern w:val="44"/>
      <w:sz w:val="44"/>
    </w:rPr>
  </w:style>
  <w:style w:type="paragraph" w:customStyle="1" w:styleId="154">
    <w:name w:val="默认段落字体 Para Char Char Char Char Char Char Char Char Char1 Char Char Char Char"/>
    <w:basedOn w:val="1"/>
    <w:qFormat/>
    <w:uiPriority w:val="0"/>
    <w:rPr>
      <w:rFonts w:ascii="Tahoma" w:hAnsi="Tahoma"/>
      <w:sz w:val="24"/>
    </w:rPr>
  </w:style>
  <w:style w:type="paragraph" w:customStyle="1" w:styleId="155">
    <w:name w:val="Char"/>
    <w:basedOn w:val="1"/>
    <w:qFormat/>
    <w:uiPriority w:val="0"/>
    <w:pPr>
      <w:spacing w:line="240" w:lineRule="atLeast"/>
      <w:ind w:left="420" w:firstLine="420"/>
    </w:pPr>
    <w:rPr>
      <w:kern w:val="0"/>
      <w:sz w:val="21"/>
    </w:rPr>
  </w:style>
  <w:style w:type="paragraph" w:customStyle="1" w:styleId="156">
    <w:name w:val="图片文字"/>
    <w:basedOn w:val="1"/>
    <w:qFormat/>
    <w:uiPriority w:val="0"/>
    <w:pPr>
      <w:spacing w:line="240" w:lineRule="atLeast"/>
      <w:jc w:val="center"/>
    </w:pPr>
    <w:rPr>
      <w:sz w:val="21"/>
    </w:rPr>
  </w:style>
  <w:style w:type="paragraph" w:customStyle="1" w:styleId="157">
    <w:name w:val="样式 宋体 五号 两端对齐 行距: 单倍行距"/>
    <w:basedOn w:val="1"/>
    <w:qFormat/>
    <w:uiPriority w:val="0"/>
    <w:pPr>
      <w:adjustRightInd w:val="0"/>
      <w:textAlignment w:val="baseline"/>
    </w:pPr>
    <w:rPr>
      <w:rFonts w:ascii="宋体"/>
      <w:kern w:val="0"/>
      <w:sz w:val="21"/>
    </w:rPr>
  </w:style>
  <w:style w:type="paragraph" w:customStyle="1" w:styleId="158">
    <w:name w:val="_Style 173"/>
    <w:qFormat/>
    <w:uiPriority w:val="0"/>
    <w:rPr>
      <w:rFonts w:ascii="Calibri" w:hAnsi="Calibri" w:eastAsia="宋体" w:cs="Times New Roman"/>
      <w:kern w:val="2"/>
      <w:sz w:val="21"/>
      <w:lang w:val="en-US" w:eastAsia="zh-CN" w:bidi="ar-SA"/>
    </w:rPr>
  </w:style>
  <w:style w:type="paragraph" w:customStyle="1" w:styleId="159">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0">
    <w:name w:val="Title - Date"/>
    <w:basedOn w:val="57"/>
    <w:next w:val="1"/>
    <w:qFormat/>
    <w:uiPriority w:val="0"/>
    <w:pPr>
      <w:spacing w:before="240" w:after="720"/>
    </w:pPr>
    <w:rPr>
      <w:sz w:val="28"/>
    </w:rPr>
  </w:style>
  <w:style w:type="paragraph" w:customStyle="1" w:styleId="161">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62">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63">
    <w:name w:val="Char Char Char Char Char Char1 Char"/>
    <w:basedOn w:val="1"/>
    <w:qFormat/>
    <w:uiPriority w:val="0"/>
    <w:pPr>
      <w:widowControl/>
      <w:spacing w:after="160" w:line="240" w:lineRule="exact"/>
      <w:jc w:val="left"/>
    </w:pPr>
    <w:rPr>
      <w:rFonts w:ascii="Verdana" w:hAnsi="Verdana"/>
      <w:kern w:val="0"/>
      <w:sz w:val="21"/>
    </w:rPr>
  </w:style>
  <w:style w:type="paragraph" w:customStyle="1" w:styleId="164">
    <w:name w:val="Note"/>
    <w:basedOn w:val="1"/>
    <w:qFormat/>
    <w:uiPriority w:val="0"/>
    <w:pPr>
      <w:pBdr>
        <w:top w:val="single" w:color="auto" w:sz="12" w:space="3"/>
        <w:bottom w:val="single" w:color="auto" w:sz="12" w:space="3"/>
      </w:pBdr>
      <w:spacing w:line="360" w:lineRule="auto"/>
    </w:pPr>
    <w:rPr>
      <w:sz w:val="24"/>
    </w:rPr>
  </w:style>
  <w:style w:type="paragraph" w:customStyle="1" w:styleId="165">
    <w:name w:val="Bullets"/>
    <w:basedOn w:val="1"/>
    <w:qFormat/>
    <w:uiPriority w:val="0"/>
    <w:pPr>
      <w:widowControl/>
      <w:adjustRightInd w:val="0"/>
      <w:snapToGrid w:val="0"/>
      <w:spacing w:before="60" w:after="60"/>
    </w:pPr>
    <w:rPr>
      <w:kern w:val="0"/>
      <w:sz w:val="24"/>
      <w:lang w:val="en-GB"/>
    </w:rPr>
  </w:style>
  <w:style w:type="paragraph" w:customStyle="1" w:styleId="166">
    <w:name w:val="正文格式"/>
    <w:basedOn w:val="1"/>
    <w:qFormat/>
    <w:uiPriority w:val="0"/>
    <w:pPr>
      <w:widowControl/>
      <w:adjustRightInd w:val="0"/>
      <w:snapToGrid w:val="0"/>
      <w:spacing w:before="60" w:line="360" w:lineRule="auto"/>
      <w:ind w:firstLine="200" w:firstLineChars="200"/>
      <w:jc w:val="left"/>
      <w:textAlignment w:val="baseline"/>
    </w:pPr>
    <w:rPr>
      <w:rFonts w:ascii="宋体"/>
      <w:color w:val="000000"/>
      <w:kern w:val="0"/>
      <w:sz w:val="24"/>
    </w:rPr>
  </w:style>
  <w:style w:type="paragraph" w:customStyle="1" w:styleId="167">
    <w:name w:val="表格内文字"/>
    <w:basedOn w:val="33"/>
    <w:qFormat/>
    <w:uiPriority w:val="0"/>
    <w:pPr>
      <w:adjustRightInd w:val="0"/>
    </w:pPr>
    <w:rPr>
      <w:color w:val="000000"/>
      <w:lang w:val="en-GB"/>
    </w:rPr>
  </w:style>
  <w:style w:type="paragraph" w:customStyle="1" w:styleId="168">
    <w:name w:val="Char2 Char Char Char Char Char Char"/>
    <w:basedOn w:val="1"/>
    <w:qFormat/>
    <w:uiPriority w:val="0"/>
    <w:rPr>
      <w:rFonts w:ascii="仿宋_GB2312" w:hAnsi="仿宋_GB2312"/>
      <w:b/>
      <w:sz w:val="30"/>
    </w:rPr>
  </w:style>
  <w:style w:type="paragraph" w:customStyle="1" w:styleId="169">
    <w:name w:val="样式 正文缩进正文（首行缩进两字）表正文正文非缩进特点标题4段1 + 首行缩进:  2 字符"/>
    <w:basedOn w:val="16"/>
    <w:qFormat/>
    <w:uiPriority w:val="0"/>
    <w:pPr>
      <w:ind w:firstLine="200" w:firstLineChars="200"/>
    </w:pPr>
  </w:style>
  <w:style w:type="paragraph" w:customStyle="1" w:styleId="170">
    <w:name w:val="Item Step in Table"/>
    <w:qFormat/>
    <w:uiPriority w:val="0"/>
    <w:pPr>
      <w:tabs>
        <w:tab w:val="left" w:pos="397"/>
      </w:tabs>
      <w:spacing w:before="40" w:after="40"/>
      <w:jc w:val="both"/>
    </w:pPr>
    <w:rPr>
      <w:rFonts w:ascii="Arial" w:hAnsi="Arial" w:eastAsia="宋体" w:cs="Times New Roman"/>
      <w:sz w:val="18"/>
      <w:lang w:val="en-US" w:eastAsia="zh-CN" w:bidi="ar-SA"/>
    </w:rPr>
  </w:style>
  <w:style w:type="paragraph" w:customStyle="1" w:styleId="171">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72">
    <w:name w:val="Item List"/>
    <w:qFormat/>
    <w:uiPriority w:val="0"/>
    <w:pPr>
      <w:numPr>
        <w:ilvl w:val="0"/>
        <w:numId w:val="7"/>
      </w:numPr>
      <w:spacing w:line="300" w:lineRule="auto"/>
      <w:jc w:val="both"/>
    </w:pPr>
    <w:rPr>
      <w:rFonts w:ascii="Arial" w:hAnsi="Arial" w:eastAsia="宋体" w:cs="Times New Roman"/>
      <w:sz w:val="21"/>
      <w:lang w:val="en-US" w:eastAsia="zh-CN" w:bidi="ar-SA"/>
    </w:rPr>
  </w:style>
  <w:style w:type="paragraph" w:customStyle="1" w:styleId="173">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74">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eastAsia="黑体"/>
      <w:b/>
      <w:kern w:val="44"/>
      <w:sz w:val="36"/>
    </w:rPr>
  </w:style>
  <w:style w:type="paragraph" w:customStyle="1" w:styleId="175">
    <w:name w:val="操作步骤"/>
    <w:basedOn w:val="1"/>
    <w:qFormat/>
    <w:uiPriority w:val="0"/>
    <w:pPr>
      <w:numPr>
        <w:ilvl w:val="0"/>
        <w:numId w:val="8"/>
      </w:numPr>
      <w:autoSpaceDE w:val="0"/>
      <w:autoSpaceDN w:val="0"/>
      <w:adjustRightInd w:val="0"/>
      <w:snapToGrid w:val="0"/>
      <w:spacing w:line="40" w:lineRule="atLeast"/>
      <w:textAlignment w:val="bottom"/>
    </w:pPr>
    <w:rPr>
      <w:rFonts w:ascii="昆仑楷体" w:hAnsi="昆仑楷体" w:eastAsia="楷体_GB2312"/>
      <w:kern w:val="0"/>
      <w:sz w:val="21"/>
    </w:rPr>
  </w:style>
  <w:style w:type="paragraph" w:customStyle="1" w:styleId="176">
    <w:name w:val="Char Char1 Char"/>
    <w:basedOn w:val="1"/>
    <w:qFormat/>
    <w:uiPriority w:val="0"/>
    <w:rPr>
      <w:rFonts w:ascii="Tahoma" w:hAnsi="Tahoma"/>
      <w:sz w:val="24"/>
      <w:szCs w:val="24"/>
    </w:rPr>
  </w:style>
  <w:style w:type="paragraph" w:customStyle="1" w:styleId="177">
    <w:name w:val="bt"/>
    <w:basedOn w:val="1"/>
    <w:next w:val="24"/>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78">
    <w:name w:val="附录1"/>
    <w:basedOn w:val="1"/>
    <w:next w:val="1"/>
    <w:qFormat/>
    <w:uiPriority w:val="0"/>
    <w:pPr>
      <w:tabs>
        <w:tab w:val="left" w:pos="1304"/>
      </w:tabs>
      <w:ind w:left="425" w:hanging="425"/>
      <w:outlineLvl w:val="0"/>
    </w:pPr>
    <w:rPr>
      <w:rFonts w:ascii="黑体" w:eastAsia="黑体"/>
      <w:b/>
      <w:sz w:val="44"/>
    </w:rPr>
  </w:style>
  <w:style w:type="paragraph" w:customStyle="1" w:styleId="179">
    <w:name w:val="样式2"/>
    <w:basedOn w:val="6"/>
    <w:qFormat/>
    <w:uiPriority w:val="0"/>
    <w:pPr>
      <w:numPr>
        <w:ilvl w:val="0"/>
        <w:numId w:val="9"/>
      </w:numPr>
      <w:spacing w:before="560" w:line="400" w:lineRule="exact"/>
      <w:jc w:val="center"/>
      <w:outlineLvl w:val="0"/>
    </w:pPr>
    <w:rPr>
      <w:b w:val="0"/>
      <w:sz w:val="44"/>
    </w:rPr>
  </w:style>
  <w:style w:type="paragraph" w:customStyle="1" w:styleId="180">
    <w:name w:val="样式 首行缩进:  0.74 厘米"/>
    <w:basedOn w:val="1"/>
    <w:qFormat/>
    <w:uiPriority w:val="0"/>
    <w:pPr>
      <w:spacing w:line="360" w:lineRule="auto"/>
      <w:ind w:firstLine="420"/>
    </w:pPr>
    <w:rPr>
      <w:sz w:val="24"/>
    </w:rPr>
  </w:style>
  <w:style w:type="paragraph" w:customStyle="1" w:styleId="181">
    <w:name w:val="简单回函地址"/>
    <w:basedOn w:val="1"/>
    <w:qFormat/>
    <w:uiPriority w:val="0"/>
    <w:pPr>
      <w:adjustRightInd w:val="0"/>
      <w:snapToGrid w:val="0"/>
      <w:spacing w:line="360" w:lineRule="auto"/>
    </w:pPr>
    <w:rPr>
      <w:sz w:val="24"/>
    </w:rPr>
  </w:style>
  <w:style w:type="paragraph" w:customStyle="1" w:styleId="182">
    <w:name w:val="内容标题"/>
    <w:basedOn w:val="18"/>
    <w:qFormat/>
    <w:uiPriority w:val="0"/>
    <w:rPr>
      <w:rFonts w:ascii="Tahoma" w:hAnsi="Tahoma"/>
      <w:sz w:val="24"/>
    </w:rPr>
  </w:style>
  <w:style w:type="paragraph" w:customStyle="1" w:styleId="183">
    <w:name w:val="1"/>
    <w:basedOn w:val="1"/>
    <w:next w:val="33"/>
    <w:qFormat/>
    <w:uiPriority w:val="0"/>
    <w:rPr>
      <w:rFonts w:ascii="宋体"/>
      <w:sz w:val="21"/>
    </w:rPr>
  </w:style>
  <w:style w:type="paragraph" w:customStyle="1" w:styleId="184">
    <w:name w:val="_Style 3"/>
    <w:basedOn w:val="1"/>
    <w:qFormat/>
    <w:uiPriority w:val="0"/>
    <w:pPr>
      <w:ind w:firstLine="200" w:firstLineChars="200"/>
    </w:pPr>
    <w:rPr>
      <w:sz w:val="21"/>
      <w:szCs w:val="24"/>
    </w:rPr>
  </w:style>
  <w:style w:type="paragraph" w:customStyle="1" w:styleId="185">
    <w:name w:val="关键词"/>
    <w:basedOn w:val="1"/>
    <w:next w:val="1"/>
    <w:qFormat/>
    <w:uiPriority w:val="0"/>
    <w:pPr>
      <w:spacing w:line="360" w:lineRule="auto"/>
    </w:pPr>
    <w:rPr>
      <w:rFonts w:eastAsia="黑体"/>
      <w:sz w:val="20"/>
    </w:rPr>
  </w:style>
  <w:style w:type="paragraph" w:customStyle="1" w:styleId="186">
    <w:name w:val="style1"/>
    <w:basedOn w:val="1"/>
    <w:qFormat/>
    <w:uiPriority w:val="0"/>
    <w:pPr>
      <w:widowControl/>
      <w:spacing w:before="100" w:beforeAutospacing="1" w:after="100" w:afterAutospacing="1"/>
      <w:jc w:val="left"/>
    </w:pPr>
    <w:rPr>
      <w:rFonts w:ascii="宋体"/>
      <w:kern w:val="0"/>
      <w:sz w:val="21"/>
    </w:rPr>
  </w:style>
  <w:style w:type="paragraph" w:customStyle="1" w:styleId="187">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88">
    <w:name w:val="content"/>
    <w:basedOn w:val="1"/>
    <w:qFormat/>
    <w:uiPriority w:val="0"/>
    <w:pPr>
      <w:widowControl/>
      <w:spacing w:before="100" w:beforeAutospacing="1" w:after="100" w:afterAutospacing="1" w:line="280" w:lineRule="atLeast"/>
      <w:ind w:firstLine="375"/>
      <w:jc w:val="left"/>
    </w:pPr>
    <w:rPr>
      <w:rFonts w:ascii="宋体"/>
      <w:color w:val="000000"/>
      <w:kern w:val="0"/>
      <w:sz w:val="18"/>
    </w:rPr>
  </w:style>
  <w:style w:type="paragraph" w:customStyle="1" w:styleId="189">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90">
    <w:name w:val="Title - Revision"/>
    <w:basedOn w:val="57"/>
    <w:qFormat/>
    <w:uiPriority w:val="0"/>
    <w:pPr>
      <w:spacing w:before="720"/>
    </w:pPr>
  </w:style>
  <w:style w:type="paragraph" w:customStyle="1" w:styleId="191">
    <w:name w:val="标题3——2"/>
    <w:basedOn w:val="5"/>
    <w:next w:val="60"/>
    <w:qFormat/>
    <w:uiPriority w:val="0"/>
    <w:pPr>
      <w:tabs>
        <w:tab w:val="left" w:pos="1280"/>
        <w:tab w:val="right" w:leader="dot" w:pos="8777"/>
      </w:tabs>
      <w:spacing w:beforeLines="100" w:after="0" w:line="240" w:lineRule="auto"/>
      <w:ind w:left="851" w:hanging="851"/>
      <w:outlineLvl w:val="9"/>
    </w:pPr>
    <w:rPr>
      <w:rFonts w:ascii="黑体" w:eastAsia="黑体"/>
      <w:sz w:val="30"/>
    </w:rPr>
  </w:style>
  <w:style w:type="paragraph" w:customStyle="1" w:styleId="192">
    <w:name w:val="列出段落1"/>
    <w:basedOn w:val="1"/>
    <w:qFormat/>
    <w:uiPriority w:val="0"/>
    <w:pPr>
      <w:ind w:firstLine="200" w:firstLineChars="200"/>
    </w:pPr>
    <w:rPr>
      <w:sz w:val="21"/>
      <w:szCs w:val="24"/>
    </w:rPr>
  </w:style>
  <w:style w:type="paragraph" w:customStyle="1" w:styleId="193">
    <w:name w:val="Char1 Char Char Char"/>
    <w:basedOn w:val="1"/>
    <w:qFormat/>
    <w:uiPriority w:val="0"/>
    <w:rPr>
      <w:rFonts w:ascii="Tahoma" w:hAnsi="Tahoma"/>
      <w:sz w:val="30"/>
    </w:rPr>
  </w:style>
  <w:style w:type="paragraph" w:customStyle="1" w:styleId="194">
    <w:name w:val="移动五期"/>
    <w:basedOn w:val="1"/>
    <w:qFormat/>
    <w:uiPriority w:val="0"/>
    <w:pPr>
      <w:spacing w:line="360" w:lineRule="auto"/>
      <w:ind w:firstLine="454"/>
    </w:pPr>
    <w:rPr>
      <w:rFonts w:ascii="宋体"/>
      <w:sz w:val="24"/>
    </w:rPr>
  </w:style>
  <w:style w:type="paragraph" w:customStyle="1" w:styleId="195">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kern w:val="0"/>
      <w:sz w:val="24"/>
    </w:rPr>
  </w:style>
  <w:style w:type="paragraph" w:customStyle="1" w:styleId="196">
    <w:name w:val="Char Char Char Char Char Char Char"/>
    <w:basedOn w:val="18"/>
    <w:qFormat/>
    <w:uiPriority w:val="0"/>
    <w:rPr>
      <w:rFonts w:ascii="宋体"/>
    </w:rPr>
  </w:style>
  <w:style w:type="paragraph" w:customStyle="1" w:styleId="197">
    <w:name w:val="样式 样式 首行缩进:  2 字符 + 首行缩进:  2 字符"/>
    <w:basedOn w:val="1"/>
    <w:qFormat/>
    <w:uiPriority w:val="0"/>
    <w:pPr>
      <w:numPr>
        <w:ilvl w:val="0"/>
        <w:numId w:val="10"/>
      </w:numPr>
      <w:spacing w:line="360" w:lineRule="auto"/>
      <w:ind w:firstLine="200" w:firstLineChars="200"/>
    </w:pPr>
    <w:rPr>
      <w:sz w:val="24"/>
    </w:rPr>
  </w:style>
  <w:style w:type="paragraph" w:customStyle="1" w:styleId="198">
    <w:name w:val="Char Char Char Char Char Char Char Char Char Char Char Char Char Char Char Char"/>
    <w:basedOn w:val="1"/>
    <w:qFormat/>
    <w:uiPriority w:val="0"/>
    <w:pPr>
      <w:tabs>
        <w:tab w:val="left" w:pos="360"/>
      </w:tabs>
    </w:pPr>
    <w:rPr>
      <w:sz w:val="24"/>
    </w:rPr>
  </w:style>
  <w:style w:type="paragraph" w:customStyle="1" w:styleId="199">
    <w:name w:val="附录2"/>
    <w:basedOn w:val="1"/>
    <w:next w:val="1"/>
    <w:qFormat/>
    <w:uiPriority w:val="0"/>
    <w:pPr>
      <w:tabs>
        <w:tab w:val="left" w:pos="420"/>
        <w:tab w:val="left" w:pos="624"/>
      </w:tabs>
      <w:ind w:left="420" w:hanging="420"/>
      <w:outlineLvl w:val="1"/>
    </w:pPr>
    <w:rPr>
      <w:rFonts w:ascii="黑体" w:eastAsia="黑体"/>
      <w:b/>
      <w:sz w:val="32"/>
    </w:rPr>
  </w:style>
  <w:style w:type="paragraph" w:customStyle="1" w:styleId="200">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1">
    <w:name w:val="样式 正文首行缩进 2 + 首行缩进:  2 字符"/>
    <w:basedOn w:val="1"/>
    <w:qFormat/>
    <w:uiPriority w:val="0"/>
    <w:pPr>
      <w:numPr>
        <w:ilvl w:val="0"/>
        <w:numId w:val="11"/>
      </w:numPr>
      <w:adjustRightInd w:val="0"/>
      <w:snapToGrid w:val="0"/>
      <w:spacing w:line="360" w:lineRule="auto"/>
    </w:pPr>
    <w:rPr>
      <w:rFonts w:ascii="Arial" w:hAnsi="Arial"/>
      <w:b/>
      <w:sz w:val="24"/>
    </w:rPr>
  </w:style>
  <w:style w:type="paragraph" w:customStyle="1" w:styleId="202">
    <w:name w:val="标题2"/>
    <w:basedOn w:val="4"/>
    <w:qFormat/>
    <w:uiPriority w:val="0"/>
    <w:pPr>
      <w:keepNext w:val="0"/>
      <w:keepLines w:val="0"/>
      <w:adjustRightInd w:val="0"/>
      <w:snapToGrid w:val="0"/>
      <w:spacing w:before="0" w:after="0" w:line="360" w:lineRule="auto"/>
      <w:ind w:firstLine="196" w:firstLineChars="196"/>
      <w:outlineLvl w:val="9"/>
    </w:pPr>
    <w:rPr>
      <w:rFonts w:ascii="宋体" w:eastAsia="宋体"/>
      <w:spacing w:val="6"/>
      <w:sz w:val="28"/>
      <w:u w:val="single"/>
    </w:rPr>
  </w:style>
  <w:style w:type="paragraph" w:customStyle="1" w:styleId="203">
    <w:name w:val="正文1"/>
    <w:basedOn w:val="1"/>
    <w:qFormat/>
    <w:uiPriority w:val="0"/>
    <w:pPr>
      <w:spacing w:line="300" w:lineRule="auto"/>
      <w:ind w:firstLine="200" w:firstLineChars="200"/>
    </w:pPr>
    <w:rPr>
      <w:sz w:val="24"/>
    </w:rPr>
  </w:style>
  <w:style w:type="paragraph" w:customStyle="1" w:styleId="204">
    <w:name w:val="tabletext"/>
    <w:basedOn w:val="1"/>
    <w:qFormat/>
    <w:uiPriority w:val="0"/>
    <w:pPr>
      <w:widowControl/>
      <w:spacing w:before="100" w:beforeAutospacing="1" w:after="100" w:afterAutospacing="1"/>
      <w:jc w:val="left"/>
    </w:pPr>
    <w:rPr>
      <w:rFonts w:ascii="宋体" w:cs="宋体"/>
      <w:kern w:val="0"/>
      <w:sz w:val="24"/>
      <w:szCs w:val="24"/>
    </w:rPr>
  </w:style>
  <w:style w:type="paragraph" w:customStyle="1" w:styleId="205">
    <w:name w:val="标书正文:  0.74 厘米"/>
    <w:basedOn w:val="1"/>
    <w:qFormat/>
    <w:uiPriority w:val="0"/>
    <w:pPr>
      <w:snapToGrid w:val="0"/>
      <w:spacing w:line="360" w:lineRule="auto"/>
      <w:ind w:firstLine="420"/>
    </w:pPr>
    <w:rPr>
      <w:sz w:val="24"/>
    </w:rPr>
  </w:style>
  <w:style w:type="paragraph" w:customStyle="1" w:styleId="206">
    <w:name w:val="Char1"/>
    <w:basedOn w:val="1"/>
    <w:qFormat/>
    <w:uiPriority w:val="0"/>
    <w:rPr>
      <w:sz w:val="21"/>
    </w:rPr>
  </w:style>
  <w:style w:type="paragraph" w:customStyle="1" w:styleId="207">
    <w:name w:val="正文（首行不缩进）"/>
    <w:basedOn w:val="1"/>
    <w:qFormat/>
    <w:uiPriority w:val="0"/>
    <w:pPr>
      <w:autoSpaceDE w:val="0"/>
      <w:autoSpaceDN w:val="0"/>
      <w:adjustRightInd w:val="0"/>
      <w:spacing w:line="360" w:lineRule="auto"/>
      <w:jc w:val="left"/>
    </w:pPr>
    <w:rPr>
      <w:kern w:val="0"/>
      <w:sz w:val="21"/>
    </w:rPr>
  </w:style>
  <w:style w:type="paragraph" w:customStyle="1" w:styleId="208">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09">
    <w:name w:val="标题无"/>
    <w:basedOn w:val="1"/>
    <w:qFormat/>
    <w:uiPriority w:val="0"/>
    <w:pPr>
      <w:spacing w:line="360" w:lineRule="auto"/>
    </w:pPr>
    <w:rPr>
      <w:sz w:val="24"/>
    </w:rPr>
  </w:style>
  <w:style w:type="paragraph" w:customStyle="1" w:styleId="210">
    <w:name w:val="首行缩进"/>
    <w:basedOn w:val="1"/>
    <w:qFormat/>
    <w:uiPriority w:val="0"/>
    <w:pPr>
      <w:numPr>
        <w:ilvl w:val="0"/>
        <w:numId w:val="12"/>
      </w:numPr>
      <w:spacing w:line="360" w:lineRule="auto"/>
    </w:pPr>
    <w:rPr>
      <w:rFonts w:eastAsia="仿宋_GB2312"/>
    </w:rPr>
  </w:style>
  <w:style w:type="paragraph" w:customStyle="1" w:styleId="211">
    <w:name w:val="附录3"/>
    <w:basedOn w:val="1"/>
    <w:next w:val="1"/>
    <w:qFormat/>
    <w:uiPriority w:val="0"/>
    <w:pPr>
      <w:tabs>
        <w:tab w:val="left" w:pos="851"/>
      </w:tabs>
      <w:ind w:left="425" w:hanging="425"/>
      <w:outlineLvl w:val="2"/>
    </w:pPr>
    <w:rPr>
      <w:rFonts w:eastAsia="黑体"/>
      <w:b/>
      <w:sz w:val="32"/>
    </w:rPr>
  </w:style>
  <w:style w:type="paragraph" w:customStyle="1" w:styleId="212">
    <w:name w:val="Char Char14 Char Char"/>
    <w:basedOn w:val="1"/>
    <w:qFormat/>
    <w:uiPriority w:val="0"/>
    <w:rPr>
      <w:sz w:val="21"/>
      <w:szCs w:val="24"/>
    </w:rPr>
  </w:style>
  <w:style w:type="paragraph" w:customStyle="1" w:styleId="213">
    <w:name w:val="样式1xz"/>
    <w:basedOn w:val="1"/>
    <w:qFormat/>
    <w:uiPriority w:val="0"/>
    <w:pPr>
      <w:tabs>
        <w:tab w:val="left" w:pos="1050"/>
        <w:tab w:val="right" w:leader="dot" w:pos="8296"/>
      </w:tabs>
    </w:pPr>
    <w:rPr>
      <w:caps/>
      <w:spacing w:val="20"/>
      <w:sz w:val="24"/>
    </w:rPr>
  </w:style>
  <w:style w:type="paragraph" w:customStyle="1" w:styleId="214">
    <w:name w:val="表头文本"/>
    <w:qFormat/>
    <w:uiPriority w:val="0"/>
    <w:pPr>
      <w:jc w:val="center"/>
    </w:pPr>
    <w:rPr>
      <w:rFonts w:ascii="Arial" w:hAnsi="Arial" w:eastAsia="宋体" w:cs="Times New Roman"/>
      <w:b/>
      <w:sz w:val="21"/>
      <w:lang w:val="en-US" w:eastAsia="zh-CN" w:bidi="ar-SA"/>
    </w:rPr>
  </w:style>
  <w:style w:type="paragraph" w:customStyle="1" w:styleId="215">
    <w:name w:val="Char Char Char"/>
    <w:basedOn w:val="1"/>
    <w:qFormat/>
    <w:uiPriority w:val="0"/>
    <w:rPr>
      <w:rFonts w:ascii="Tahoma" w:hAnsi="Tahoma"/>
      <w:sz w:val="24"/>
    </w:rPr>
  </w:style>
  <w:style w:type="paragraph" w:customStyle="1" w:styleId="216">
    <w:name w:val="Char Char 字元 字元 字元 Char Char Char Char"/>
    <w:basedOn w:val="1"/>
    <w:qFormat/>
    <w:uiPriority w:val="0"/>
    <w:pPr>
      <w:adjustRightInd w:val="0"/>
      <w:spacing w:line="360" w:lineRule="auto"/>
    </w:pPr>
    <w:rPr>
      <w:kern w:val="0"/>
      <w:sz w:val="24"/>
    </w:rPr>
  </w:style>
  <w:style w:type="paragraph" w:customStyle="1" w:styleId="217">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18">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19">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20">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21">
    <w:name w:val="表号"/>
    <w:basedOn w:val="1"/>
    <w:qFormat/>
    <w:uiPriority w:val="0"/>
    <w:pPr>
      <w:numPr>
        <w:ilvl w:val="0"/>
        <w:numId w:val="13"/>
      </w:numPr>
      <w:tabs>
        <w:tab w:val="left" w:pos="648"/>
      </w:tabs>
      <w:autoSpaceDE w:val="0"/>
      <w:autoSpaceDN w:val="0"/>
      <w:adjustRightInd w:val="0"/>
      <w:spacing w:before="210" w:after="210"/>
      <w:ind w:left="425" w:hanging="137"/>
      <w:jc w:val="center"/>
    </w:pPr>
    <w:rPr>
      <w:kern w:val="0"/>
      <w:sz w:val="21"/>
    </w:rPr>
  </w:style>
  <w:style w:type="paragraph" w:customStyle="1" w:styleId="222">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23">
    <w:name w:val="Char Char Char Char Char Char Char1"/>
    <w:basedOn w:val="1"/>
    <w:qFormat/>
    <w:uiPriority w:val="0"/>
    <w:rPr>
      <w:rFonts w:ascii="Tahoma" w:hAnsi="Tahoma"/>
      <w:sz w:val="24"/>
    </w:rPr>
  </w:style>
  <w:style w:type="paragraph" w:customStyle="1" w:styleId="224">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25">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26">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27">
    <w:name w:val="表头样式"/>
    <w:basedOn w:val="1"/>
    <w:qFormat/>
    <w:uiPriority w:val="0"/>
    <w:pPr>
      <w:autoSpaceDE w:val="0"/>
      <w:autoSpaceDN w:val="0"/>
      <w:adjustRightInd w:val="0"/>
      <w:spacing w:line="360" w:lineRule="auto"/>
      <w:jc w:val="left"/>
    </w:pPr>
    <w:rPr>
      <w:b/>
      <w:kern w:val="0"/>
      <w:sz w:val="21"/>
    </w:rPr>
  </w:style>
  <w:style w:type="paragraph" w:customStyle="1" w:styleId="228">
    <w:name w:val="_"/>
    <w:basedOn w:val="1"/>
    <w:qFormat/>
    <w:uiPriority w:val="0"/>
    <w:pPr>
      <w:adjustRightInd w:val="0"/>
      <w:spacing w:line="360" w:lineRule="auto"/>
      <w:ind w:left="480" w:firstLine="200" w:firstLineChars="200"/>
      <w:textAlignment w:val="baseline"/>
    </w:pPr>
    <w:rPr>
      <w:kern w:val="0"/>
      <w:sz w:val="24"/>
    </w:rPr>
  </w:style>
  <w:style w:type="paragraph" w:customStyle="1" w:styleId="229">
    <w:name w:val="CSS1级正文 Char"/>
    <w:basedOn w:val="24"/>
    <w:qFormat/>
    <w:uiPriority w:val="0"/>
    <w:pPr>
      <w:adjustRightInd w:val="0"/>
      <w:snapToGrid w:val="0"/>
      <w:spacing w:line="360" w:lineRule="auto"/>
      <w:ind w:firstLine="480"/>
    </w:pPr>
    <w:rPr>
      <w:rFonts w:ascii="Times New Roman" w:hAnsi="Times New Roman" w:eastAsia="宋体"/>
      <w:sz w:val="24"/>
    </w:rPr>
  </w:style>
  <w:style w:type="paragraph" w:customStyle="1" w:styleId="230">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1">
    <w:name w:val="样式 样式 正文首行缩进 2 + 左  0 字符 + 首行缩进:  2.57 字符"/>
    <w:basedOn w:val="1"/>
    <w:next w:val="1"/>
    <w:qFormat/>
    <w:uiPriority w:val="0"/>
    <w:pPr>
      <w:adjustRightInd w:val="0"/>
      <w:snapToGrid w:val="0"/>
      <w:spacing w:after="120"/>
      <w:ind w:firstLine="257" w:firstLineChars="257"/>
    </w:pPr>
    <w:rPr>
      <w:sz w:val="21"/>
    </w:rPr>
  </w:style>
  <w:style w:type="paragraph" w:customStyle="1" w:styleId="232">
    <w:name w:val="文本1"/>
    <w:basedOn w:val="1"/>
    <w:qFormat/>
    <w:uiPriority w:val="0"/>
    <w:pPr>
      <w:adjustRightInd w:val="0"/>
      <w:spacing w:line="312" w:lineRule="atLeast"/>
      <w:jc w:val="center"/>
      <w:textAlignment w:val="baseline"/>
    </w:pPr>
    <w:rPr>
      <w:kern w:val="0"/>
      <w:sz w:val="18"/>
    </w:rPr>
  </w:style>
  <w:style w:type="paragraph" w:customStyle="1" w:styleId="233">
    <w:name w:val="图例"/>
    <w:basedOn w:val="1"/>
    <w:qFormat/>
    <w:uiPriority w:val="0"/>
    <w:pPr>
      <w:spacing w:before="120" w:after="120" w:line="360" w:lineRule="auto"/>
      <w:jc w:val="center"/>
    </w:pPr>
    <w:rPr>
      <w:rFonts w:eastAsia="仿宋_GB2312"/>
      <w:b/>
      <w:sz w:val="24"/>
    </w:rPr>
  </w:style>
  <w:style w:type="paragraph" w:customStyle="1" w:styleId="234">
    <w:name w:val="Char2"/>
    <w:basedOn w:val="1"/>
    <w:qFormat/>
    <w:uiPriority w:val="0"/>
    <w:pPr>
      <w:spacing w:line="240" w:lineRule="atLeast"/>
      <w:ind w:left="420" w:firstLine="420"/>
    </w:pPr>
    <w:rPr>
      <w:kern w:val="0"/>
      <w:sz w:val="21"/>
    </w:rPr>
  </w:style>
  <w:style w:type="paragraph" w:customStyle="1" w:styleId="235">
    <w:name w:val="可研正文"/>
    <w:basedOn w:val="24"/>
    <w:qFormat/>
    <w:uiPriority w:val="0"/>
    <w:pPr>
      <w:adjustRightInd w:val="0"/>
      <w:snapToGrid w:val="0"/>
      <w:spacing w:line="440" w:lineRule="exact"/>
      <w:ind w:firstLine="567"/>
    </w:pPr>
    <w:rPr>
      <w:sz w:val="28"/>
    </w:rPr>
  </w:style>
  <w:style w:type="paragraph" w:customStyle="1" w:styleId="236">
    <w:name w:val="编号正文"/>
    <w:basedOn w:val="200"/>
    <w:qFormat/>
    <w:uiPriority w:val="0"/>
    <w:pPr>
      <w:snapToGrid/>
      <w:spacing w:line="360" w:lineRule="auto"/>
      <w:ind w:left="1407" w:hanging="1047"/>
      <w:jc w:val="left"/>
    </w:pPr>
    <w:rPr>
      <w:rFonts w:eastAsia="仿宋_GB2312"/>
    </w:rPr>
  </w:style>
  <w:style w:type="paragraph" w:customStyle="1" w:styleId="237">
    <w:name w:val="正文表格"/>
    <w:basedOn w:val="1"/>
    <w:qFormat/>
    <w:uiPriority w:val="0"/>
    <w:pPr>
      <w:adjustRightInd w:val="0"/>
      <w:spacing w:before="40" w:after="40"/>
    </w:pPr>
    <w:rPr>
      <w:sz w:val="24"/>
    </w:rPr>
  </w:style>
  <w:style w:type="paragraph" w:customStyle="1" w:styleId="238">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9">
    <w:name w:val="正文字缩2字"/>
    <w:basedOn w:val="1"/>
    <w:qFormat/>
    <w:uiPriority w:val="0"/>
    <w:pPr>
      <w:spacing w:before="60" w:after="60" w:line="360" w:lineRule="auto"/>
      <w:ind w:left="200" w:leftChars="200" w:firstLine="200" w:firstLineChars="200"/>
    </w:pPr>
    <w:rPr>
      <w:sz w:val="24"/>
    </w:rPr>
  </w:style>
  <w:style w:type="paragraph" w:customStyle="1" w:styleId="240">
    <w:name w:val="样式4"/>
    <w:basedOn w:val="6"/>
    <w:qFormat/>
    <w:uiPriority w:val="0"/>
    <w:pPr>
      <w:adjustRightInd w:val="0"/>
      <w:snapToGrid w:val="0"/>
    </w:pPr>
  </w:style>
  <w:style w:type="paragraph" w:customStyle="1" w:styleId="241">
    <w:name w:val="正文 A"/>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42">
    <w:name w:val="Char Char1 Char Char Char Char Char Char Char Char Char Char Char Char Char Char"/>
    <w:basedOn w:val="1"/>
    <w:qFormat/>
    <w:uiPriority w:val="0"/>
    <w:pPr>
      <w:widowControl/>
      <w:spacing w:after="160" w:line="240" w:lineRule="exact"/>
      <w:jc w:val="left"/>
    </w:pPr>
    <w:rPr>
      <w:rFonts w:ascii="Verdana" w:hAnsi="Verdana"/>
      <w:kern w:val="0"/>
      <w:sz w:val="20"/>
    </w:rPr>
  </w:style>
  <w:style w:type="paragraph" w:customStyle="1" w:styleId="243">
    <w:name w:val="样式 宋体 五号 行距: 单倍行距"/>
    <w:basedOn w:val="1"/>
    <w:qFormat/>
    <w:uiPriority w:val="0"/>
    <w:pPr>
      <w:adjustRightInd w:val="0"/>
      <w:jc w:val="left"/>
    </w:pPr>
    <w:rPr>
      <w:rFonts w:ascii="宋体"/>
      <w:kern w:val="0"/>
      <w:sz w:val="21"/>
    </w:rPr>
  </w:style>
  <w:style w:type="paragraph" w:customStyle="1" w:styleId="244">
    <w:name w:val="表格文本"/>
    <w:qFormat/>
    <w:uiPriority w:val="0"/>
    <w:pPr>
      <w:tabs>
        <w:tab w:val="decimal" w:pos="0"/>
      </w:tabs>
    </w:pPr>
    <w:rPr>
      <w:rFonts w:ascii="Arial" w:hAnsi="Arial" w:eastAsia="宋体" w:cs="Times New Roman"/>
      <w:sz w:val="21"/>
      <w:lang w:val="en-US" w:eastAsia="zh-CN" w:bidi="ar-SA"/>
    </w:rPr>
  </w:style>
  <w:style w:type="paragraph" w:customStyle="1" w:styleId="245">
    <w:name w:val="Char1 Char Char Char1"/>
    <w:basedOn w:val="1"/>
    <w:qFormat/>
    <w:uiPriority w:val="0"/>
    <w:rPr>
      <w:rFonts w:ascii="Tahoma" w:hAnsi="Tahoma"/>
      <w:sz w:val="24"/>
    </w:rPr>
  </w:style>
  <w:style w:type="paragraph" w:customStyle="1" w:styleId="246">
    <w:name w:val="样式 仿宋_GB2312 首行缩进:  2 字符"/>
    <w:basedOn w:val="1"/>
    <w:qFormat/>
    <w:uiPriority w:val="0"/>
    <w:pPr>
      <w:spacing w:line="600" w:lineRule="exact"/>
      <w:ind w:firstLine="150" w:firstLineChars="150"/>
      <w:jc w:val="left"/>
    </w:pPr>
    <w:rPr>
      <w:rFonts w:ascii="仿宋_GB2312" w:eastAsia="仿宋_GB2312"/>
      <w:color w:val="000000"/>
      <w:kern w:val="0"/>
      <w:lang w:val="zh-CN"/>
    </w:rPr>
  </w:style>
  <w:style w:type="paragraph" w:customStyle="1" w:styleId="247">
    <w:name w:val="样式 行距: 1.5 倍行距1"/>
    <w:basedOn w:val="1"/>
    <w:qFormat/>
    <w:uiPriority w:val="0"/>
    <w:pPr>
      <w:snapToGrid w:val="0"/>
    </w:pPr>
    <w:rPr>
      <w:sz w:val="21"/>
    </w:rPr>
  </w:style>
  <w:style w:type="paragraph" w:customStyle="1" w:styleId="248">
    <w:name w:val="正文缩进_0"/>
    <w:basedOn w:val="1"/>
    <w:qFormat/>
    <w:uiPriority w:val="0"/>
    <w:pPr>
      <w:ind w:firstLine="420"/>
    </w:pPr>
    <w:rPr>
      <w:rFonts w:ascii="Times New Roman" w:hAnsi="Times New Roman" w:eastAsia="Times New Roman"/>
      <w:kern w:val="0"/>
      <w:sz w:val="24"/>
      <w:szCs w:val="24"/>
    </w:rPr>
  </w:style>
  <w:style w:type="character" w:customStyle="1" w:styleId="249">
    <w:name w:val="正文缩进 字符"/>
    <w:qFormat/>
    <w:uiPriority w:val="0"/>
    <w:rPr>
      <w:kern w:val="2"/>
      <w:sz w:val="24"/>
    </w:rPr>
  </w:style>
  <w:style w:type="character" w:customStyle="1" w:styleId="250">
    <w:name w:val="批注文字 字符"/>
    <w:qFormat/>
    <w:uiPriority w:val="0"/>
    <w:rPr>
      <w:sz w:val="24"/>
    </w:rPr>
  </w:style>
  <w:style w:type="character" w:customStyle="1" w:styleId="251">
    <w:name w:val="正文文本缩进 字符"/>
    <w:qFormat/>
    <w:uiPriority w:val="0"/>
    <w:rPr>
      <w:kern w:val="2"/>
      <w:sz w:val="44"/>
    </w:rPr>
  </w:style>
  <w:style w:type="character" w:customStyle="1" w:styleId="252">
    <w:name w:val="正文文本缩进 2 字符"/>
    <w:qFormat/>
    <w:uiPriority w:val="0"/>
    <w:rPr>
      <w:kern w:val="2"/>
      <w:sz w:val="28"/>
    </w:rPr>
  </w:style>
  <w:style w:type="character" w:customStyle="1" w:styleId="253">
    <w:name w:val="脚注文本 字符"/>
    <w:qFormat/>
    <w:uiPriority w:val="0"/>
    <w:rPr>
      <w:kern w:val="2"/>
      <w:sz w:val="18"/>
    </w:rPr>
  </w:style>
  <w:style w:type="character" w:customStyle="1" w:styleId="254">
    <w:name w:val="批注主题 字符"/>
    <w:qFormat/>
    <w:uiPriority w:val="0"/>
  </w:style>
  <w:style w:type="character" w:customStyle="1" w:styleId="255">
    <w:name w:val="正文文本首行缩进 2 字符"/>
    <w:qFormat/>
    <w:uiPriority w:val="0"/>
  </w:style>
  <w:style w:type="character" w:customStyle="1" w:styleId="256">
    <w:name w:val="批注文字 字符1"/>
    <w:qFormat/>
    <w:uiPriority w:val="0"/>
    <w:rPr>
      <w:rFonts w:ascii="Times New Roman" w:hAnsi="Times New Roman" w:eastAsia="宋体" w:cs="Times New Roman"/>
      <w:sz w:val="28"/>
      <w:szCs w:val="20"/>
    </w:rPr>
  </w:style>
  <w:style w:type="character" w:customStyle="1" w:styleId="257">
    <w:name w:val="NormalCharacter"/>
    <w:qFormat/>
    <w:uiPriority w:val="0"/>
  </w:style>
  <w:style w:type="character" w:customStyle="1" w:styleId="258">
    <w:name w:val="日期 字符"/>
    <w:qFormat/>
    <w:uiPriority w:val="0"/>
    <w:rPr>
      <w:kern w:val="2"/>
      <w:sz w:val="28"/>
    </w:rPr>
  </w:style>
  <w:style w:type="character" w:customStyle="1" w:styleId="259">
    <w:name w:val="标题 2 字符"/>
    <w:qFormat/>
    <w:uiPriority w:val="0"/>
    <w:rPr>
      <w:rFonts w:ascii="Arial" w:hAnsi="Arial" w:eastAsia="黑体"/>
      <w:b/>
      <w:kern w:val="2"/>
      <w:sz w:val="32"/>
    </w:rPr>
  </w:style>
  <w:style w:type="character" w:customStyle="1" w:styleId="260">
    <w:name w:val="列表段落 字符"/>
    <w:qFormat/>
    <w:uiPriority w:val="0"/>
    <w:rPr>
      <w:rFonts w:ascii="Calibri" w:hAnsi="Calibri"/>
      <w:kern w:val="2"/>
      <w:sz w:val="21"/>
      <w:szCs w:val="22"/>
    </w:rPr>
  </w:style>
  <w:style w:type="character" w:customStyle="1" w:styleId="261">
    <w:name w:val="标题 3 字符"/>
    <w:qFormat/>
    <w:uiPriority w:val="0"/>
    <w:rPr>
      <w:b/>
      <w:kern w:val="2"/>
      <w:sz w:val="32"/>
    </w:rPr>
  </w:style>
  <w:style w:type="paragraph" w:customStyle="1" w:styleId="262">
    <w:name w:val="TOC 标题1"/>
    <w:basedOn w:val="3"/>
    <w:next w:val="1"/>
    <w:qFormat/>
    <w:uiPriority w:val="0"/>
    <w:pPr>
      <w:keepNext w:val="0"/>
      <w:widowControl/>
      <w:snapToGrid/>
      <w:spacing w:before="100" w:beforeAutospacing="1" w:after="100" w:afterAutospacing="1" w:line="276" w:lineRule="auto"/>
      <w:jc w:val="left"/>
      <w:outlineLvl w:val="9"/>
    </w:pPr>
    <w:rPr>
      <w:rFonts w:ascii="仿宋" w:hAnsi="仿宋" w:cs="宋体"/>
      <w:b/>
      <w:bCs/>
      <w:color w:val="000000"/>
      <w:kern w:val="0"/>
      <w:sz w:val="48"/>
      <w:szCs w:val="32"/>
    </w:rPr>
  </w:style>
  <w:style w:type="character" w:customStyle="1" w:styleId="263">
    <w:name w:val="正文文本 字符"/>
    <w:qFormat/>
    <w:uiPriority w:val="0"/>
    <w:rPr>
      <w:rFonts w:ascii="仿宋_GB2312" w:eastAsia="仿宋_GB2312"/>
      <w:kern w:val="2"/>
      <w:sz w:val="32"/>
    </w:rPr>
  </w:style>
  <w:style w:type="character" w:customStyle="1" w:styleId="264">
    <w:name w:val="font01"/>
    <w:qFormat/>
    <w:uiPriority w:val="0"/>
    <w:rPr>
      <w:rFonts w:ascii="Times New Roman" w:hAnsi="Times New Roman" w:cs="Times New Roman"/>
      <w:color w:val="000000"/>
      <w:sz w:val="18"/>
      <w:szCs w:val="18"/>
      <w:u w:val="none"/>
    </w:rPr>
  </w:style>
  <w:style w:type="character" w:customStyle="1" w:styleId="265">
    <w:name w:val="font11"/>
    <w:qFormat/>
    <w:uiPriority w:val="0"/>
    <w:rPr>
      <w:rFonts w:ascii="宋体" w:eastAsia="宋体" w:cs="宋体"/>
      <w:b/>
      <w:color w:val="000000"/>
      <w:sz w:val="18"/>
      <w:szCs w:val="18"/>
      <w:u w:val="none"/>
    </w:rPr>
  </w:style>
  <w:style w:type="character" w:customStyle="1" w:styleId="266">
    <w:name w:val="font61"/>
    <w:qFormat/>
    <w:uiPriority w:val="0"/>
    <w:rPr>
      <w:rFonts w:ascii="宋体" w:eastAsia="宋体" w:cs="宋体"/>
      <w:color w:val="000000"/>
      <w:sz w:val="20"/>
      <w:szCs w:val="20"/>
      <w:u w:val="none"/>
    </w:rPr>
  </w:style>
  <w:style w:type="character" w:customStyle="1" w:styleId="267">
    <w:name w:val="文字 Char Char"/>
    <w:qFormat/>
    <w:locked/>
    <w:uiPriority w:val="0"/>
    <w:rPr>
      <w:rFonts w:ascii="宋体" w:eastAsia="宋体"/>
      <w:sz w:val="28"/>
    </w:rPr>
  </w:style>
  <w:style w:type="character" w:customStyle="1" w:styleId="268">
    <w:name w:val="font81"/>
    <w:qFormat/>
    <w:uiPriority w:val="0"/>
    <w:rPr>
      <w:rFonts w:ascii="宋体" w:eastAsia="宋体" w:cs="宋体"/>
      <w:color w:val="000000"/>
      <w:sz w:val="18"/>
      <w:szCs w:val="18"/>
      <w:u w:val="none"/>
    </w:rPr>
  </w:style>
  <w:style w:type="character" w:customStyle="1" w:styleId="269">
    <w:name w:val="Char Char Char Char Char Char Char Char Char"/>
    <w:qFormat/>
    <w:uiPriority w:val="0"/>
    <w:rPr>
      <w:rFonts w:ascii="宋体" w:eastAsia="宋体"/>
      <w:kern w:val="2"/>
      <w:sz w:val="24"/>
      <w:lang w:val="en-US" w:eastAsia="zh-CN" w:bidi="ar-SA"/>
    </w:rPr>
  </w:style>
  <w:style w:type="character" w:customStyle="1" w:styleId="270">
    <w:name w:val="fontstyle11"/>
    <w:qFormat/>
    <w:uiPriority w:val="0"/>
    <w:rPr>
      <w:rFonts w:ascii="FrutigerNextLT-Light" w:hAnsi="FrutigerNextLT-Light"/>
      <w:color w:val="000000"/>
      <w:sz w:val="18"/>
      <w:szCs w:val="18"/>
    </w:rPr>
  </w:style>
  <w:style w:type="character" w:customStyle="1" w:styleId="271">
    <w:name w:val="font31"/>
    <w:qFormat/>
    <w:uiPriority w:val="0"/>
    <w:rPr>
      <w:rFonts w:ascii="宋体" w:eastAsia="宋体" w:cs="宋体"/>
      <w:color w:val="000000"/>
      <w:sz w:val="18"/>
      <w:szCs w:val="18"/>
      <w:u w:val="none"/>
    </w:rPr>
  </w:style>
  <w:style w:type="character" w:customStyle="1" w:styleId="272">
    <w:name w:val="font21"/>
    <w:qFormat/>
    <w:uiPriority w:val="0"/>
    <w:rPr>
      <w:rFonts w:ascii="宋体" w:eastAsia="宋体" w:cs="宋体"/>
      <w:color w:val="000000"/>
      <w:sz w:val="18"/>
      <w:szCs w:val="18"/>
      <w:u w:val="none"/>
    </w:rPr>
  </w:style>
  <w:style w:type="character" w:customStyle="1" w:styleId="273">
    <w:name w:val="副标题 Char"/>
    <w:qFormat/>
    <w:uiPriority w:val="0"/>
    <w:rPr>
      <w:rFonts w:ascii="Cambria" w:hAnsi="Cambria" w:eastAsia="宋体" w:cs="Times New Roman"/>
      <w:b/>
      <w:bCs/>
      <w:kern w:val="28"/>
      <w:sz w:val="32"/>
      <w:szCs w:val="32"/>
    </w:rPr>
  </w:style>
  <w:style w:type="paragraph" w:customStyle="1" w:styleId="274">
    <w:name w:val="标题1级"/>
    <w:basedOn w:val="3"/>
    <w:qFormat/>
    <w:uiPriority w:val="0"/>
    <w:pPr>
      <w:keepLines/>
      <w:numPr>
        <w:ilvl w:val="0"/>
        <w:numId w:val="6"/>
      </w:numPr>
      <w:snapToGrid/>
      <w:spacing w:line="360" w:lineRule="auto"/>
      <w:ind w:left="835" w:hanging="835"/>
      <w:jc w:val="center"/>
    </w:pPr>
    <w:rPr>
      <w:rFonts w:cs="黑体"/>
      <w:b/>
      <w:bCs/>
      <w:kern w:val="44"/>
      <w:sz w:val="44"/>
      <w:szCs w:val="48"/>
    </w:rPr>
  </w:style>
  <w:style w:type="paragraph" w:customStyle="1" w:styleId="275">
    <w:name w:val="样式6"/>
    <w:basedOn w:val="274"/>
    <w:qFormat/>
    <w:uiPriority w:val="0"/>
    <w:pPr>
      <w:ind w:left="2524" w:hanging="397"/>
    </w:pPr>
    <w:rPr>
      <w:sz w:val="36"/>
      <w:szCs w:val="36"/>
    </w:rPr>
  </w:style>
  <w:style w:type="paragraph" w:customStyle="1" w:styleId="276">
    <w:name w:val="样式5"/>
    <w:basedOn w:val="1"/>
    <w:qFormat/>
    <w:uiPriority w:val="0"/>
    <w:pPr>
      <w:widowControl/>
      <w:spacing w:line="360" w:lineRule="auto"/>
      <w:ind w:firstLine="311" w:firstLineChars="311"/>
      <w:jc w:val="left"/>
    </w:pPr>
    <w:rPr>
      <w:rFonts w:ascii="宋体" w:cs="宋体"/>
      <w:color w:val="000000"/>
      <w:kern w:val="0"/>
      <w:sz w:val="24"/>
      <w:szCs w:val="22"/>
    </w:rPr>
  </w:style>
  <w:style w:type="paragraph" w:customStyle="1" w:styleId="277">
    <w:name w:val="正文缩进(ALT+Z)"/>
    <w:basedOn w:val="1"/>
    <w:qFormat/>
    <w:uiPriority w:val="0"/>
    <w:pPr>
      <w:spacing w:line="360" w:lineRule="auto"/>
      <w:ind w:firstLine="200" w:firstLineChars="200"/>
    </w:pPr>
    <w:rPr>
      <w:rFonts w:ascii="Times New Roman" w:hAnsi="Times New Roman"/>
      <w:sz w:val="24"/>
      <w:szCs w:val="24"/>
    </w:rPr>
  </w:style>
  <w:style w:type="paragraph" w:customStyle="1" w:styleId="278">
    <w:name w:val="三级标题"/>
    <w:basedOn w:val="1"/>
    <w:qFormat/>
    <w:uiPriority w:val="0"/>
    <w:pPr>
      <w:keepNext/>
      <w:widowControl/>
      <w:spacing w:line="300" w:lineRule="auto"/>
      <w:ind w:firstLine="196" w:firstLineChars="196"/>
      <w:jc w:val="left"/>
      <w:outlineLvl w:val="2"/>
    </w:pPr>
    <w:rPr>
      <w:rFonts w:eastAsia="楷体_GB2312" w:cs="黑体"/>
      <w:b/>
      <w:bCs/>
      <w:kern w:val="24"/>
      <w:szCs w:val="24"/>
    </w:rPr>
  </w:style>
  <w:style w:type="paragraph" w:customStyle="1" w:styleId="279">
    <w:name w:val="纯文本1"/>
    <w:basedOn w:val="1"/>
    <w:qFormat/>
    <w:uiPriority w:val="0"/>
    <w:pPr>
      <w:spacing w:beforeLines="50" w:afterLines="50" w:line="400" w:lineRule="atLeast"/>
    </w:pPr>
    <w:rPr>
      <w:rFonts w:ascii="宋体"/>
      <w:sz w:val="24"/>
    </w:rPr>
  </w:style>
  <w:style w:type="paragraph" w:customStyle="1" w:styleId="28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81">
    <w:name w:val="标题2级"/>
    <w:basedOn w:val="4"/>
    <w:qFormat/>
    <w:uiPriority w:val="0"/>
    <w:pPr>
      <w:keepNext w:val="0"/>
      <w:keepLines w:val="0"/>
      <w:widowControl/>
      <w:pBdr>
        <w:bottom w:val="single" w:color="4F81BD" w:sz="8" w:space="1"/>
      </w:pBdr>
      <w:tabs>
        <w:tab w:val="left" w:pos="567"/>
      </w:tabs>
      <w:spacing w:before="200" w:after="80" w:line="240" w:lineRule="auto"/>
      <w:ind w:left="397" w:hanging="397"/>
      <w:jc w:val="left"/>
    </w:pPr>
    <w:rPr>
      <w:rFonts w:ascii="宋体" w:eastAsia="宋体"/>
      <w:b w:val="0"/>
      <w:color w:val="365F91"/>
      <w:kern w:val="0"/>
      <w:sz w:val="30"/>
      <w:szCs w:val="30"/>
    </w:rPr>
  </w:style>
  <w:style w:type="paragraph" w:customStyle="1" w:styleId="282">
    <w:name w:val="_Style 16"/>
    <w:basedOn w:val="1"/>
    <w:qFormat/>
    <w:uiPriority w:val="0"/>
    <w:rPr>
      <w:rFonts w:ascii="Times New Roman" w:hAnsi="Times New Roman"/>
    </w:rPr>
  </w:style>
  <w:style w:type="paragraph" w:customStyle="1" w:styleId="283">
    <w:name w:val="List Paragraph1"/>
    <w:basedOn w:val="1"/>
    <w:qFormat/>
    <w:uiPriority w:val="0"/>
    <w:pPr>
      <w:ind w:firstLine="200" w:firstLineChars="200"/>
    </w:pPr>
    <w:rPr>
      <w:sz w:val="21"/>
      <w:szCs w:val="22"/>
    </w:rPr>
  </w:style>
  <w:style w:type="paragraph" w:customStyle="1" w:styleId="284">
    <w:name w:val="标题4级"/>
    <w:basedOn w:val="6"/>
    <w:qFormat/>
    <w:uiPriority w:val="0"/>
    <w:pPr>
      <w:keepNext w:val="0"/>
      <w:keepLines w:val="0"/>
      <w:widowControl/>
      <w:pBdr>
        <w:bottom w:val="single" w:color="B8CCE4" w:sz="4" w:space="2"/>
      </w:pBdr>
      <w:tabs>
        <w:tab w:val="left" w:pos="720"/>
        <w:tab w:val="left" w:pos="851"/>
        <w:tab w:val="left" w:pos="993"/>
      </w:tabs>
      <w:spacing w:before="0" w:after="0" w:line="360" w:lineRule="auto"/>
      <w:ind w:left="397" w:hanging="397"/>
      <w:jc w:val="left"/>
    </w:pPr>
    <w:rPr>
      <w:rFonts w:ascii="宋体" w:eastAsia="宋体"/>
      <w:iCs/>
      <w:color w:val="4F81BD"/>
      <w:kern w:val="0"/>
      <w:szCs w:val="28"/>
    </w:rPr>
  </w:style>
  <w:style w:type="paragraph" w:customStyle="1" w:styleId="285">
    <w:name w:val="正文new"/>
    <w:basedOn w:val="1"/>
    <w:qFormat/>
    <w:uiPriority w:val="0"/>
    <w:pPr>
      <w:widowControl/>
      <w:spacing w:line="300" w:lineRule="auto"/>
      <w:ind w:firstLine="202" w:firstLineChars="202"/>
      <w:jc w:val="left"/>
    </w:pPr>
    <w:rPr>
      <w:rFonts w:ascii="宋体" w:cs="宋体"/>
      <w:kern w:val="24"/>
      <w:szCs w:val="28"/>
    </w:rPr>
  </w:style>
  <w:style w:type="paragraph" w:customStyle="1" w:styleId="286">
    <w:name w:val="正文newnewnew"/>
    <w:basedOn w:val="285"/>
    <w:qFormat/>
    <w:uiPriority w:val="0"/>
    <w:rPr>
      <w:rFonts w:ascii="Times New Roman" w:hAnsi="Times New Roman" w:cs="Times New Roman"/>
      <w:sz w:val="24"/>
      <w:szCs w:val="24"/>
    </w:rPr>
  </w:style>
  <w:style w:type="paragraph" w:customStyle="1" w:styleId="287">
    <w:name w:val="列出段落2"/>
    <w:basedOn w:val="1"/>
    <w:qFormat/>
    <w:uiPriority w:val="0"/>
    <w:pPr>
      <w:ind w:firstLine="200" w:firstLineChars="200"/>
    </w:pPr>
    <w:rPr>
      <w:sz w:val="21"/>
      <w:szCs w:val="22"/>
    </w:rPr>
  </w:style>
  <w:style w:type="paragraph" w:styleId="288">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9">
    <w:name w:val="WPSOffice手动目录 1"/>
    <w:qFormat/>
    <w:uiPriority w:val="0"/>
    <w:rPr>
      <w:rFonts w:ascii="Times New Roman" w:hAnsi="Times New Roman" w:eastAsia="宋体" w:cs="Times New Roman"/>
      <w:lang w:val="en-US" w:eastAsia="zh-CN" w:bidi="ar-SA"/>
    </w:rPr>
  </w:style>
  <w:style w:type="paragraph" w:customStyle="1" w:styleId="290">
    <w:name w:val="二级标题"/>
    <w:basedOn w:val="4"/>
    <w:qFormat/>
    <w:uiPriority w:val="0"/>
    <w:pPr>
      <w:keepNext w:val="0"/>
      <w:keepLines w:val="0"/>
      <w:widowControl/>
      <w:pBdr>
        <w:bottom w:val="single" w:color="4F81BD" w:sz="8" w:space="1"/>
      </w:pBdr>
      <w:spacing w:before="240" w:after="80" w:line="300" w:lineRule="auto"/>
    </w:pPr>
    <w:rPr>
      <w:rFonts w:ascii="楷体_GB2312" w:eastAsia="楷体_GB2312" w:cs="黑体"/>
      <w:bCs/>
      <w:color w:val="365F91"/>
      <w:kern w:val="28"/>
      <w:sz w:val="24"/>
      <w:szCs w:val="24"/>
    </w:rPr>
  </w:style>
  <w:style w:type="paragraph" w:customStyle="1" w:styleId="291">
    <w:name w:val="Char Char Char Char Char1"/>
    <w:basedOn w:val="1"/>
    <w:qFormat/>
    <w:uiPriority w:val="0"/>
    <w:pPr>
      <w:tabs>
        <w:tab w:val="left" w:pos="425"/>
      </w:tabs>
      <w:ind w:left="425" w:hanging="425"/>
    </w:pPr>
    <w:rPr>
      <w:rFonts w:ascii="Tahoma" w:hAnsi="Tahoma"/>
      <w:sz w:val="24"/>
    </w:rPr>
  </w:style>
  <w:style w:type="paragraph" w:customStyle="1" w:styleId="292">
    <w:name w:val="Char Char1 Char Char Char Char Char Char Char Char"/>
    <w:basedOn w:val="1"/>
    <w:qFormat/>
    <w:uiPriority w:val="0"/>
    <w:pPr>
      <w:widowControl/>
      <w:spacing w:after="160" w:line="240" w:lineRule="exact"/>
      <w:jc w:val="left"/>
    </w:pPr>
    <w:rPr>
      <w:rFonts w:ascii="Verdana" w:hAnsi="Verdana"/>
      <w:kern w:val="0"/>
      <w:sz w:val="20"/>
    </w:rPr>
  </w:style>
  <w:style w:type="character" w:customStyle="1" w:styleId="293">
    <w:name w:val="页眉 Char"/>
    <w:qFormat/>
    <w:locked/>
    <w:uiPriority w:val="0"/>
    <w:rPr>
      <w:rFonts w:eastAsia="宋体"/>
      <w:kern w:val="2"/>
      <w:sz w:val="18"/>
      <w:lang w:val="en-US" w:eastAsia="zh-CN" w:bidi="ar-SA"/>
    </w:rPr>
  </w:style>
  <w:style w:type="paragraph" w:customStyle="1" w:styleId="294">
    <w:name w:val="修订1"/>
    <w:qFormat/>
    <w:uiPriority w:val="0"/>
    <w:rPr>
      <w:rFonts w:ascii="Calibri" w:hAnsi="Calibri" w:eastAsia="宋体" w:cs="Times New Roman"/>
      <w:kern w:val="2"/>
      <w:sz w:val="28"/>
      <w:lang w:val="en-US" w:eastAsia="zh-CN" w:bidi="ar-SA"/>
    </w:rPr>
  </w:style>
  <w:style w:type="character" w:customStyle="1" w:styleId="295">
    <w:name w:val="页脚 字符"/>
    <w:link w:val="38"/>
    <w:qFormat/>
    <w:uiPriority w:val="99"/>
    <w:rPr>
      <w:rFonts w:ascii="Calibri" w:hAnsi="Calibri"/>
      <w:kern w:val="2"/>
      <w:sz w:val="18"/>
    </w:rPr>
  </w:style>
  <w:style w:type="character" w:customStyle="1" w:styleId="296">
    <w:name w:val="页眉 字符"/>
    <w:link w:val="39"/>
    <w:qFormat/>
    <w:uiPriority w:val="99"/>
    <w:rPr>
      <w:rFonts w:ascii="Calibri" w:hAnsi="Calibri"/>
      <w:kern w:val="2"/>
      <w:sz w:val="18"/>
    </w:rPr>
  </w:style>
  <w:style w:type="paragraph" w:customStyle="1" w:styleId="297">
    <w:name w:val="标题 0（绿盟科技）"/>
    <w:basedOn w:val="57"/>
    <w:qFormat/>
    <w:uiPriority w:val="0"/>
    <w:pPr>
      <w:keepNext/>
      <w:keepLines/>
      <w:widowControl w:val="0"/>
    </w:pPr>
  </w:style>
  <w:style w:type="paragraph" w:customStyle="1" w:styleId="298">
    <w:name w:val="修订2"/>
    <w:hidden/>
    <w:unhideWhenUsed/>
    <w:qFormat/>
    <w:uiPriority w:val="99"/>
    <w:rPr>
      <w:rFonts w:ascii="Calibri" w:hAnsi="Calibri"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5673</Words>
  <Characters>6143</Characters>
  <Lines>200</Lines>
  <Paragraphs>56</Paragraphs>
  <TotalTime>71</TotalTime>
  <ScaleCrop>false</ScaleCrop>
  <LinksUpToDate>false</LinksUpToDate>
  <CharactersWithSpaces>6375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2021-08-02T07:23:00Z</dcterms:created>
  <dc:creator>罗成</dc:creator>
  <cp:lastModifiedBy>周菲童</cp:lastModifiedBy>
  <cp:lastPrinted>2020-09-18T07:14:00Z</cp:lastPrinted>
  <dcterms:modified xsi:type="dcterms:W3CDTF">2024-12-03T04:26:10Z</dcterms:modified>
  <dc:title>竞争性谈判文件</dc:title>
  <cp:revision>316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7CCECF5840EA438F9E3C9E8629D2C536</vt:lpwstr>
  </property>
</Properties>
</file>