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pPr>
    </w:p>
    <w:p>
      <w:pPr>
        <w:jc w:val="center"/>
      </w:pPr>
    </w:p>
    <w:p>
      <w:pPr>
        <w:jc w:val="center"/>
        <w:outlineLvl w:val="0"/>
        <w:rPr>
          <w:sz w:val="44"/>
          <w:szCs w:val="44"/>
        </w:rPr>
      </w:pPr>
    </w:p>
    <w:p>
      <w:pPr>
        <w:jc w:val="center"/>
        <w:outlineLvl w:val="0"/>
        <w:rPr>
          <w:rFonts w:ascii="宋体"/>
          <w:b/>
          <w:sz w:val="52"/>
          <w:szCs w:val="52"/>
        </w:rPr>
      </w:pPr>
      <w:r>
        <w:rPr>
          <w:rFonts w:hint="eastAsia" w:ascii="宋体"/>
          <w:b/>
          <w:sz w:val="52"/>
          <w:szCs w:val="52"/>
        </w:rPr>
        <w:t>无线电历史陈列室改造工程</w:t>
      </w:r>
    </w:p>
    <w:p>
      <w:pPr>
        <w:jc w:val="center"/>
        <w:outlineLvl w:val="0"/>
        <w:rPr>
          <w:rFonts w:ascii="宋体"/>
          <w:b/>
          <w:sz w:val="52"/>
          <w:szCs w:val="52"/>
        </w:rPr>
      </w:pPr>
      <w:r>
        <w:rPr>
          <w:rFonts w:hint="eastAsia" w:ascii="宋体"/>
          <w:b/>
          <w:sz w:val="52"/>
          <w:szCs w:val="52"/>
        </w:rPr>
        <w:t>政府采购项目</w:t>
      </w:r>
    </w:p>
    <w:p>
      <w:pPr>
        <w:outlineLvl w:val="0"/>
        <w:rPr>
          <w:rFonts w:ascii="宋体"/>
          <w:spacing w:val="80"/>
          <w:sz w:val="72"/>
          <w:szCs w:val="72"/>
        </w:rPr>
      </w:pPr>
    </w:p>
    <w:p>
      <w:pPr>
        <w:pStyle w:val="2"/>
      </w:pPr>
    </w:p>
    <w:p>
      <w:pPr>
        <w:jc w:val="center"/>
        <w:outlineLvl w:val="0"/>
        <w:rPr>
          <w:rFonts w:ascii="宋体"/>
          <w:spacing w:val="80"/>
          <w:sz w:val="72"/>
          <w:szCs w:val="72"/>
        </w:rPr>
      </w:pPr>
    </w:p>
    <w:p>
      <w:pPr>
        <w:jc w:val="center"/>
        <w:outlineLvl w:val="0"/>
        <w:rPr>
          <w:spacing w:val="80"/>
          <w:sz w:val="72"/>
          <w:szCs w:val="72"/>
        </w:rPr>
      </w:pPr>
      <w:r>
        <w:rPr>
          <w:spacing w:val="80"/>
          <w:sz w:val="72"/>
          <w:szCs w:val="72"/>
        </w:rPr>
        <w:t>竞争性磋商文件</w:t>
      </w:r>
    </w:p>
    <w:p>
      <w:pPr>
        <w:spacing w:line="700" w:lineRule="exact"/>
        <w:jc w:val="center"/>
        <w:rPr>
          <w:sz w:val="36"/>
          <w:szCs w:val="30"/>
        </w:rPr>
      </w:pPr>
      <w:r>
        <w:rPr>
          <w:sz w:val="36"/>
          <w:szCs w:val="30"/>
        </w:rPr>
        <w:t>项目号：</w:t>
      </w:r>
      <w:r>
        <w:rPr>
          <w:rFonts w:hint="eastAsia" w:ascii="宋体"/>
          <w:sz w:val="36"/>
          <w:szCs w:val="30"/>
        </w:rPr>
        <w:t>CQCBJQ</w:t>
      </w:r>
      <w:r>
        <w:rPr>
          <w:rFonts w:ascii="宋体"/>
          <w:sz w:val="36"/>
          <w:szCs w:val="30"/>
        </w:rPr>
        <w:t>2306-167</w:t>
      </w:r>
    </w:p>
    <w:p>
      <w:pPr>
        <w:spacing w:line="700" w:lineRule="exact"/>
        <w:ind w:firstLine="2700" w:firstLineChars="750"/>
        <w:rPr>
          <w:rFonts w:ascii="宋体"/>
          <w:sz w:val="36"/>
          <w:szCs w:val="30"/>
        </w:rPr>
      </w:pPr>
    </w:p>
    <w:p>
      <w:pPr>
        <w:spacing w:line="700" w:lineRule="exact"/>
        <w:jc w:val="center"/>
        <w:rPr>
          <w:rFonts w:ascii="宋体"/>
          <w:b/>
          <w:sz w:val="30"/>
          <w:szCs w:val="30"/>
        </w:rPr>
      </w:pPr>
    </w:p>
    <w:p>
      <w:pPr>
        <w:spacing w:line="700" w:lineRule="exact"/>
        <w:jc w:val="center"/>
        <w:rPr>
          <w:rFonts w:ascii="宋体"/>
          <w:b/>
          <w:sz w:val="30"/>
          <w:szCs w:val="30"/>
        </w:rPr>
      </w:pPr>
    </w:p>
    <w:p>
      <w:pPr>
        <w:spacing w:line="700" w:lineRule="exact"/>
        <w:jc w:val="center"/>
        <w:rPr>
          <w:rFonts w:ascii="宋体"/>
          <w:b/>
          <w:sz w:val="30"/>
          <w:szCs w:val="30"/>
        </w:rPr>
      </w:pPr>
    </w:p>
    <w:p>
      <w:pPr>
        <w:spacing w:line="700" w:lineRule="exact"/>
        <w:jc w:val="center"/>
        <w:rPr>
          <w:rFonts w:ascii="宋体"/>
          <w:b/>
          <w:sz w:val="30"/>
          <w:szCs w:val="30"/>
        </w:rPr>
      </w:pPr>
    </w:p>
    <w:p>
      <w:pPr>
        <w:spacing w:line="700" w:lineRule="exact"/>
        <w:rPr>
          <w:rFonts w:ascii="宋体"/>
          <w:b/>
          <w:sz w:val="30"/>
          <w:szCs w:val="30"/>
        </w:rPr>
      </w:pPr>
    </w:p>
    <w:p>
      <w:pPr>
        <w:spacing w:line="700" w:lineRule="exact"/>
        <w:rPr>
          <w:rFonts w:ascii="宋体"/>
          <w:b/>
          <w:sz w:val="30"/>
          <w:szCs w:val="30"/>
        </w:rPr>
      </w:pPr>
    </w:p>
    <w:p>
      <w:pPr>
        <w:spacing w:line="700" w:lineRule="exact"/>
        <w:ind w:left="84" w:leftChars="30" w:firstLine="1440" w:firstLineChars="400"/>
        <w:jc w:val="left"/>
        <w:rPr>
          <w:sz w:val="36"/>
          <w:szCs w:val="30"/>
        </w:rPr>
      </w:pPr>
      <w:r>
        <w:rPr>
          <w:sz w:val="36"/>
          <w:szCs w:val="30"/>
        </w:rPr>
        <w:t>采</w:t>
      </w:r>
      <w:r>
        <w:rPr>
          <w:rFonts w:hint="eastAsia"/>
          <w:sz w:val="36"/>
          <w:szCs w:val="30"/>
        </w:rPr>
        <w:t xml:space="preserve"> </w:t>
      </w:r>
      <w:r>
        <w:rPr>
          <w:sz w:val="36"/>
          <w:szCs w:val="30"/>
        </w:rPr>
        <w:t xml:space="preserve">  购</w:t>
      </w:r>
      <w:r>
        <w:rPr>
          <w:rFonts w:hint="eastAsia"/>
          <w:sz w:val="36"/>
          <w:szCs w:val="30"/>
        </w:rPr>
        <w:t xml:space="preserve"> </w:t>
      </w:r>
      <w:r>
        <w:rPr>
          <w:sz w:val="36"/>
          <w:szCs w:val="30"/>
        </w:rPr>
        <w:t xml:space="preserve">  人：</w:t>
      </w:r>
      <w:r>
        <w:rPr>
          <w:rFonts w:hint="eastAsia"/>
          <w:sz w:val="36"/>
          <w:szCs w:val="30"/>
        </w:rPr>
        <w:t>重庆市无线电监测站</w:t>
      </w:r>
    </w:p>
    <w:p>
      <w:pPr>
        <w:spacing w:line="700" w:lineRule="exact"/>
        <w:jc w:val="center"/>
        <w:rPr>
          <w:sz w:val="36"/>
          <w:szCs w:val="30"/>
        </w:rPr>
      </w:pPr>
      <w:r>
        <w:rPr>
          <w:rFonts w:hint="eastAsia"/>
          <w:sz w:val="36"/>
          <w:szCs w:val="30"/>
        </w:rPr>
        <w:t xml:space="preserve"> </w:t>
      </w:r>
      <w:r>
        <w:rPr>
          <w:sz w:val="36"/>
          <w:szCs w:val="30"/>
        </w:rPr>
        <w:t xml:space="preserve">       采购代理机构：重庆市中基致信招标代理有限公司</w:t>
      </w:r>
    </w:p>
    <w:p>
      <w:pPr>
        <w:spacing w:line="700" w:lineRule="exact"/>
        <w:jc w:val="center"/>
        <w:rPr>
          <w:sz w:val="36"/>
          <w:szCs w:val="30"/>
        </w:rPr>
        <w:sectPr>
          <w:headerReference r:id="rId4" w:type="first"/>
          <w:footerReference r:id="rId6" w:type="first"/>
          <w:headerReference r:id="rId3" w:type="default"/>
          <w:footerReference r:id="rId5" w:type="even"/>
          <w:pgSz w:w="11907" w:h="16840"/>
          <w:pgMar w:top="1134" w:right="1191" w:bottom="1134" w:left="1191" w:header="851" w:footer="992" w:gutter="0"/>
          <w:pgNumType w:fmt="numberInDash" w:start="1"/>
          <w:cols w:space="720" w:num="1"/>
          <w:docGrid w:linePitch="380" w:charSpace="-5734"/>
        </w:sectPr>
      </w:pPr>
      <w:r>
        <w:rPr>
          <w:sz w:val="36"/>
          <w:szCs w:val="30"/>
        </w:rPr>
        <w:t>二</w:t>
      </w:r>
      <w:r>
        <w:rPr>
          <w:rFonts w:hint="eastAsia"/>
          <w:sz w:val="36"/>
          <w:szCs w:val="30"/>
        </w:rPr>
        <w:t>〇</w:t>
      </w:r>
      <w:r>
        <w:rPr>
          <w:sz w:val="36"/>
          <w:szCs w:val="30"/>
        </w:rPr>
        <w:t>二</w:t>
      </w:r>
      <w:r>
        <w:rPr>
          <w:rFonts w:hint="eastAsia"/>
          <w:sz w:val="36"/>
          <w:szCs w:val="30"/>
        </w:rPr>
        <w:t>三</w:t>
      </w:r>
      <w:r>
        <w:rPr>
          <w:sz w:val="36"/>
          <w:szCs w:val="30"/>
        </w:rPr>
        <w:t>年</w:t>
      </w:r>
      <w:r>
        <w:rPr>
          <w:rFonts w:hint="eastAsia"/>
          <w:sz w:val="36"/>
          <w:szCs w:val="30"/>
        </w:rPr>
        <w:t>六</w:t>
      </w:r>
      <w:r>
        <w:rPr>
          <w:sz w:val="36"/>
          <w:szCs w:val="30"/>
        </w:rPr>
        <w:t>月</w:t>
      </w:r>
    </w:p>
    <w:p>
      <w:pPr>
        <w:pageBreakBefore/>
        <w:spacing w:line="480" w:lineRule="exact"/>
        <w:jc w:val="center"/>
        <w:outlineLvl w:val="0"/>
        <w:rPr>
          <w:rFonts w:ascii="宋体"/>
          <w:sz w:val="44"/>
          <w:szCs w:val="28"/>
        </w:rPr>
      </w:pPr>
      <w:r>
        <w:rPr>
          <w:rFonts w:hint="eastAsia" w:ascii="宋体"/>
          <w:sz w:val="44"/>
          <w:szCs w:val="28"/>
        </w:rPr>
        <w:t>目   录</w:t>
      </w:r>
    </w:p>
    <w:p>
      <w:pPr>
        <w:pStyle w:val="51"/>
        <w:tabs>
          <w:tab w:val="right" w:leader="dot" w:pos="9515"/>
        </w:tabs>
        <w:ind w:left="560"/>
        <w:rPr>
          <w:rFonts w:asciiTheme="minorHAnsi" w:hAnsiTheme="minorHAnsi" w:eastAsiaTheme="minorEastAsia" w:cstheme="minorBidi"/>
          <w:sz w:val="21"/>
          <w:szCs w:val="22"/>
          <w14:ligatures w14:val="standardContextual"/>
        </w:rPr>
      </w:pPr>
      <w:r>
        <w:rPr>
          <w:rFonts w:hint="eastAsia" w:ascii="宋体"/>
          <w:sz w:val="24"/>
          <w:szCs w:val="24"/>
        </w:rPr>
        <w:fldChar w:fldCharType="begin"/>
      </w:r>
      <w:r>
        <w:rPr>
          <w:rFonts w:hint="eastAsia" w:ascii="宋体"/>
          <w:sz w:val="24"/>
          <w:szCs w:val="24"/>
        </w:rPr>
        <w:instrText xml:space="preserve"> TOC \o "1-3" \h \z </w:instrText>
      </w:r>
      <w:r>
        <w:rPr>
          <w:rFonts w:hint="eastAsia" w:ascii="宋体"/>
          <w:sz w:val="24"/>
          <w:szCs w:val="24"/>
        </w:rPr>
        <w:fldChar w:fldCharType="separate"/>
      </w:r>
      <w:r>
        <w:fldChar w:fldCharType="begin"/>
      </w:r>
      <w:r>
        <w:instrText xml:space="preserve"> HYPERLINK \l "_Toc137459380" </w:instrText>
      </w:r>
      <w:r>
        <w:fldChar w:fldCharType="separate"/>
      </w:r>
      <w:r>
        <w:rPr>
          <w:rStyle w:val="65"/>
          <w:rFonts w:ascii="宋体"/>
        </w:rPr>
        <w:t>第一篇  采购邀请书</w:t>
      </w:r>
      <w:r>
        <w:tab/>
      </w:r>
      <w:r>
        <w:fldChar w:fldCharType="begin"/>
      </w:r>
      <w:r>
        <w:instrText xml:space="preserve"> PAGEREF _Toc137459380 \h </w:instrText>
      </w:r>
      <w:r>
        <w:fldChar w:fldCharType="separate"/>
      </w:r>
      <w:r>
        <w:t>- 3 -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"_Toc137459381" </w:instrText>
      </w:r>
      <w:r>
        <w:fldChar w:fldCharType="separate"/>
      </w:r>
      <w:r>
        <w:rPr>
          <w:rStyle w:val="65"/>
          <w:rFonts w:ascii="宋体"/>
        </w:rPr>
        <w:t>一、竞争性磋商内容</w:t>
      </w:r>
      <w:r>
        <w:tab/>
      </w:r>
      <w:r>
        <w:fldChar w:fldCharType="begin"/>
      </w:r>
      <w:r>
        <w:instrText xml:space="preserve"> PAGEREF _Toc137459381 \h </w:instrText>
      </w:r>
      <w:r>
        <w:fldChar w:fldCharType="separate"/>
      </w:r>
      <w:r>
        <w:t>- 3 -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"_Toc137459382" </w:instrText>
      </w:r>
      <w:r>
        <w:fldChar w:fldCharType="separate"/>
      </w:r>
      <w:r>
        <w:rPr>
          <w:rStyle w:val="65"/>
          <w:rFonts w:ascii="宋体"/>
        </w:rPr>
        <w:t>二、资金来源</w:t>
      </w:r>
      <w:r>
        <w:tab/>
      </w:r>
      <w:r>
        <w:fldChar w:fldCharType="begin"/>
      </w:r>
      <w:r>
        <w:instrText xml:space="preserve"> PAGEREF _Toc137459382 \h </w:instrText>
      </w:r>
      <w:r>
        <w:fldChar w:fldCharType="separate"/>
      </w:r>
      <w:r>
        <w:t>- 3 -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"_Toc137459383" </w:instrText>
      </w:r>
      <w:r>
        <w:fldChar w:fldCharType="separate"/>
      </w:r>
      <w:r>
        <w:rPr>
          <w:rStyle w:val="65"/>
          <w:rFonts w:ascii="宋体"/>
        </w:rPr>
        <w:t>三、供应商资格条件</w:t>
      </w:r>
      <w:r>
        <w:tab/>
      </w:r>
      <w:r>
        <w:fldChar w:fldCharType="begin"/>
      </w:r>
      <w:r>
        <w:instrText xml:space="preserve"> PAGEREF _Toc137459383 \h </w:instrText>
      </w:r>
      <w:r>
        <w:fldChar w:fldCharType="separate"/>
      </w:r>
      <w:r>
        <w:t>- 3 -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"_Toc137459384" </w:instrText>
      </w:r>
      <w:r>
        <w:fldChar w:fldCharType="separate"/>
      </w:r>
      <w:r>
        <w:rPr>
          <w:rStyle w:val="65"/>
          <w:rFonts w:ascii="宋体"/>
        </w:rPr>
        <w:t>四、磋商有关说明</w:t>
      </w:r>
      <w:r>
        <w:tab/>
      </w:r>
      <w:r>
        <w:fldChar w:fldCharType="begin"/>
      </w:r>
      <w:r>
        <w:instrText xml:space="preserve"> PAGEREF _Toc137459384 \h </w:instrText>
      </w:r>
      <w:r>
        <w:fldChar w:fldCharType="separate"/>
      </w:r>
      <w:r>
        <w:t>- 3 -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"_Toc137459385" </w:instrText>
      </w:r>
      <w:r>
        <w:fldChar w:fldCharType="separate"/>
      </w:r>
      <w:r>
        <w:rPr>
          <w:rStyle w:val="65"/>
          <w:rFonts w:ascii="宋体"/>
        </w:rPr>
        <w:t>五、磋商保证金</w:t>
      </w:r>
      <w:r>
        <w:tab/>
      </w:r>
      <w:r>
        <w:fldChar w:fldCharType="begin"/>
      </w:r>
      <w:r>
        <w:instrText xml:space="preserve"> PAGEREF _Toc137459385 \h </w:instrText>
      </w:r>
      <w:r>
        <w:fldChar w:fldCharType="separate"/>
      </w:r>
      <w:r>
        <w:t>- 4 -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"_Toc137459386" </w:instrText>
      </w:r>
      <w:r>
        <w:fldChar w:fldCharType="separate"/>
      </w:r>
      <w:r>
        <w:rPr>
          <w:rStyle w:val="65"/>
          <w:rFonts w:ascii="宋体"/>
        </w:rPr>
        <w:t>六、采购项目需落实的政府采购政策</w:t>
      </w:r>
      <w:r>
        <w:tab/>
      </w:r>
      <w:r>
        <w:fldChar w:fldCharType="begin"/>
      </w:r>
      <w:r>
        <w:instrText xml:space="preserve"> PAGEREF _Toc137459386 \h </w:instrText>
      </w:r>
      <w:r>
        <w:fldChar w:fldCharType="separate"/>
      </w:r>
      <w:r>
        <w:t>- 5 -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"_Toc137459387" </w:instrText>
      </w:r>
      <w:r>
        <w:fldChar w:fldCharType="separate"/>
      </w:r>
      <w:r>
        <w:rPr>
          <w:rStyle w:val="65"/>
          <w:rFonts w:ascii="宋体"/>
        </w:rPr>
        <w:t>七、其它有关规定</w:t>
      </w:r>
      <w:r>
        <w:tab/>
      </w:r>
      <w:r>
        <w:fldChar w:fldCharType="begin"/>
      </w:r>
      <w:r>
        <w:instrText xml:space="preserve"> PAGEREF _Toc137459387 \h </w:instrText>
      </w:r>
      <w:r>
        <w:fldChar w:fldCharType="separate"/>
      </w:r>
      <w:r>
        <w:t>- 5 -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"_Toc137459388" </w:instrText>
      </w:r>
      <w:r>
        <w:fldChar w:fldCharType="separate"/>
      </w:r>
      <w:r>
        <w:rPr>
          <w:rStyle w:val="65"/>
          <w:rFonts w:ascii="宋体"/>
        </w:rPr>
        <w:t>八、联系方式</w:t>
      </w:r>
      <w:r>
        <w:tab/>
      </w:r>
      <w:r>
        <w:fldChar w:fldCharType="begin"/>
      </w:r>
      <w:r>
        <w:instrText xml:space="preserve"> PAGEREF _Toc137459388 \h </w:instrText>
      </w:r>
      <w:r>
        <w:fldChar w:fldCharType="separate"/>
      </w:r>
      <w:r>
        <w:t>- 6 -</w:t>
      </w:r>
      <w:r>
        <w:fldChar w:fldCharType="end"/>
      </w:r>
      <w:r>
        <w:fldChar w:fldCharType="end"/>
      </w:r>
    </w:p>
    <w:p>
      <w:pPr>
        <w:pStyle w:val="51"/>
        <w:tabs>
          <w:tab w:val="right" w:leader="dot" w:pos="9515"/>
        </w:tabs>
        <w:ind w:left="560"/>
        <w:rPr>
          <w:rFonts w:asciiTheme="minorHAnsi" w:hAnsiTheme="minorHAnsi" w:eastAsiaTheme="minorEastAsia" w:cstheme="minorBidi"/>
          <w:sz w:val="21"/>
          <w:szCs w:val="22"/>
          <w14:ligatures w14:val="standardContextual"/>
        </w:rPr>
      </w:pPr>
      <w:r>
        <w:fldChar w:fldCharType="begin"/>
      </w:r>
      <w:r>
        <w:instrText xml:space="preserve"> HYPERLINK \l "_Toc137459389" </w:instrText>
      </w:r>
      <w:r>
        <w:fldChar w:fldCharType="separate"/>
      </w:r>
      <w:r>
        <w:rPr>
          <w:rStyle w:val="65"/>
          <w:rFonts w:ascii="宋体"/>
        </w:rPr>
        <w:t>第二篇  项目服务需求</w:t>
      </w:r>
      <w:r>
        <w:tab/>
      </w:r>
      <w:r>
        <w:fldChar w:fldCharType="begin"/>
      </w:r>
      <w:r>
        <w:instrText xml:space="preserve"> PAGEREF _Toc137459389 \h </w:instrText>
      </w:r>
      <w:r>
        <w:fldChar w:fldCharType="separate"/>
      </w:r>
      <w:r>
        <w:t>- 7 -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"_Toc137459390" </w:instrText>
      </w:r>
      <w:r>
        <w:fldChar w:fldCharType="separate"/>
      </w:r>
      <w:r>
        <w:rPr>
          <w:rStyle w:val="65"/>
          <w:rFonts w:ascii="宋体"/>
        </w:rPr>
        <w:t>一、招标项目一览表</w:t>
      </w:r>
      <w:r>
        <w:tab/>
      </w:r>
      <w:r>
        <w:fldChar w:fldCharType="begin"/>
      </w:r>
      <w:r>
        <w:instrText xml:space="preserve"> PAGEREF _Toc137459390 \h </w:instrText>
      </w:r>
      <w:r>
        <w:fldChar w:fldCharType="separate"/>
      </w:r>
      <w:r>
        <w:t>- 7 -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"_Toc137459391" </w:instrText>
      </w:r>
      <w:r>
        <w:fldChar w:fldCharType="separate"/>
      </w:r>
      <w:r>
        <w:rPr>
          <w:rStyle w:val="65"/>
          <w:rFonts w:ascii="宋体"/>
        </w:rPr>
        <w:t>二、招标项目技术要求</w:t>
      </w:r>
      <w:r>
        <w:tab/>
      </w:r>
      <w:r>
        <w:fldChar w:fldCharType="begin"/>
      </w:r>
      <w:r>
        <w:instrText xml:space="preserve"> PAGEREF _Toc137459391 \h </w:instrText>
      </w:r>
      <w:r>
        <w:fldChar w:fldCharType="separate"/>
      </w:r>
      <w:r>
        <w:t>- 7 -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"_Toc137459392" </w:instrText>
      </w:r>
      <w:r>
        <w:fldChar w:fldCharType="separate"/>
      </w:r>
      <w:r>
        <w:rPr>
          <w:rStyle w:val="65"/>
          <w:rFonts w:ascii="宋体" w:hAnsi="宋体"/>
        </w:rPr>
        <w:t>※三、项目管理</w:t>
      </w:r>
      <w:r>
        <w:tab/>
      </w:r>
      <w:r>
        <w:fldChar w:fldCharType="begin"/>
      </w:r>
      <w:r>
        <w:instrText xml:space="preserve"> PAGEREF _Toc137459392 \h </w:instrText>
      </w:r>
      <w:r>
        <w:fldChar w:fldCharType="separate"/>
      </w:r>
      <w:r>
        <w:t>- 16 -</w:t>
      </w:r>
      <w:r>
        <w:fldChar w:fldCharType="end"/>
      </w:r>
      <w:r>
        <w:fldChar w:fldCharType="end"/>
      </w:r>
    </w:p>
    <w:p>
      <w:pPr>
        <w:pStyle w:val="51"/>
        <w:tabs>
          <w:tab w:val="right" w:leader="dot" w:pos="9515"/>
        </w:tabs>
        <w:ind w:left="560"/>
        <w:rPr>
          <w:rFonts w:asciiTheme="minorHAnsi" w:hAnsiTheme="minorHAnsi" w:eastAsiaTheme="minorEastAsia" w:cstheme="minorBidi"/>
          <w:sz w:val="21"/>
          <w:szCs w:val="22"/>
          <w14:ligatures w14:val="standardContextual"/>
        </w:rPr>
      </w:pPr>
      <w:r>
        <w:fldChar w:fldCharType="begin"/>
      </w:r>
      <w:r>
        <w:instrText xml:space="preserve"> HYPERLINK \l "_Toc137459393" </w:instrText>
      </w:r>
      <w:r>
        <w:fldChar w:fldCharType="separate"/>
      </w:r>
      <w:r>
        <w:rPr>
          <w:rStyle w:val="65"/>
          <w:rFonts w:ascii="宋体"/>
        </w:rPr>
        <w:t>第三篇  项目商务需求</w:t>
      </w:r>
      <w:r>
        <w:tab/>
      </w:r>
      <w:r>
        <w:fldChar w:fldCharType="begin"/>
      </w:r>
      <w:r>
        <w:instrText xml:space="preserve"> PAGEREF _Toc137459393 \h </w:instrText>
      </w:r>
      <w:r>
        <w:fldChar w:fldCharType="separate"/>
      </w:r>
      <w:r>
        <w:t>- 18 -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"_Toc137459394" </w:instrText>
      </w:r>
      <w:r>
        <w:fldChar w:fldCharType="separate"/>
      </w:r>
      <w:r>
        <w:rPr>
          <w:rStyle w:val="65"/>
          <w:rFonts w:hint="eastAsia" w:ascii="宋体" w:hAnsi="宋体" w:cs="宋体"/>
        </w:rPr>
        <w:t>※</w:t>
      </w:r>
      <w:r>
        <w:rPr>
          <w:rStyle w:val="65"/>
          <w:rFonts w:ascii="宋体"/>
        </w:rPr>
        <w:t>一、实施时间、实施地点及验收方式</w:t>
      </w:r>
      <w:r>
        <w:tab/>
      </w:r>
      <w:r>
        <w:fldChar w:fldCharType="begin"/>
      </w:r>
      <w:r>
        <w:instrText xml:space="preserve"> PAGEREF _Toc137459394 \h </w:instrText>
      </w:r>
      <w:r>
        <w:fldChar w:fldCharType="separate"/>
      </w:r>
      <w:r>
        <w:t>- 18 -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"_Toc137459395" </w:instrText>
      </w:r>
      <w:r>
        <w:fldChar w:fldCharType="separate"/>
      </w:r>
      <w:r>
        <w:rPr>
          <w:rStyle w:val="65"/>
          <w:rFonts w:hint="eastAsia" w:ascii="宋体" w:hAnsi="宋体" w:cs="宋体"/>
        </w:rPr>
        <w:t>※</w:t>
      </w:r>
      <w:r>
        <w:rPr>
          <w:rStyle w:val="65"/>
          <w:rFonts w:ascii="宋体"/>
        </w:rPr>
        <w:t>二、报价要求</w:t>
      </w:r>
      <w:r>
        <w:tab/>
      </w:r>
      <w:r>
        <w:fldChar w:fldCharType="begin"/>
      </w:r>
      <w:r>
        <w:instrText xml:space="preserve"> PAGEREF _Toc137459395 \h </w:instrText>
      </w:r>
      <w:r>
        <w:fldChar w:fldCharType="separate"/>
      </w:r>
      <w:r>
        <w:t>- 18 -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"_Toc137459396" </w:instrText>
      </w:r>
      <w:r>
        <w:fldChar w:fldCharType="separate"/>
      </w:r>
      <w:r>
        <w:rPr>
          <w:rStyle w:val="65"/>
          <w:rFonts w:hint="eastAsia" w:ascii="宋体" w:hAnsi="宋体" w:cs="宋体"/>
        </w:rPr>
        <w:t>※</w:t>
      </w:r>
      <w:r>
        <w:rPr>
          <w:rStyle w:val="65"/>
          <w:rFonts w:ascii="宋体"/>
        </w:rPr>
        <w:t>三、质量保证及售后服务</w:t>
      </w:r>
      <w:r>
        <w:tab/>
      </w:r>
      <w:r>
        <w:fldChar w:fldCharType="begin"/>
      </w:r>
      <w:r>
        <w:instrText xml:space="preserve"> PAGEREF _Toc137459396 \h </w:instrText>
      </w:r>
      <w:r>
        <w:fldChar w:fldCharType="separate"/>
      </w:r>
      <w:r>
        <w:t>- 18 -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"_Toc137459397" </w:instrText>
      </w:r>
      <w:r>
        <w:fldChar w:fldCharType="separate"/>
      </w:r>
      <w:r>
        <w:rPr>
          <w:rStyle w:val="65"/>
          <w:rFonts w:hint="eastAsia" w:ascii="宋体" w:hAnsi="宋体" w:cs="宋体"/>
        </w:rPr>
        <w:t>※</w:t>
      </w:r>
      <w:r>
        <w:rPr>
          <w:rStyle w:val="65"/>
          <w:rFonts w:ascii="宋体"/>
        </w:rPr>
        <w:t>四、付款方式</w:t>
      </w:r>
      <w:r>
        <w:tab/>
      </w:r>
      <w:r>
        <w:fldChar w:fldCharType="begin"/>
      </w:r>
      <w:r>
        <w:instrText xml:space="preserve"> PAGEREF _Toc137459397 \h </w:instrText>
      </w:r>
      <w:r>
        <w:fldChar w:fldCharType="separate"/>
      </w:r>
      <w:r>
        <w:t>- 19 -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"_Toc137459398" </w:instrText>
      </w:r>
      <w:r>
        <w:fldChar w:fldCharType="separate"/>
      </w:r>
      <w:r>
        <w:rPr>
          <w:rStyle w:val="65"/>
          <w:rFonts w:ascii="宋体" w:hAnsi="宋体"/>
        </w:rPr>
        <w:t>六、其他</w:t>
      </w:r>
      <w:r>
        <w:tab/>
      </w:r>
      <w:r>
        <w:fldChar w:fldCharType="begin"/>
      </w:r>
      <w:r>
        <w:instrText xml:space="preserve"> PAGEREF _Toc137459398 \h </w:instrText>
      </w:r>
      <w:r>
        <w:fldChar w:fldCharType="separate"/>
      </w:r>
      <w:r>
        <w:t>- 20 -</w:t>
      </w:r>
      <w:r>
        <w:fldChar w:fldCharType="end"/>
      </w:r>
      <w:r>
        <w:fldChar w:fldCharType="end"/>
      </w:r>
    </w:p>
    <w:p>
      <w:pPr>
        <w:pStyle w:val="51"/>
        <w:tabs>
          <w:tab w:val="right" w:leader="dot" w:pos="9515"/>
        </w:tabs>
        <w:ind w:left="560"/>
        <w:rPr>
          <w:rFonts w:asciiTheme="minorHAnsi" w:hAnsiTheme="minorHAnsi" w:eastAsiaTheme="minorEastAsia" w:cstheme="minorBidi"/>
          <w:sz w:val="21"/>
          <w:szCs w:val="22"/>
          <w14:ligatures w14:val="standardContextual"/>
        </w:rPr>
      </w:pPr>
      <w:r>
        <w:fldChar w:fldCharType="begin"/>
      </w:r>
      <w:r>
        <w:instrText xml:space="preserve"> HYPERLINK \l "_Toc137459399" </w:instrText>
      </w:r>
      <w:r>
        <w:fldChar w:fldCharType="separate"/>
      </w:r>
      <w:r>
        <w:rPr>
          <w:rStyle w:val="65"/>
          <w:rFonts w:ascii="宋体"/>
        </w:rPr>
        <w:t>第四篇  磋商程序及方法、评审标准、无效响应和采购终止</w:t>
      </w:r>
      <w:r>
        <w:tab/>
      </w:r>
      <w:r>
        <w:fldChar w:fldCharType="begin"/>
      </w:r>
      <w:r>
        <w:instrText xml:space="preserve"> PAGEREF _Toc137459399 \h </w:instrText>
      </w:r>
      <w:r>
        <w:fldChar w:fldCharType="separate"/>
      </w:r>
      <w:r>
        <w:t>- 21 -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"_Toc137459400" </w:instrText>
      </w:r>
      <w:r>
        <w:fldChar w:fldCharType="separate"/>
      </w:r>
      <w:r>
        <w:rPr>
          <w:rStyle w:val="65"/>
          <w:rFonts w:ascii="宋体" w:hAnsi="宋体"/>
        </w:rPr>
        <w:t>一、磋商程序及方法</w:t>
      </w:r>
      <w:r>
        <w:tab/>
      </w:r>
      <w:r>
        <w:fldChar w:fldCharType="begin"/>
      </w:r>
      <w:r>
        <w:instrText xml:space="preserve"> PAGEREF _Toc137459400 \h </w:instrText>
      </w:r>
      <w:r>
        <w:fldChar w:fldCharType="separate"/>
      </w:r>
      <w:r>
        <w:t>- 21 -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"_Toc137459401" </w:instrText>
      </w:r>
      <w:r>
        <w:fldChar w:fldCharType="separate"/>
      </w:r>
      <w:r>
        <w:rPr>
          <w:rStyle w:val="65"/>
          <w:rFonts w:ascii="宋体"/>
        </w:rPr>
        <w:t>二、评审标准</w:t>
      </w:r>
      <w:r>
        <w:tab/>
      </w:r>
      <w:r>
        <w:fldChar w:fldCharType="begin"/>
      </w:r>
      <w:r>
        <w:instrText xml:space="preserve"> PAGEREF _Toc137459401 \h </w:instrText>
      </w:r>
      <w:r>
        <w:fldChar w:fldCharType="separate"/>
      </w:r>
      <w:r>
        <w:t>- 23 -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"_Toc137459402" </w:instrText>
      </w:r>
      <w:r>
        <w:fldChar w:fldCharType="separate"/>
      </w:r>
      <w:r>
        <w:rPr>
          <w:rStyle w:val="65"/>
          <w:rFonts w:ascii="宋体" w:hAnsi="宋体"/>
        </w:rPr>
        <w:t>三、无效响应</w:t>
      </w:r>
      <w:r>
        <w:tab/>
      </w:r>
      <w:r>
        <w:fldChar w:fldCharType="begin"/>
      </w:r>
      <w:r>
        <w:instrText xml:space="preserve"> PAGEREF _Toc137459402 \h </w:instrText>
      </w:r>
      <w:r>
        <w:fldChar w:fldCharType="separate"/>
      </w:r>
      <w:r>
        <w:t>- 24 -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"_Toc137459403" </w:instrText>
      </w:r>
      <w:r>
        <w:fldChar w:fldCharType="separate"/>
      </w:r>
      <w:r>
        <w:rPr>
          <w:rStyle w:val="65"/>
          <w:rFonts w:ascii="宋体" w:hAnsi="宋体"/>
        </w:rPr>
        <w:t>四、采购终止</w:t>
      </w:r>
      <w:r>
        <w:tab/>
      </w:r>
      <w:r>
        <w:fldChar w:fldCharType="begin"/>
      </w:r>
      <w:r>
        <w:instrText xml:space="preserve"> PAGEREF _Toc137459403 \h </w:instrText>
      </w:r>
      <w:r>
        <w:fldChar w:fldCharType="separate"/>
      </w:r>
      <w:r>
        <w:t>- 25 -</w:t>
      </w:r>
      <w:r>
        <w:fldChar w:fldCharType="end"/>
      </w:r>
      <w:r>
        <w:fldChar w:fldCharType="end"/>
      </w:r>
    </w:p>
    <w:p>
      <w:pPr>
        <w:pStyle w:val="51"/>
        <w:tabs>
          <w:tab w:val="right" w:leader="dot" w:pos="9515"/>
        </w:tabs>
        <w:ind w:left="560"/>
        <w:rPr>
          <w:rFonts w:asciiTheme="minorHAnsi" w:hAnsiTheme="minorHAnsi" w:eastAsiaTheme="minorEastAsia" w:cstheme="minorBidi"/>
          <w:sz w:val="21"/>
          <w:szCs w:val="22"/>
          <w14:ligatures w14:val="standardContextual"/>
        </w:rPr>
      </w:pPr>
      <w:r>
        <w:fldChar w:fldCharType="begin"/>
      </w:r>
      <w:r>
        <w:instrText xml:space="preserve"> HYPERLINK \l "_Toc137459404" </w:instrText>
      </w:r>
      <w:r>
        <w:fldChar w:fldCharType="separate"/>
      </w:r>
      <w:r>
        <w:rPr>
          <w:rStyle w:val="65"/>
          <w:rFonts w:ascii="宋体"/>
        </w:rPr>
        <w:t>第五篇  供应商须知</w:t>
      </w:r>
      <w:r>
        <w:tab/>
      </w:r>
      <w:r>
        <w:fldChar w:fldCharType="begin"/>
      </w:r>
      <w:r>
        <w:instrText xml:space="preserve"> PAGEREF _Toc137459404 \h </w:instrText>
      </w:r>
      <w:r>
        <w:fldChar w:fldCharType="separate"/>
      </w:r>
      <w:r>
        <w:t>- 26 -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"_Toc137459405" </w:instrText>
      </w:r>
      <w:r>
        <w:fldChar w:fldCharType="separate"/>
      </w:r>
      <w:r>
        <w:rPr>
          <w:rStyle w:val="65"/>
          <w:rFonts w:ascii="宋体"/>
        </w:rPr>
        <w:t>一、磋商费用</w:t>
      </w:r>
      <w:r>
        <w:tab/>
      </w:r>
      <w:r>
        <w:fldChar w:fldCharType="begin"/>
      </w:r>
      <w:r>
        <w:instrText xml:space="preserve"> PAGEREF _Toc137459405 \h </w:instrText>
      </w:r>
      <w:r>
        <w:fldChar w:fldCharType="separate"/>
      </w:r>
      <w:r>
        <w:t>- 26 -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"_Toc137459406" </w:instrText>
      </w:r>
      <w:r>
        <w:fldChar w:fldCharType="separate"/>
      </w:r>
      <w:r>
        <w:rPr>
          <w:rStyle w:val="65"/>
          <w:rFonts w:ascii="宋体"/>
        </w:rPr>
        <w:t>二、竞争性磋商文件</w:t>
      </w:r>
      <w:r>
        <w:tab/>
      </w:r>
      <w:r>
        <w:fldChar w:fldCharType="begin"/>
      </w:r>
      <w:r>
        <w:instrText xml:space="preserve"> PAGEREF _Toc137459406 \h </w:instrText>
      </w:r>
      <w:r>
        <w:fldChar w:fldCharType="separate"/>
      </w:r>
      <w:r>
        <w:t>- 26 -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"_Toc137459407" </w:instrText>
      </w:r>
      <w:r>
        <w:fldChar w:fldCharType="separate"/>
      </w:r>
      <w:r>
        <w:rPr>
          <w:rStyle w:val="65"/>
          <w:rFonts w:ascii="宋体"/>
        </w:rPr>
        <w:t>三、磋商要求</w:t>
      </w:r>
      <w:r>
        <w:tab/>
      </w:r>
      <w:r>
        <w:fldChar w:fldCharType="begin"/>
      </w:r>
      <w:r>
        <w:instrText xml:space="preserve"> PAGEREF _Toc137459407 \h </w:instrText>
      </w:r>
      <w:r>
        <w:fldChar w:fldCharType="separate"/>
      </w:r>
      <w:r>
        <w:t>- 26 -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"_Toc137459408" </w:instrText>
      </w:r>
      <w:r>
        <w:fldChar w:fldCharType="separate"/>
      </w:r>
      <w:r>
        <w:rPr>
          <w:rStyle w:val="65"/>
          <w:rFonts w:ascii="宋体"/>
        </w:rPr>
        <w:t>四、成交供应商的确认和变更</w:t>
      </w:r>
      <w:r>
        <w:tab/>
      </w:r>
      <w:r>
        <w:fldChar w:fldCharType="begin"/>
      </w:r>
      <w:r>
        <w:instrText xml:space="preserve"> PAGEREF _Toc137459408 \h </w:instrText>
      </w:r>
      <w:r>
        <w:fldChar w:fldCharType="separate"/>
      </w:r>
      <w:r>
        <w:t>- 28 -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"_Toc137459409" </w:instrText>
      </w:r>
      <w:r>
        <w:fldChar w:fldCharType="separate"/>
      </w:r>
      <w:r>
        <w:rPr>
          <w:rStyle w:val="65"/>
          <w:rFonts w:ascii="宋体"/>
        </w:rPr>
        <w:t>五、成交通知</w:t>
      </w:r>
      <w:r>
        <w:tab/>
      </w:r>
      <w:r>
        <w:fldChar w:fldCharType="begin"/>
      </w:r>
      <w:r>
        <w:instrText xml:space="preserve"> PAGEREF _Toc137459409 \h </w:instrText>
      </w:r>
      <w:r>
        <w:fldChar w:fldCharType="separate"/>
      </w:r>
      <w:r>
        <w:t>- 28 -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"_Toc137459410" </w:instrText>
      </w:r>
      <w:r>
        <w:fldChar w:fldCharType="separate"/>
      </w:r>
      <w:r>
        <w:rPr>
          <w:rStyle w:val="65"/>
          <w:rFonts w:ascii="宋体"/>
        </w:rPr>
        <w:t>六、关于质疑和投诉</w:t>
      </w:r>
      <w:r>
        <w:tab/>
      </w:r>
      <w:r>
        <w:fldChar w:fldCharType="begin"/>
      </w:r>
      <w:r>
        <w:instrText xml:space="preserve"> PAGEREF _Toc137459410 \h </w:instrText>
      </w:r>
      <w:r>
        <w:fldChar w:fldCharType="separate"/>
      </w:r>
      <w:r>
        <w:t>- 28 -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"_Toc137459411" </w:instrText>
      </w:r>
      <w:r>
        <w:fldChar w:fldCharType="separate"/>
      </w:r>
      <w:r>
        <w:rPr>
          <w:rStyle w:val="65"/>
          <w:rFonts w:ascii="宋体"/>
        </w:rPr>
        <w:t>七、采购代理服务费</w:t>
      </w:r>
      <w:r>
        <w:tab/>
      </w:r>
      <w:r>
        <w:fldChar w:fldCharType="begin"/>
      </w:r>
      <w:r>
        <w:instrText xml:space="preserve"> PAGEREF _Toc137459411 \h </w:instrText>
      </w:r>
      <w:r>
        <w:fldChar w:fldCharType="separate"/>
      </w:r>
      <w:r>
        <w:t>- 30 -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"_Toc137459412" </w:instrText>
      </w:r>
      <w:r>
        <w:fldChar w:fldCharType="separate"/>
      </w:r>
      <w:r>
        <w:rPr>
          <w:rStyle w:val="65"/>
          <w:rFonts w:ascii="宋体"/>
        </w:rPr>
        <w:t>八、签订合同</w:t>
      </w:r>
      <w:r>
        <w:tab/>
      </w:r>
      <w:r>
        <w:fldChar w:fldCharType="begin"/>
      </w:r>
      <w:r>
        <w:instrText xml:space="preserve"> PAGEREF _Toc137459412 \h </w:instrText>
      </w:r>
      <w:r>
        <w:fldChar w:fldCharType="separate"/>
      </w:r>
      <w:r>
        <w:t>- 30 -</w:t>
      </w:r>
      <w:r>
        <w:fldChar w:fldCharType="end"/>
      </w:r>
      <w:r>
        <w:fldChar w:fldCharType="end"/>
      </w:r>
    </w:p>
    <w:p>
      <w:pPr>
        <w:pStyle w:val="51"/>
        <w:tabs>
          <w:tab w:val="right" w:leader="dot" w:pos="9515"/>
        </w:tabs>
        <w:ind w:left="560"/>
        <w:rPr>
          <w:rFonts w:asciiTheme="minorHAnsi" w:hAnsiTheme="minorHAnsi" w:eastAsiaTheme="minorEastAsia" w:cstheme="minorBidi"/>
          <w:sz w:val="21"/>
          <w:szCs w:val="22"/>
          <w14:ligatures w14:val="standardContextual"/>
        </w:rPr>
      </w:pPr>
      <w:r>
        <w:fldChar w:fldCharType="begin"/>
      </w:r>
      <w:r>
        <w:instrText xml:space="preserve"> HYPERLINK \l "_Toc137459413" </w:instrText>
      </w:r>
      <w:r>
        <w:fldChar w:fldCharType="separate"/>
      </w:r>
      <w:r>
        <w:rPr>
          <w:rStyle w:val="65"/>
          <w:rFonts w:ascii="宋体"/>
        </w:rPr>
        <w:t>第六篇  合同草案条款</w:t>
      </w:r>
      <w:r>
        <w:tab/>
      </w:r>
      <w:r>
        <w:fldChar w:fldCharType="begin"/>
      </w:r>
      <w:r>
        <w:instrText xml:space="preserve"> PAGEREF _Toc137459413 \h </w:instrText>
      </w:r>
      <w:r>
        <w:fldChar w:fldCharType="separate"/>
      </w:r>
      <w:r>
        <w:t>- 31 -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"_Toc137459414" </w:instrText>
      </w:r>
      <w:r>
        <w:fldChar w:fldCharType="separate"/>
      </w:r>
      <w:r>
        <w:rPr>
          <w:rStyle w:val="65"/>
          <w:rFonts w:ascii="宋体"/>
        </w:rPr>
        <w:t>一、合同主要条款</w:t>
      </w:r>
      <w:r>
        <w:tab/>
      </w:r>
      <w:r>
        <w:fldChar w:fldCharType="begin"/>
      </w:r>
      <w:r>
        <w:instrText xml:space="preserve"> PAGEREF _Toc137459414 \h </w:instrText>
      </w:r>
      <w:r>
        <w:fldChar w:fldCharType="separate"/>
      </w:r>
      <w:r>
        <w:t>- 31 -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"_Toc137459415" </w:instrText>
      </w:r>
      <w:r>
        <w:fldChar w:fldCharType="separate"/>
      </w:r>
      <w:r>
        <w:rPr>
          <w:rStyle w:val="65"/>
          <w:rFonts w:ascii="宋体"/>
        </w:rPr>
        <w:t>二、政府采购合同（格式）</w:t>
      </w:r>
      <w:r>
        <w:tab/>
      </w:r>
      <w:r>
        <w:fldChar w:fldCharType="begin"/>
      </w:r>
      <w:r>
        <w:instrText xml:space="preserve"> PAGEREF _Toc137459415 \h </w:instrText>
      </w:r>
      <w:r>
        <w:fldChar w:fldCharType="separate"/>
      </w:r>
      <w:r>
        <w:t>- 33 -</w:t>
      </w:r>
      <w:r>
        <w:fldChar w:fldCharType="end"/>
      </w:r>
      <w:r>
        <w:fldChar w:fldCharType="end"/>
      </w:r>
    </w:p>
    <w:p>
      <w:pPr>
        <w:pStyle w:val="51"/>
        <w:tabs>
          <w:tab w:val="right" w:leader="dot" w:pos="9515"/>
        </w:tabs>
        <w:ind w:left="560"/>
        <w:rPr>
          <w:rFonts w:asciiTheme="minorHAnsi" w:hAnsiTheme="minorHAnsi" w:eastAsiaTheme="minorEastAsia" w:cstheme="minorBidi"/>
          <w:sz w:val="21"/>
          <w:szCs w:val="22"/>
          <w14:ligatures w14:val="standardContextual"/>
        </w:rPr>
      </w:pPr>
      <w:r>
        <w:fldChar w:fldCharType="begin"/>
      </w:r>
      <w:r>
        <w:instrText xml:space="preserve"> HYPERLINK \l "_Toc137459416" </w:instrText>
      </w:r>
      <w:r>
        <w:fldChar w:fldCharType="separate"/>
      </w:r>
      <w:r>
        <w:rPr>
          <w:rStyle w:val="65"/>
          <w:rFonts w:ascii="宋体"/>
        </w:rPr>
        <w:t>第七篇  响应文件编制要求</w:t>
      </w:r>
      <w:r>
        <w:tab/>
      </w:r>
      <w:r>
        <w:fldChar w:fldCharType="begin"/>
      </w:r>
      <w:r>
        <w:instrText xml:space="preserve"> PAGEREF _Toc137459416 \h </w:instrText>
      </w:r>
      <w:r>
        <w:fldChar w:fldCharType="separate"/>
      </w:r>
      <w:r>
        <w:t>- 35 -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"_Toc137459417" </w:instrText>
      </w:r>
      <w:r>
        <w:fldChar w:fldCharType="separate"/>
      </w:r>
      <w:r>
        <w:rPr>
          <w:rStyle w:val="65"/>
          <w:rFonts w:ascii="宋体" w:hAnsi="宋体"/>
        </w:rPr>
        <w:t>一、经济部分</w:t>
      </w:r>
      <w:r>
        <w:tab/>
      </w:r>
      <w:r>
        <w:fldChar w:fldCharType="begin"/>
      </w:r>
      <w:r>
        <w:instrText xml:space="preserve"> PAGEREF _Toc137459417 \h </w:instrText>
      </w:r>
      <w:r>
        <w:fldChar w:fldCharType="separate"/>
      </w:r>
      <w:r>
        <w:t>- 35 -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"_Toc137459418" </w:instrText>
      </w:r>
      <w:r>
        <w:fldChar w:fldCharType="separate"/>
      </w:r>
      <w:r>
        <w:rPr>
          <w:rStyle w:val="65"/>
          <w:rFonts w:ascii="宋体" w:hAnsi="宋体"/>
        </w:rPr>
        <w:t>二、服务部分</w:t>
      </w:r>
      <w:r>
        <w:tab/>
      </w:r>
      <w:r>
        <w:fldChar w:fldCharType="begin"/>
      </w:r>
      <w:r>
        <w:instrText xml:space="preserve"> PAGEREF _Toc137459418 \h </w:instrText>
      </w:r>
      <w:r>
        <w:fldChar w:fldCharType="separate"/>
      </w:r>
      <w:r>
        <w:t>- 35 -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"_Toc137459419" </w:instrText>
      </w:r>
      <w:r>
        <w:fldChar w:fldCharType="separate"/>
      </w:r>
      <w:r>
        <w:rPr>
          <w:rStyle w:val="65"/>
          <w:rFonts w:ascii="宋体" w:hAnsi="宋体"/>
        </w:rPr>
        <w:t>三、商务部分</w:t>
      </w:r>
      <w:r>
        <w:tab/>
      </w:r>
      <w:r>
        <w:fldChar w:fldCharType="begin"/>
      </w:r>
      <w:r>
        <w:instrText xml:space="preserve"> PAGEREF _Toc137459419 \h </w:instrText>
      </w:r>
      <w:r>
        <w:fldChar w:fldCharType="separate"/>
      </w:r>
      <w:r>
        <w:t>- 35 -</w:t>
      </w:r>
      <w:r>
        <w:fldChar w:fldCharType="end"/>
      </w:r>
      <w:r>
        <w:fldChar w:fldCharType="end"/>
      </w:r>
    </w:p>
    <w:p>
      <w:pPr>
        <w:pStyle w:val="33"/>
        <w:tabs>
          <w:tab w:val="right" w:leader="dot" w:pos="9515"/>
        </w:tabs>
        <w:ind w:left="1120"/>
        <w:rPr>
          <w:rFonts w:asciiTheme="minorHAnsi" w:hAnsiTheme="minorHAnsi" w:eastAsiaTheme="minorEastAsia" w:cstheme="minorBidi"/>
          <w:sz w:val="21"/>
          <w:szCs w:val="22"/>
          <w14:ligatures w14:val="standardContextual"/>
        </w:rPr>
      </w:pPr>
      <w:r>
        <w:fldChar w:fldCharType="begin"/>
      </w:r>
      <w:r>
        <w:instrText xml:space="preserve"> HYPERLINK \l "_Toc137459420" </w:instrText>
      </w:r>
      <w:r>
        <w:fldChar w:fldCharType="separate"/>
      </w:r>
      <w:r>
        <w:rPr>
          <w:rStyle w:val="65"/>
          <w:rFonts w:ascii="宋体" w:hAnsi="宋体"/>
        </w:rPr>
        <w:t>四、资格条件及其他</w:t>
      </w:r>
      <w:r>
        <w:tab/>
      </w:r>
      <w:r>
        <w:fldChar w:fldCharType="begin"/>
      </w:r>
      <w:r>
        <w:instrText xml:space="preserve"> PAGEREF _Toc137459420 \h </w:instrText>
      </w:r>
      <w:r>
        <w:fldChar w:fldCharType="separate"/>
      </w:r>
      <w:r>
        <w:t>- 35 -</w:t>
      </w:r>
      <w:r>
        <w:fldChar w:fldCharType="end"/>
      </w:r>
      <w:r>
        <w:fldChar w:fldCharType="end"/>
      </w:r>
    </w:p>
    <w:p>
      <w:pPr>
        <w:pStyle w:val="51"/>
        <w:tabs>
          <w:tab w:val="right" w:leader="dot" w:pos="9402"/>
        </w:tabs>
        <w:spacing w:line="480" w:lineRule="exact"/>
        <w:ind w:left="560"/>
        <w:jc w:val="center"/>
        <w:rPr>
          <w:rFonts w:ascii="宋体"/>
          <w:sz w:val="24"/>
          <w:szCs w:val="24"/>
        </w:rPr>
        <w:sectPr>
          <w:footerReference r:id="rId7" w:type="default"/>
          <w:pgSz w:w="11907" w:h="16840"/>
          <w:pgMar w:top="1134" w:right="1191" w:bottom="1134" w:left="1191" w:header="851" w:footer="992" w:gutter="0"/>
          <w:pgNumType w:fmt="numberInDash" w:start="1"/>
          <w:cols w:space="720" w:num="1"/>
          <w:docGrid w:linePitch="380" w:charSpace="-5734"/>
        </w:sectPr>
      </w:pPr>
      <w:r>
        <w:rPr>
          <w:rFonts w:hint="eastAsia" w:ascii="宋体"/>
          <w:sz w:val="24"/>
          <w:szCs w:val="24"/>
        </w:rPr>
        <w:fldChar w:fldCharType="end"/>
      </w:r>
    </w:p>
    <w:p>
      <w:pPr>
        <w:pStyle w:val="5"/>
        <w:spacing w:line="360" w:lineRule="auto"/>
        <w:jc w:val="center"/>
        <w:rPr>
          <w:rFonts w:ascii="宋体" w:eastAsia="宋体"/>
          <w:sz w:val="36"/>
          <w:szCs w:val="30"/>
        </w:rPr>
      </w:pPr>
      <w:bookmarkStart w:id="0" w:name="_Toc12789052"/>
      <w:bookmarkStart w:id="1" w:name="_Toc11641050"/>
      <w:bookmarkStart w:id="2" w:name="_Toc137459380"/>
      <w:r>
        <w:rPr>
          <w:rFonts w:hint="eastAsia" w:ascii="宋体" w:eastAsia="宋体"/>
          <w:sz w:val="36"/>
          <w:szCs w:val="30"/>
        </w:rPr>
        <w:t>第一篇  采购邀请书</w:t>
      </w:r>
      <w:bookmarkEnd w:id="0"/>
      <w:bookmarkEnd w:id="1"/>
      <w:bookmarkEnd w:id="2"/>
    </w:p>
    <w:p>
      <w:pPr>
        <w:spacing w:line="360" w:lineRule="auto"/>
        <w:ind w:firstLine="480" w:firstLineChars="200"/>
        <w:rPr>
          <w:rFonts w:ascii="宋体"/>
          <w:sz w:val="24"/>
          <w:szCs w:val="24"/>
        </w:rPr>
      </w:pPr>
      <w:r>
        <w:rPr>
          <w:rFonts w:hint="eastAsia" w:ascii="宋体"/>
          <w:sz w:val="24"/>
          <w:szCs w:val="24"/>
        </w:rPr>
        <w:t>重庆市中基致信招标代理有限公司（以下简称：采购代理机构）接</w:t>
      </w:r>
      <w:r>
        <w:rPr>
          <w:rFonts w:ascii="宋体"/>
          <w:sz w:val="24"/>
          <w:szCs w:val="24"/>
        </w:rPr>
        <w:t>受</w:t>
      </w:r>
      <w:r>
        <w:rPr>
          <w:rFonts w:hint="eastAsia" w:ascii="宋体"/>
          <w:sz w:val="24"/>
          <w:szCs w:val="24"/>
        </w:rPr>
        <w:t>重庆市无线电监测站的委托，对无线电历史陈列室改造工程政府采购项目（项目号：CQCBJQ</w:t>
      </w:r>
      <w:r>
        <w:rPr>
          <w:rFonts w:ascii="宋体"/>
          <w:sz w:val="24"/>
          <w:szCs w:val="24"/>
        </w:rPr>
        <w:t>2306-167</w:t>
      </w:r>
      <w:r>
        <w:rPr>
          <w:rFonts w:hint="eastAsia" w:ascii="宋体"/>
          <w:sz w:val="24"/>
          <w:szCs w:val="24"/>
        </w:rPr>
        <w:t>）进行竞争性磋商采购。欢迎有资格的供应商前来参与磋商。</w:t>
      </w:r>
    </w:p>
    <w:p>
      <w:pPr>
        <w:pStyle w:val="6"/>
        <w:spacing w:before="0" w:after="0" w:line="360" w:lineRule="auto"/>
        <w:ind w:firstLine="482" w:firstLineChars="200"/>
        <w:rPr>
          <w:rFonts w:ascii="宋体"/>
          <w:sz w:val="24"/>
          <w:szCs w:val="24"/>
        </w:rPr>
      </w:pPr>
      <w:bookmarkStart w:id="3" w:name="_Toc313893526"/>
      <w:bookmarkStart w:id="4" w:name="_Toc137459381"/>
      <w:bookmarkStart w:id="5" w:name="_Toc317775175"/>
      <w:r>
        <w:rPr>
          <w:rFonts w:hint="eastAsia" w:ascii="宋体"/>
          <w:sz w:val="24"/>
          <w:szCs w:val="24"/>
        </w:rPr>
        <w:t>一、竞争性磋商内容</w:t>
      </w:r>
      <w:bookmarkEnd w:id="3"/>
      <w:bookmarkEnd w:id="4"/>
      <w:bookmarkEnd w:id="5"/>
    </w:p>
    <w:tbl>
      <w:tblPr>
        <w:tblStyle w:val="68"/>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1347"/>
        <w:gridCol w:w="1347"/>
        <w:gridCol w:w="1701"/>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trPr>
        <w:tc>
          <w:tcPr>
            <w:tcW w:w="2835" w:type="dxa"/>
            <w:tcBorders>
              <w:top w:val="single" w:color="auto" w:sz="4" w:space="0"/>
              <w:left w:val="single" w:color="auto" w:sz="4" w:space="0"/>
              <w:right w:val="single" w:color="auto" w:sz="4" w:space="0"/>
            </w:tcBorders>
            <w:vAlign w:val="center"/>
          </w:tcPr>
          <w:p>
            <w:pPr>
              <w:widowControl/>
              <w:jc w:val="center"/>
              <w:rPr>
                <w:rFonts w:ascii="宋体" w:cs="宋体"/>
                <w:b/>
                <w:bCs/>
                <w:kern w:val="0"/>
                <w:sz w:val="21"/>
                <w:szCs w:val="24"/>
              </w:rPr>
            </w:pPr>
            <w:bookmarkStart w:id="6" w:name="_Toc317775178"/>
            <w:bookmarkStart w:id="7" w:name="_Toc373860293"/>
            <w:r>
              <w:rPr>
                <w:rFonts w:hint="eastAsia" w:ascii="宋体" w:cs="宋体"/>
                <w:b/>
                <w:bCs/>
                <w:kern w:val="0"/>
                <w:sz w:val="21"/>
                <w:szCs w:val="24"/>
              </w:rPr>
              <w:t>项目内容</w:t>
            </w:r>
          </w:p>
        </w:tc>
        <w:tc>
          <w:tcPr>
            <w:tcW w:w="1347" w:type="dxa"/>
            <w:tcBorders>
              <w:top w:val="single" w:color="auto" w:sz="4" w:space="0"/>
              <w:left w:val="single" w:color="auto" w:sz="4" w:space="0"/>
              <w:right w:val="single" w:color="auto" w:sz="4" w:space="0"/>
            </w:tcBorders>
            <w:vAlign w:val="center"/>
          </w:tcPr>
          <w:p>
            <w:pPr>
              <w:widowControl/>
              <w:jc w:val="center"/>
              <w:rPr>
                <w:rFonts w:ascii="宋体" w:cs="宋体"/>
                <w:b/>
                <w:bCs/>
                <w:kern w:val="0"/>
                <w:sz w:val="21"/>
                <w:szCs w:val="24"/>
              </w:rPr>
            </w:pPr>
            <w:r>
              <w:rPr>
                <w:rFonts w:hint="eastAsia" w:ascii="宋体" w:cs="宋体"/>
                <w:b/>
                <w:bCs/>
                <w:kern w:val="0"/>
                <w:sz w:val="21"/>
                <w:szCs w:val="24"/>
              </w:rPr>
              <w:t>最高限价</w:t>
            </w:r>
          </w:p>
          <w:p>
            <w:pPr>
              <w:widowControl/>
              <w:jc w:val="center"/>
              <w:rPr>
                <w:rFonts w:ascii="宋体" w:cs="宋体"/>
                <w:b/>
                <w:bCs/>
                <w:kern w:val="0"/>
                <w:sz w:val="21"/>
                <w:szCs w:val="24"/>
              </w:rPr>
            </w:pPr>
            <w:r>
              <w:rPr>
                <w:rFonts w:hint="eastAsia" w:ascii="宋体" w:cs="宋体"/>
                <w:b/>
                <w:bCs/>
                <w:kern w:val="0"/>
                <w:sz w:val="21"/>
                <w:szCs w:val="24"/>
              </w:rPr>
              <w:t>（万元）</w:t>
            </w:r>
          </w:p>
        </w:tc>
        <w:tc>
          <w:tcPr>
            <w:tcW w:w="1347" w:type="dxa"/>
            <w:tcBorders>
              <w:top w:val="single" w:color="auto" w:sz="4" w:space="0"/>
              <w:left w:val="single" w:color="auto" w:sz="4" w:space="0"/>
              <w:right w:val="single" w:color="auto" w:sz="4" w:space="0"/>
            </w:tcBorders>
            <w:vAlign w:val="center"/>
          </w:tcPr>
          <w:p>
            <w:pPr>
              <w:widowControl/>
              <w:jc w:val="center"/>
              <w:rPr>
                <w:rFonts w:ascii="宋体" w:cs="宋体"/>
                <w:b/>
                <w:bCs/>
                <w:kern w:val="0"/>
                <w:sz w:val="21"/>
                <w:szCs w:val="24"/>
              </w:rPr>
            </w:pPr>
            <w:r>
              <w:rPr>
                <w:rFonts w:hint="eastAsia" w:ascii="宋体" w:cs="宋体"/>
                <w:b/>
                <w:bCs/>
                <w:kern w:val="0"/>
                <w:sz w:val="21"/>
                <w:szCs w:val="24"/>
              </w:rPr>
              <w:t>磋商保证金</w:t>
            </w:r>
          </w:p>
          <w:p>
            <w:pPr>
              <w:widowControl/>
              <w:jc w:val="center"/>
              <w:rPr>
                <w:rFonts w:ascii="宋体" w:cs="宋体"/>
                <w:b/>
                <w:bCs/>
                <w:kern w:val="0"/>
                <w:sz w:val="21"/>
                <w:szCs w:val="24"/>
              </w:rPr>
            </w:pPr>
            <w:r>
              <w:rPr>
                <w:rFonts w:hint="eastAsia" w:ascii="宋体" w:cs="宋体"/>
                <w:b/>
                <w:bCs/>
                <w:kern w:val="0"/>
                <w:sz w:val="21"/>
                <w:szCs w:val="24"/>
              </w:rPr>
              <w:t>（元）</w:t>
            </w:r>
          </w:p>
        </w:tc>
        <w:tc>
          <w:tcPr>
            <w:tcW w:w="1701" w:type="dxa"/>
            <w:tcBorders>
              <w:top w:val="single" w:color="auto" w:sz="4" w:space="0"/>
              <w:left w:val="single" w:color="auto" w:sz="4" w:space="0"/>
              <w:right w:val="single" w:color="auto" w:sz="4" w:space="0"/>
            </w:tcBorders>
            <w:vAlign w:val="center"/>
          </w:tcPr>
          <w:p>
            <w:pPr>
              <w:widowControl/>
              <w:jc w:val="center"/>
              <w:rPr>
                <w:rFonts w:ascii="宋体" w:cs="宋体"/>
                <w:b/>
                <w:bCs/>
                <w:kern w:val="0"/>
                <w:sz w:val="21"/>
                <w:szCs w:val="24"/>
              </w:rPr>
            </w:pPr>
            <w:r>
              <w:rPr>
                <w:rFonts w:hint="eastAsia" w:ascii="宋体" w:cs="宋体"/>
                <w:b/>
                <w:bCs/>
                <w:kern w:val="0"/>
                <w:sz w:val="21"/>
                <w:szCs w:val="24"/>
              </w:rPr>
              <w:t>成交供应商数量（名）</w:t>
            </w:r>
          </w:p>
        </w:tc>
        <w:tc>
          <w:tcPr>
            <w:tcW w:w="2409" w:type="dxa"/>
            <w:tcBorders>
              <w:top w:val="single" w:color="auto" w:sz="4" w:space="0"/>
              <w:left w:val="single" w:color="auto" w:sz="4" w:space="0"/>
              <w:right w:val="single" w:color="auto" w:sz="4" w:space="0"/>
            </w:tcBorders>
            <w:vAlign w:val="center"/>
          </w:tcPr>
          <w:p>
            <w:pPr>
              <w:widowControl/>
              <w:jc w:val="center"/>
              <w:rPr>
                <w:rFonts w:ascii="宋体" w:cs="宋体"/>
                <w:b/>
                <w:bCs/>
                <w:kern w:val="0"/>
                <w:sz w:val="21"/>
                <w:szCs w:val="24"/>
              </w:rPr>
            </w:pPr>
            <w:r>
              <w:rPr>
                <w:rFonts w:hint="eastAsia" w:ascii="宋体" w:cs="宋体"/>
                <w:b/>
                <w:bCs/>
                <w:kern w:val="0"/>
                <w:sz w:val="21"/>
                <w:szCs w:val="21"/>
              </w:rPr>
              <w:t>采购标的对应的中小企业划分标准所属行业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trPr>
        <w:tc>
          <w:tcPr>
            <w:tcW w:w="2835" w:type="dxa"/>
            <w:tcBorders>
              <w:top w:val="single" w:color="auto" w:sz="4" w:space="0"/>
              <w:left w:val="single" w:color="auto" w:sz="4" w:space="0"/>
              <w:right w:val="single" w:color="auto" w:sz="4" w:space="0"/>
            </w:tcBorders>
            <w:vAlign w:val="center"/>
          </w:tcPr>
          <w:p>
            <w:pPr>
              <w:pStyle w:val="27"/>
              <w:spacing w:line="240" w:lineRule="atLeast"/>
              <w:ind w:left="0"/>
              <w:jc w:val="center"/>
              <w:outlineLvl w:val="0"/>
              <w:rPr>
                <w:rFonts w:ascii="宋体"/>
                <w:sz w:val="21"/>
                <w:szCs w:val="21"/>
              </w:rPr>
            </w:pPr>
            <w:bookmarkStart w:id="8" w:name="_Hlk344477914"/>
            <w:r>
              <w:rPr>
                <w:rFonts w:hint="eastAsia" w:ascii="宋体"/>
                <w:sz w:val="21"/>
                <w:szCs w:val="21"/>
              </w:rPr>
              <w:t>无线电历史陈列室改造工程</w:t>
            </w:r>
          </w:p>
        </w:tc>
        <w:tc>
          <w:tcPr>
            <w:tcW w:w="1347" w:type="dxa"/>
            <w:tcBorders>
              <w:top w:val="single" w:color="auto" w:sz="4" w:space="0"/>
              <w:left w:val="single" w:color="auto" w:sz="4" w:space="0"/>
              <w:right w:val="single" w:color="auto" w:sz="4" w:space="0"/>
            </w:tcBorders>
            <w:vAlign w:val="center"/>
          </w:tcPr>
          <w:p>
            <w:pPr>
              <w:pStyle w:val="27"/>
              <w:spacing w:line="240" w:lineRule="atLeast"/>
              <w:ind w:left="0"/>
              <w:jc w:val="center"/>
              <w:outlineLvl w:val="0"/>
              <w:rPr>
                <w:rFonts w:ascii="宋体"/>
                <w:sz w:val="21"/>
                <w:szCs w:val="21"/>
              </w:rPr>
            </w:pPr>
            <w:r>
              <w:rPr>
                <w:rFonts w:ascii="宋体"/>
                <w:sz w:val="21"/>
                <w:szCs w:val="21"/>
              </w:rPr>
              <w:t>7.8</w:t>
            </w:r>
          </w:p>
        </w:tc>
        <w:tc>
          <w:tcPr>
            <w:tcW w:w="1347" w:type="dxa"/>
            <w:tcBorders>
              <w:top w:val="single" w:color="auto" w:sz="4" w:space="0"/>
              <w:left w:val="single" w:color="auto" w:sz="4" w:space="0"/>
              <w:right w:val="single" w:color="auto" w:sz="4" w:space="0"/>
            </w:tcBorders>
            <w:vAlign w:val="center"/>
          </w:tcPr>
          <w:p>
            <w:pPr>
              <w:pStyle w:val="27"/>
              <w:spacing w:line="240" w:lineRule="atLeast"/>
              <w:ind w:left="0"/>
              <w:jc w:val="center"/>
              <w:outlineLvl w:val="0"/>
              <w:rPr>
                <w:rFonts w:ascii="宋体"/>
                <w:sz w:val="21"/>
                <w:szCs w:val="21"/>
              </w:rPr>
            </w:pPr>
            <w:r>
              <w:rPr>
                <w:rFonts w:ascii="宋体"/>
                <w:sz w:val="21"/>
                <w:szCs w:val="21"/>
              </w:rPr>
              <w:t>1400</w:t>
            </w:r>
          </w:p>
        </w:tc>
        <w:tc>
          <w:tcPr>
            <w:tcW w:w="1701" w:type="dxa"/>
            <w:tcBorders>
              <w:top w:val="single" w:color="auto" w:sz="4" w:space="0"/>
              <w:left w:val="single" w:color="auto" w:sz="4" w:space="0"/>
              <w:right w:val="single" w:color="auto" w:sz="4" w:space="0"/>
            </w:tcBorders>
            <w:vAlign w:val="center"/>
          </w:tcPr>
          <w:p>
            <w:pPr>
              <w:pStyle w:val="27"/>
              <w:spacing w:line="240" w:lineRule="atLeast"/>
              <w:ind w:left="0"/>
              <w:jc w:val="center"/>
              <w:outlineLvl w:val="0"/>
              <w:rPr>
                <w:rFonts w:ascii="宋体"/>
                <w:sz w:val="21"/>
                <w:szCs w:val="21"/>
              </w:rPr>
            </w:pPr>
            <w:r>
              <w:rPr>
                <w:rFonts w:ascii="宋体"/>
                <w:sz w:val="21"/>
                <w:szCs w:val="21"/>
              </w:rPr>
              <w:t>1</w:t>
            </w:r>
          </w:p>
        </w:tc>
        <w:tc>
          <w:tcPr>
            <w:tcW w:w="2409" w:type="dxa"/>
            <w:tcBorders>
              <w:top w:val="single" w:color="auto" w:sz="4" w:space="0"/>
              <w:left w:val="single" w:color="auto" w:sz="4" w:space="0"/>
              <w:right w:val="single" w:color="auto" w:sz="4" w:space="0"/>
            </w:tcBorders>
            <w:vAlign w:val="center"/>
          </w:tcPr>
          <w:p>
            <w:pPr>
              <w:pStyle w:val="27"/>
              <w:spacing w:line="240" w:lineRule="atLeast"/>
              <w:ind w:left="0"/>
              <w:jc w:val="center"/>
              <w:outlineLvl w:val="0"/>
              <w:rPr>
                <w:rFonts w:ascii="宋体"/>
                <w:sz w:val="21"/>
                <w:szCs w:val="21"/>
              </w:rPr>
            </w:pPr>
            <w:r>
              <w:rPr>
                <w:rFonts w:hint="eastAsia" w:ascii="宋体"/>
                <w:sz w:val="21"/>
                <w:szCs w:val="21"/>
              </w:rPr>
              <w:t>建筑业</w:t>
            </w:r>
          </w:p>
        </w:tc>
      </w:tr>
      <w:bookmarkEnd w:id="8"/>
    </w:tbl>
    <w:p>
      <w:pPr>
        <w:pStyle w:val="6"/>
        <w:spacing w:before="0" w:after="0" w:line="360" w:lineRule="auto"/>
        <w:ind w:firstLine="482" w:firstLineChars="200"/>
        <w:rPr>
          <w:rFonts w:ascii="宋体"/>
          <w:sz w:val="24"/>
          <w:szCs w:val="24"/>
        </w:rPr>
      </w:pPr>
      <w:bookmarkStart w:id="9" w:name="_Toc137459382"/>
      <w:r>
        <w:rPr>
          <w:rFonts w:hint="eastAsia" w:ascii="宋体"/>
          <w:sz w:val="24"/>
          <w:szCs w:val="24"/>
        </w:rPr>
        <w:t>二、资金来源</w:t>
      </w:r>
      <w:bookmarkEnd w:id="9"/>
    </w:p>
    <w:p>
      <w:pPr>
        <w:spacing w:line="360" w:lineRule="auto"/>
        <w:ind w:firstLine="480" w:firstLineChars="200"/>
        <w:rPr>
          <w:rFonts w:ascii="宋体"/>
          <w:sz w:val="24"/>
          <w:szCs w:val="24"/>
        </w:rPr>
      </w:pPr>
      <w:r>
        <w:rPr>
          <w:rFonts w:hint="eastAsia" w:ascii="宋体"/>
          <w:sz w:val="24"/>
          <w:szCs w:val="24"/>
        </w:rPr>
        <w:t>财政预算资金,预算金额为</w:t>
      </w:r>
      <w:r>
        <w:rPr>
          <w:rFonts w:ascii="宋体"/>
          <w:sz w:val="24"/>
          <w:szCs w:val="24"/>
        </w:rPr>
        <w:t>7.8</w:t>
      </w:r>
      <w:r>
        <w:rPr>
          <w:rFonts w:hint="eastAsia" w:ascii="宋体"/>
          <w:sz w:val="24"/>
          <w:szCs w:val="24"/>
        </w:rPr>
        <w:t>万元。</w:t>
      </w:r>
    </w:p>
    <w:bookmarkEnd w:id="6"/>
    <w:bookmarkEnd w:id="7"/>
    <w:p>
      <w:pPr>
        <w:pStyle w:val="6"/>
        <w:spacing w:before="0" w:after="0" w:line="360" w:lineRule="auto"/>
        <w:ind w:firstLine="482" w:firstLineChars="200"/>
        <w:rPr>
          <w:rFonts w:ascii="宋体"/>
          <w:sz w:val="24"/>
          <w:szCs w:val="24"/>
        </w:rPr>
      </w:pPr>
      <w:bookmarkStart w:id="10" w:name="_Toc75258773"/>
      <w:bookmarkStart w:id="11" w:name="_Toc137459383"/>
      <w:r>
        <w:rPr>
          <w:rFonts w:hint="eastAsia" w:ascii="宋体"/>
          <w:sz w:val="24"/>
          <w:szCs w:val="24"/>
        </w:rPr>
        <w:t>三、供应商资格条件</w:t>
      </w:r>
      <w:bookmarkEnd w:id="10"/>
      <w:bookmarkEnd w:id="11"/>
    </w:p>
    <w:p>
      <w:pPr>
        <w:spacing w:line="360" w:lineRule="auto"/>
        <w:ind w:firstLine="480" w:firstLineChars="200"/>
        <w:rPr>
          <w:rFonts w:ascii="宋体"/>
          <w:sz w:val="24"/>
          <w:szCs w:val="24"/>
        </w:rPr>
      </w:pPr>
      <w:bookmarkStart w:id="12" w:name="_Toc75258774"/>
      <w:r>
        <w:rPr>
          <w:rFonts w:hint="eastAsia" w:ascii="宋体"/>
          <w:sz w:val="24"/>
          <w:szCs w:val="24"/>
        </w:rPr>
        <w:t>（一）合格供应商应满足《中华人民共和国政府采购法》第二十二条规定；</w:t>
      </w:r>
    </w:p>
    <w:p>
      <w:pPr>
        <w:spacing w:line="360" w:lineRule="auto"/>
        <w:ind w:firstLine="480" w:firstLineChars="200"/>
        <w:rPr>
          <w:rFonts w:ascii="宋体"/>
          <w:sz w:val="24"/>
          <w:szCs w:val="24"/>
        </w:rPr>
      </w:pPr>
      <w:r>
        <w:rPr>
          <w:rFonts w:hint="eastAsia" w:ascii="宋体"/>
          <w:sz w:val="24"/>
          <w:szCs w:val="24"/>
        </w:rPr>
        <w:t>（二）本项目的特定资格条件：</w:t>
      </w:r>
    </w:p>
    <w:p>
      <w:pPr>
        <w:spacing w:line="360" w:lineRule="auto"/>
        <w:ind w:firstLine="480" w:firstLineChars="200"/>
        <w:rPr>
          <w:rFonts w:ascii="宋体"/>
          <w:sz w:val="24"/>
          <w:szCs w:val="24"/>
        </w:rPr>
      </w:pPr>
      <w:r>
        <w:rPr>
          <w:rFonts w:hint="eastAsia" w:ascii="宋体"/>
          <w:sz w:val="24"/>
          <w:szCs w:val="24"/>
        </w:rPr>
        <w:t>1.供应商须具备建设行政主管部门颁发的建筑装修装饰工程专业承包二级及以上资质，提供有效期内的资质证书副本复印件并加盖供应商公章。</w:t>
      </w:r>
    </w:p>
    <w:p>
      <w:pPr>
        <w:spacing w:line="360" w:lineRule="auto"/>
        <w:ind w:firstLine="480" w:firstLineChars="200"/>
        <w:rPr>
          <w:rFonts w:ascii="宋体"/>
          <w:sz w:val="24"/>
          <w:szCs w:val="24"/>
        </w:rPr>
      </w:pPr>
      <w:r>
        <w:rPr>
          <w:rFonts w:hint="eastAsia" w:ascii="宋体"/>
          <w:sz w:val="24"/>
          <w:szCs w:val="24"/>
        </w:rPr>
        <w:t>2.供应商须具备建设行政主管部门颁发的有效的安全生产许可证，提供安全生产许可证复印件并加盖供应商公章。</w:t>
      </w:r>
    </w:p>
    <w:p>
      <w:pPr>
        <w:spacing w:line="360" w:lineRule="auto"/>
        <w:ind w:firstLine="480" w:firstLineChars="200"/>
        <w:rPr>
          <w:rFonts w:ascii="宋体"/>
          <w:sz w:val="24"/>
          <w:szCs w:val="24"/>
        </w:rPr>
      </w:pPr>
      <w:r>
        <w:rPr>
          <w:rFonts w:hint="eastAsia" w:ascii="宋体"/>
          <w:sz w:val="24"/>
          <w:szCs w:val="24"/>
        </w:rPr>
        <w:t>（三）落实政府采购政策需满足的资格要求：无</w:t>
      </w:r>
    </w:p>
    <w:p>
      <w:pPr>
        <w:pStyle w:val="6"/>
        <w:spacing w:before="0" w:after="0" w:line="360" w:lineRule="auto"/>
        <w:ind w:firstLine="482" w:firstLineChars="200"/>
        <w:rPr>
          <w:rFonts w:ascii="宋体"/>
          <w:sz w:val="24"/>
          <w:szCs w:val="24"/>
        </w:rPr>
      </w:pPr>
      <w:bookmarkStart w:id="13" w:name="_Toc137459384"/>
      <w:r>
        <w:rPr>
          <w:rFonts w:hint="eastAsia" w:ascii="宋体"/>
          <w:sz w:val="24"/>
          <w:szCs w:val="24"/>
        </w:rPr>
        <w:t>四、磋商有关说明</w:t>
      </w:r>
      <w:bookmarkEnd w:id="12"/>
      <w:bookmarkEnd w:id="13"/>
    </w:p>
    <w:p>
      <w:pPr>
        <w:spacing w:line="360" w:lineRule="auto"/>
        <w:ind w:firstLine="480" w:firstLineChars="200"/>
        <w:rPr>
          <w:rFonts w:ascii="宋体"/>
          <w:sz w:val="24"/>
          <w:szCs w:val="24"/>
        </w:rPr>
      </w:pPr>
      <w:r>
        <w:rPr>
          <w:rFonts w:hint="eastAsia" w:ascii="宋体"/>
          <w:sz w:val="24"/>
          <w:szCs w:val="24"/>
        </w:rPr>
        <w:t>（一）凡有意参加磋商的供应商，</w:t>
      </w:r>
      <w:r>
        <w:rPr>
          <w:rFonts w:hint="eastAsia" w:ascii="宋体" w:cs="宋体"/>
          <w:sz w:val="24"/>
          <w:szCs w:val="24"/>
        </w:rPr>
        <w:t>请到重庆市经济和信息化委员会网上（https://jjxxw.cq.gov.cn/）下载本项目磋商文件以及图纸、澄清等开标前公布的所有项目资料，无论供应商领取或下载与否，均视为已知晓所有招标内容。</w:t>
      </w:r>
    </w:p>
    <w:p>
      <w:pPr>
        <w:spacing w:line="360" w:lineRule="auto"/>
        <w:ind w:firstLine="480" w:firstLineChars="200"/>
        <w:rPr>
          <w:rFonts w:ascii="宋体"/>
          <w:sz w:val="24"/>
          <w:szCs w:val="24"/>
        </w:rPr>
      </w:pPr>
      <w:r>
        <w:rPr>
          <w:rFonts w:hint="eastAsia" w:ascii="宋体"/>
          <w:sz w:val="24"/>
          <w:szCs w:val="24"/>
        </w:rPr>
        <w:t>（二）竞争性磋商文件报名期限：</w:t>
      </w:r>
      <w:r>
        <w:rPr>
          <w:rFonts w:ascii="宋体"/>
          <w:sz w:val="24"/>
          <w:szCs w:val="24"/>
        </w:rPr>
        <w:t>2023年</w:t>
      </w:r>
      <w:r>
        <w:rPr>
          <w:rFonts w:hint="eastAsia" w:ascii="宋体"/>
          <w:sz w:val="24"/>
          <w:szCs w:val="24"/>
        </w:rPr>
        <w:t>6月1</w:t>
      </w:r>
      <w:r>
        <w:rPr>
          <w:rFonts w:ascii="宋体"/>
          <w:sz w:val="24"/>
          <w:szCs w:val="24"/>
        </w:rPr>
        <w:t>2</w:t>
      </w:r>
      <w:r>
        <w:rPr>
          <w:rFonts w:hint="eastAsia" w:ascii="宋体"/>
          <w:sz w:val="24"/>
          <w:szCs w:val="24"/>
        </w:rPr>
        <w:t>日</w:t>
      </w:r>
      <w:r>
        <w:rPr>
          <w:rFonts w:ascii="宋体"/>
          <w:sz w:val="24"/>
          <w:szCs w:val="24"/>
        </w:rPr>
        <w:t>-2023年</w:t>
      </w:r>
      <w:r>
        <w:rPr>
          <w:rFonts w:hint="eastAsia" w:ascii="宋体"/>
          <w:sz w:val="24"/>
          <w:szCs w:val="24"/>
        </w:rPr>
        <w:t>6月1</w:t>
      </w:r>
      <w:r>
        <w:rPr>
          <w:rFonts w:ascii="宋体"/>
          <w:sz w:val="24"/>
          <w:szCs w:val="24"/>
        </w:rPr>
        <w:t>9</w:t>
      </w:r>
      <w:r>
        <w:rPr>
          <w:rFonts w:hint="eastAsia" w:ascii="宋体"/>
          <w:sz w:val="24"/>
          <w:szCs w:val="24"/>
        </w:rPr>
        <w:t>日（9:</w:t>
      </w:r>
      <w:r>
        <w:rPr>
          <w:rFonts w:ascii="宋体"/>
          <w:sz w:val="24"/>
          <w:szCs w:val="24"/>
        </w:rPr>
        <w:t>00</w:t>
      </w:r>
      <w:r>
        <w:rPr>
          <w:rFonts w:hint="eastAsia" w:ascii="宋体"/>
          <w:sz w:val="24"/>
          <w:szCs w:val="24"/>
        </w:rPr>
        <w:t>-</w:t>
      </w:r>
      <w:r>
        <w:rPr>
          <w:rFonts w:ascii="宋体"/>
          <w:sz w:val="24"/>
          <w:szCs w:val="24"/>
        </w:rPr>
        <w:t>17</w:t>
      </w:r>
      <w:r>
        <w:rPr>
          <w:rFonts w:hint="eastAsia" w:ascii="宋体"/>
          <w:sz w:val="24"/>
          <w:szCs w:val="24"/>
        </w:rPr>
        <w:t>:0</w:t>
      </w:r>
      <w:r>
        <w:rPr>
          <w:rFonts w:ascii="宋体"/>
          <w:sz w:val="24"/>
          <w:szCs w:val="24"/>
        </w:rPr>
        <w:t>0</w:t>
      </w:r>
      <w:r>
        <w:rPr>
          <w:rFonts w:hint="eastAsia" w:ascii="宋体"/>
          <w:sz w:val="24"/>
          <w:szCs w:val="24"/>
        </w:rPr>
        <w:t>）。</w:t>
      </w:r>
    </w:p>
    <w:p>
      <w:pPr>
        <w:spacing w:line="360" w:lineRule="auto"/>
        <w:ind w:firstLine="480" w:firstLineChars="200"/>
        <w:rPr>
          <w:rFonts w:ascii="宋体"/>
          <w:sz w:val="24"/>
          <w:szCs w:val="24"/>
        </w:rPr>
      </w:pPr>
      <w:r>
        <w:rPr>
          <w:rFonts w:hint="eastAsia" w:ascii="宋体"/>
          <w:sz w:val="24"/>
          <w:szCs w:val="24"/>
        </w:rPr>
        <w:t>（三）竞争性磋商文件发售</w:t>
      </w:r>
    </w:p>
    <w:p>
      <w:pPr>
        <w:spacing w:line="360" w:lineRule="auto"/>
        <w:ind w:firstLine="480" w:firstLineChars="200"/>
        <w:rPr>
          <w:rFonts w:ascii="宋体"/>
          <w:sz w:val="24"/>
          <w:szCs w:val="24"/>
        </w:rPr>
      </w:pPr>
      <w:r>
        <w:rPr>
          <w:rFonts w:hint="eastAsia" w:ascii="宋体"/>
          <w:sz w:val="24"/>
          <w:szCs w:val="24"/>
        </w:rPr>
        <w:t>1.竞争性磋商文件报名期限内，供应商</w:t>
      </w:r>
      <w:r>
        <w:rPr>
          <w:rFonts w:hint="eastAsia" w:ascii="宋体" w:cs="宋体"/>
          <w:sz w:val="24"/>
          <w:szCs w:val="24"/>
        </w:rPr>
        <w:t>将《采购文件发售登记表》（加盖供应商公章）</w:t>
      </w:r>
      <w:r>
        <w:fldChar w:fldCharType="begin"/>
      </w:r>
      <w:r>
        <w:instrText xml:space="preserve"> HYPERLINK "mailto:及标书费转账凭证扫描后发送至hulin@cqchinabase.com" </w:instrText>
      </w:r>
      <w:r>
        <w:fldChar w:fldCharType="separate"/>
      </w:r>
      <w:r>
        <w:rPr>
          <w:rFonts w:hint="eastAsia" w:ascii="宋体" w:cs="宋体"/>
          <w:sz w:val="24"/>
          <w:szCs w:val="24"/>
        </w:rPr>
        <w:t>及标书费转账凭证扫描后发送至hulin@cqchinabase.com</w:t>
      </w:r>
      <w:r>
        <w:rPr>
          <w:rFonts w:hint="eastAsia" w:ascii="宋体" w:cs="宋体"/>
          <w:sz w:val="24"/>
          <w:szCs w:val="24"/>
        </w:rPr>
        <w:fldChar w:fldCharType="end"/>
      </w:r>
      <w:r>
        <w:rPr>
          <w:rFonts w:hint="eastAsia" w:ascii="宋体" w:cs="宋体"/>
          <w:sz w:val="24"/>
          <w:szCs w:val="24"/>
        </w:rPr>
        <w:t>。</w:t>
      </w:r>
    </w:p>
    <w:p>
      <w:pPr>
        <w:spacing w:line="360" w:lineRule="auto"/>
        <w:ind w:firstLine="480" w:firstLineChars="200"/>
        <w:rPr>
          <w:rFonts w:ascii="宋体"/>
          <w:sz w:val="24"/>
          <w:szCs w:val="24"/>
        </w:rPr>
      </w:pPr>
      <w:r>
        <w:rPr>
          <w:rFonts w:hint="eastAsia" w:ascii="宋体"/>
          <w:sz w:val="24"/>
          <w:szCs w:val="24"/>
        </w:rPr>
        <w:t>2.售价：人民币</w:t>
      </w:r>
      <w:r>
        <w:rPr>
          <w:rFonts w:hint="eastAsia" w:ascii="宋体"/>
          <w:sz w:val="24"/>
          <w:szCs w:val="24"/>
          <w:u w:val="single"/>
        </w:rPr>
        <w:t xml:space="preserve"> 300 </w:t>
      </w:r>
      <w:r>
        <w:rPr>
          <w:rFonts w:hint="eastAsia" w:ascii="宋体"/>
          <w:sz w:val="24"/>
          <w:szCs w:val="24"/>
        </w:rPr>
        <w:t>元/分包（售后不退）</w:t>
      </w:r>
    </w:p>
    <w:p>
      <w:pPr>
        <w:spacing w:line="360" w:lineRule="auto"/>
        <w:ind w:firstLine="480" w:firstLineChars="200"/>
        <w:rPr>
          <w:rFonts w:ascii="宋体" w:cs="宋体"/>
          <w:sz w:val="24"/>
          <w:szCs w:val="24"/>
        </w:rPr>
      </w:pPr>
      <w:r>
        <w:rPr>
          <w:rFonts w:hint="eastAsia" w:ascii="宋体" w:cs="宋体"/>
          <w:sz w:val="24"/>
          <w:szCs w:val="24"/>
        </w:rPr>
        <w:t>3.收款账户：</w:t>
      </w:r>
    </w:p>
    <w:p>
      <w:pPr>
        <w:spacing w:line="360" w:lineRule="auto"/>
        <w:ind w:firstLine="720" w:firstLineChars="300"/>
        <w:rPr>
          <w:rFonts w:ascii="宋体" w:cs="宋体"/>
          <w:sz w:val="24"/>
          <w:szCs w:val="24"/>
        </w:rPr>
      </w:pPr>
      <w:r>
        <w:rPr>
          <w:rFonts w:hint="eastAsia" w:ascii="宋体" w:cs="宋体"/>
          <w:sz w:val="24"/>
          <w:szCs w:val="24"/>
        </w:rPr>
        <w:t>户  名：重庆市中基致信招标代理有限公司</w:t>
      </w:r>
    </w:p>
    <w:p>
      <w:pPr>
        <w:spacing w:line="360" w:lineRule="auto"/>
        <w:ind w:firstLine="720" w:firstLineChars="300"/>
        <w:rPr>
          <w:rFonts w:ascii="宋体" w:cs="宋体"/>
          <w:sz w:val="24"/>
          <w:szCs w:val="24"/>
        </w:rPr>
      </w:pPr>
      <w:r>
        <w:rPr>
          <w:rFonts w:hint="eastAsia" w:ascii="宋体" w:cs="宋体"/>
          <w:sz w:val="24"/>
          <w:szCs w:val="24"/>
        </w:rPr>
        <w:t>开户 行：中国银行重庆江北支行</w:t>
      </w:r>
    </w:p>
    <w:p>
      <w:pPr>
        <w:spacing w:line="360" w:lineRule="auto"/>
        <w:ind w:firstLine="720" w:firstLineChars="300"/>
        <w:rPr>
          <w:rFonts w:ascii="宋体" w:cs="宋体"/>
          <w:sz w:val="24"/>
          <w:szCs w:val="24"/>
        </w:rPr>
      </w:pPr>
      <w:r>
        <w:rPr>
          <w:rFonts w:hint="eastAsia" w:ascii="宋体" w:cs="宋体"/>
          <w:sz w:val="24"/>
          <w:szCs w:val="24"/>
        </w:rPr>
        <w:t>账  号：1144 6718 4234</w:t>
      </w:r>
    </w:p>
    <w:p>
      <w:pPr>
        <w:spacing w:line="360" w:lineRule="auto"/>
        <w:ind w:firstLine="480" w:firstLineChars="200"/>
        <w:rPr>
          <w:rFonts w:ascii="宋体"/>
          <w:sz w:val="24"/>
          <w:szCs w:val="24"/>
        </w:rPr>
      </w:pPr>
      <w:r>
        <w:rPr>
          <w:rFonts w:hint="eastAsia" w:ascii="宋体"/>
          <w:sz w:val="24"/>
          <w:szCs w:val="24"/>
        </w:rPr>
        <w:t>4.未进行报名的潜在供应商将不得参与磋商。</w:t>
      </w:r>
    </w:p>
    <w:p>
      <w:pPr>
        <w:spacing w:line="360" w:lineRule="auto"/>
        <w:ind w:firstLine="480" w:firstLineChars="200"/>
        <w:rPr>
          <w:rFonts w:ascii="宋体"/>
          <w:sz w:val="24"/>
          <w:szCs w:val="24"/>
        </w:rPr>
      </w:pPr>
      <w:r>
        <w:rPr>
          <w:rFonts w:hint="eastAsia" w:ascii="宋体"/>
          <w:sz w:val="24"/>
          <w:szCs w:val="24"/>
        </w:rPr>
        <w:t>（四）供应商须满足以下三种要件，其响应文件才被接受：</w:t>
      </w:r>
    </w:p>
    <w:p>
      <w:pPr>
        <w:spacing w:line="360" w:lineRule="auto"/>
        <w:ind w:firstLine="480" w:firstLineChars="200"/>
        <w:rPr>
          <w:rFonts w:ascii="宋体"/>
          <w:sz w:val="24"/>
          <w:szCs w:val="24"/>
        </w:rPr>
      </w:pPr>
      <w:r>
        <w:rPr>
          <w:rFonts w:ascii="宋体"/>
          <w:sz w:val="24"/>
          <w:szCs w:val="24"/>
        </w:rPr>
        <w:t>1.</w:t>
      </w:r>
      <w:r>
        <w:rPr>
          <w:rFonts w:hint="eastAsia" w:ascii="宋体"/>
          <w:sz w:val="24"/>
          <w:szCs w:val="24"/>
        </w:rPr>
        <w:t>完成报名；</w:t>
      </w:r>
    </w:p>
    <w:p>
      <w:pPr>
        <w:spacing w:line="360" w:lineRule="auto"/>
        <w:ind w:firstLine="480" w:firstLineChars="200"/>
        <w:rPr>
          <w:rFonts w:ascii="宋体"/>
          <w:sz w:val="24"/>
          <w:szCs w:val="24"/>
        </w:rPr>
      </w:pPr>
      <w:r>
        <w:rPr>
          <w:rFonts w:ascii="宋体"/>
          <w:sz w:val="24"/>
          <w:szCs w:val="24"/>
        </w:rPr>
        <w:t>2.</w:t>
      </w:r>
      <w:r>
        <w:rPr>
          <w:rFonts w:hint="eastAsia" w:ascii="宋体"/>
          <w:sz w:val="24"/>
          <w:szCs w:val="24"/>
        </w:rPr>
        <w:t>按时递交了响应文件；</w:t>
      </w:r>
    </w:p>
    <w:p>
      <w:pPr>
        <w:spacing w:line="360" w:lineRule="auto"/>
        <w:ind w:firstLine="480" w:firstLineChars="200"/>
        <w:rPr>
          <w:rFonts w:ascii="宋体"/>
          <w:sz w:val="24"/>
          <w:szCs w:val="24"/>
        </w:rPr>
      </w:pPr>
      <w:r>
        <w:rPr>
          <w:rFonts w:ascii="宋体"/>
          <w:sz w:val="24"/>
          <w:szCs w:val="24"/>
        </w:rPr>
        <w:t>3.</w:t>
      </w:r>
      <w:r>
        <w:rPr>
          <w:rFonts w:hint="eastAsia" w:ascii="宋体"/>
          <w:sz w:val="24"/>
          <w:szCs w:val="24"/>
        </w:rPr>
        <w:t>按时签到。</w:t>
      </w:r>
    </w:p>
    <w:p>
      <w:pPr>
        <w:spacing w:line="360" w:lineRule="auto"/>
        <w:ind w:firstLine="480" w:firstLineChars="200"/>
        <w:rPr>
          <w:rFonts w:ascii="宋体"/>
          <w:sz w:val="24"/>
          <w:szCs w:val="24"/>
        </w:rPr>
      </w:pPr>
      <w:r>
        <w:rPr>
          <w:rFonts w:hint="eastAsia" w:ascii="宋体"/>
          <w:sz w:val="24"/>
          <w:szCs w:val="24"/>
        </w:rPr>
        <w:t>（五）递交响应文件地点：重庆市中基致信招标代理有限公司会议室</w:t>
      </w:r>
    </w:p>
    <w:p>
      <w:pPr>
        <w:spacing w:line="360" w:lineRule="auto"/>
        <w:ind w:firstLine="480" w:firstLineChars="200"/>
        <w:rPr>
          <w:rFonts w:ascii="宋体"/>
          <w:sz w:val="24"/>
          <w:szCs w:val="24"/>
        </w:rPr>
      </w:pPr>
      <w:r>
        <w:rPr>
          <w:rFonts w:hint="eastAsia" w:ascii="宋体"/>
          <w:sz w:val="24"/>
          <w:szCs w:val="24"/>
        </w:rPr>
        <w:t>（六）响应文件递交开始和截止时间：</w:t>
      </w:r>
      <w:r>
        <w:rPr>
          <w:rFonts w:ascii="宋体"/>
          <w:sz w:val="24"/>
          <w:szCs w:val="24"/>
        </w:rPr>
        <w:t>2023年</w:t>
      </w:r>
      <w:r>
        <w:rPr>
          <w:rFonts w:hint="eastAsia" w:ascii="宋体"/>
          <w:sz w:val="24"/>
          <w:szCs w:val="24"/>
        </w:rPr>
        <w:t>6月2</w:t>
      </w:r>
      <w:r>
        <w:rPr>
          <w:rFonts w:ascii="宋体"/>
          <w:sz w:val="24"/>
          <w:szCs w:val="24"/>
        </w:rPr>
        <w:t>5</w:t>
      </w:r>
      <w:r>
        <w:rPr>
          <w:rFonts w:hint="eastAsia" w:ascii="宋体"/>
          <w:sz w:val="24"/>
          <w:szCs w:val="24"/>
        </w:rPr>
        <w:t>日北京时间</w:t>
      </w:r>
      <w:r>
        <w:rPr>
          <w:rFonts w:ascii="宋体"/>
          <w:sz w:val="24"/>
          <w:szCs w:val="24"/>
        </w:rPr>
        <w:t>14</w:t>
      </w:r>
      <w:r>
        <w:rPr>
          <w:rFonts w:hint="eastAsia" w:ascii="宋体"/>
          <w:sz w:val="24"/>
          <w:szCs w:val="24"/>
        </w:rPr>
        <w:t>:</w:t>
      </w:r>
      <w:r>
        <w:rPr>
          <w:rFonts w:ascii="宋体"/>
          <w:sz w:val="24"/>
          <w:szCs w:val="24"/>
        </w:rPr>
        <w:t>00</w:t>
      </w:r>
      <w:r>
        <w:rPr>
          <w:rFonts w:hint="eastAsia" w:ascii="宋体"/>
          <w:sz w:val="24"/>
          <w:szCs w:val="24"/>
        </w:rPr>
        <w:t>-</w:t>
      </w:r>
      <w:r>
        <w:rPr>
          <w:rFonts w:ascii="宋体"/>
          <w:sz w:val="24"/>
          <w:szCs w:val="24"/>
        </w:rPr>
        <w:t>14</w:t>
      </w:r>
      <w:r>
        <w:rPr>
          <w:rFonts w:hint="eastAsia" w:ascii="宋体"/>
          <w:sz w:val="24"/>
          <w:szCs w:val="24"/>
        </w:rPr>
        <w:t>:</w:t>
      </w:r>
      <w:r>
        <w:rPr>
          <w:rFonts w:ascii="宋体"/>
          <w:sz w:val="24"/>
          <w:szCs w:val="24"/>
        </w:rPr>
        <w:t>3</w:t>
      </w:r>
      <w:r>
        <w:rPr>
          <w:rFonts w:hint="eastAsia" w:ascii="宋体"/>
          <w:sz w:val="24"/>
          <w:szCs w:val="24"/>
        </w:rPr>
        <w:t>0</w:t>
      </w:r>
    </w:p>
    <w:p>
      <w:pPr>
        <w:spacing w:line="360" w:lineRule="auto"/>
        <w:ind w:firstLine="480" w:firstLineChars="200"/>
        <w:rPr>
          <w:rFonts w:ascii="宋体"/>
          <w:sz w:val="24"/>
          <w:szCs w:val="24"/>
        </w:rPr>
      </w:pPr>
      <w:r>
        <w:rPr>
          <w:rFonts w:hint="eastAsia" w:ascii="宋体"/>
          <w:sz w:val="24"/>
          <w:szCs w:val="24"/>
        </w:rPr>
        <w:t>（七）响应文件开启时间：</w:t>
      </w:r>
      <w:r>
        <w:rPr>
          <w:rFonts w:ascii="宋体"/>
          <w:sz w:val="24"/>
          <w:szCs w:val="24"/>
        </w:rPr>
        <w:t>2023年</w:t>
      </w:r>
      <w:r>
        <w:rPr>
          <w:rFonts w:hint="eastAsia" w:ascii="宋体"/>
          <w:sz w:val="24"/>
          <w:szCs w:val="24"/>
        </w:rPr>
        <w:t>6月2</w:t>
      </w:r>
      <w:r>
        <w:rPr>
          <w:rFonts w:ascii="宋体"/>
          <w:sz w:val="24"/>
          <w:szCs w:val="24"/>
        </w:rPr>
        <w:t>5</w:t>
      </w:r>
      <w:r>
        <w:rPr>
          <w:rFonts w:hint="eastAsia" w:ascii="宋体"/>
          <w:sz w:val="24"/>
          <w:szCs w:val="24"/>
        </w:rPr>
        <w:t>日北京时间</w:t>
      </w:r>
      <w:r>
        <w:rPr>
          <w:rFonts w:ascii="宋体"/>
          <w:sz w:val="24"/>
          <w:szCs w:val="24"/>
        </w:rPr>
        <w:t>14</w:t>
      </w:r>
      <w:r>
        <w:rPr>
          <w:rFonts w:hint="eastAsia" w:ascii="宋体"/>
          <w:sz w:val="24"/>
          <w:szCs w:val="24"/>
        </w:rPr>
        <w:t>:</w:t>
      </w:r>
      <w:r>
        <w:rPr>
          <w:rFonts w:ascii="宋体"/>
          <w:sz w:val="24"/>
          <w:szCs w:val="24"/>
        </w:rPr>
        <w:t>3</w:t>
      </w:r>
      <w:r>
        <w:rPr>
          <w:rFonts w:hint="eastAsia" w:ascii="宋体"/>
          <w:sz w:val="24"/>
          <w:szCs w:val="24"/>
        </w:rPr>
        <w:t>0</w:t>
      </w:r>
    </w:p>
    <w:p>
      <w:pPr>
        <w:pStyle w:val="6"/>
        <w:spacing w:before="0" w:after="0" w:line="360" w:lineRule="auto"/>
        <w:ind w:firstLine="482" w:firstLineChars="200"/>
        <w:rPr>
          <w:rFonts w:ascii="宋体"/>
          <w:sz w:val="24"/>
          <w:szCs w:val="24"/>
        </w:rPr>
      </w:pPr>
      <w:bookmarkStart w:id="14" w:name="_Toc75258775"/>
      <w:bookmarkStart w:id="15" w:name="_Toc373860294"/>
      <w:bookmarkStart w:id="16" w:name="_Toc137459385"/>
      <w:r>
        <w:rPr>
          <w:rFonts w:hint="eastAsia" w:ascii="宋体"/>
          <w:sz w:val="24"/>
          <w:szCs w:val="24"/>
        </w:rPr>
        <w:t>五、磋商保证金</w:t>
      </w:r>
      <w:bookmarkEnd w:id="14"/>
      <w:bookmarkEnd w:id="15"/>
      <w:bookmarkEnd w:id="16"/>
    </w:p>
    <w:p>
      <w:pPr>
        <w:snapToGrid w:val="0"/>
        <w:spacing w:line="360" w:lineRule="auto"/>
        <w:ind w:firstLine="480" w:firstLineChars="200"/>
        <w:rPr>
          <w:rFonts w:ascii="宋体"/>
          <w:sz w:val="24"/>
          <w:szCs w:val="24"/>
        </w:rPr>
      </w:pPr>
      <w:bookmarkStart w:id="17" w:name="_Toc530038692"/>
      <w:r>
        <w:rPr>
          <w:rFonts w:hint="eastAsia" w:ascii="宋体"/>
          <w:sz w:val="24"/>
          <w:szCs w:val="24"/>
        </w:rPr>
        <w:t>（一）磋商保证金递交</w:t>
      </w:r>
    </w:p>
    <w:p>
      <w:pPr>
        <w:snapToGrid w:val="0"/>
        <w:spacing w:line="360" w:lineRule="auto"/>
        <w:ind w:firstLine="480" w:firstLineChars="200"/>
        <w:rPr>
          <w:rFonts w:ascii="宋体"/>
          <w:sz w:val="24"/>
          <w:szCs w:val="24"/>
        </w:rPr>
      </w:pPr>
      <w:r>
        <w:rPr>
          <w:rFonts w:hint="eastAsia" w:ascii="宋体"/>
          <w:sz w:val="24"/>
          <w:szCs w:val="24"/>
        </w:rPr>
        <w:t>供应商须按本项目规定的磋商保证金金额进行缴纳（</w:t>
      </w:r>
      <w:r>
        <w:rPr>
          <w:rFonts w:hint="eastAsia" w:ascii="宋体"/>
          <w:b/>
          <w:bCs/>
          <w:sz w:val="24"/>
          <w:szCs w:val="24"/>
        </w:rPr>
        <w:t>保证金金额详见本篇，一、竞争性磋商内容</w:t>
      </w:r>
      <w:r>
        <w:rPr>
          <w:rFonts w:hint="eastAsia" w:ascii="宋体"/>
          <w:sz w:val="24"/>
          <w:szCs w:val="24"/>
        </w:rPr>
        <w:t>），由供应商从其单位账户将磋商保证金汇至以下任一账户，磋商保证金的到账截止时间为2023年6月2</w:t>
      </w:r>
      <w:r>
        <w:rPr>
          <w:rFonts w:ascii="宋体"/>
          <w:sz w:val="24"/>
          <w:szCs w:val="24"/>
        </w:rPr>
        <w:t>4</w:t>
      </w:r>
      <w:r>
        <w:rPr>
          <w:rFonts w:hint="eastAsia" w:ascii="宋体"/>
          <w:sz w:val="24"/>
          <w:szCs w:val="24"/>
        </w:rPr>
        <w:t>日17:00。缴纳保证金时必须备注项目号。</w:t>
      </w:r>
    </w:p>
    <w:p>
      <w:pPr>
        <w:snapToGrid w:val="0"/>
        <w:spacing w:line="360" w:lineRule="auto"/>
        <w:ind w:firstLine="480" w:firstLineChars="200"/>
        <w:rPr>
          <w:rFonts w:ascii="宋体"/>
          <w:sz w:val="24"/>
          <w:szCs w:val="24"/>
        </w:rPr>
      </w:pPr>
      <w:r>
        <w:rPr>
          <w:rFonts w:hint="eastAsia" w:ascii="宋体"/>
          <w:sz w:val="24"/>
          <w:szCs w:val="24"/>
        </w:rPr>
        <w:t>投标保证金账户：</w:t>
      </w:r>
    </w:p>
    <w:p>
      <w:pPr>
        <w:snapToGrid w:val="0"/>
        <w:spacing w:line="360" w:lineRule="auto"/>
        <w:ind w:firstLine="480" w:firstLineChars="200"/>
        <w:rPr>
          <w:rFonts w:ascii="宋体"/>
          <w:sz w:val="24"/>
          <w:szCs w:val="24"/>
        </w:rPr>
      </w:pPr>
      <w:r>
        <w:rPr>
          <w:rFonts w:hint="eastAsia" w:ascii="宋体"/>
          <w:sz w:val="24"/>
          <w:szCs w:val="24"/>
        </w:rPr>
        <w:t>户  名：重庆市中基致信招标代理有限公司</w:t>
      </w:r>
    </w:p>
    <w:p>
      <w:pPr>
        <w:snapToGrid w:val="0"/>
        <w:spacing w:line="360" w:lineRule="auto"/>
        <w:ind w:firstLine="480" w:firstLineChars="200"/>
        <w:rPr>
          <w:rFonts w:ascii="宋体"/>
          <w:sz w:val="24"/>
          <w:szCs w:val="24"/>
        </w:rPr>
      </w:pPr>
      <w:r>
        <w:rPr>
          <w:rFonts w:hint="eastAsia" w:ascii="宋体"/>
          <w:sz w:val="24"/>
          <w:szCs w:val="24"/>
        </w:rPr>
        <w:t>开户行：中国银行重庆江北支行</w:t>
      </w:r>
    </w:p>
    <w:p>
      <w:pPr>
        <w:snapToGrid w:val="0"/>
        <w:spacing w:line="360" w:lineRule="auto"/>
        <w:ind w:firstLine="480" w:firstLineChars="200"/>
        <w:rPr>
          <w:rFonts w:ascii="宋体"/>
          <w:sz w:val="24"/>
          <w:szCs w:val="24"/>
        </w:rPr>
      </w:pPr>
      <w:r>
        <w:rPr>
          <w:rFonts w:hint="eastAsia" w:ascii="宋体"/>
          <w:sz w:val="24"/>
          <w:szCs w:val="24"/>
        </w:rPr>
        <w:t>账  号：1144 6718 4234</w:t>
      </w:r>
    </w:p>
    <w:p>
      <w:pPr>
        <w:snapToGrid w:val="0"/>
        <w:spacing w:line="360" w:lineRule="auto"/>
        <w:ind w:firstLine="480" w:firstLineChars="200"/>
        <w:rPr>
          <w:rFonts w:ascii="宋体"/>
          <w:sz w:val="24"/>
          <w:szCs w:val="24"/>
        </w:rPr>
      </w:pPr>
      <w:r>
        <w:rPr>
          <w:rFonts w:hint="eastAsia" w:ascii="宋体"/>
          <w:sz w:val="24"/>
          <w:szCs w:val="24"/>
        </w:rPr>
        <w:t>（二）保证金退还方式</w:t>
      </w:r>
    </w:p>
    <w:p>
      <w:pPr>
        <w:snapToGrid w:val="0"/>
        <w:spacing w:line="360" w:lineRule="auto"/>
        <w:ind w:firstLine="480" w:firstLineChars="200"/>
        <w:rPr>
          <w:rFonts w:ascii="宋体"/>
          <w:sz w:val="24"/>
          <w:szCs w:val="24"/>
        </w:rPr>
      </w:pPr>
      <w:r>
        <w:rPr>
          <w:rFonts w:hint="eastAsia" w:ascii="宋体"/>
          <w:sz w:val="24"/>
          <w:szCs w:val="24"/>
        </w:rPr>
        <w:t>1.非成交供应商的保证金，在成交通知书发放后，由采购代理机构在五个工作日内按来款渠道直接退还。</w:t>
      </w:r>
    </w:p>
    <w:p>
      <w:pPr>
        <w:snapToGrid w:val="0"/>
        <w:spacing w:line="360" w:lineRule="auto"/>
        <w:ind w:firstLine="480" w:firstLineChars="200"/>
        <w:rPr>
          <w:rFonts w:ascii="宋体"/>
          <w:sz w:val="24"/>
          <w:szCs w:val="24"/>
        </w:rPr>
      </w:pPr>
      <w:r>
        <w:rPr>
          <w:rFonts w:hint="eastAsia" w:ascii="宋体"/>
          <w:sz w:val="24"/>
          <w:szCs w:val="24"/>
        </w:rPr>
        <w:t>2.成交供应商的投标保证金，在成交供应商与采购人签订合同后，由采购代理机构扣除中标服务费后在五个工作日内按资金来款渠道直接退还。</w:t>
      </w:r>
    </w:p>
    <w:p>
      <w:pPr>
        <w:snapToGrid w:val="0"/>
        <w:spacing w:line="360" w:lineRule="auto"/>
        <w:ind w:firstLine="480" w:firstLineChars="200"/>
        <w:rPr>
          <w:rFonts w:ascii="宋体"/>
          <w:sz w:val="24"/>
          <w:szCs w:val="24"/>
        </w:rPr>
      </w:pPr>
      <w:r>
        <w:rPr>
          <w:rFonts w:hint="eastAsia" w:ascii="宋体"/>
          <w:sz w:val="24"/>
          <w:szCs w:val="24"/>
        </w:rPr>
        <w:t>咨询电话：（023）88758852。</w:t>
      </w:r>
    </w:p>
    <w:p>
      <w:pPr>
        <w:snapToGrid w:val="0"/>
        <w:spacing w:line="360" w:lineRule="auto"/>
        <w:ind w:firstLine="480" w:firstLineChars="200"/>
        <w:rPr>
          <w:rFonts w:ascii="宋体"/>
          <w:sz w:val="24"/>
          <w:szCs w:val="24"/>
        </w:rPr>
      </w:pPr>
      <w:r>
        <w:rPr>
          <w:rFonts w:hint="eastAsia" w:ascii="宋体"/>
          <w:sz w:val="24"/>
          <w:szCs w:val="24"/>
        </w:rPr>
        <w:t>（二）保证金退还方式</w:t>
      </w:r>
    </w:p>
    <w:p>
      <w:pPr>
        <w:snapToGrid w:val="0"/>
        <w:spacing w:line="360" w:lineRule="auto"/>
        <w:ind w:firstLine="480" w:firstLineChars="200"/>
        <w:rPr>
          <w:rFonts w:ascii="宋体"/>
          <w:sz w:val="24"/>
          <w:szCs w:val="24"/>
        </w:rPr>
      </w:pPr>
      <w:r>
        <w:rPr>
          <w:rFonts w:hint="eastAsia" w:ascii="宋体"/>
          <w:sz w:val="24"/>
          <w:szCs w:val="24"/>
        </w:rPr>
        <w:t>1.未成交供应商的保证金，在中标通知书发放后，由采购代理机构在五个工作日内按来款渠道直接退还。</w:t>
      </w:r>
    </w:p>
    <w:p>
      <w:pPr>
        <w:snapToGrid w:val="0"/>
        <w:spacing w:line="360" w:lineRule="auto"/>
        <w:ind w:firstLine="480" w:firstLineChars="200"/>
        <w:rPr>
          <w:rFonts w:ascii="宋体"/>
          <w:sz w:val="24"/>
          <w:szCs w:val="24"/>
        </w:rPr>
      </w:pPr>
      <w:r>
        <w:rPr>
          <w:rFonts w:hint="eastAsia" w:ascii="宋体"/>
          <w:sz w:val="24"/>
          <w:szCs w:val="24"/>
        </w:rPr>
        <w:t>2. 成交供应商的投标保证金，在成交供应商与采购人签订合同并将合同复印件递交采购代理机构后，由采购代理机构扣除中标服务费后在五个工作日内按资金来款渠道直接退还。</w:t>
      </w:r>
    </w:p>
    <w:p>
      <w:pPr>
        <w:snapToGrid w:val="0"/>
        <w:spacing w:line="360" w:lineRule="auto"/>
        <w:ind w:firstLine="480" w:firstLineChars="200"/>
        <w:jc w:val="left"/>
        <w:rPr>
          <w:rFonts w:ascii="宋体"/>
          <w:sz w:val="24"/>
          <w:szCs w:val="24"/>
        </w:rPr>
      </w:pPr>
      <w:r>
        <w:rPr>
          <w:rFonts w:hint="eastAsia" w:ascii="宋体"/>
          <w:sz w:val="24"/>
          <w:szCs w:val="24"/>
        </w:rPr>
        <w:t>咨询电话：（023）88758852。</w:t>
      </w:r>
    </w:p>
    <w:p>
      <w:pPr>
        <w:pStyle w:val="6"/>
        <w:spacing w:before="0" w:after="0" w:line="360" w:lineRule="auto"/>
        <w:ind w:firstLine="482" w:firstLineChars="200"/>
        <w:rPr>
          <w:rFonts w:ascii="宋体"/>
          <w:sz w:val="24"/>
          <w:szCs w:val="24"/>
        </w:rPr>
      </w:pPr>
      <w:bookmarkStart w:id="18" w:name="_Toc75258776"/>
      <w:bookmarkStart w:id="19" w:name="_Toc137459386"/>
      <w:r>
        <w:rPr>
          <w:rFonts w:hint="eastAsia" w:ascii="宋体"/>
          <w:sz w:val="24"/>
          <w:szCs w:val="24"/>
        </w:rPr>
        <w:t>六、采购项目需落实的政府采购政策</w:t>
      </w:r>
      <w:bookmarkEnd w:id="17"/>
      <w:bookmarkEnd w:id="18"/>
      <w:bookmarkEnd w:id="19"/>
    </w:p>
    <w:p>
      <w:pPr>
        <w:snapToGrid w:val="0"/>
        <w:spacing w:line="360" w:lineRule="auto"/>
        <w:ind w:firstLine="480" w:firstLineChars="200"/>
        <w:rPr>
          <w:rFonts w:ascii="宋体"/>
          <w:sz w:val="24"/>
          <w:szCs w:val="24"/>
        </w:rPr>
      </w:pPr>
      <w:r>
        <w:rPr>
          <w:rFonts w:hint="eastAsia" w:ascii="宋体"/>
          <w:sz w:val="24"/>
          <w:szCs w:val="24"/>
        </w:rPr>
        <w:t>（一）按照《财政部生态环境部关于印发环境标志产品政府采购品目清单的通知》（财库〔</w:t>
      </w:r>
      <w:r>
        <w:rPr>
          <w:rFonts w:ascii="宋体"/>
          <w:sz w:val="24"/>
          <w:szCs w:val="24"/>
        </w:rPr>
        <w:t>2019</w:t>
      </w:r>
      <w:r>
        <w:rPr>
          <w:rFonts w:hint="eastAsia" w:ascii="宋体"/>
          <w:sz w:val="24"/>
          <w:szCs w:val="24"/>
        </w:rPr>
        <w:t>〕</w:t>
      </w:r>
      <w:r>
        <w:rPr>
          <w:rFonts w:ascii="宋体"/>
          <w:sz w:val="24"/>
          <w:szCs w:val="24"/>
        </w:rPr>
        <w:t>18</w:t>
      </w:r>
      <w:r>
        <w:rPr>
          <w:rFonts w:hint="eastAsia" w:ascii="宋体"/>
          <w:sz w:val="24"/>
          <w:szCs w:val="24"/>
        </w:rPr>
        <w:t>号）和《财政部发展改革委关于印发节能产品政府采购品目清单的通知》（财库〔</w:t>
      </w:r>
      <w:r>
        <w:rPr>
          <w:rFonts w:ascii="宋体"/>
          <w:sz w:val="24"/>
          <w:szCs w:val="24"/>
        </w:rPr>
        <w:t>2019</w:t>
      </w:r>
      <w:r>
        <w:rPr>
          <w:rFonts w:hint="eastAsia" w:ascii="宋体"/>
          <w:sz w:val="24"/>
          <w:szCs w:val="24"/>
        </w:rPr>
        <w:t>〕</w:t>
      </w:r>
      <w:r>
        <w:rPr>
          <w:rFonts w:ascii="宋体"/>
          <w:sz w:val="24"/>
          <w:szCs w:val="24"/>
        </w:rPr>
        <w:t>19</w:t>
      </w:r>
      <w:r>
        <w:rPr>
          <w:rFonts w:hint="eastAsia" w:ascii="宋体"/>
          <w:sz w:val="24"/>
          <w:szCs w:val="24"/>
        </w:rPr>
        <w:t>号）的规定，落实国家节能环保政策。</w:t>
      </w:r>
    </w:p>
    <w:p>
      <w:pPr>
        <w:snapToGrid w:val="0"/>
        <w:spacing w:line="360" w:lineRule="auto"/>
        <w:ind w:firstLine="480" w:firstLineChars="200"/>
        <w:rPr>
          <w:rFonts w:ascii="宋体"/>
          <w:sz w:val="24"/>
          <w:szCs w:val="24"/>
        </w:rPr>
      </w:pPr>
      <w:r>
        <w:rPr>
          <w:rFonts w:hint="eastAsia" w:ascii="宋体"/>
          <w:sz w:val="24"/>
          <w:szCs w:val="24"/>
        </w:rPr>
        <w:t>（二）按照《关于印发&lt;政府采购促进中小企业发展管理办法&gt;的通知》（财库〔2020〕46号）的规定，落实促进中小企业发展政策。</w:t>
      </w:r>
    </w:p>
    <w:p>
      <w:pPr>
        <w:snapToGrid w:val="0"/>
        <w:spacing w:line="360" w:lineRule="auto"/>
        <w:ind w:firstLine="480" w:firstLineChars="200"/>
        <w:rPr>
          <w:rFonts w:ascii="宋体"/>
          <w:sz w:val="24"/>
          <w:szCs w:val="24"/>
        </w:rPr>
      </w:pPr>
      <w:r>
        <w:rPr>
          <w:rFonts w:hint="eastAsia" w:ascii="宋体"/>
          <w:sz w:val="24"/>
          <w:szCs w:val="24"/>
        </w:rPr>
        <w:t>（三）按照《财政部、司法部关于政府采购支持监狱企业发展有关问题的通知》（财库〔</w:t>
      </w:r>
      <w:r>
        <w:rPr>
          <w:rFonts w:ascii="宋体"/>
          <w:sz w:val="24"/>
          <w:szCs w:val="24"/>
        </w:rPr>
        <w:t>2014</w:t>
      </w:r>
      <w:r>
        <w:rPr>
          <w:rFonts w:hint="eastAsia" w:ascii="宋体"/>
          <w:sz w:val="24"/>
          <w:szCs w:val="24"/>
        </w:rPr>
        <w:t>〕</w:t>
      </w:r>
      <w:r>
        <w:rPr>
          <w:rFonts w:ascii="宋体"/>
          <w:sz w:val="24"/>
          <w:szCs w:val="24"/>
        </w:rPr>
        <w:t>68</w:t>
      </w:r>
      <w:r>
        <w:rPr>
          <w:rFonts w:hint="eastAsia" w:ascii="宋体"/>
          <w:sz w:val="24"/>
          <w:szCs w:val="24"/>
        </w:rPr>
        <w:t>号）的规定，落实支持监狱企业发展政策。</w:t>
      </w:r>
    </w:p>
    <w:p>
      <w:pPr>
        <w:snapToGrid w:val="0"/>
        <w:spacing w:line="360" w:lineRule="auto"/>
        <w:ind w:firstLine="480" w:firstLineChars="200"/>
        <w:rPr>
          <w:rFonts w:ascii="宋体"/>
          <w:sz w:val="24"/>
          <w:szCs w:val="24"/>
        </w:rPr>
      </w:pPr>
      <w:r>
        <w:rPr>
          <w:rFonts w:hint="eastAsia" w:ascii="宋体"/>
          <w:sz w:val="24"/>
          <w:szCs w:val="24"/>
        </w:rPr>
        <w:t>（四）按照《三部门联合发布关于促进残疾人就业政府采购政策的通知》（财库〔</w:t>
      </w:r>
      <w:r>
        <w:rPr>
          <w:rFonts w:ascii="宋体"/>
          <w:sz w:val="24"/>
          <w:szCs w:val="24"/>
        </w:rPr>
        <w:t>2017</w:t>
      </w:r>
      <w:r>
        <w:rPr>
          <w:rFonts w:hint="eastAsia" w:ascii="宋体"/>
          <w:sz w:val="24"/>
          <w:szCs w:val="24"/>
        </w:rPr>
        <w:t>〕</w:t>
      </w:r>
      <w:r>
        <w:rPr>
          <w:rFonts w:ascii="宋体"/>
          <w:sz w:val="24"/>
          <w:szCs w:val="24"/>
        </w:rPr>
        <w:t xml:space="preserve"> 141</w:t>
      </w:r>
      <w:r>
        <w:rPr>
          <w:rFonts w:hint="eastAsia" w:ascii="宋体"/>
          <w:sz w:val="24"/>
          <w:szCs w:val="24"/>
        </w:rPr>
        <w:t>号）的规定，落实支持残疾人福利性单位发展政策。</w:t>
      </w:r>
    </w:p>
    <w:p>
      <w:pPr>
        <w:pStyle w:val="6"/>
        <w:spacing w:before="0" w:after="0" w:line="360" w:lineRule="auto"/>
        <w:ind w:firstLine="482" w:firstLineChars="200"/>
        <w:rPr>
          <w:rFonts w:ascii="宋体"/>
          <w:sz w:val="24"/>
          <w:szCs w:val="24"/>
        </w:rPr>
      </w:pPr>
      <w:bookmarkStart w:id="20" w:name="_Toc75258777"/>
      <w:bookmarkStart w:id="21" w:name="_Toc137459387"/>
      <w:r>
        <w:rPr>
          <w:rFonts w:hint="eastAsia" w:ascii="宋体"/>
          <w:sz w:val="24"/>
          <w:szCs w:val="24"/>
        </w:rPr>
        <w:t>七、其它有关规定</w:t>
      </w:r>
      <w:bookmarkEnd w:id="20"/>
      <w:bookmarkEnd w:id="21"/>
    </w:p>
    <w:p>
      <w:pPr>
        <w:snapToGrid w:val="0"/>
        <w:spacing w:line="360" w:lineRule="auto"/>
        <w:ind w:firstLine="480" w:firstLineChars="200"/>
        <w:rPr>
          <w:rFonts w:ascii="宋体"/>
          <w:sz w:val="24"/>
          <w:szCs w:val="24"/>
        </w:rPr>
      </w:pPr>
      <w:r>
        <w:rPr>
          <w:rFonts w:hint="eastAsia" w:ascii="宋体"/>
          <w:sz w:val="24"/>
          <w:szCs w:val="24"/>
        </w:rPr>
        <w:t>（一）单位负责人为同一人或者存在直接控股、管理关系的不同供应商，不得参加同一合同项下的采购活动，否则均为无效响应。</w:t>
      </w:r>
    </w:p>
    <w:p>
      <w:pPr>
        <w:snapToGrid w:val="0"/>
        <w:spacing w:line="360" w:lineRule="auto"/>
        <w:ind w:firstLine="480" w:firstLineChars="200"/>
        <w:rPr>
          <w:rFonts w:ascii="宋体"/>
          <w:sz w:val="24"/>
          <w:szCs w:val="24"/>
        </w:rPr>
      </w:pPr>
      <w:r>
        <w:rPr>
          <w:rFonts w:hint="eastAsia" w:ascii="宋体"/>
          <w:sz w:val="24"/>
          <w:szCs w:val="24"/>
        </w:rPr>
        <w:t>（二）为采购项目提供整体设计、规范编制或者项目管理、监理、检测等服务的供应商，不得再参加该采购项目的其他采购活动，否则均为无效响应。</w:t>
      </w:r>
    </w:p>
    <w:p>
      <w:pPr>
        <w:snapToGrid w:val="0"/>
        <w:spacing w:line="360" w:lineRule="auto"/>
        <w:ind w:firstLine="480" w:firstLineChars="200"/>
        <w:rPr>
          <w:rFonts w:ascii="宋体"/>
          <w:sz w:val="24"/>
          <w:szCs w:val="24"/>
        </w:rPr>
      </w:pPr>
      <w:r>
        <w:rPr>
          <w:rFonts w:hint="eastAsia" w:ascii="宋体"/>
          <w:sz w:val="24"/>
          <w:szCs w:val="24"/>
        </w:rPr>
        <w:t>（三）本项目在响应文件提交截止时间前发布的竞争性磋商文件及补遗文件（如果有）一律在重庆市经济和信息化委员会网上（https://jjxxw.cq.gov.cn/）发布，请各供应商注意下载；无论供应商下载与否，均视同供应商已知晓本项目竞争性磋商文件、补遗文件（如果有）的内容。</w:t>
      </w:r>
    </w:p>
    <w:p>
      <w:pPr>
        <w:snapToGrid w:val="0"/>
        <w:spacing w:line="360" w:lineRule="auto"/>
        <w:ind w:firstLine="480" w:firstLineChars="200"/>
        <w:rPr>
          <w:rFonts w:ascii="宋体"/>
          <w:sz w:val="24"/>
          <w:szCs w:val="24"/>
        </w:rPr>
      </w:pPr>
      <w:r>
        <w:rPr>
          <w:rFonts w:hint="eastAsia" w:ascii="宋体"/>
          <w:sz w:val="24"/>
          <w:szCs w:val="24"/>
        </w:rPr>
        <w:t>（四）超过响应文件截止时间递交的响应文件为无效文件，恕不接收。</w:t>
      </w:r>
    </w:p>
    <w:p>
      <w:pPr>
        <w:snapToGrid w:val="0"/>
        <w:spacing w:line="360" w:lineRule="auto"/>
        <w:ind w:firstLine="480" w:firstLineChars="200"/>
        <w:rPr>
          <w:rFonts w:ascii="宋体"/>
          <w:sz w:val="24"/>
          <w:szCs w:val="24"/>
        </w:rPr>
      </w:pPr>
      <w:r>
        <w:rPr>
          <w:rFonts w:hint="eastAsia" w:ascii="宋体"/>
          <w:sz w:val="24"/>
          <w:szCs w:val="24"/>
        </w:rPr>
        <w:t>（五）磋商费用：无论磋商结果如何，供应商参与本项目磋商的所有费用均应由供应商自行承担。</w:t>
      </w:r>
    </w:p>
    <w:p>
      <w:pPr>
        <w:snapToGrid w:val="0"/>
        <w:spacing w:line="360" w:lineRule="auto"/>
        <w:ind w:firstLine="480" w:firstLineChars="200"/>
        <w:rPr>
          <w:rFonts w:ascii="宋体"/>
          <w:sz w:val="24"/>
          <w:szCs w:val="24"/>
        </w:rPr>
      </w:pPr>
      <w:r>
        <w:rPr>
          <w:rFonts w:hint="eastAsia" w:ascii="宋体"/>
          <w:sz w:val="24"/>
          <w:szCs w:val="24"/>
        </w:rPr>
        <w:t>（六）本项目不接受联合体形式磋商。</w:t>
      </w:r>
    </w:p>
    <w:p>
      <w:pPr>
        <w:snapToGrid w:val="0"/>
        <w:spacing w:line="360" w:lineRule="auto"/>
        <w:ind w:firstLine="480" w:firstLineChars="200"/>
        <w:rPr>
          <w:rFonts w:ascii="宋体"/>
          <w:sz w:val="24"/>
          <w:szCs w:val="24"/>
        </w:rPr>
      </w:pPr>
      <w:r>
        <w:rPr>
          <w:rFonts w:hint="eastAsia" w:ascii="宋体"/>
          <w:sz w:val="24"/>
          <w:szCs w:val="24"/>
        </w:rPr>
        <w:t>（七）本项目不接受合同分包。</w:t>
      </w:r>
    </w:p>
    <w:p>
      <w:pPr>
        <w:snapToGrid w:val="0"/>
        <w:spacing w:line="360" w:lineRule="auto"/>
        <w:ind w:firstLine="480" w:firstLineChars="200"/>
        <w:rPr>
          <w:rFonts w:ascii="宋体"/>
          <w:sz w:val="24"/>
          <w:szCs w:val="24"/>
        </w:rPr>
      </w:pPr>
      <w:r>
        <w:rPr>
          <w:rFonts w:hint="eastAsia" w:ascii="宋体"/>
          <w:sz w:val="24"/>
          <w:szCs w:val="24"/>
        </w:rPr>
        <w:t>（八）按照《财政部关于在政府采购活动中查询及使用信用记录有关问题的通知》财库〔</w:t>
      </w:r>
      <w:r>
        <w:rPr>
          <w:rFonts w:ascii="宋体"/>
          <w:sz w:val="24"/>
          <w:szCs w:val="24"/>
        </w:rPr>
        <w:t>2016</w:t>
      </w:r>
      <w:r>
        <w:rPr>
          <w:rFonts w:hint="eastAsia" w:ascii="宋体"/>
          <w:sz w:val="24"/>
          <w:szCs w:val="24"/>
        </w:rPr>
        <w:t>〕</w:t>
      </w:r>
      <w:r>
        <w:rPr>
          <w:rFonts w:ascii="宋体"/>
          <w:sz w:val="24"/>
          <w:szCs w:val="24"/>
        </w:rPr>
        <w:t>125</w:t>
      </w:r>
      <w:r>
        <w:rPr>
          <w:rFonts w:hint="eastAsia" w:ascii="宋体"/>
          <w:sz w:val="24"/>
          <w:szCs w:val="24"/>
        </w:rPr>
        <w:t>号，供应商列入失信被执行人、重大税收违法案件当事人名单、政府采购严重违法失信行为记录名单及其他不符合《中华人民共和国政府采购法》第二十二条规定条件的供应商，将拒绝其参与政府采购活动。</w:t>
      </w:r>
    </w:p>
    <w:p>
      <w:pPr>
        <w:pStyle w:val="6"/>
        <w:spacing w:before="0" w:after="0" w:line="360" w:lineRule="auto"/>
        <w:ind w:firstLine="482" w:firstLineChars="200"/>
        <w:rPr>
          <w:rFonts w:ascii="宋体"/>
          <w:sz w:val="24"/>
          <w:szCs w:val="24"/>
        </w:rPr>
      </w:pPr>
      <w:bookmarkStart w:id="22" w:name="_Toc137459388"/>
      <w:r>
        <w:rPr>
          <w:rFonts w:hint="eastAsia" w:ascii="宋体"/>
          <w:sz w:val="24"/>
          <w:szCs w:val="24"/>
        </w:rPr>
        <w:t>八、联系方式</w:t>
      </w:r>
      <w:bookmarkEnd w:id="22"/>
    </w:p>
    <w:p>
      <w:pPr>
        <w:snapToGrid w:val="0"/>
        <w:spacing w:line="360" w:lineRule="auto"/>
        <w:ind w:firstLine="480" w:firstLineChars="200"/>
        <w:rPr>
          <w:rFonts w:ascii="宋体"/>
          <w:sz w:val="24"/>
          <w:szCs w:val="24"/>
        </w:rPr>
      </w:pPr>
      <w:r>
        <w:rPr>
          <w:rFonts w:hint="eastAsia" w:ascii="宋体"/>
          <w:sz w:val="24"/>
          <w:szCs w:val="24"/>
        </w:rPr>
        <w:t>（一）采购人：</w:t>
      </w:r>
      <w:r>
        <w:rPr>
          <w:rFonts w:ascii="宋体"/>
          <w:sz w:val="24"/>
          <w:szCs w:val="24"/>
        </w:rPr>
        <w:t>重庆市无线电监测站</w:t>
      </w:r>
    </w:p>
    <w:p>
      <w:pPr>
        <w:snapToGrid w:val="0"/>
        <w:spacing w:line="360" w:lineRule="auto"/>
        <w:ind w:firstLine="480" w:firstLineChars="200"/>
        <w:rPr>
          <w:rFonts w:ascii="宋体"/>
          <w:sz w:val="24"/>
          <w:szCs w:val="24"/>
        </w:rPr>
      </w:pPr>
      <w:r>
        <w:rPr>
          <w:rFonts w:hint="eastAsia" w:ascii="宋体"/>
          <w:sz w:val="24"/>
          <w:szCs w:val="24"/>
        </w:rPr>
        <w:t xml:space="preserve">联系人：罗国兰  </w:t>
      </w:r>
    </w:p>
    <w:p>
      <w:pPr>
        <w:snapToGrid w:val="0"/>
        <w:spacing w:line="360" w:lineRule="auto"/>
        <w:ind w:firstLine="480" w:firstLineChars="200"/>
        <w:rPr>
          <w:rFonts w:ascii="宋体"/>
          <w:sz w:val="24"/>
          <w:szCs w:val="24"/>
        </w:rPr>
      </w:pPr>
      <w:r>
        <w:rPr>
          <w:rFonts w:hint="eastAsia" w:ascii="宋体"/>
          <w:sz w:val="24"/>
          <w:szCs w:val="24"/>
        </w:rPr>
        <w:t>电  话：023-67710873</w:t>
      </w:r>
    </w:p>
    <w:p>
      <w:pPr>
        <w:snapToGrid w:val="0"/>
        <w:spacing w:line="360" w:lineRule="auto"/>
        <w:ind w:firstLine="480" w:firstLineChars="200"/>
        <w:rPr>
          <w:rFonts w:ascii="宋体"/>
          <w:sz w:val="24"/>
          <w:szCs w:val="24"/>
        </w:rPr>
      </w:pPr>
      <w:r>
        <w:rPr>
          <w:rFonts w:hint="eastAsia" w:ascii="宋体"/>
          <w:sz w:val="24"/>
          <w:szCs w:val="24"/>
        </w:rPr>
        <w:t>传  真：023-67710873</w:t>
      </w:r>
    </w:p>
    <w:p>
      <w:pPr>
        <w:snapToGrid w:val="0"/>
        <w:spacing w:line="360" w:lineRule="auto"/>
        <w:ind w:firstLine="480" w:firstLineChars="200"/>
        <w:rPr>
          <w:rFonts w:ascii="宋体"/>
          <w:sz w:val="24"/>
          <w:szCs w:val="24"/>
        </w:rPr>
      </w:pPr>
      <w:r>
        <w:rPr>
          <w:rFonts w:hint="eastAsia" w:ascii="宋体"/>
          <w:sz w:val="24"/>
          <w:szCs w:val="24"/>
        </w:rPr>
        <w:t>地  址：重庆市江北区兴隆路26号数码大厦16楼</w:t>
      </w:r>
    </w:p>
    <w:p>
      <w:pPr>
        <w:snapToGrid w:val="0"/>
        <w:spacing w:line="360" w:lineRule="auto"/>
        <w:ind w:firstLine="480" w:firstLineChars="200"/>
        <w:rPr>
          <w:rFonts w:ascii="宋体"/>
          <w:sz w:val="24"/>
          <w:szCs w:val="24"/>
        </w:rPr>
      </w:pPr>
      <w:bookmarkStart w:id="23" w:name="_Toc216163282"/>
      <w:bookmarkStart w:id="24" w:name="_Toc178828108"/>
      <w:bookmarkStart w:id="25" w:name="_Toc180051219"/>
      <w:r>
        <w:rPr>
          <w:rFonts w:hint="eastAsia" w:ascii="宋体"/>
          <w:sz w:val="24"/>
          <w:szCs w:val="24"/>
        </w:rPr>
        <w:t>（二）采购代理机构：重庆市中基致信招标代理有限公司</w:t>
      </w:r>
    </w:p>
    <w:p>
      <w:pPr>
        <w:snapToGrid w:val="0"/>
        <w:spacing w:line="360" w:lineRule="auto"/>
        <w:ind w:firstLine="480" w:firstLineChars="200"/>
        <w:rPr>
          <w:rFonts w:ascii="宋体"/>
          <w:sz w:val="24"/>
          <w:szCs w:val="24"/>
        </w:rPr>
      </w:pPr>
      <w:r>
        <w:rPr>
          <w:rFonts w:hint="eastAsia" w:ascii="宋体"/>
          <w:sz w:val="24"/>
          <w:szCs w:val="24"/>
        </w:rPr>
        <w:t>联系人：游建伟、胡琳</w:t>
      </w:r>
    </w:p>
    <w:p>
      <w:pPr>
        <w:snapToGrid w:val="0"/>
        <w:spacing w:line="360" w:lineRule="auto"/>
        <w:ind w:firstLine="480" w:firstLineChars="200"/>
        <w:rPr>
          <w:rFonts w:ascii="宋体"/>
          <w:sz w:val="24"/>
          <w:szCs w:val="24"/>
        </w:rPr>
      </w:pPr>
      <w:r>
        <w:rPr>
          <w:rFonts w:hint="eastAsia" w:ascii="宋体"/>
          <w:sz w:val="24"/>
          <w:szCs w:val="24"/>
        </w:rPr>
        <w:t>电  话： 023-8</w:t>
      </w:r>
      <w:r>
        <w:rPr>
          <w:rFonts w:ascii="宋体"/>
          <w:sz w:val="24"/>
          <w:szCs w:val="24"/>
        </w:rPr>
        <w:t>8758847</w:t>
      </w:r>
      <w:r>
        <w:rPr>
          <w:rFonts w:hint="eastAsia" w:ascii="宋体"/>
          <w:sz w:val="24"/>
          <w:szCs w:val="24"/>
        </w:rPr>
        <w:t>、88758852</w:t>
      </w:r>
    </w:p>
    <w:p>
      <w:pPr>
        <w:snapToGrid w:val="0"/>
        <w:spacing w:line="360" w:lineRule="auto"/>
        <w:ind w:firstLine="480" w:firstLineChars="200"/>
        <w:rPr>
          <w:rFonts w:ascii="宋体"/>
          <w:sz w:val="24"/>
          <w:szCs w:val="24"/>
        </w:rPr>
      </w:pPr>
      <w:r>
        <w:rPr>
          <w:rFonts w:hint="eastAsia" w:ascii="宋体"/>
          <w:sz w:val="24"/>
          <w:szCs w:val="24"/>
        </w:rPr>
        <w:t>传  真： 023-88505947</w:t>
      </w:r>
    </w:p>
    <w:p>
      <w:pPr>
        <w:snapToGrid w:val="0"/>
        <w:spacing w:line="360" w:lineRule="auto"/>
        <w:ind w:firstLine="480" w:firstLineChars="200"/>
        <w:rPr>
          <w:rFonts w:ascii="宋体"/>
          <w:sz w:val="24"/>
          <w:szCs w:val="24"/>
        </w:rPr>
      </w:pPr>
      <w:r>
        <w:rPr>
          <w:rFonts w:hint="eastAsia" w:ascii="宋体"/>
          <w:sz w:val="24"/>
          <w:szCs w:val="24"/>
        </w:rPr>
        <w:t>地  址：重庆市渝北区财富大道2号财富大厦A座9楼</w:t>
      </w:r>
    </w:p>
    <w:p>
      <w:pPr>
        <w:pStyle w:val="2"/>
      </w:pPr>
    </w:p>
    <w:p>
      <w:pPr>
        <w:pStyle w:val="3"/>
      </w:pPr>
    </w:p>
    <w:bookmarkEnd w:id="23"/>
    <w:bookmarkEnd w:id="24"/>
    <w:bookmarkEnd w:id="25"/>
    <w:p>
      <w:pPr>
        <w:pStyle w:val="5"/>
        <w:pageBreakBefore/>
        <w:spacing w:line="360" w:lineRule="auto"/>
        <w:jc w:val="center"/>
        <w:rPr>
          <w:rFonts w:ascii="宋体" w:eastAsia="宋体"/>
          <w:sz w:val="36"/>
          <w:szCs w:val="30"/>
        </w:rPr>
      </w:pPr>
      <w:bookmarkStart w:id="26" w:name="_Toc137459389"/>
      <w:r>
        <w:rPr>
          <w:rFonts w:hint="eastAsia" w:ascii="宋体" w:eastAsia="宋体"/>
          <w:sz w:val="36"/>
          <w:szCs w:val="30"/>
        </w:rPr>
        <w:t>第二篇  项目服务需求</w:t>
      </w:r>
      <w:bookmarkEnd w:id="26"/>
    </w:p>
    <w:p>
      <w:pPr>
        <w:snapToGrid w:val="0"/>
        <w:spacing w:line="360" w:lineRule="auto"/>
        <w:ind w:firstLine="422" w:firstLineChars="200"/>
        <w:rPr>
          <w:rFonts w:ascii="宋体"/>
          <w:b/>
          <w:sz w:val="21"/>
          <w:szCs w:val="21"/>
        </w:rPr>
      </w:pPr>
      <w:bookmarkStart w:id="27" w:name="_Toc516989213"/>
      <w:bookmarkStart w:id="28" w:name="_Toc78194437"/>
      <w:bookmarkStart w:id="29" w:name="_Toc5006885"/>
      <w:bookmarkStart w:id="30" w:name="_Toc441065663"/>
      <w:bookmarkStart w:id="31" w:name="_Toc6232092"/>
      <w:bookmarkStart w:id="32" w:name="_Toc12789058"/>
      <w:r>
        <w:rPr>
          <w:rFonts w:hint="eastAsia" w:ascii="宋体"/>
          <w:b/>
          <w:sz w:val="21"/>
          <w:szCs w:val="21"/>
        </w:rPr>
        <w:t>“※”标注的要求为符合性审查中的实质性要求，响应文件若不满足按无效响应处理。</w:t>
      </w:r>
    </w:p>
    <w:p>
      <w:pPr>
        <w:snapToGrid w:val="0"/>
        <w:spacing w:line="360" w:lineRule="auto"/>
        <w:ind w:firstLine="422" w:firstLineChars="200"/>
        <w:rPr>
          <w:rFonts w:ascii="宋体"/>
          <w:b/>
          <w:sz w:val="21"/>
          <w:szCs w:val="21"/>
        </w:rPr>
      </w:pPr>
      <w:r>
        <w:rPr>
          <w:rFonts w:hint="eastAsia" w:ascii="宋体"/>
          <w:b/>
          <w:sz w:val="21"/>
          <w:szCs w:val="21"/>
        </w:rPr>
        <w:t>“★”标注的要求为重要技术需求，若不满足将按照评标因素中相关规定处理。</w:t>
      </w:r>
    </w:p>
    <w:bookmarkEnd w:id="27"/>
    <w:p>
      <w:pPr>
        <w:pStyle w:val="6"/>
        <w:spacing w:before="0" w:after="0" w:line="360" w:lineRule="auto"/>
        <w:ind w:firstLine="482" w:firstLineChars="200"/>
        <w:rPr>
          <w:rFonts w:ascii="宋体"/>
          <w:sz w:val="24"/>
          <w:szCs w:val="24"/>
        </w:rPr>
      </w:pPr>
      <w:bookmarkStart w:id="33" w:name="_Toc4737"/>
      <w:bookmarkStart w:id="34" w:name="_Toc523837602"/>
      <w:bookmarkStart w:id="35" w:name="_Toc4598"/>
      <w:bookmarkStart w:id="36" w:name="_Toc25412"/>
      <w:bookmarkStart w:id="37" w:name="_Toc79589959"/>
      <w:bookmarkStart w:id="38" w:name="_Toc441065661"/>
      <w:bookmarkStart w:id="39" w:name="_Toc8026"/>
      <w:bookmarkStart w:id="40" w:name="_Toc137459390"/>
      <w:bookmarkStart w:id="41" w:name="_Toc524444856"/>
      <w:bookmarkStart w:id="42" w:name="_Toc27731"/>
      <w:r>
        <w:rPr>
          <w:rFonts w:hint="eastAsia" w:ascii="宋体"/>
          <w:sz w:val="24"/>
          <w:szCs w:val="24"/>
        </w:rPr>
        <w:t>一、招标项目一览表</w:t>
      </w:r>
      <w:bookmarkEnd w:id="33"/>
      <w:bookmarkEnd w:id="34"/>
      <w:bookmarkEnd w:id="35"/>
      <w:bookmarkEnd w:id="36"/>
      <w:bookmarkEnd w:id="37"/>
      <w:bookmarkEnd w:id="38"/>
      <w:bookmarkEnd w:id="39"/>
      <w:bookmarkEnd w:id="40"/>
      <w:bookmarkEnd w:id="41"/>
      <w:bookmarkEnd w:id="42"/>
    </w:p>
    <w:tbl>
      <w:tblPr>
        <w:tblStyle w:val="68"/>
        <w:tblW w:w="94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5528"/>
        <w:gridCol w:w="1483"/>
        <w:gridCol w:w="1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jc w:val="center"/>
        </w:trPr>
        <w:tc>
          <w:tcPr>
            <w:tcW w:w="758" w:type="dxa"/>
            <w:vAlign w:val="center"/>
          </w:tcPr>
          <w:p>
            <w:pPr>
              <w:jc w:val="center"/>
              <w:rPr>
                <w:rFonts w:ascii="宋体"/>
                <w:b/>
                <w:sz w:val="24"/>
                <w:szCs w:val="24"/>
              </w:rPr>
            </w:pPr>
            <w:r>
              <w:rPr>
                <w:rFonts w:ascii="宋体"/>
                <w:b/>
                <w:sz w:val="24"/>
                <w:szCs w:val="24"/>
              </w:rPr>
              <w:t>序号</w:t>
            </w:r>
          </w:p>
        </w:tc>
        <w:tc>
          <w:tcPr>
            <w:tcW w:w="5528" w:type="dxa"/>
            <w:vAlign w:val="center"/>
          </w:tcPr>
          <w:p>
            <w:pPr>
              <w:jc w:val="center"/>
              <w:rPr>
                <w:rFonts w:ascii="宋体"/>
                <w:b/>
                <w:sz w:val="24"/>
                <w:szCs w:val="24"/>
              </w:rPr>
            </w:pPr>
            <w:r>
              <w:rPr>
                <w:rFonts w:hint="eastAsia" w:ascii="宋体"/>
                <w:b/>
                <w:sz w:val="24"/>
                <w:szCs w:val="24"/>
              </w:rPr>
              <w:t>项目内容</w:t>
            </w:r>
          </w:p>
        </w:tc>
        <w:tc>
          <w:tcPr>
            <w:tcW w:w="1483" w:type="dxa"/>
            <w:vAlign w:val="center"/>
          </w:tcPr>
          <w:p>
            <w:pPr>
              <w:jc w:val="center"/>
              <w:rPr>
                <w:rFonts w:ascii="宋体"/>
                <w:b/>
                <w:sz w:val="24"/>
                <w:szCs w:val="24"/>
              </w:rPr>
            </w:pPr>
            <w:r>
              <w:rPr>
                <w:rFonts w:hint="eastAsia" w:ascii="宋体"/>
                <w:b/>
                <w:sz w:val="24"/>
                <w:szCs w:val="24"/>
              </w:rPr>
              <w:t>数量/单位</w:t>
            </w:r>
          </w:p>
        </w:tc>
        <w:tc>
          <w:tcPr>
            <w:tcW w:w="1635" w:type="dxa"/>
            <w:vAlign w:val="center"/>
          </w:tcPr>
          <w:p>
            <w:pPr>
              <w:jc w:val="center"/>
              <w:rPr>
                <w:rFonts w:ascii="宋体"/>
                <w:b/>
                <w:sz w:val="24"/>
                <w:szCs w:val="24"/>
              </w:rPr>
            </w:pPr>
            <w:r>
              <w:rPr>
                <w:rFonts w:hint="eastAsia" w:ascii="宋体"/>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jc w:val="center"/>
        </w:trPr>
        <w:tc>
          <w:tcPr>
            <w:tcW w:w="758" w:type="dxa"/>
            <w:vAlign w:val="center"/>
          </w:tcPr>
          <w:p>
            <w:pPr>
              <w:jc w:val="center"/>
              <w:rPr>
                <w:rFonts w:ascii="宋体"/>
                <w:sz w:val="24"/>
                <w:szCs w:val="24"/>
              </w:rPr>
            </w:pPr>
            <w:r>
              <w:rPr>
                <w:rFonts w:hint="eastAsia" w:ascii="宋体"/>
                <w:sz w:val="24"/>
                <w:szCs w:val="24"/>
              </w:rPr>
              <w:t>1</w:t>
            </w:r>
          </w:p>
        </w:tc>
        <w:tc>
          <w:tcPr>
            <w:tcW w:w="5528" w:type="dxa"/>
            <w:vAlign w:val="center"/>
          </w:tcPr>
          <w:p>
            <w:pPr>
              <w:jc w:val="center"/>
              <w:rPr>
                <w:rFonts w:ascii="宋体"/>
                <w:sz w:val="24"/>
                <w:szCs w:val="24"/>
              </w:rPr>
            </w:pPr>
            <w:r>
              <w:rPr>
                <w:rFonts w:hint="eastAsia" w:ascii="宋体"/>
                <w:sz w:val="24"/>
                <w:szCs w:val="24"/>
              </w:rPr>
              <w:t>无线电历史陈列室改造工程</w:t>
            </w:r>
          </w:p>
        </w:tc>
        <w:tc>
          <w:tcPr>
            <w:tcW w:w="1483" w:type="dxa"/>
            <w:vAlign w:val="center"/>
          </w:tcPr>
          <w:p>
            <w:pPr>
              <w:jc w:val="center"/>
              <w:rPr>
                <w:rFonts w:ascii="宋体"/>
                <w:sz w:val="24"/>
                <w:szCs w:val="24"/>
              </w:rPr>
            </w:pPr>
            <w:r>
              <w:rPr>
                <w:rFonts w:hint="eastAsia" w:ascii="宋体"/>
                <w:sz w:val="24"/>
                <w:szCs w:val="24"/>
              </w:rPr>
              <w:t>1项</w:t>
            </w:r>
          </w:p>
        </w:tc>
        <w:tc>
          <w:tcPr>
            <w:tcW w:w="1635" w:type="dxa"/>
            <w:vAlign w:val="center"/>
          </w:tcPr>
          <w:p>
            <w:pPr>
              <w:jc w:val="center"/>
              <w:rPr>
                <w:rFonts w:ascii="宋体"/>
                <w:sz w:val="24"/>
                <w:szCs w:val="24"/>
              </w:rPr>
            </w:pPr>
          </w:p>
        </w:tc>
      </w:tr>
    </w:tbl>
    <w:p>
      <w:pPr>
        <w:pStyle w:val="6"/>
        <w:spacing w:before="0" w:after="0" w:line="360" w:lineRule="auto"/>
        <w:ind w:firstLine="482" w:firstLineChars="200"/>
        <w:rPr>
          <w:rFonts w:ascii="宋体"/>
          <w:sz w:val="24"/>
          <w:szCs w:val="24"/>
        </w:rPr>
      </w:pPr>
      <w:bookmarkStart w:id="43" w:name="_Toc25584"/>
      <w:bookmarkStart w:id="44" w:name="_Toc18775"/>
      <w:bookmarkStart w:id="45" w:name="_Toc14913"/>
      <w:bookmarkStart w:id="46" w:name="_Toc523837604"/>
      <w:bookmarkStart w:id="47" w:name="_Toc137459391"/>
      <w:bookmarkStart w:id="48" w:name="_Toc441065662"/>
      <w:bookmarkStart w:id="49" w:name="_Toc524444857"/>
      <w:bookmarkStart w:id="50" w:name="_Toc26929"/>
      <w:bookmarkStart w:id="51" w:name="_Toc79589960"/>
      <w:bookmarkStart w:id="52" w:name="_Toc22930"/>
      <w:r>
        <w:rPr>
          <w:rFonts w:hint="eastAsia" w:ascii="宋体"/>
          <w:sz w:val="24"/>
          <w:szCs w:val="24"/>
        </w:rPr>
        <w:t>二、招标项目技术要求</w:t>
      </w:r>
      <w:bookmarkEnd w:id="43"/>
      <w:bookmarkEnd w:id="44"/>
      <w:bookmarkEnd w:id="45"/>
      <w:bookmarkEnd w:id="46"/>
      <w:bookmarkEnd w:id="47"/>
      <w:bookmarkEnd w:id="48"/>
      <w:bookmarkEnd w:id="49"/>
      <w:bookmarkEnd w:id="50"/>
      <w:bookmarkEnd w:id="51"/>
      <w:bookmarkEnd w:id="52"/>
    </w:p>
    <w:bookmarkEnd w:id="28"/>
    <w:bookmarkEnd w:id="29"/>
    <w:bookmarkEnd w:id="30"/>
    <w:bookmarkEnd w:id="31"/>
    <w:p>
      <w:pPr>
        <w:snapToGrid w:val="0"/>
        <w:spacing w:line="360" w:lineRule="auto"/>
        <w:ind w:firstLine="422" w:firstLineChars="200"/>
        <w:rPr>
          <w:rFonts w:ascii="宋体" w:hAnsi="宋体"/>
          <w:b/>
          <w:bCs/>
          <w:sz w:val="24"/>
          <w:szCs w:val="24"/>
        </w:rPr>
      </w:pPr>
      <w:r>
        <w:rPr>
          <w:rFonts w:hint="eastAsia" w:ascii="宋体" w:hAnsi="宋体"/>
          <w:b/>
          <w:bCs/>
          <w:sz w:val="21"/>
          <w:szCs w:val="21"/>
        </w:rPr>
        <w:t>※</w:t>
      </w:r>
      <w:r>
        <w:rPr>
          <w:rFonts w:hint="eastAsia" w:ascii="宋体" w:hAnsi="宋体"/>
          <w:b/>
          <w:bCs/>
          <w:sz w:val="24"/>
          <w:szCs w:val="24"/>
        </w:rPr>
        <w:t xml:space="preserve">1.总体技术要求 </w:t>
      </w:r>
    </w:p>
    <w:p>
      <w:pPr>
        <w:snapToGrid w:val="0"/>
        <w:spacing w:line="360" w:lineRule="auto"/>
        <w:ind w:firstLine="480" w:firstLineChars="200"/>
        <w:rPr>
          <w:rFonts w:ascii="宋体"/>
          <w:sz w:val="24"/>
          <w:szCs w:val="24"/>
        </w:rPr>
      </w:pPr>
      <w:r>
        <w:rPr>
          <w:rFonts w:hint="eastAsia" w:ascii="宋体"/>
          <w:sz w:val="24"/>
          <w:szCs w:val="24"/>
        </w:rPr>
        <w:t>1.1供应商所提供所有设备的功能、性能应完全符合供应商申明符合的标准，并满足或高于采购人提出的要求。</w:t>
      </w:r>
    </w:p>
    <w:p>
      <w:pPr>
        <w:snapToGrid w:val="0"/>
        <w:spacing w:line="360" w:lineRule="auto"/>
        <w:ind w:firstLine="480" w:firstLineChars="200"/>
        <w:rPr>
          <w:rFonts w:ascii="宋体"/>
          <w:sz w:val="24"/>
          <w:szCs w:val="24"/>
        </w:rPr>
      </w:pPr>
      <w:r>
        <w:rPr>
          <w:rFonts w:hint="eastAsia" w:ascii="宋体"/>
          <w:sz w:val="24"/>
          <w:szCs w:val="24"/>
        </w:rPr>
        <w:t>1.2 本项目实施须参考以下技术规范：</w:t>
      </w:r>
    </w:p>
    <w:p>
      <w:pPr>
        <w:snapToGrid w:val="0"/>
        <w:spacing w:line="360" w:lineRule="auto"/>
        <w:ind w:firstLine="480" w:firstLineChars="200"/>
        <w:rPr>
          <w:rFonts w:ascii="宋体"/>
          <w:sz w:val="24"/>
          <w:szCs w:val="24"/>
        </w:rPr>
      </w:pPr>
      <w:r>
        <w:rPr>
          <w:rFonts w:hint="eastAsia" w:ascii="宋体"/>
          <w:sz w:val="24"/>
          <w:szCs w:val="24"/>
        </w:rPr>
        <w:t>1</w:t>
      </w:r>
      <w:r>
        <w:rPr>
          <w:rFonts w:ascii="宋体"/>
          <w:sz w:val="24"/>
          <w:szCs w:val="24"/>
        </w:rPr>
        <w:t>.2.1</w:t>
      </w:r>
      <w:r>
        <w:rPr>
          <w:rFonts w:hint="eastAsia" w:ascii="宋体"/>
          <w:sz w:val="24"/>
          <w:szCs w:val="24"/>
        </w:rPr>
        <w:t>《智能建筑工程质量验收规范》（GB 50339-2013）；</w:t>
      </w:r>
    </w:p>
    <w:p>
      <w:pPr>
        <w:snapToGrid w:val="0"/>
        <w:spacing w:line="360" w:lineRule="auto"/>
        <w:ind w:firstLine="480" w:firstLineChars="200"/>
        <w:rPr>
          <w:rFonts w:ascii="宋体"/>
          <w:sz w:val="24"/>
          <w:szCs w:val="24"/>
        </w:rPr>
      </w:pPr>
      <w:r>
        <w:rPr>
          <w:rFonts w:hint="eastAsia" w:ascii="宋体"/>
          <w:sz w:val="24"/>
          <w:szCs w:val="24"/>
        </w:rPr>
        <w:t>1</w:t>
      </w:r>
      <w:r>
        <w:rPr>
          <w:rFonts w:ascii="宋体"/>
          <w:sz w:val="24"/>
          <w:szCs w:val="24"/>
        </w:rPr>
        <w:t>.2.</w:t>
      </w:r>
      <w:r>
        <w:rPr>
          <w:rFonts w:hint="eastAsia" w:ascii="宋体"/>
          <w:sz w:val="24"/>
          <w:szCs w:val="24"/>
        </w:rPr>
        <w:t>2《智能建筑工程施工规范》（GB 50606-2010）；</w:t>
      </w:r>
    </w:p>
    <w:p>
      <w:pPr>
        <w:snapToGrid w:val="0"/>
        <w:spacing w:line="360" w:lineRule="auto"/>
        <w:ind w:firstLine="480" w:firstLineChars="200"/>
        <w:rPr>
          <w:rFonts w:ascii="宋体"/>
          <w:sz w:val="24"/>
          <w:szCs w:val="24"/>
        </w:rPr>
      </w:pPr>
      <w:r>
        <w:rPr>
          <w:rFonts w:hint="eastAsia" w:ascii="宋体"/>
          <w:sz w:val="24"/>
          <w:szCs w:val="24"/>
        </w:rPr>
        <w:t>1</w:t>
      </w:r>
      <w:r>
        <w:rPr>
          <w:rFonts w:ascii="宋体"/>
          <w:sz w:val="24"/>
          <w:szCs w:val="24"/>
        </w:rPr>
        <w:t>.2.</w:t>
      </w:r>
      <w:r>
        <w:rPr>
          <w:rFonts w:hint="eastAsia" w:ascii="宋体"/>
          <w:sz w:val="24"/>
          <w:szCs w:val="24"/>
        </w:rPr>
        <w:t>3《综合布线系统工程验收规范》（GB 50312-2007）；</w:t>
      </w:r>
    </w:p>
    <w:p>
      <w:pPr>
        <w:snapToGrid w:val="0"/>
        <w:spacing w:line="360" w:lineRule="auto"/>
        <w:ind w:firstLine="480" w:firstLineChars="200"/>
        <w:rPr>
          <w:rFonts w:ascii="宋体"/>
          <w:sz w:val="24"/>
          <w:szCs w:val="24"/>
        </w:rPr>
      </w:pPr>
      <w:r>
        <w:rPr>
          <w:rFonts w:hint="eastAsia" w:ascii="宋体"/>
          <w:sz w:val="24"/>
          <w:szCs w:val="24"/>
        </w:rPr>
        <w:t>1</w:t>
      </w:r>
      <w:r>
        <w:rPr>
          <w:rFonts w:ascii="宋体"/>
          <w:sz w:val="24"/>
          <w:szCs w:val="24"/>
        </w:rPr>
        <w:t>.2.</w:t>
      </w:r>
      <w:r>
        <w:rPr>
          <w:rFonts w:hint="eastAsia" w:ascii="宋体"/>
          <w:sz w:val="24"/>
          <w:szCs w:val="24"/>
        </w:rPr>
        <w:t>4《建筑设计防火规范》（GB 50016-2014）；</w:t>
      </w:r>
    </w:p>
    <w:p>
      <w:pPr>
        <w:snapToGrid w:val="0"/>
        <w:spacing w:line="360" w:lineRule="auto"/>
        <w:ind w:firstLine="480" w:firstLineChars="200"/>
        <w:rPr>
          <w:rFonts w:ascii="宋体"/>
          <w:sz w:val="24"/>
          <w:szCs w:val="24"/>
        </w:rPr>
      </w:pPr>
      <w:r>
        <w:rPr>
          <w:rFonts w:hint="eastAsia" w:ascii="宋体"/>
          <w:sz w:val="24"/>
          <w:szCs w:val="24"/>
        </w:rPr>
        <w:t>1</w:t>
      </w:r>
      <w:r>
        <w:rPr>
          <w:rFonts w:ascii="宋体"/>
          <w:sz w:val="24"/>
          <w:szCs w:val="24"/>
        </w:rPr>
        <w:t>.2.</w:t>
      </w:r>
      <w:r>
        <w:rPr>
          <w:rFonts w:hint="eastAsia" w:ascii="宋体"/>
          <w:sz w:val="24"/>
          <w:szCs w:val="24"/>
        </w:rPr>
        <w:t>5《消防联动控制系统》（GB 16806-2006）；</w:t>
      </w:r>
    </w:p>
    <w:p>
      <w:pPr>
        <w:snapToGrid w:val="0"/>
        <w:spacing w:line="360" w:lineRule="auto"/>
        <w:ind w:firstLine="480" w:firstLineChars="200"/>
        <w:rPr>
          <w:rFonts w:ascii="宋体"/>
          <w:sz w:val="24"/>
          <w:szCs w:val="24"/>
        </w:rPr>
      </w:pPr>
      <w:r>
        <w:rPr>
          <w:rFonts w:hint="eastAsia" w:ascii="宋体"/>
          <w:sz w:val="24"/>
          <w:szCs w:val="24"/>
        </w:rPr>
        <w:t>1</w:t>
      </w:r>
      <w:r>
        <w:rPr>
          <w:rFonts w:ascii="宋体"/>
          <w:sz w:val="24"/>
          <w:szCs w:val="24"/>
        </w:rPr>
        <w:t>.2.</w:t>
      </w:r>
      <w:r>
        <w:rPr>
          <w:rFonts w:hint="eastAsia" w:ascii="宋体"/>
          <w:sz w:val="24"/>
          <w:szCs w:val="24"/>
        </w:rPr>
        <w:t>6《民用建筑电气设计规范》（JGJ16-2008）；</w:t>
      </w:r>
    </w:p>
    <w:p>
      <w:pPr>
        <w:snapToGrid w:val="0"/>
        <w:spacing w:line="360" w:lineRule="auto"/>
        <w:ind w:firstLine="480" w:firstLineChars="200"/>
        <w:rPr>
          <w:rFonts w:ascii="宋体"/>
          <w:sz w:val="24"/>
          <w:szCs w:val="24"/>
        </w:rPr>
      </w:pPr>
      <w:r>
        <w:rPr>
          <w:rFonts w:hint="eastAsia" w:ascii="宋体"/>
          <w:sz w:val="24"/>
          <w:szCs w:val="24"/>
        </w:rPr>
        <w:t>1</w:t>
      </w:r>
      <w:r>
        <w:rPr>
          <w:rFonts w:ascii="宋体"/>
          <w:sz w:val="24"/>
          <w:szCs w:val="24"/>
        </w:rPr>
        <w:t>.2.</w:t>
      </w:r>
      <w:r>
        <w:rPr>
          <w:rFonts w:hint="eastAsia" w:ascii="宋体"/>
          <w:sz w:val="24"/>
          <w:szCs w:val="24"/>
        </w:rPr>
        <w:t>7《建筑物电子信息系统防雷技术规范》（GB 50343-2012）；</w:t>
      </w:r>
    </w:p>
    <w:p>
      <w:pPr>
        <w:snapToGrid w:val="0"/>
        <w:spacing w:line="360" w:lineRule="auto"/>
        <w:ind w:firstLine="480" w:firstLineChars="200"/>
        <w:rPr>
          <w:rFonts w:ascii="宋体"/>
          <w:sz w:val="24"/>
          <w:szCs w:val="24"/>
        </w:rPr>
      </w:pPr>
      <w:r>
        <w:rPr>
          <w:rFonts w:hint="eastAsia" w:ascii="宋体"/>
          <w:sz w:val="24"/>
          <w:szCs w:val="24"/>
        </w:rPr>
        <w:t>1</w:t>
      </w:r>
      <w:r>
        <w:rPr>
          <w:rFonts w:ascii="宋体"/>
          <w:sz w:val="24"/>
          <w:szCs w:val="24"/>
        </w:rPr>
        <w:t>.2.</w:t>
      </w:r>
      <w:r>
        <w:rPr>
          <w:rFonts w:hint="eastAsia" w:ascii="宋体"/>
          <w:sz w:val="24"/>
          <w:szCs w:val="24"/>
        </w:rPr>
        <w:t>8《厅堂扩声系统设计规范》（GB50371-2006）；</w:t>
      </w:r>
    </w:p>
    <w:p>
      <w:pPr>
        <w:snapToGrid w:val="0"/>
        <w:spacing w:line="360" w:lineRule="auto"/>
        <w:ind w:firstLine="480" w:firstLineChars="200"/>
        <w:rPr>
          <w:rFonts w:ascii="宋体"/>
          <w:sz w:val="24"/>
          <w:szCs w:val="24"/>
        </w:rPr>
      </w:pPr>
      <w:r>
        <w:rPr>
          <w:rFonts w:hint="eastAsia" w:ascii="宋体"/>
          <w:sz w:val="24"/>
          <w:szCs w:val="24"/>
        </w:rPr>
        <w:t>1</w:t>
      </w:r>
      <w:r>
        <w:rPr>
          <w:rFonts w:ascii="宋体"/>
          <w:sz w:val="24"/>
          <w:szCs w:val="24"/>
        </w:rPr>
        <w:t>.2.</w:t>
      </w:r>
      <w:r>
        <w:rPr>
          <w:rFonts w:hint="eastAsia" w:ascii="宋体"/>
          <w:sz w:val="24"/>
          <w:szCs w:val="24"/>
        </w:rPr>
        <w:t>9《公共广播系统工程技术规范》（GB50526-2010）；</w:t>
      </w:r>
    </w:p>
    <w:p>
      <w:pPr>
        <w:snapToGrid w:val="0"/>
        <w:spacing w:line="360" w:lineRule="auto"/>
        <w:ind w:firstLine="480" w:firstLineChars="200"/>
        <w:rPr>
          <w:rFonts w:ascii="宋体"/>
          <w:sz w:val="24"/>
          <w:szCs w:val="24"/>
        </w:rPr>
      </w:pPr>
      <w:r>
        <w:rPr>
          <w:rFonts w:hint="eastAsia" w:ascii="宋体"/>
          <w:sz w:val="24"/>
          <w:szCs w:val="24"/>
        </w:rPr>
        <w:t>1</w:t>
      </w:r>
      <w:r>
        <w:rPr>
          <w:rFonts w:ascii="宋体"/>
          <w:sz w:val="24"/>
          <w:szCs w:val="24"/>
        </w:rPr>
        <w:t>.2.</w:t>
      </w:r>
      <w:r>
        <w:rPr>
          <w:rFonts w:hint="eastAsia" w:ascii="宋体"/>
          <w:sz w:val="24"/>
          <w:szCs w:val="24"/>
        </w:rPr>
        <w:t>10《建筑防雷设计规范》（GB50057-2010）；</w:t>
      </w:r>
    </w:p>
    <w:p>
      <w:pPr>
        <w:snapToGrid w:val="0"/>
        <w:spacing w:line="360" w:lineRule="auto"/>
        <w:ind w:firstLine="480" w:firstLineChars="200"/>
        <w:rPr>
          <w:rFonts w:ascii="宋体"/>
          <w:sz w:val="24"/>
          <w:szCs w:val="24"/>
        </w:rPr>
      </w:pPr>
      <w:r>
        <w:rPr>
          <w:rFonts w:hint="eastAsia" w:ascii="宋体"/>
          <w:sz w:val="24"/>
          <w:szCs w:val="24"/>
        </w:rPr>
        <w:t>1</w:t>
      </w:r>
      <w:r>
        <w:rPr>
          <w:rFonts w:ascii="宋体"/>
          <w:sz w:val="24"/>
          <w:szCs w:val="24"/>
        </w:rPr>
        <w:t>.2.</w:t>
      </w:r>
      <w:r>
        <w:rPr>
          <w:rFonts w:hint="eastAsia" w:ascii="宋体"/>
          <w:sz w:val="24"/>
          <w:szCs w:val="24"/>
        </w:rPr>
        <w:t>11《计算机信息系统安全保护等级划分准则》（GB17859-1999）；</w:t>
      </w:r>
    </w:p>
    <w:p>
      <w:pPr>
        <w:snapToGrid w:val="0"/>
        <w:spacing w:line="360" w:lineRule="auto"/>
        <w:ind w:firstLine="480" w:firstLineChars="200"/>
        <w:rPr>
          <w:rFonts w:ascii="宋体"/>
          <w:sz w:val="24"/>
          <w:szCs w:val="24"/>
        </w:rPr>
      </w:pPr>
      <w:r>
        <w:rPr>
          <w:rFonts w:hint="eastAsia" w:ascii="宋体"/>
          <w:sz w:val="24"/>
          <w:szCs w:val="24"/>
        </w:rPr>
        <w:t>1</w:t>
      </w:r>
      <w:r>
        <w:rPr>
          <w:rFonts w:ascii="宋体"/>
          <w:sz w:val="24"/>
          <w:szCs w:val="24"/>
        </w:rPr>
        <w:t>.2.</w:t>
      </w:r>
      <w:r>
        <w:rPr>
          <w:rFonts w:hint="eastAsia" w:ascii="宋体"/>
          <w:sz w:val="24"/>
          <w:szCs w:val="24"/>
        </w:rPr>
        <w:t>12《气体灭火系统施工及验收规范》(GB50263-2007)；</w:t>
      </w:r>
    </w:p>
    <w:p>
      <w:pPr>
        <w:snapToGrid w:val="0"/>
        <w:spacing w:line="360" w:lineRule="auto"/>
        <w:ind w:firstLine="480" w:firstLineChars="200"/>
        <w:rPr>
          <w:rFonts w:ascii="宋体"/>
          <w:sz w:val="24"/>
          <w:szCs w:val="24"/>
        </w:rPr>
      </w:pPr>
      <w:r>
        <w:rPr>
          <w:rFonts w:hint="eastAsia" w:ascii="宋体"/>
          <w:sz w:val="24"/>
          <w:szCs w:val="24"/>
        </w:rPr>
        <w:t>1</w:t>
      </w:r>
      <w:r>
        <w:rPr>
          <w:rFonts w:ascii="宋体"/>
          <w:sz w:val="24"/>
          <w:szCs w:val="24"/>
        </w:rPr>
        <w:t>.2.</w:t>
      </w:r>
      <w:r>
        <w:rPr>
          <w:rFonts w:hint="eastAsia" w:ascii="宋体"/>
          <w:sz w:val="24"/>
          <w:szCs w:val="24"/>
        </w:rPr>
        <w:t>13《通信机房用恒温恒湿空调系统》YD/T2061-2009；</w:t>
      </w:r>
    </w:p>
    <w:p>
      <w:pPr>
        <w:snapToGrid w:val="0"/>
        <w:spacing w:line="360" w:lineRule="auto"/>
        <w:ind w:firstLine="480" w:firstLineChars="200"/>
        <w:rPr>
          <w:rFonts w:ascii="宋体"/>
          <w:sz w:val="24"/>
          <w:szCs w:val="24"/>
        </w:rPr>
      </w:pPr>
      <w:r>
        <w:rPr>
          <w:rFonts w:hint="eastAsia" w:ascii="宋体"/>
          <w:sz w:val="24"/>
          <w:szCs w:val="24"/>
        </w:rPr>
        <w:t>1</w:t>
      </w:r>
      <w:r>
        <w:rPr>
          <w:rFonts w:ascii="宋体"/>
          <w:sz w:val="24"/>
          <w:szCs w:val="24"/>
        </w:rPr>
        <w:t>.2.</w:t>
      </w:r>
      <w:r>
        <w:rPr>
          <w:rFonts w:hint="eastAsia" w:ascii="宋体"/>
          <w:sz w:val="24"/>
          <w:szCs w:val="24"/>
        </w:rPr>
        <w:t>14《电力电缆导体用压接型铜、铝接线端子和连接管》GB/T14315-2008</w:t>
      </w:r>
    </w:p>
    <w:p>
      <w:pPr>
        <w:snapToGrid w:val="0"/>
        <w:spacing w:line="360" w:lineRule="auto"/>
        <w:ind w:firstLine="480" w:firstLineChars="200"/>
        <w:rPr>
          <w:rFonts w:ascii="宋体"/>
          <w:sz w:val="24"/>
          <w:szCs w:val="24"/>
        </w:rPr>
      </w:pPr>
      <w:r>
        <w:rPr>
          <w:rFonts w:hint="eastAsia" w:ascii="宋体"/>
          <w:sz w:val="24"/>
          <w:szCs w:val="24"/>
        </w:rPr>
        <w:t>1</w:t>
      </w:r>
      <w:r>
        <w:rPr>
          <w:rFonts w:ascii="宋体"/>
          <w:sz w:val="24"/>
          <w:szCs w:val="24"/>
        </w:rPr>
        <w:t>.2.</w:t>
      </w:r>
      <w:r>
        <w:rPr>
          <w:rFonts w:hint="eastAsia" w:ascii="宋体"/>
          <w:sz w:val="24"/>
          <w:szCs w:val="24"/>
        </w:rPr>
        <w:t>15《钢结构施工质量验收规范》（GB50205-2001）</w:t>
      </w:r>
    </w:p>
    <w:p>
      <w:pPr>
        <w:snapToGrid w:val="0"/>
        <w:spacing w:line="360" w:lineRule="auto"/>
        <w:ind w:firstLine="480" w:firstLineChars="200"/>
        <w:rPr>
          <w:rFonts w:ascii="宋体"/>
          <w:sz w:val="24"/>
          <w:szCs w:val="24"/>
        </w:rPr>
      </w:pPr>
      <w:r>
        <w:rPr>
          <w:rFonts w:hint="eastAsia" w:ascii="宋体"/>
          <w:sz w:val="24"/>
          <w:szCs w:val="24"/>
        </w:rPr>
        <w:t>1</w:t>
      </w:r>
      <w:r>
        <w:rPr>
          <w:rFonts w:ascii="宋体"/>
          <w:sz w:val="24"/>
          <w:szCs w:val="24"/>
        </w:rPr>
        <w:t>.2.</w:t>
      </w:r>
      <w:r>
        <w:rPr>
          <w:rFonts w:hint="eastAsia" w:ascii="宋体"/>
          <w:sz w:val="24"/>
          <w:szCs w:val="24"/>
        </w:rPr>
        <w:t>16《高强度螺栓连接的设计施工及验收规程》（JGJ82-91）</w:t>
      </w:r>
    </w:p>
    <w:p>
      <w:pPr>
        <w:snapToGrid w:val="0"/>
        <w:spacing w:line="360" w:lineRule="auto"/>
        <w:ind w:firstLine="480" w:firstLineChars="200"/>
        <w:rPr>
          <w:rFonts w:ascii="宋体"/>
          <w:sz w:val="24"/>
          <w:szCs w:val="24"/>
        </w:rPr>
      </w:pPr>
      <w:r>
        <w:rPr>
          <w:rFonts w:hint="eastAsia" w:ascii="宋体"/>
          <w:sz w:val="24"/>
          <w:szCs w:val="24"/>
        </w:rPr>
        <w:t>1</w:t>
      </w:r>
      <w:r>
        <w:rPr>
          <w:rFonts w:ascii="宋体"/>
          <w:sz w:val="24"/>
          <w:szCs w:val="24"/>
        </w:rPr>
        <w:t>.2.</w:t>
      </w:r>
      <w:r>
        <w:rPr>
          <w:rFonts w:hint="eastAsia" w:ascii="宋体"/>
          <w:sz w:val="24"/>
          <w:szCs w:val="24"/>
        </w:rPr>
        <w:t>17《建筑结构荷载规范》（GB50009-2006）</w:t>
      </w:r>
    </w:p>
    <w:p>
      <w:pPr>
        <w:snapToGrid w:val="0"/>
        <w:spacing w:line="360" w:lineRule="auto"/>
        <w:ind w:firstLine="480" w:firstLineChars="200"/>
        <w:rPr>
          <w:rFonts w:ascii="宋体"/>
          <w:sz w:val="24"/>
          <w:szCs w:val="24"/>
        </w:rPr>
      </w:pPr>
      <w:r>
        <w:rPr>
          <w:rFonts w:hint="eastAsia" w:ascii="宋体"/>
          <w:sz w:val="24"/>
          <w:szCs w:val="24"/>
        </w:rPr>
        <w:t>1</w:t>
      </w:r>
      <w:r>
        <w:rPr>
          <w:rFonts w:ascii="宋体"/>
          <w:sz w:val="24"/>
          <w:szCs w:val="24"/>
        </w:rPr>
        <w:t>.2.</w:t>
      </w:r>
      <w:r>
        <w:rPr>
          <w:rFonts w:hint="eastAsia" w:ascii="宋体"/>
          <w:sz w:val="24"/>
          <w:szCs w:val="24"/>
        </w:rPr>
        <w:t>18《铁塔钢结构施工及验收规程》（CECS80：96）</w:t>
      </w:r>
    </w:p>
    <w:p>
      <w:pPr>
        <w:snapToGrid w:val="0"/>
        <w:spacing w:line="360" w:lineRule="auto"/>
        <w:ind w:firstLine="480" w:firstLineChars="200"/>
        <w:rPr>
          <w:rFonts w:ascii="宋体"/>
          <w:sz w:val="24"/>
          <w:szCs w:val="24"/>
        </w:rPr>
      </w:pPr>
      <w:r>
        <w:rPr>
          <w:rFonts w:hint="eastAsia" w:ascii="宋体"/>
          <w:sz w:val="24"/>
          <w:szCs w:val="24"/>
        </w:rPr>
        <w:t>1</w:t>
      </w:r>
      <w:r>
        <w:rPr>
          <w:rFonts w:ascii="宋体"/>
          <w:sz w:val="24"/>
          <w:szCs w:val="24"/>
        </w:rPr>
        <w:t>.2.</w:t>
      </w:r>
      <w:r>
        <w:rPr>
          <w:rFonts w:hint="eastAsia" w:ascii="宋体"/>
          <w:sz w:val="24"/>
          <w:szCs w:val="24"/>
        </w:rPr>
        <w:t>19《建筑钢结构焊接技术规程》（JGJ81-2002）</w:t>
      </w:r>
    </w:p>
    <w:p>
      <w:pPr>
        <w:snapToGrid w:val="0"/>
        <w:spacing w:line="360" w:lineRule="auto"/>
        <w:ind w:firstLine="480" w:firstLineChars="200"/>
        <w:rPr>
          <w:rFonts w:ascii="宋体"/>
          <w:sz w:val="24"/>
          <w:szCs w:val="24"/>
        </w:rPr>
      </w:pPr>
      <w:r>
        <w:rPr>
          <w:rFonts w:hint="eastAsia" w:ascii="宋体"/>
          <w:sz w:val="24"/>
          <w:szCs w:val="24"/>
        </w:rPr>
        <w:t>1</w:t>
      </w:r>
      <w:r>
        <w:rPr>
          <w:rFonts w:ascii="宋体"/>
          <w:sz w:val="24"/>
          <w:szCs w:val="24"/>
        </w:rPr>
        <w:t>.2.</w:t>
      </w:r>
      <w:r>
        <w:rPr>
          <w:rFonts w:hint="eastAsia" w:ascii="宋体"/>
          <w:sz w:val="24"/>
          <w:szCs w:val="24"/>
        </w:rPr>
        <w:t>20《移动通信工程钢铁塔结构验收规范》（YD/T5132-2005）</w:t>
      </w:r>
    </w:p>
    <w:p>
      <w:pPr>
        <w:snapToGrid w:val="0"/>
        <w:spacing w:line="360" w:lineRule="auto"/>
        <w:ind w:firstLine="480" w:firstLineChars="200"/>
        <w:rPr>
          <w:rFonts w:ascii="宋体"/>
          <w:sz w:val="24"/>
          <w:szCs w:val="24"/>
        </w:rPr>
      </w:pPr>
      <w:r>
        <w:rPr>
          <w:rFonts w:hint="eastAsia" w:ascii="宋体"/>
          <w:sz w:val="24"/>
          <w:szCs w:val="24"/>
        </w:rPr>
        <w:t>1</w:t>
      </w:r>
      <w:r>
        <w:rPr>
          <w:rFonts w:ascii="宋体"/>
          <w:sz w:val="24"/>
          <w:szCs w:val="24"/>
        </w:rPr>
        <w:t>.2.</w:t>
      </w:r>
      <w:r>
        <w:rPr>
          <w:rFonts w:hint="eastAsia" w:ascii="宋体"/>
          <w:sz w:val="24"/>
          <w:szCs w:val="24"/>
        </w:rPr>
        <w:t>21《通信局（站）防雷与接地工程设计规范》（YD5098-2005）</w:t>
      </w:r>
    </w:p>
    <w:p>
      <w:pPr>
        <w:snapToGrid w:val="0"/>
        <w:spacing w:line="360" w:lineRule="auto"/>
        <w:ind w:firstLine="480" w:firstLineChars="200"/>
        <w:rPr>
          <w:rFonts w:ascii="宋体"/>
          <w:sz w:val="24"/>
          <w:szCs w:val="24"/>
        </w:rPr>
      </w:pPr>
      <w:r>
        <w:rPr>
          <w:rFonts w:hint="eastAsia" w:ascii="宋体"/>
          <w:sz w:val="24"/>
          <w:szCs w:val="24"/>
        </w:rPr>
        <w:t>★2.项目内容总述</w:t>
      </w:r>
    </w:p>
    <w:p>
      <w:pPr>
        <w:snapToGrid w:val="0"/>
        <w:spacing w:line="360" w:lineRule="auto"/>
        <w:ind w:firstLine="480" w:firstLineChars="200"/>
        <w:rPr>
          <w:rFonts w:ascii="宋体"/>
          <w:sz w:val="24"/>
          <w:szCs w:val="24"/>
        </w:rPr>
      </w:pPr>
      <w:r>
        <w:rPr>
          <w:rFonts w:hint="eastAsia" w:ascii="宋体"/>
          <w:sz w:val="24"/>
          <w:szCs w:val="24"/>
        </w:rPr>
        <w:t>对原办公室拆除后进行装饰改造，详见设计图纸。</w:t>
      </w:r>
    </w:p>
    <w:p>
      <w:pPr>
        <w:snapToGrid w:val="0"/>
        <w:spacing w:line="360" w:lineRule="auto"/>
        <w:ind w:firstLine="482" w:firstLineChars="200"/>
        <w:rPr>
          <w:rFonts w:ascii="宋体" w:hAnsi="宋体"/>
          <w:b/>
          <w:bCs/>
          <w:sz w:val="24"/>
          <w:szCs w:val="24"/>
        </w:rPr>
      </w:pPr>
      <w:r>
        <w:rPr>
          <w:rFonts w:hint="eastAsia" w:ascii="宋体" w:hAnsi="宋体"/>
          <w:b/>
          <w:bCs/>
          <w:sz w:val="24"/>
          <w:szCs w:val="24"/>
        </w:rPr>
        <w:t>3.项目实施方案</w:t>
      </w:r>
    </w:p>
    <w:p>
      <w:pPr>
        <w:snapToGrid w:val="0"/>
        <w:spacing w:line="360" w:lineRule="auto"/>
        <w:ind w:firstLine="480" w:firstLineChars="200"/>
        <w:rPr>
          <w:rFonts w:ascii="宋体" w:hAnsi="宋体"/>
          <w:sz w:val="24"/>
          <w:szCs w:val="24"/>
        </w:rPr>
      </w:pPr>
      <w:r>
        <w:rPr>
          <w:rFonts w:hint="eastAsia" w:ascii="宋体" w:hAnsi="宋体"/>
          <w:sz w:val="24"/>
          <w:szCs w:val="24"/>
        </w:rPr>
        <w:t>3.1成交供应商参考已编制完成的项目设计图（以下称“设计图”），对其进行优化，并</w:t>
      </w:r>
      <w:r>
        <w:rPr>
          <w:rFonts w:ascii="宋体" w:hAnsi="宋体"/>
          <w:sz w:val="24"/>
          <w:szCs w:val="24"/>
        </w:rPr>
        <w:t>制定项目实施方案</w:t>
      </w:r>
      <w:r>
        <w:rPr>
          <w:rFonts w:hint="eastAsia" w:ascii="宋体" w:hAnsi="宋体"/>
          <w:sz w:val="24"/>
          <w:szCs w:val="24"/>
        </w:rPr>
        <w:t>。成交供应商制定的项目建设实施方案须经采购人审核同意。</w:t>
      </w:r>
    </w:p>
    <w:p>
      <w:pPr>
        <w:snapToGrid w:val="0"/>
        <w:spacing w:line="360" w:lineRule="auto"/>
        <w:ind w:firstLine="480" w:firstLineChars="200"/>
        <w:rPr>
          <w:rFonts w:ascii="宋体" w:hAnsi="宋体"/>
          <w:sz w:val="24"/>
          <w:szCs w:val="24"/>
        </w:rPr>
      </w:pPr>
      <w:r>
        <w:rPr>
          <w:rFonts w:hint="eastAsia" w:ascii="宋体" w:hAnsi="宋体"/>
          <w:sz w:val="24"/>
          <w:szCs w:val="24"/>
        </w:rPr>
        <w:t>3.2 项目实施过程，在征得采购人同意的情况下，成交供应商可根据项目建设实际情况对实施方案进行调整。</w:t>
      </w:r>
    </w:p>
    <w:p>
      <w:pPr>
        <w:snapToGrid w:val="0"/>
        <w:spacing w:line="360" w:lineRule="auto"/>
        <w:ind w:firstLine="480" w:firstLineChars="200"/>
        <w:rPr>
          <w:rFonts w:ascii="宋体" w:hAnsi="宋体"/>
          <w:sz w:val="24"/>
          <w:szCs w:val="24"/>
        </w:rPr>
      </w:pPr>
      <w:r>
        <w:rPr>
          <w:rFonts w:hint="eastAsia"/>
          <w:sz w:val="24"/>
          <w:szCs w:val="24"/>
        </w:rPr>
        <w:t>★</w:t>
      </w:r>
      <w:r>
        <w:rPr>
          <w:rFonts w:hint="eastAsia" w:ascii="宋体" w:hAnsi="宋体"/>
          <w:sz w:val="24"/>
          <w:szCs w:val="24"/>
        </w:rPr>
        <w:t>3.3 项目实施过程中，如果采购人要求调整实施方案，成交供应商须根据采购人要求对实施方案进行调整。</w:t>
      </w:r>
    </w:p>
    <w:p>
      <w:pPr>
        <w:snapToGrid w:val="0"/>
        <w:spacing w:line="360" w:lineRule="auto"/>
        <w:ind w:firstLine="480" w:firstLineChars="200"/>
        <w:rPr>
          <w:rFonts w:ascii="宋体" w:hAnsi="宋体"/>
          <w:sz w:val="24"/>
          <w:szCs w:val="24"/>
        </w:rPr>
      </w:pPr>
      <w:r>
        <w:rPr>
          <w:rFonts w:ascii="宋体" w:hAnsi="宋体"/>
          <w:sz w:val="24"/>
          <w:szCs w:val="24"/>
        </w:rPr>
        <w:t xml:space="preserve">3.4 </w:t>
      </w:r>
      <w:r>
        <w:rPr>
          <w:rFonts w:hint="eastAsia" w:ascii="宋体" w:hAnsi="宋体"/>
          <w:sz w:val="24"/>
          <w:szCs w:val="24"/>
        </w:rPr>
        <w:t>现场踏勘</w:t>
      </w:r>
    </w:p>
    <w:p>
      <w:pPr>
        <w:snapToGrid w:val="0"/>
        <w:spacing w:line="360" w:lineRule="auto"/>
        <w:ind w:firstLine="480" w:firstLineChars="200"/>
        <w:rPr>
          <w:rFonts w:ascii="宋体" w:hAnsi="宋体"/>
          <w:sz w:val="24"/>
          <w:szCs w:val="24"/>
        </w:rPr>
      </w:pPr>
      <w:r>
        <w:rPr>
          <w:rFonts w:hint="eastAsia" w:ascii="宋体" w:hAnsi="宋体"/>
          <w:sz w:val="24"/>
          <w:szCs w:val="24"/>
        </w:rPr>
        <w:t>（1）供应商自行到重庆市无线电监测中心进行现场踏勘，现场踏勘的往来交通由供应商自行负责。</w:t>
      </w:r>
    </w:p>
    <w:p>
      <w:pPr>
        <w:snapToGrid w:val="0"/>
        <w:spacing w:line="360" w:lineRule="auto"/>
        <w:ind w:firstLine="480" w:firstLineChars="200"/>
        <w:rPr>
          <w:rFonts w:ascii="宋体" w:hAnsi="宋体"/>
          <w:sz w:val="24"/>
          <w:szCs w:val="24"/>
        </w:rPr>
      </w:pPr>
      <w:r>
        <w:rPr>
          <w:rFonts w:hint="eastAsia" w:ascii="宋体" w:hAnsi="宋体"/>
          <w:sz w:val="24"/>
          <w:szCs w:val="24"/>
        </w:rPr>
        <w:t>（2）联系人及联系电话：</w:t>
      </w:r>
    </w:p>
    <w:p>
      <w:pPr>
        <w:snapToGrid w:val="0"/>
        <w:spacing w:line="360" w:lineRule="auto"/>
        <w:ind w:firstLine="480" w:firstLineChars="200"/>
        <w:rPr>
          <w:rFonts w:ascii="宋体" w:hAnsi="宋体"/>
          <w:sz w:val="24"/>
          <w:szCs w:val="24"/>
        </w:rPr>
      </w:pPr>
      <w:r>
        <w:rPr>
          <w:rFonts w:hint="eastAsia" w:ascii="宋体" w:hAnsi="宋体"/>
          <w:sz w:val="24"/>
          <w:szCs w:val="24"/>
        </w:rPr>
        <w:t>邓生奇，1</w:t>
      </w:r>
      <w:r>
        <w:rPr>
          <w:rFonts w:ascii="宋体" w:hAnsi="宋体"/>
          <w:sz w:val="24"/>
          <w:szCs w:val="24"/>
        </w:rPr>
        <w:t>8908366193</w:t>
      </w:r>
      <w:r>
        <w:rPr>
          <w:rFonts w:hint="eastAsia" w:ascii="宋体" w:hAnsi="宋体"/>
          <w:sz w:val="24"/>
          <w:szCs w:val="24"/>
        </w:rPr>
        <w:t>。</w:t>
      </w:r>
    </w:p>
    <w:p>
      <w:pPr>
        <w:snapToGrid w:val="0"/>
        <w:spacing w:line="360" w:lineRule="auto"/>
        <w:ind w:firstLine="480" w:firstLineChars="200"/>
        <w:rPr>
          <w:rFonts w:ascii="宋体" w:hAnsi="宋体"/>
          <w:sz w:val="24"/>
          <w:szCs w:val="24"/>
        </w:rPr>
      </w:pPr>
      <w:r>
        <w:rPr>
          <w:rFonts w:hint="eastAsia" w:ascii="宋体" w:hAnsi="宋体"/>
          <w:sz w:val="24"/>
          <w:szCs w:val="24"/>
        </w:rPr>
        <w:t>（3）踏勘时间：</w:t>
      </w:r>
    </w:p>
    <w:p>
      <w:pPr>
        <w:snapToGrid w:val="0"/>
        <w:spacing w:line="360" w:lineRule="auto"/>
        <w:ind w:firstLine="480" w:firstLineChars="200"/>
        <w:rPr>
          <w:rFonts w:ascii="宋体" w:hAnsi="宋体"/>
          <w:sz w:val="24"/>
          <w:szCs w:val="24"/>
        </w:rPr>
      </w:pPr>
      <w:r>
        <w:rPr>
          <w:rFonts w:hint="eastAsia" w:ascii="宋体" w:hAnsi="宋体"/>
          <w:sz w:val="24"/>
          <w:szCs w:val="24"/>
        </w:rPr>
        <w:t>2023年6月2</w:t>
      </w:r>
      <w:r>
        <w:rPr>
          <w:rFonts w:ascii="宋体" w:hAnsi="宋体"/>
          <w:sz w:val="24"/>
          <w:szCs w:val="24"/>
        </w:rPr>
        <w:t>0</w:t>
      </w:r>
      <w:r>
        <w:rPr>
          <w:rFonts w:hint="eastAsia" w:ascii="宋体" w:hAnsi="宋体"/>
          <w:sz w:val="24"/>
          <w:szCs w:val="24"/>
        </w:rPr>
        <w:t>日14:</w:t>
      </w:r>
      <w:r>
        <w:rPr>
          <w:rFonts w:ascii="宋体" w:hAnsi="宋体"/>
          <w:sz w:val="24"/>
          <w:szCs w:val="24"/>
        </w:rPr>
        <w:t>3</w:t>
      </w:r>
      <w:r>
        <w:rPr>
          <w:rFonts w:hint="eastAsia" w:ascii="宋体" w:hAnsi="宋体"/>
          <w:sz w:val="24"/>
          <w:szCs w:val="24"/>
        </w:rPr>
        <w:t>0-16:</w:t>
      </w:r>
      <w:r>
        <w:rPr>
          <w:rFonts w:ascii="宋体" w:hAnsi="宋体"/>
          <w:sz w:val="24"/>
          <w:szCs w:val="24"/>
        </w:rPr>
        <w:t>3</w:t>
      </w:r>
      <w:r>
        <w:rPr>
          <w:rFonts w:hint="eastAsia" w:ascii="宋体" w:hAnsi="宋体"/>
          <w:sz w:val="24"/>
          <w:szCs w:val="24"/>
        </w:rPr>
        <w:t>0。</w:t>
      </w:r>
    </w:p>
    <w:p>
      <w:pPr>
        <w:snapToGrid w:val="0"/>
        <w:spacing w:line="360" w:lineRule="auto"/>
        <w:ind w:firstLine="482" w:firstLineChars="200"/>
        <w:rPr>
          <w:rFonts w:ascii="宋体" w:hAnsi="宋体"/>
          <w:b/>
          <w:bCs/>
          <w:sz w:val="24"/>
          <w:szCs w:val="24"/>
        </w:rPr>
      </w:pPr>
      <w:r>
        <w:rPr>
          <w:rFonts w:hint="eastAsia" w:ascii="宋体" w:hAnsi="宋体"/>
          <w:b/>
          <w:bCs/>
          <w:sz w:val="24"/>
          <w:szCs w:val="24"/>
        </w:rPr>
        <w:t>4</w:t>
      </w:r>
      <w:r>
        <w:rPr>
          <w:rFonts w:ascii="宋体" w:hAnsi="宋体"/>
          <w:b/>
          <w:bCs/>
          <w:sz w:val="24"/>
          <w:szCs w:val="24"/>
        </w:rPr>
        <w:t>.</w:t>
      </w:r>
      <w:r>
        <w:rPr>
          <w:rFonts w:hint="eastAsia" w:ascii="宋体" w:hAnsi="宋体"/>
          <w:b/>
          <w:bCs/>
          <w:sz w:val="24"/>
          <w:szCs w:val="24"/>
        </w:rPr>
        <w:t>改造要求</w:t>
      </w:r>
    </w:p>
    <w:p>
      <w:pPr>
        <w:snapToGrid w:val="0"/>
        <w:spacing w:line="360" w:lineRule="auto"/>
        <w:ind w:firstLine="480" w:firstLineChars="200"/>
        <w:rPr>
          <w:rFonts w:ascii="宋体" w:hAnsi="宋体"/>
          <w:sz w:val="24"/>
          <w:szCs w:val="24"/>
        </w:rPr>
      </w:pPr>
      <w:r>
        <w:rPr>
          <w:rFonts w:hint="eastAsia" w:ascii="宋体" w:hAnsi="宋体"/>
          <w:sz w:val="24"/>
          <w:szCs w:val="24"/>
        </w:rPr>
        <w:t>4.1拆除墙面、顶棚及部分地砖；</w:t>
      </w:r>
    </w:p>
    <w:p>
      <w:pPr>
        <w:snapToGrid w:val="0"/>
        <w:spacing w:line="360" w:lineRule="auto"/>
        <w:ind w:firstLine="480" w:firstLineChars="200"/>
        <w:rPr>
          <w:rFonts w:ascii="宋体" w:hAnsi="宋体"/>
          <w:sz w:val="24"/>
          <w:szCs w:val="24"/>
        </w:rPr>
      </w:pPr>
      <w:r>
        <w:rPr>
          <w:rFonts w:hint="eastAsia" w:ascii="宋体" w:hAnsi="宋体"/>
          <w:sz w:val="24"/>
          <w:szCs w:val="24"/>
        </w:rPr>
        <w:t>4.2墙面、天棚根据设计图纸进行改造，新作造型吊顶，墙面阻燃板加固，石膏板面层白色乳胶漆饰面；</w:t>
      </w:r>
    </w:p>
    <w:p>
      <w:pPr>
        <w:snapToGrid w:val="0"/>
        <w:spacing w:line="360" w:lineRule="auto"/>
        <w:ind w:firstLine="480" w:firstLineChars="200"/>
        <w:rPr>
          <w:rFonts w:ascii="宋体" w:hAnsi="宋体"/>
          <w:sz w:val="24"/>
          <w:szCs w:val="24"/>
        </w:rPr>
      </w:pPr>
      <w:r>
        <w:rPr>
          <w:rFonts w:hint="eastAsia" w:ascii="宋体" w:hAnsi="宋体"/>
          <w:sz w:val="24"/>
          <w:szCs w:val="24"/>
        </w:rPr>
        <w:t>4.3地砖局部新铺；</w:t>
      </w:r>
    </w:p>
    <w:p>
      <w:pPr>
        <w:snapToGrid w:val="0"/>
        <w:spacing w:line="360" w:lineRule="auto"/>
        <w:ind w:firstLine="480" w:firstLineChars="200"/>
        <w:rPr>
          <w:rFonts w:ascii="宋体" w:hAnsi="宋体"/>
          <w:sz w:val="24"/>
          <w:szCs w:val="24"/>
        </w:rPr>
      </w:pPr>
      <w:r>
        <w:rPr>
          <w:rFonts w:hint="eastAsia" w:ascii="宋体" w:hAnsi="宋体"/>
          <w:sz w:val="24"/>
          <w:szCs w:val="24"/>
        </w:rPr>
        <w:t>4.4电路改造；</w:t>
      </w:r>
    </w:p>
    <w:p>
      <w:pPr>
        <w:snapToGrid w:val="0"/>
        <w:spacing w:line="360" w:lineRule="auto"/>
        <w:ind w:firstLine="480" w:firstLineChars="200"/>
        <w:rPr>
          <w:rFonts w:ascii="宋体" w:hAnsi="宋体"/>
          <w:sz w:val="24"/>
          <w:szCs w:val="24"/>
        </w:rPr>
      </w:pPr>
      <w:r>
        <w:rPr>
          <w:rFonts w:hint="eastAsia" w:ascii="宋体" w:hAnsi="宋体"/>
          <w:sz w:val="24"/>
          <w:szCs w:val="24"/>
        </w:rPr>
        <w:t>4.5广告制作。</w:t>
      </w:r>
    </w:p>
    <w:p>
      <w:pPr>
        <w:widowControl/>
        <w:jc w:val="left"/>
        <w:rPr>
          <w:rFonts w:ascii="宋体" w:hAnsi="宋体"/>
          <w:b/>
          <w:bCs/>
          <w:sz w:val="24"/>
          <w:szCs w:val="24"/>
        </w:rPr>
      </w:pPr>
      <w:r>
        <w:rPr>
          <w:rFonts w:ascii="宋体" w:hAnsi="宋体"/>
          <w:b/>
          <w:bCs/>
          <w:sz w:val="24"/>
          <w:szCs w:val="24"/>
        </w:rPr>
        <w:br w:type="page"/>
      </w:r>
    </w:p>
    <w:p>
      <w:pPr>
        <w:snapToGrid w:val="0"/>
        <w:spacing w:line="360" w:lineRule="auto"/>
        <w:ind w:firstLine="482" w:firstLineChars="200"/>
        <w:rPr>
          <w:rFonts w:ascii="宋体" w:hAnsi="宋体"/>
          <w:b/>
          <w:bCs/>
          <w:sz w:val="24"/>
          <w:szCs w:val="24"/>
        </w:rPr>
      </w:pPr>
      <w:r>
        <w:rPr>
          <w:rFonts w:hint="eastAsia" w:ascii="宋体" w:hAnsi="宋体"/>
          <w:b/>
          <w:bCs/>
          <w:sz w:val="24"/>
          <w:szCs w:val="24"/>
        </w:rPr>
        <w:t>5.项目实施清单</w:t>
      </w:r>
    </w:p>
    <w:tbl>
      <w:tblPr>
        <w:tblStyle w:val="68"/>
        <w:tblW w:w="9615" w:type="dxa"/>
        <w:tblInd w:w="93" w:type="dxa"/>
        <w:tblLayout w:type="fixed"/>
        <w:tblCellMar>
          <w:top w:w="0" w:type="dxa"/>
          <w:left w:w="108" w:type="dxa"/>
          <w:bottom w:w="0" w:type="dxa"/>
          <w:right w:w="108" w:type="dxa"/>
        </w:tblCellMar>
      </w:tblPr>
      <w:tblGrid>
        <w:gridCol w:w="480"/>
        <w:gridCol w:w="1830"/>
        <w:gridCol w:w="1674"/>
        <w:gridCol w:w="3546"/>
        <w:gridCol w:w="825"/>
        <w:gridCol w:w="1260"/>
      </w:tblGrid>
      <w:tr>
        <w:tblPrEx>
          <w:tblLayout w:type="fixed"/>
          <w:tblCellMar>
            <w:top w:w="0" w:type="dxa"/>
            <w:left w:w="108" w:type="dxa"/>
            <w:bottom w:w="0" w:type="dxa"/>
            <w:right w:w="108" w:type="dxa"/>
          </w:tblCellMar>
        </w:tblPrEx>
        <w:trPr>
          <w:trHeight w:val="525" w:hRule="atLeast"/>
        </w:trPr>
        <w:tc>
          <w:tcPr>
            <w:tcW w:w="9615" w:type="dxa"/>
            <w:gridSpan w:val="6"/>
            <w:tcBorders>
              <w:top w:val="nil"/>
              <w:left w:val="nil"/>
              <w:bottom w:val="nil"/>
              <w:right w:val="nil"/>
            </w:tcBorders>
            <w:shd w:val="clear" w:color="FFFFFF" w:fill="FFFFFF"/>
            <w:vAlign w:val="center"/>
          </w:tcPr>
          <w:p>
            <w:pPr>
              <w:widowControl/>
              <w:jc w:val="center"/>
              <w:textAlignment w:val="center"/>
              <w:rPr>
                <w:rFonts w:ascii="宋体" w:hAnsi="宋体" w:cs="宋体"/>
                <w:b/>
                <w:bCs/>
                <w:color w:val="000000"/>
                <w:sz w:val="40"/>
                <w:szCs w:val="40"/>
              </w:rPr>
            </w:pPr>
            <w:r>
              <w:rPr>
                <w:rFonts w:hint="eastAsia" w:ascii="宋体" w:hAnsi="宋体" w:cs="宋体"/>
                <w:b/>
                <w:bCs/>
                <w:color w:val="000000"/>
                <w:kern w:val="0"/>
                <w:sz w:val="40"/>
                <w:szCs w:val="40"/>
                <w:lang w:bidi="ar"/>
              </w:rPr>
              <w:t>工程量清单汇总表</w:t>
            </w:r>
          </w:p>
        </w:tc>
      </w:tr>
      <w:tr>
        <w:tblPrEx>
          <w:tblLayout w:type="fixed"/>
          <w:tblCellMar>
            <w:top w:w="0" w:type="dxa"/>
            <w:left w:w="108" w:type="dxa"/>
            <w:bottom w:w="0" w:type="dxa"/>
            <w:right w:w="108" w:type="dxa"/>
          </w:tblCellMar>
        </w:tblPrEx>
        <w:trPr>
          <w:trHeight w:val="500" w:hRule="atLeast"/>
        </w:trPr>
        <w:tc>
          <w:tcPr>
            <w:tcW w:w="480" w:type="dxa"/>
            <w:tcBorders>
              <w:top w:val="single" w:color="000000" w:sz="8"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序号</w:t>
            </w:r>
          </w:p>
        </w:tc>
        <w:tc>
          <w:tcPr>
            <w:tcW w:w="1830"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项目编码</w:t>
            </w:r>
          </w:p>
        </w:tc>
        <w:tc>
          <w:tcPr>
            <w:tcW w:w="1674"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项目名称</w:t>
            </w:r>
          </w:p>
        </w:tc>
        <w:tc>
          <w:tcPr>
            <w:tcW w:w="3546"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项目特征</w:t>
            </w:r>
          </w:p>
        </w:tc>
        <w:tc>
          <w:tcPr>
            <w:tcW w:w="825"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计量单位</w:t>
            </w:r>
          </w:p>
        </w:tc>
        <w:tc>
          <w:tcPr>
            <w:tcW w:w="1260"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工程量</w:t>
            </w:r>
          </w:p>
        </w:tc>
      </w:tr>
      <w:tr>
        <w:tblPrEx>
          <w:tblLayout w:type="fixed"/>
          <w:tblCellMar>
            <w:top w:w="0" w:type="dxa"/>
            <w:left w:w="108" w:type="dxa"/>
            <w:bottom w:w="0" w:type="dxa"/>
            <w:right w:w="108" w:type="dxa"/>
          </w:tblCellMar>
        </w:tblPrEx>
        <w:trPr>
          <w:trHeight w:val="500"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ascii="宋体" w:hAnsi="宋体" w:cs="宋体"/>
                <w:color w:val="000000"/>
                <w:sz w:val="18"/>
                <w:szCs w:val="18"/>
              </w:rPr>
            </w:pP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8"/>
                <w:szCs w:val="18"/>
              </w:rPr>
            </w:pPr>
          </w:p>
        </w:tc>
        <w:tc>
          <w:tcPr>
            <w:tcW w:w="522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墙面、地面、天棚工程</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rPr>
                <w:rFonts w:ascii="宋体" w:hAnsi="宋体" w:cs="宋体"/>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rPr>
                <w:rFonts w:ascii="宋体" w:hAnsi="宋体" w:cs="宋体"/>
                <w:color w:val="000000"/>
                <w:sz w:val="18"/>
                <w:szCs w:val="18"/>
              </w:rPr>
            </w:pPr>
          </w:p>
        </w:tc>
      </w:tr>
      <w:tr>
        <w:tblPrEx>
          <w:tblLayout w:type="fixed"/>
          <w:tblCellMar>
            <w:top w:w="0" w:type="dxa"/>
            <w:left w:w="108" w:type="dxa"/>
            <w:bottom w:w="0" w:type="dxa"/>
            <w:right w:w="108" w:type="dxa"/>
          </w:tblCellMar>
        </w:tblPrEx>
        <w:trPr>
          <w:trHeight w:val="3860"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011102003001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600*600地面地砖</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1.找平层厚度、砂浆配合比:20mm厚1:2.5水泥砂浆</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2.结合层厚度、砂浆配合比:20mm厚1:2水泥砂浆</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3.面层材料品种、规格、颜色:600*600地面地砖（同原地砖相近色相纹样）</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1.基层清理</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2.抹找平层</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3.面层铺设、磨边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4.嵌缝</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5.刷防护材料</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6.酸洗、打蜡</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7.材料运输</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m2</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23.63</w:t>
            </w:r>
          </w:p>
        </w:tc>
      </w:tr>
      <w:tr>
        <w:tblPrEx>
          <w:tblLayout w:type="fixed"/>
          <w:tblCellMar>
            <w:top w:w="0" w:type="dxa"/>
            <w:left w:w="108" w:type="dxa"/>
            <w:bottom w:w="0" w:type="dxa"/>
            <w:right w:w="108" w:type="dxa"/>
          </w:tblCellMar>
        </w:tblPrEx>
        <w:trPr>
          <w:trHeight w:val="3140"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011210006001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12mm厚纸面石膏板隔墙</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1.骨架、边框材料种类、规格:轻钢龙骨</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2.隔离层材料种类、规格:隔音棉50mm厚</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3.基层材料种类、规格:15mm厚木工板</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4.面层材料品种、规格、颜色:12mm厚纸面石膏板</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5.防火涂料:2遍</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1.骨架及边框安装</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2.隔板安装</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3.嵌缝、塞口</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m2</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58.34</w:t>
            </w:r>
          </w:p>
        </w:tc>
      </w:tr>
      <w:tr>
        <w:tblPrEx>
          <w:tblLayout w:type="fixed"/>
          <w:tblCellMar>
            <w:top w:w="0" w:type="dxa"/>
            <w:left w:w="108" w:type="dxa"/>
            <w:bottom w:w="0" w:type="dxa"/>
            <w:right w:w="108" w:type="dxa"/>
          </w:tblCellMar>
        </w:tblPrEx>
        <w:trPr>
          <w:trHeight w:val="1840"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010903002001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外墙面返潮部分防潮处理</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1.防水膜品种:1.0厚聚氨酯防水涂料</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2.其他:满足设计及规范要求</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1.基层处理</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2.刷基层处理剂</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3.铺布、喷涂防水层</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m2</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15.65</w:t>
            </w:r>
          </w:p>
        </w:tc>
      </w:tr>
      <w:tr>
        <w:tblPrEx>
          <w:tblLayout w:type="fixed"/>
          <w:tblCellMar>
            <w:top w:w="0" w:type="dxa"/>
            <w:left w:w="108" w:type="dxa"/>
            <w:bottom w:w="0" w:type="dxa"/>
            <w:right w:w="108" w:type="dxa"/>
          </w:tblCellMar>
        </w:tblPrEx>
        <w:trPr>
          <w:trHeight w:val="3040"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010903002002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内墙面返潮部分防潮处理</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1.找平层:15mm厚1：3水泥砂浆抹灰</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2.内置4*4抗碱玻纤网格布</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3.涂膜厚度、遍数:2.0厚聚氨酯防水涂料</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4.防水保护层:15mm厚1：3水泥砂浆保护层</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5.其他:满足设计及规范要求</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1.基层处理</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2.刷基层处理剂</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3.铺布、喷涂防水层</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m2</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15.13</w:t>
            </w:r>
          </w:p>
        </w:tc>
      </w:tr>
      <w:tr>
        <w:tblPrEx>
          <w:tblLayout w:type="fixed"/>
          <w:tblCellMar>
            <w:top w:w="0" w:type="dxa"/>
            <w:left w:w="108" w:type="dxa"/>
            <w:bottom w:w="0" w:type="dxa"/>
            <w:right w:w="108" w:type="dxa"/>
          </w:tblCellMar>
        </w:tblPrEx>
        <w:trPr>
          <w:trHeight w:val="1976"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011201001001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原铲除区域天棚封固处理</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1.墙体类型:综合考虑</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2.做法:天棚界面剂封固处理</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3.其他:满足设计及规范要求</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1.基层清理</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2.砂浆制作、运输</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3.底层抹灰</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4.抹面层</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5.抹装饰面</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6.勾分格缝</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m2</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21.05</w:t>
            </w:r>
          </w:p>
        </w:tc>
      </w:tr>
      <w:tr>
        <w:tblPrEx>
          <w:tblLayout w:type="fixed"/>
          <w:tblCellMar>
            <w:top w:w="0" w:type="dxa"/>
            <w:left w:w="108" w:type="dxa"/>
            <w:bottom w:w="0" w:type="dxa"/>
            <w:right w:w="108" w:type="dxa"/>
          </w:tblCellMar>
        </w:tblPrEx>
        <w:trPr>
          <w:trHeight w:val="1856"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011407001001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墙面喷刷涂料</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1.基层类型:综合考虑</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2.喷刷涂料部位:墙面</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3.刮腻子要求:腻子三遍</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4.涂料品种、喷刷遍数:白色无机涂料2遍</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5.其他:满足设计及规范要求</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1.基层清理</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2.刮腻子</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3.刷、喷涂料</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m2</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55.91</w:t>
            </w:r>
          </w:p>
        </w:tc>
      </w:tr>
      <w:tr>
        <w:tblPrEx>
          <w:tblLayout w:type="fixed"/>
          <w:tblCellMar>
            <w:top w:w="0" w:type="dxa"/>
            <w:left w:w="108" w:type="dxa"/>
            <w:bottom w:w="0" w:type="dxa"/>
            <w:right w:w="108" w:type="dxa"/>
          </w:tblCellMar>
        </w:tblPrEx>
        <w:trPr>
          <w:trHeight w:val="1469"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011105005001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木质踢脚线</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1.踢脚线高度:80mm</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2.面层材料品种、规格、颜色:木踢脚线</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3.其他:满足设计及规范要求</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1.基层清理</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2.基层铺贴</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3.面层铺贴</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4.材料运输</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49</w:t>
            </w:r>
          </w:p>
        </w:tc>
      </w:tr>
      <w:tr>
        <w:tblPrEx>
          <w:tblLayout w:type="fixed"/>
          <w:tblCellMar>
            <w:top w:w="0" w:type="dxa"/>
            <w:left w:w="108" w:type="dxa"/>
            <w:bottom w:w="0" w:type="dxa"/>
            <w:right w:w="108" w:type="dxa"/>
          </w:tblCellMar>
        </w:tblPrEx>
        <w:trPr>
          <w:trHeight w:val="2440"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010808001001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木质窗套</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1.线条品种、规格:木质窗套</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2.其他:满足设计及规范要求</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1.清理基层</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2.立筋制作、安装</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3.基层板安装</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4.面层铺贴</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5.线条安装</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6.刷防护材料</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18.76</w:t>
            </w:r>
          </w:p>
        </w:tc>
      </w:tr>
      <w:tr>
        <w:tblPrEx>
          <w:tblLayout w:type="fixed"/>
          <w:tblCellMar>
            <w:top w:w="0" w:type="dxa"/>
            <w:left w:w="108" w:type="dxa"/>
            <w:bottom w:w="0" w:type="dxa"/>
            <w:right w:w="108" w:type="dxa"/>
          </w:tblCellMar>
        </w:tblPrEx>
        <w:trPr>
          <w:trHeight w:val="70"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011302001001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9.5mm厚纸面石膏板跌级吊顶</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1.吊顶形式、吊杆规格、高度:详设计</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2.龙骨材料种类、规格、中距:轻钢龙骨</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3.基层材料种类、规格:15mm厚木工板</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4.面层材料品种、规格:9.5mm厚纸面石膏板</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5.防火涂料:2遍</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6.其他:满足设计及规范要求</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1.基层清理、吊杆安装</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2.龙骨安装</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3.基层板铺贴</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4.面层铺贴</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5.嵌缝</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6.刷防护材料</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m2</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34.67</w:t>
            </w:r>
          </w:p>
        </w:tc>
      </w:tr>
      <w:tr>
        <w:tblPrEx>
          <w:tblLayout w:type="fixed"/>
          <w:tblCellMar>
            <w:top w:w="0" w:type="dxa"/>
            <w:left w:w="108" w:type="dxa"/>
            <w:bottom w:w="0" w:type="dxa"/>
            <w:right w:w="108" w:type="dxa"/>
          </w:tblCellMar>
        </w:tblPrEx>
        <w:trPr>
          <w:trHeight w:val="1454"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010810002001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窗帘盒</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1.窗帘盒材质、规格:15mm厚木工板基层、9.5mm厚纸面石膏板、防火涂料2遍</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2.其他:满足设计及规范要求</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1.制作、运输、安装</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2.刷防护材料</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4.86</w:t>
            </w:r>
          </w:p>
        </w:tc>
      </w:tr>
      <w:tr>
        <w:tblPrEx>
          <w:tblLayout w:type="fixed"/>
          <w:tblCellMar>
            <w:top w:w="0" w:type="dxa"/>
            <w:left w:w="108" w:type="dxa"/>
            <w:bottom w:w="0" w:type="dxa"/>
            <w:right w:w="108" w:type="dxa"/>
          </w:tblCellMar>
        </w:tblPrEx>
        <w:trPr>
          <w:trHeight w:val="3960"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11</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011302001002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9.5mm厚纸面石膏板造型吊顶</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1.吊顶形式、吊杆规格、高度:详设计</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2.样式:拱（弧）形天棚</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3.龙骨材料种类、规格、中距:轻钢龙骨</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4.基层材料种类、规格:15mm厚木工板</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5.面层材料品种、规格:9.5mm厚纸面石膏板</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6.防火涂料:2遍</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7.其他:满足设计及规范要求</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1.基层清理、吊杆安装</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2.龙骨安装</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3.基层板铺贴</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4.面层铺贴</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5.嵌缝</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6.刷防护材料</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m2</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2.54</w:t>
            </w:r>
          </w:p>
        </w:tc>
      </w:tr>
      <w:tr>
        <w:tblPrEx>
          <w:tblLayout w:type="fixed"/>
          <w:tblCellMar>
            <w:top w:w="0" w:type="dxa"/>
            <w:left w:w="108" w:type="dxa"/>
            <w:bottom w:w="0" w:type="dxa"/>
            <w:right w:w="108" w:type="dxa"/>
          </w:tblCellMar>
        </w:tblPrEx>
        <w:trPr>
          <w:trHeight w:val="1474"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12</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011407002001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天棚喷刷白色无机涂料</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1.基层类型:综合</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2.喷刷涂料部位:天棚</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3.刮腻子要求:腻子三遍</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4.涂料品种、喷刷遍数:白色无机涂料2遍</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5.其他:满足设计及规范要求</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1.基层清理</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2.刮腻子</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3.刷、喷涂料</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m2</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57.16</w:t>
            </w:r>
          </w:p>
        </w:tc>
      </w:tr>
      <w:tr>
        <w:tblPrEx>
          <w:tblLayout w:type="fixed"/>
          <w:tblCellMar>
            <w:top w:w="0" w:type="dxa"/>
            <w:left w:w="108" w:type="dxa"/>
            <w:bottom w:w="0" w:type="dxa"/>
            <w:right w:w="108" w:type="dxa"/>
          </w:tblCellMar>
        </w:tblPrEx>
        <w:trPr>
          <w:trHeight w:val="1238"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13</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011407002002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天棚喷刷红色无机涂料</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1.喷刷涂料部位:天棚</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2.刮腻子要求:腻子三遍</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3.涂料品种、喷刷遍数:红色无机涂料2遍</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4.其他:满足设计及规范要求</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1.基层清理</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2.刮腻子</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3.刷、喷涂料</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m2</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3.17</w:t>
            </w:r>
          </w:p>
        </w:tc>
      </w:tr>
      <w:tr>
        <w:tblPrEx>
          <w:tblLayout w:type="fixed"/>
          <w:tblCellMar>
            <w:top w:w="0" w:type="dxa"/>
            <w:left w:w="108" w:type="dxa"/>
            <w:bottom w:w="0" w:type="dxa"/>
            <w:right w:w="108" w:type="dxa"/>
          </w:tblCellMar>
        </w:tblPrEx>
        <w:trPr>
          <w:trHeight w:val="559"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14</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01B001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原石膏板天棚灯孔修补</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1.基层:15mm厚木工板</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2.面层:9.5mm厚纸面石膏板</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3.面层涂料:腻子3遍、乳胶漆两遍</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1.灯孔修补</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处</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14</w:t>
            </w:r>
          </w:p>
        </w:tc>
      </w:tr>
      <w:tr>
        <w:tblPrEx>
          <w:tblLayout w:type="fixed"/>
          <w:tblCellMar>
            <w:top w:w="0" w:type="dxa"/>
            <w:left w:w="108" w:type="dxa"/>
            <w:bottom w:w="0" w:type="dxa"/>
            <w:right w:w="108" w:type="dxa"/>
          </w:tblCellMar>
        </w:tblPrEx>
        <w:trPr>
          <w:trHeight w:val="1900"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15</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010810001001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遮光窗帘</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1.窗帘材质:纯麻棉</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2.安装窗帘轨</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3.褶皱系数:2.0</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4.窗帘高度、宽度:2.59m</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1.制作、运输</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2.安装</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15.15</w:t>
            </w:r>
          </w:p>
        </w:tc>
      </w:tr>
      <w:tr>
        <w:tblPrEx>
          <w:tblLayout w:type="fixed"/>
          <w:tblCellMar>
            <w:top w:w="0" w:type="dxa"/>
            <w:left w:w="108" w:type="dxa"/>
            <w:bottom w:w="0" w:type="dxa"/>
            <w:right w:w="108" w:type="dxa"/>
          </w:tblCellMar>
        </w:tblPrEx>
        <w:trPr>
          <w:trHeight w:val="1550"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16</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011615001001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原石膏板天棚开灯孔</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1.部位:原天棚</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2.打洞部位材质:石膏板</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3.洞尺寸:综合</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4.场内运距:供应商自行考虑</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1.拆除</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2.控制扬尘</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3.清理</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4.场内运输</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个</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16</w:t>
            </w:r>
          </w:p>
        </w:tc>
      </w:tr>
      <w:tr>
        <w:tblPrEx>
          <w:tblLayout w:type="fixed"/>
          <w:tblCellMar>
            <w:top w:w="0" w:type="dxa"/>
            <w:left w:w="108" w:type="dxa"/>
            <w:bottom w:w="0" w:type="dxa"/>
            <w:right w:w="108" w:type="dxa"/>
          </w:tblCellMar>
        </w:tblPrEx>
        <w:trPr>
          <w:trHeight w:val="1342"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17</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011507001001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定制2cmPVC+3mm亚克力广告展板（UV打印广告）</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1.箱体规格:定制2cmPVC+3mm亚克力广告展板（UV打印广告）</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2.其他:满足设计及规范要求</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1.基层安装</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2.箱体及支架制作、运输、安装</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3.面层制作、安装</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4.刷防护材料、油漆</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m2</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29.65</w:t>
            </w:r>
          </w:p>
        </w:tc>
      </w:tr>
      <w:tr>
        <w:tblPrEx>
          <w:tblLayout w:type="fixed"/>
          <w:tblCellMar>
            <w:top w:w="0" w:type="dxa"/>
            <w:left w:w="108" w:type="dxa"/>
            <w:bottom w:w="0" w:type="dxa"/>
            <w:right w:w="108" w:type="dxa"/>
          </w:tblCellMar>
        </w:tblPrEx>
        <w:trPr>
          <w:trHeight w:val="635"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18</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01B002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红色水晶字</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1.名称:8+3mm厚红色水晶字</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2.尺寸:详设计</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3.其他:满足设计及规范要求</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1.制作、安装</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个</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16</w:t>
            </w:r>
          </w:p>
        </w:tc>
      </w:tr>
      <w:tr>
        <w:tblPrEx>
          <w:tblLayout w:type="fixed"/>
          <w:tblCellMar>
            <w:top w:w="0" w:type="dxa"/>
            <w:left w:w="108" w:type="dxa"/>
            <w:bottom w:w="0" w:type="dxa"/>
            <w:right w:w="108" w:type="dxa"/>
          </w:tblCellMar>
        </w:tblPrEx>
        <w:trPr>
          <w:trHeight w:val="357"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19</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01B003</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黄色水晶党徽自发光</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1.名称:15+5mm厚黄色水晶党徽自发光</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2.尺寸:1290*1075mm</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3.其他:满足设计及规范要求</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1.制作、安装</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个</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r>
      <w:tr>
        <w:tblPrEx>
          <w:tblLayout w:type="fixed"/>
          <w:tblCellMar>
            <w:top w:w="0" w:type="dxa"/>
            <w:left w:w="108" w:type="dxa"/>
            <w:bottom w:w="0" w:type="dxa"/>
            <w:right w:w="108" w:type="dxa"/>
          </w:tblCellMar>
        </w:tblPrEx>
        <w:trPr>
          <w:trHeight w:val="500"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ascii="宋体" w:hAnsi="宋体" w:cs="宋体"/>
                <w:color w:val="000000"/>
                <w:sz w:val="18"/>
                <w:szCs w:val="18"/>
              </w:rPr>
            </w:pP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8"/>
                <w:szCs w:val="18"/>
              </w:rPr>
            </w:pPr>
          </w:p>
        </w:tc>
        <w:tc>
          <w:tcPr>
            <w:tcW w:w="522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消防工程安装工程</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rPr>
                <w:rFonts w:ascii="宋体" w:hAnsi="宋体" w:cs="宋体"/>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rPr>
                <w:rFonts w:ascii="宋体" w:hAnsi="宋体" w:cs="宋体"/>
                <w:color w:val="000000"/>
                <w:sz w:val="18"/>
                <w:szCs w:val="18"/>
              </w:rPr>
            </w:pPr>
          </w:p>
        </w:tc>
      </w:tr>
      <w:tr>
        <w:tblPrEx>
          <w:tblLayout w:type="fixed"/>
          <w:tblCellMar>
            <w:top w:w="0" w:type="dxa"/>
            <w:left w:w="108" w:type="dxa"/>
            <w:bottom w:w="0" w:type="dxa"/>
            <w:right w:w="108" w:type="dxa"/>
          </w:tblCellMar>
        </w:tblPrEx>
        <w:trPr>
          <w:trHeight w:val="994"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011612002001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拆除水喷淋(雾)喷头</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1.名称 :拆除水喷淋(雾)喷头</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2.场内运距:综合考虑</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1.拆除</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2.控制扬尘</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3.清理</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4.场内运输</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个</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r>
      <w:tr>
        <w:tblPrEx>
          <w:tblLayout w:type="fixed"/>
          <w:tblCellMar>
            <w:top w:w="0" w:type="dxa"/>
            <w:left w:w="108" w:type="dxa"/>
            <w:bottom w:w="0" w:type="dxa"/>
            <w:right w:w="108" w:type="dxa"/>
          </w:tblCellMar>
        </w:tblPrEx>
        <w:trPr>
          <w:trHeight w:val="1106"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030901003001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水喷淋(雾)喷头</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1.安装部位:室内</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2.材质、型号、规格:DN25</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1.安装</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2.装饰盘安装</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3.严密性试验</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个</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9</w:t>
            </w:r>
          </w:p>
        </w:tc>
      </w:tr>
      <w:tr>
        <w:tblPrEx>
          <w:tblLayout w:type="fixed"/>
          <w:tblCellMar>
            <w:top w:w="0" w:type="dxa"/>
            <w:left w:w="108" w:type="dxa"/>
            <w:bottom w:w="0" w:type="dxa"/>
            <w:right w:w="108" w:type="dxa"/>
          </w:tblCellMar>
        </w:tblPrEx>
        <w:trPr>
          <w:trHeight w:val="2460"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030901001001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水喷淋钢管 DN50</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1.安装部位:室内</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2.材质、规格:DN50 镀锌钢管</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3.连接形式:螺纹连接</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1.管道及管件安装</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2.钢管镀锌</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3.压力试验</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4.冲洗</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5.管道标识</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9</w:t>
            </w:r>
          </w:p>
        </w:tc>
      </w:tr>
      <w:tr>
        <w:tblPrEx>
          <w:tblLayout w:type="fixed"/>
          <w:tblCellMar>
            <w:top w:w="0" w:type="dxa"/>
            <w:left w:w="108" w:type="dxa"/>
            <w:bottom w:w="0" w:type="dxa"/>
            <w:right w:w="108" w:type="dxa"/>
          </w:tblCellMar>
        </w:tblPrEx>
        <w:trPr>
          <w:trHeight w:val="842"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030901001002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水喷淋钢管 DN40</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1.安装部位:室内</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2.材质、规格:DN40 镀锌钢管</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3.连接形式:螺纹连接</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1.管道及管件安装</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2.钢管镀锌</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3.压力试验</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4.冲洗</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5.管道标识</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r>
      <w:tr>
        <w:tblPrEx>
          <w:tblLayout w:type="fixed"/>
          <w:tblCellMar>
            <w:top w:w="0" w:type="dxa"/>
            <w:left w:w="108" w:type="dxa"/>
            <w:bottom w:w="0" w:type="dxa"/>
            <w:right w:w="108" w:type="dxa"/>
          </w:tblCellMar>
        </w:tblPrEx>
        <w:trPr>
          <w:trHeight w:val="775"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030901001003</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水喷淋钢管 DN25</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1.安装部位:室内</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2.材质、规格:DN25 镀锌钢管</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3.连接形式:螺纹连接</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1.管道及管件安装</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2.钢管镀锌</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3.压力试验</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4.冲洗</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5.管道标识</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25</w:t>
            </w:r>
          </w:p>
        </w:tc>
      </w:tr>
      <w:tr>
        <w:tblPrEx>
          <w:tblLayout w:type="fixed"/>
          <w:tblCellMar>
            <w:top w:w="0" w:type="dxa"/>
            <w:left w:w="108" w:type="dxa"/>
            <w:bottom w:w="0" w:type="dxa"/>
            <w:right w:w="108" w:type="dxa"/>
          </w:tblCellMar>
        </w:tblPrEx>
        <w:trPr>
          <w:trHeight w:val="500"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ascii="宋体" w:hAnsi="宋体" w:cs="宋体"/>
                <w:color w:val="000000"/>
                <w:sz w:val="18"/>
                <w:szCs w:val="18"/>
              </w:rPr>
            </w:pP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8"/>
                <w:szCs w:val="18"/>
              </w:rPr>
            </w:pPr>
          </w:p>
        </w:tc>
        <w:tc>
          <w:tcPr>
            <w:tcW w:w="522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电气工程安装工程</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rPr>
                <w:rFonts w:ascii="宋体" w:hAnsi="宋体" w:cs="宋体"/>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rPr>
                <w:rFonts w:ascii="宋体" w:hAnsi="宋体" w:cs="宋体"/>
                <w:color w:val="000000"/>
                <w:sz w:val="18"/>
                <w:szCs w:val="18"/>
              </w:rPr>
            </w:pPr>
          </w:p>
        </w:tc>
      </w:tr>
      <w:tr>
        <w:tblPrEx>
          <w:tblLayout w:type="fixed"/>
          <w:tblCellMar>
            <w:top w:w="0" w:type="dxa"/>
            <w:left w:w="108" w:type="dxa"/>
            <w:bottom w:w="0" w:type="dxa"/>
            <w:right w:w="108" w:type="dxa"/>
          </w:tblCellMar>
        </w:tblPrEx>
        <w:trPr>
          <w:trHeight w:val="745"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030411004001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电气配线 BV-2.5mm2</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1.名称:配线</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2.配线形式:管内穿线</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3.型号 规格:BV-2.5mm2</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4.材质:铜芯</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1.配线</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185.31</w:t>
            </w:r>
          </w:p>
        </w:tc>
      </w:tr>
      <w:tr>
        <w:tblPrEx>
          <w:tblLayout w:type="fixed"/>
          <w:tblCellMar>
            <w:top w:w="0" w:type="dxa"/>
            <w:left w:w="108" w:type="dxa"/>
            <w:bottom w:w="0" w:type="dxa"/>
            <w:right w:w="108" w:type="dxa"/>
          </w:tblCellMar>
        </w:tblPrEx>
        <w:trPr>
          <w:trHeight w:val="244"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030411001001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配管PVC20</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1.名称:配管</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2.材质:PVC</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3.规格:PVC20</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4.敷设方式:明配</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1.电线管路敷设</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70.37</w:t>
            </w:r>
          </w:p>
        </w:tc>
      </w:tr>
      <w:tr>
        <w:tblPrEx>
          <w:tblLayout w:type="fixed"/>
          <w:tblCellMar>
            <w:top w:w="0" w:type="dxa"/>
            <w:left w:w="108" w:type="dxa"/>
            <w:bottom w:w="0" w:type="dxa"/>
            <w:right w:w="108" w:type="dxa"/>
          </w:tblCellMar>
        </w:tblPrEx>
        <w:trPr>
          <w:trHeight w:val="296"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030412004001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节能筒灯</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1.名称:节能筒灯</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2.规格:10W</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3.安装形式:崁入式</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1.本体安装</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40</w:t>
            </w:r>
          </w:p>
        </w:tc>
      </w:tr>
      <w:tr>
        <w:tblPrEx>
          <w:tblLayout w:type="fixed"/>
          <w:tblCellMar>
            <w:top w:w="0" w:type="dxa"/>
            <w:left w:w="108" w:type="dxa"/>
            <w:bottom w:w="0" w:type="dxa"/>
            <w:right w:w="108" w:type="dxa"/>
          </w:tblCellMar>
        </w:tblPrEx>
        <w:trPr>
          <w:trHeight w:val="443"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030404034001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单极开关</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1.名称:单极开关</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2.规格:86型</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3.安装方式:距地1.4米暗装</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1.本体安装</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2.接线</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个</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r>
      <w:tr>
        <w:tblPrEx>
          <w:tblLayout w:type="fixed"/>
          <w:tblCellMar>
            <w:top w:w="0" w:type="dxa"/>
            <w:left w:w="108" w:type="dxa"/>
            <w:bottom w:w="0" w:type="dxa"/>
            <w:right w:w="108" w:type="dxa"/>
          </w:tblCellMar>
        </w:tblPrEx>
        <w:trPr>
          <w:trHeight w:val="1800"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030404034002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双极开关</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1.名称:双极开关</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2.规格:86型</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3.安装方式:距地1.4米暗装</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1.本体安装</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2.接线</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个</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r>
      <w:tr>
        <w:tblPrEx>
          <w:tblLayout w:type="fixed"/>
          <w:tblCellMar>
            <w:top w:w="0" w:type="dxa"/>
            <w:left w:w="108" w:type="dxa"/>
            <w:bottom w:w="0" w:type="dxa"/>
            <w:right w:w="108" w:type="dxa"/>
          </w:tblCellMar>
        </w:tblPrEx>
        <w:trPr>
          <w:trHeight w:val="70"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030404035001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插座</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1.名称:供电插座</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2.规格:86型</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3.安装方式:底边距地0.3米暗装</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1.本体安装</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2.接线</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个</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r>
      <w:tr>
        <w:tblPrEx>
          <w:tblLayout w:type="fixed"/>
          <w:tblCellMar>
            <w:top w:w="0" w:type="dxa"/>
            <w:left w:w="108" w:type="dxa"/>
            <w:bottom w:w="0" w:type="dxa"/>
            <w:right w:w="108" w:type="dxa"/>
          </w:tblCellMar>
        </w:tblPrEx>
        <w:trPr>
          <w:trHeight w:val="1880"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030411006001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接线盒</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1.名称:接线盒</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2.材质:塑料</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3.规格:86型</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4.安装形式:暗装</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1.本体安装</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个</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6</w:t>
            </w:r>
          </w:p>
        </w:tc>
      </w:tr>
      <w:tr>
        <w:tblPrEx>
          <w:tblLayout w:type="fixed"/>
          <w:tblCellMar>
            <w:top w:w="0" w:type="dxa"/>
            <w:left w:w="108" w:type="dxa"/>
            <w:bottom w:w="0" w:type="dxa"/>
            <w:right w:w="108" w:type="dxa"/>
          </w:tblCellMar>
        </w:tblPrEx>
        <w:trPr>
          <w:trHeight w:val="500"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ascii="宋体" w:hAnsi="宋体" w:cs="宋体"/>
                <w:color w:val="000000"/>
                <w:sz w:val="18"/>
                <w:szCs w:val="18"/>
              </w:rPr>
            </w:pP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ascii="宋体" w:hAnsi="宋体" w:cs="宋体"/>
                <w:color w:val="000000"/>
                <w:sz w:val="18"/>
                <w:szCs w:val="18"/>
              </w:rPr>
            </w:pPr>
          </w:p>
        </w:tc>
        <w:tc>
          <w:tcPr>
            <w:tcW w:w="5220"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拆除工程</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rPr>
                <w:rFonts w:ascii="宋体" w:hAnsi="宋体" w:cs="宋体"/>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rPr>
                <w:rFonts w:ascii="宋体" w:hAnsi="宋体" w:cs="宋体"/>
                <w:color w:val="000000"/>
                <w:sz w:val="18"/>
                <w:szCs w:val="18"/>
              </w:rPr>
            </w:pPr>
          </w:p>
        </w:tc>
      </w:tr>
      <w:tr>
        <w:tblPrEx>
          <w:tblLayout w:type="fixed"/>
          <w:tblCellMar>
            <w:top w:w="0" w:type="dxa"/>
            <w:left w:w="108" w:type="dxa"/>
            <w:bottom w:w="0" w:type="dxa"/>
            <w:right w:w="108" w:type="dxa"/>
          </w:tblCellMar>
        </w:tblPrEx>
        <w:trPr>
          <w:trHeight w:val="1895"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011606003001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天棚面龙骨及饰面拆除</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1.拆除的基层类型:综合</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2.龙骨及饰面种类:轻钢龙骨纸面石膏板</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3.场内运距:供应商自行考虑</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4.其他:单拆除不含有价材料残值</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1.拆除</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2.控制扬尘</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3.清理</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4.场内运输</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m2</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37.21</w:t>
            </w:r>
          </w:p>
        </w:tc>
      </w:tr>
      <w:tr>
        <w:tblPrEx>
          <w:tblLayout w:type="fixed"/>
          <w:tblCellMar>
            <w:top w:w="0" w:type="dxa"/>
            <w:left w:w="108" w:type="dxa"/>
            <w:bottom w:w="0" w:type="dxa"/>
            <w:right w:w="108" w:type="dxa"/>
          </w:tblCellMar>
        </w:tblPrEx>
        <w:trPr>
          <w:trHeight w:val="1673"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011609002001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轻钢龙骨石膏板隔墙拆除</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1.拆除隔墙的骨架种类:轻钢龙骨</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2.拆除隔墙的饰面种类:两侧纸面石膏板</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3.场内运距:供应商自行考虑</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4.其他:单拆除不含有价材料残值</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1.拆除</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2.控制扬尘</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3.清理</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4.场内运输</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m2</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61.94</w:t>
            </w:r>
          </w:p>
        </w:tc>
      </w:tr>
      <w:tr>
        <w:tblPrEx>
          <w:tblLayout w:type="fixed"/>
          <w:tblCellMar>
            <w:top w:w="0" w:type="dxa"/>
            <w:left w:w="108" w:type="dxa"/>
            <w:bottom w:w="0" w:type="dxa"/>
            <w:right w:w="108" w:type="dxa"/>
          </w:tblCellMar>
        </w:tblPrEx>
        <w:trPr>
          <w:trHeight w:val="1877"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011610002001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玻璃造型墙(带门)拆除</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1.室内高度:综合考虑</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2.门窗洞口尺寸:玻璃造型墙(带门)</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3.场内运距:供应商自行考虑</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4.其他:单拆除不含有价材料残值</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1.拆除</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2.控制扬尘</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3.清理</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4.场内运输</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m2</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18.67</w:t>
            </w:r>
          </w:p>
        </w:tc>
      </w:tr>
      <w:tr>
        <w:tblPrEx>
          <w:tblLayout w:type="fixed"/>
          <w:tblCellMar>
            <w:top w:w="0" w:type="dxa"/>
            <w:left w:w="108" w:type="dxa"/>
            <w:bottom w:w="0" w:type="dxa"/>
            <w:right w:w="108" w:type="dxa"/>
          </w:tblCellMar>
        </w:tblPrEx>
        <w:trPr>
          <w:trHeight w:val="2600"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011606002002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原墙面造型拆除</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1.拆除的基层类型:综合考虑</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2.龙骨及饰面种类:原墙面造型拆除</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3.场内运距:供应商自行考虑</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4.其他:单拆除不含有价材料残值</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1.拆除</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2.控制扬尘</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3.清理</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4.场内运输</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m2</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7.54</w:t>
            </w:r>
          </w:p>
        </w:tc>
      </w:tr>
      <w:tr>
        <w:tblPrEx>
          <w:tblLayout w:type="fixed"/>
          <w:tblCellMar>
            <w:top w:w="0" w:type="dxa"/>
            <w:left w:w="108" w:type="dxa"/>
            <w:bottom w:w="0" w:type="dxa"/>
            <w:right w:w="108" w:type="dxa"/>
          </w:tblCellMar>
        </w:tblPrEx>
        <w:trPr>
          <w:trHeight w:val="2259"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011605001001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地砖拆除</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1.拆除的基层类型:综合考虑</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2.饰面材料种类及厚度:地砖及粘贴层拆除</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3.场内运距:供应商自行考虑</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4.其他:单拆除不含有价材料残值</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1.拆除</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2.控制扬尘</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3.清理</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4.场内运输</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m2</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23.63</w:t>
            </w:r>
          </w:p>
        </w:tc>
      </w:tr>
      <w:tr>
        <w:tblPrEx>
          <w:tblLayout w:type="fixed"/>
          <w:tblCellMar>
            <w:top w:w="0" w:type="dxa"/>
            <w:left w:w="108" w:type="dxa"/>
            <w:bottom w:w="0" w:type="dxa"/>
            <w:right w:w="108" w:type="dxa"/>
          </w:tblCellMar>
        </w:tblPrEx>
        <w:trPr>
          <w:trHeight w:val="2192"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011608002001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原乳胶漆腻子铲除</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1.铲除部位名称:墙面</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2.铲除部位的截面尺寸:详设计</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3.场内运距:供应商自行考虑</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4.其他:单拆除不含有价材料残值</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1.拆除</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2.控制扬尘</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3.清理</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4.场内运输</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m2</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36.18</w:t>
            </w:r>
          </w:p>
        </w:tc>
      </w:tr>
      <w:tr>
        <w:tblPrEx>
          <w:tblLayout w:type="fixed"/>
          <w:tblCellMar>
            <w:top w:w="0" w:type="dxa"/>
            <w:left w:w="108" w:type="dxa"/>
            <w:bottom w:w="0" w:type="dxa"/>
            <w:right w:w="108" w:type="dxa"/>
          </w:tblCellMar>
        </w:tblPrEx>
        <w:trPr>
          <w:trHeight w:val="2240"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011604002001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墙面抹灰层拆除</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1.拆除部位:墙面</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2.抹灰层种类及厚度:抹灰层拆除</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3.场内运距:供应商自行考虑</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4.其他:单拆除不含有价材料残值</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1.拆除</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2.控制扬尘</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3.清理</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4.场内运输</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m2</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15.13</w:t>
            </w:r>
          </w:p>
        </w:tc>
      </w:tr>
      <w:tr>
        <w:tblPrEx>
          <w:tblLayout w:type="fixed"/>
          <w:tblCellMar>
            <w:top w:w="0" w:type="dxa"/>
            <w:left w:w="108" w:type="dxa"/>
            <w:bottom w:w="0" w:type="dxa"/>
            <w:right w:w="108" w:type="dxa"/>
          </w:tblCellMar>
        </w:tblPrEx>
        <w:trPr>
          <w:trHeight w:val="2174"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011613001001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筒灯拆除</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1.拆除灯具高度:综合考虑</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2.灯具种类:筒灯</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3.场内运距:供应商自行考虑</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4.其他:单拆除不含有价材料残值</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1.拆除</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2.控制扬尘</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3.清理</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4.场内运输</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16</w:t>
            </w:r>
          </w:p>
        </w:tc>
      </w:tr>
      <w:tr>
        <w:tblPrEx>
          <w:tblLayout w:type="fixed"/>
          <w:tblCellMar>
            <w:top w:w="0" w:type="dxa"/>
            <w:left w:w="108" w:type="dxa"/>
            <w:bottom w:w="0" w:type="dxa"/>
            <w:right w:w="108" w:type="dxa"/>
          </w:tblCellMar>
        </w:tblPrEx>
        <w:trPr>
          <w:trHeight w:val="2720"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011610001001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木质窗套拆除</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1.室内高度:综合考虑</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2.名称:木质窗套拆除</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3.门窗洞口尺寸:详设计</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4.场内运距:供应商自行考虑</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5.其他:单拆除不含有价材料残值</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1.拆除</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2.控制扬尘</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3.清理</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4.场内运输</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m2</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0.94</w:t>
            </w:r>
          </w:p>
        </w:tc>
      </w:tr>
      <w:tr>
        <w:tblPrEx>
          <w:tblLayout w:type="fixed"/>
          <w:tblCellMar>
            <w:top w:w="0" w:type="dxa"/>
            <w:left w:w="108" w:type="dxa"/>
            <w:bottom w:w="0" w:type="dxa"/>
            <w:right w:w="108" w:type="dxa"/>
          </w:tblCellMar>
        </w:tblPrEx>
        <w:trPr>
          <w:trHeight w:val="2401"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011605002001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木踢脚线拆除</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1.拆除的基层类型:综合考虑</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2.饰面材料种类及厚度:木踢脚线拆除</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3.场内运距:供应商自行考虑</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4.其他:单拆除不含有价材料残值</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1.拆除</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2.控制扬尘</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3.清理</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4.场内运输</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66.89</w:t>
            </w:r>
          </w:p>
        </w:tc>
      </w:tr>
      <w:tr>
        <w:tblPrEx>
          <w:tblLayout w:type="fixed"/>
          <w:tblCellMar>
            <w:top w:w="0" w:type="dxa"/>
            <w:left w:w="108" w:type="dxa"/>
            <w:bottom w:w="0" w:type="dxa"/>
            <w:right w:w="108" w:type="dxa"/>
          </w:tblCellMar>
        </w:tblPrEx>
        <w:trPr>
          <w:trHeight w:val="1400"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11</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010103002001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人工转运建筑垃圾</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1.废弃料品种:建筑垃圾二次转运</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2.垂直运距:61.2m（有电梯）</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3.转运方式:人工</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1.余方点装料运输至弃置点</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m3</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w:t>
            </w:r>
          </w:p>
        </w:tc>
      </w:tr>
      <w:tr>
        <w:tblPrEx>
          <w:tblLayout w:type="fixed"/>
          <w:tblCellMar>
            <w:top w:w="0" w:type="dxa"/>
            <w:left w:w="108" w:type="dxa"/>
            <w:bottom w:w="0" w:type="dxa"/>
            <w:right w:w="108" w:type="dxa"/>
          </w:tblCellMar>
        </w:tblPrEx>
        <w:trPr>
          <w:trHeight w:val="1972"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12</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011707B07001</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建筑垃圾清运（起运1km）</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1.废弃料品种:综合</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2.运输距离:1km</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3.运输方式:根据现场实际情况，各种运输方式综合考虑</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4.其它:包含渣场处置费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1.运输</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2.弃渣</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m3</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w:t>
            </w:r>
          </w:p>
        </w:tc>
      </w:tr>
      <w:tr>
        <w:tblPrEx>
          <w:tblLayout w:type="fixed"/>
          <w:tblCellMar>
            <w:top w:w="0" w:type="dxa"/>
            <w:left w:w="108" w:type="dxa"/>
            <w:bottom w:w="0" w:type="dxa"/>
            <w:right w:w="108" w:type="dxa"/>
          </w:tblCellMar>
        </w:tblPrEx>
        <w:trPr>
          <w:trHeight w:val="1988" w:hRule="atLeast"/>
        </w:trPr>
        <w:tc>
          <w:tcPr>
            <w:tcW w:w="48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13</w:t>
            </w:r>
          </w:p>
        </w:tc>
        <w:tc>
          <w:tcPr>
            <w:tcW w:w="183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011707B07002</w:t>
            </w:r>
          </w:p>
        </w:tc>
        <w:tc>
          <w:tcPr>
            <w:tcW w:w="167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建筑垃圾清运（增运24km）</w:t>
            </w:r>
          </w:p>
        </w:tc>
        <w:tc>
          <w:tcPr>
            <w:tcW w:w="354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[项目特征]</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1.废弃料品种:综合</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2.运输距离:增运24km，实际增运运距于清单增运运距不一致时可同比例折算</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3.运输方式:根据现场实际情况，各种运输方式综合考虑</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[工作内容]</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1.运输</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2.弃渣</w:t>
            </w:r>
          </w:p>
        </w:tc>
        <w:tc>
          <w:tcPr>
            <w:tcW w:w="82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m3</w:t>
            </w:r>
          </w:p>
        </w:tc>
        <w:tc>
          <w:tcPr>
            <w:tcW w:w="1260"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w:t>
            </w:r>
          </w:p>
        </w:tc>
      </w:tr>
    </w:tbl>
    <w:p>
      <w:pPr>
        <w:pStyle w:val="6"/>
        <w:spacing w:before="0" w:after="0" w:line="360" w:lineRule="auto"/>
        <w:ind w:firstLine="482" w:firstLineChars="200"/>
        <w:rPr>
          <w:rFonts w:ascii="宋体" w:hAnsi="宋体"/>
          <w:sz w:val="24"/>
          <w:szCs w:val="24"/>
        </w:rPr>
      </w:pPr>
      <w:bookmarkStart w:id="53" w:name="_Toc524444858"/>
      <w:bookmarkStart w:id="54" w:name="_Toc30673"/>
      <w:bookmarkStart w:id="55" w:name="_Toc32104"/>
      <w:bookmarkStart w:id="56" w:name="_Toc24987"/>
      <w:bookmarkStart w:id="57" w:name="_Toc137459392"/>
      <w:bookmarkStart w:id="58" w:name="_Toc19778"/>
      <w:bookmarkStart w:id="59" w:name="_Toc1289"/>
      <w:bookmarkStart w:id="60" w:name="_Toc80620848"/>
      <w:bookmarkStart w:id="61" w:name="_Toc79589961"/>
      <w:bookmarkStart w:id="62" w:name="_Toc523837605"/>
      <w:r>
        <w:rPr>
          <w:rFonts w:hint="eastAsia" w:ascii="宋体" w:hAnsi="宋体"/>
          <w:sz w:val="24"/>
          <w:szCs w:val="24"/>
        </w:rPr>
        <w:t>※三、项目管理</w:t>
      </w:r>
      <w:bookmarkEnd w:id="53"/>
      <w:bookmarkEnd w:id="54"/>
      <w:bookmarkEnd w:id="55"/>
      <w:bookmarkEnd w:id="56"/>
      <w:bookmarkEnd w:id="57"/>
      <w:bookmarkEnd w:id="58"/>
      <w:bookmarkEnd w:id="59"/>
      <w:bookmarkEnd w:id="60"/>
      <w:bookmarkEnd w:id="61"/>
      <w:bookmarkEnd w:id="62"/>
    </w:p>
    <w:p>
      <w:pPr>
        <w:snapToGrid w:val="0"/>
        <w:spacing w:line="360" w:lineRule="auto"/>
        <w:ind w:firstLine="480" w:firstLineChars="200"/>
        <w:rPr>
          <w:rFonts w:ascii="宋体"/>
          <w:sz w:val="24"/>
          <w:szCs w:val="24"/>
        </w:rPr>
      </w:pPr>
      <w:r>
        <w:rPr>
          <w:rFonts w:hint="eastAsia" w:ascii="宋体"/>
          <w:sz w:val="24"/>
          <w:szCs w:val="24"/>
        </w:rPr>
        <w:t>1.项目人员要求</w:t>
      </w:r>
    </w:p>
    <w:p>
      <w:pPr>
        <w:snapToGrid w:val="0"/>
        <w:spacing w:line="360" w:lineRule="auto"/>
        <w:ind w:firstLine="480" w:firstLineChars="200"/>
        <w:rPr>
          <w:rFonts w:ascii="宋体"/>
          <w:sz w:val="24"/>
          <w:szCs w:val="24"/>
        </w:rPr>
      </w:pPr>
      <w:r>
        <w:rPr>
          <w:rFonts w:hint="eastAsia" w:ascii="宋体"/>
          <w:sz w:val="24"/>
          <w:szCs w:val="24"/>
        </w:rPr>
        <w:t>1.1项目经理要求</w:t>
      </w:r>
    </w:p>
    <w:p>
      <w:pPr>
        <w:snapToGrid w:val="0"/>
        <w:spacing w:line="360" w:lineRule="auto"/>
        <w:ind w:firstLine="480" w:firstLineChars="200"/>
        <w:rPr>
          <w:rFonts w:ascii="宋体"/>
          <w:sz w:val="24"/>
          <w:szCs w:val="24"/>
        </w:rPr>
      </w:pPr>
      <w:r>
        <w:rPr>
          <w:rFonts w:hint="eastAsia" w:ascii="宋体"/>
          <w:sz w:val="24"/>
          <w:szCs w:val="24"/>
        </w:rPr>
        <w:t>成交供应商须安排1名项目经理负责本项目实施，拟派本项目项目经理必须是供应商本单位人员，能够胜任本项目的管理和实施，具有建筑类二级及以上建造师资格。提供供应商为项目经理缴纳的社保证明复印件、建造师注册证书复印件、安全生产考核合格证书（B证）复印件。</w:t>
      </w:r>
    </w:p>
    <w:p>
      <w:pPr>
        <w:snapToGrid w:val="0"/>
        <w:spacing w:line="360" w:lineRule="auto"/>
        <w:ind w:firstLine="480" w:firstLineChars="200"/>
        <w:rPr>
          <w:rFonts w:ascii="宋体"/>
          <w:sz w:val="24"/>
          <w:szCs w:val="24"/>
        </w:rPr>
      </w:pPr>
      <w:r>
        <w:rPr>
          <w:rFonts w:hint="eastAsia" w:ascii="宋体"/>
          <w:sz w:val="24"/>
          <w:szCs w:val="24"/>
        </w:rPr>
        <w:t>1.2项目组成员要求。</w:t>
      </w:r>
    </w:p>
    <w:p>
      <w:pPr>
        <w:snapToGrid w:val="0"/>
        <w:spacing w:line="360" w:lineRule="auto"/>
        <w:ind w:firstLine="480" w:firstLineChars="200"/>
        <w:rPr>
          <w:rFonts w:ascii="宋体"/>
          <w:sz w:val="24"/>
          <w:szCs w:val="24"/>
        </w:rPr>
      </w:pPr>
      <w:r>
        <w:rPr>
          <w:rFonts w:hint="eastAsia" w:ascii="宋体"/>
          <w:sz w:val="24"/>
          <w:szCs w:val="24"/>
        </w:rPr>
        <w:t>项目团队成员必须提供技术负责人，须具备中级工程师及以上职称且为供应商本单位人员，提供供应商为其缴纳的社保证明复印件。其余管理人员由供应商自行承诺中标后在签订合同之前，须按照建设行政主管部门的要求组建施工项目部，配置项目管理班子，出具任命文件。任命文件应当明确施工项目部的职责、岗位设置、人员配备，并书面通知项目业主。相关岗位管理人员应持有建设行政主管部门要求的岗位证书，并提供供应商为其缴纳的养老保险证明材料。中标后不能满足该要求的，采购人可取消其中标资格，给采购人造成损失的，供应商依法承担违约赔偿责任（承诺书格式自拟）。</w:t>
      </w:r>
    </w:p>
    <w:p>
      <w:pPr>
        <w:snapToGrid w:val="0"/>
        <w:spacing w:line="360" w:lineRule="auto"/>
        <w:ind w:firstLine="480" w:firstLineChars="200"/>
        <w:rPr>
          <w:rFonts w:ascii="宋体"/>
          <w:sz w:val="24"/>
          <w:szCs w:val="24"/>
        </w:rPr>
      </w:pPr>
      <w:r>
        <w:rPr>
          <w:rFonts w:hint="eastAsia" w:ascii="宋体"/>
          <w:sz w:val="24"/>
          <w:szCs w:val="24"/>
        </w:rPr>
        <w:t xml:space="preserve"> 1.3 驻场要求。</w:t>
      </w:r>
    </w:p>
    <w:p>
      <w:pPr>
        <w:snapToGrid w:val="0"/>
        <w:spacing w:line="360" w:lineRule="auto"/>
        <w:ind w:firstLine="480" w:firstLineChars="200"/>
        <w:rPr>
          <w:rFonts w:ascii="宋体"/>
          <w:sz w:val="24"/>
          <w:szCs w:val="24"/>
        </w:rPr>
      </w:pPr>
      <w:r>
        <w:rPr>
          <w:rFonts w:hint="eastAsia" w:ascii="宋体"/>
          <w:sz w:val="24"/>
          <w:szCs w:val="24"/>
        </w:rPr>
        <w:t>供应商须承诺项目团队成员中至少有2人驻场（包括项目经理），供应商须提供驻场人员名单及承诺函原件。</w:t>
      </w:r>
    </w:p>
    <w:p>
      <w:pPr>
        <w:snapToGrid w:val="0"/>
        <w:spacing w:line="360" w:lineRule="auto"/>
        <w:ind w:firstLine="480" w:firstLineChars="200"/>
        <w:rPr>
          <w:rFonts w:ascii="宋体"/>
          <w:sz w:val="24"/>
          <w:szCs w:val="24"/>
        </w:rPr>
      </w:pPr>
      <w:r>
        <w:rPr>
          <w:rFonts w:hint="eastAsia" w:ascii="宋体"/>
          <w:sz w:val="24"/>
          <w:szCs w:val="24"/>
        </w:rPr>
        <w:t>1.5未经采购人允许成交供应商不得随意更换项目经理和驻场人员。如果项目经理和驻场人员不能胜任工作，采购人可要求更换人员。（供应商提供承诺函）</w:t>
      </w:r>
    </w:p>
    <w:p>
      <w:pPr>
        <w:snapToGrid w:val="0"/>
        <w:spacing w:line="360" w:lineRule="auto"/>
        <w:ind w:firstLine="480" w:firstLineChars="200"/>
        <w:rPr>
          <w:rFonts w:ascii="宋体"/>
          <w:sz w:val="24"/>
          <w:szCs w:val="24"/>
        </w:rPr>
      </w:pPr>
      <w:r>
        <w:rPr>
          <w:rFonts w:hint="eastAsia" w:ascii="宋体"/>
          <w:sz w:val="24"/>
          <w:szCs w:val="24"/>
        </w:rPr>
        <w:t>1.6 本项目涉及的人员安全及施工安全责任由供应商承担。</w:t>
      </w:r>
    </w:p>
    <w:p>
      <w:pPr>
        <w:snapToGrid w:val="0"/>
        <w:spacing w:line="360" w:lineRule="auto"/>
        <w:ind w:firstLine="480" w:firstLineChars="200"/>
        <w:rPr>
          <w:rFonts w:ascii="宋体"/>
          <w:sz w:val="24"/>
          <w:szCs w:val="24"/>
        </w:rPr>
      </w:pPr>
      <w:r>
        <w:rPr>
          <w:rFonts w:hint="eastAsia" w:ascii="宋体"/>
          <w:sz w:val="24"/>
          <w:szCs w:val="24"/>
        </w:rPr>
        <w:t xml:space="preserve"> </w:t>
      </w:r>
      <w:r>
        <w:rPr>
          <w:rFonts w:ascii="宋体"/>
          <w:sz w:val="24"/>
          <w:szCs w:val="24"/>
        </w:rPr>
        <w:t>2</w:t>
      </w:r>
      <w:r>
        <w:rPr>
          <w:rFonts w:hint="eastAsia" w:ascii="宋体"/>
          <w:sz w:val="24"/>
          <w:szCs w:val="24"/>
        </w:rPr>
        <w:t>.售后服务项目组要求</w:t>
      </w:r>
    </w:p>
    <w:p>
      <w:pPr>
        <w:snapToGrid w:val="0"/>
        <w:spacing w:line="360" w:lineRule="auto"/>
        <w:ind w:firstLine="480" w:firstLineChars="200"/>
        <w:rPr>
          <w:rFonts w:ascii="宋体"/>
          <w:sz w:val="24"/>
          <w:szCs w:val="24"/>
        </w:rPr>
      </w:pPr>
      <w:r>
        <w:rPr>
          <w:rFonts w:hint="eastAsia" w:ascii="宋体"/>
          <w:sz w:val="24"/>
          <w:szCs w:val="24"/>
        </w:rPr>
        <w:t>售后服务期限内，供应商必须就本项目组建售后服务项目组，项目组人员数量不得少于2名。（供应商提供承诺函）</w:t>
      </w:r>
    </w:p>
    <w:p>
      <w:pPr>
        <w:snapToGrid w:val="0"/>
        <w:spacing w:line="360" w:lineRule="auto"/>
        <w:ind w:firstLine="480" w:firstLineChars="200"/>
        <w:rPr>
          <w:rFonts w:ascii="宋体"/>
          <w:sz w:val="24"/>
          <w:szCs w:val="24"/>
        </w:rPr>
      </w:pPr>
      <w:r>
        <w:rPr>
          <w:rFonts w:ascii="宋体"/>
          <w:sz w:val="24"/>
          <w:szCs w:val="24"/>
        </w:rPr>
        <w:t>3</w:t>
      </w:r>
      <w:r>
        <w:rPr>
          <w:rFonts w:hint="eastAsia" w:ascii="宋体"/>
          <w:sz w:val="24"/>
          <w:szCs w:val="24"/>
        </w:rPr>
        <w:t>.质量管理措施</w:t>
      </w:r>
    </w:p>
    <w:p>
      <w:pPr>
        <w:snapToGrid w:val="0"/>
        <w:spacing w:line="360" w:lineRule="auto"/>
        <w:ind w:firstLine="480" w:firstLineChars="200"/>
        <w:rPr>
          <w:rFonts w:ascii="宋体"/>
          <w:sz w:val="24"/>
          <w:szCs w:val="24"/>
        </w:rPr>
      </w:pPr>
      <w:r>
        <w:rPr>
          <w:rFonts w:hint="eastAsia" w:ascii="宋体"/>
          <w:sz w:val="24"/>
          <w:szCs w:val="24"/>
        </w:rPr>
        <w:t>供应商应制定严格的项目质量控制规范和流程，在项目实施过程中严格按照制定的规范和流程执行。供应商须在响应文件中详细阐明质量管理措施以及方法。</w:t>
      </w:r>
    </w:p>
    <w:p>
      <w:pPr>
        <w:snapToGrid w:val="0"/>
        <w:spacing w:line="360" w:lineRule="auto"/>
        <w:ind w:firstLine="480" w:firstLineChars="200"/>
        <w:rPr>
          <w:rFonts w:ascii="宋体"/>
          <w:sz w:val="24"/>
          <w:szCs w:val="24"/>
        </w:rPr>
      </w:pPr>
      <w:r>
        <w:rPr>
          <w:rFonts w:ascii="宋体"/>
          <w:sz w:val="24"/>
          <w:szCs w:val="24"/>
        </w:rPr>
        <w:t>4</w:t>
      </w:r>
      <w:r>
        <w:rPr>
          <w:rFonts w:hint="eastAsia" w:ascii="宋体"/>
          <w:sz w:val="24"/>
          <w:szCs w:val="24"/>
        </w:rPr>
        <w:t>.项目进度管控</w:t>
      </w:r>
    </w:p>
    <w:p>
      <w:pPr>
        <w:snapToGrid w:val="0"/>
        <w:spacing w:line="360" w:lineRule="auto"/>
        <w:ind w:firstLine="480" w:firstLineChars="200"/>
        <w:rPr>
          <w:rFonts w:ascii="宋体"/>
          <w:sz w:val="24"/>
          <w:szCs w:val="24"/>
        </w:rPr>
      </w:pPr>
      <w:r>
        <w:rPr>
          <w:rFonts w:hint="eastAsia" w:ascii="宋体"/>
          <w:sz w:val="24"/>
          <w:szCs w:val="24"/>
        </w:rPr>
        <w:t>签订合同后3个工作日内成交供应商须提交细化完善后的项目建设实施方案，制定项目建设步骤和具体进度安排。在实施过程中，项目组须每天提供书面材料汇报当日建设目标完成情况及遇到的问题。每周项目组提供项目建设周报，总结一周项目建设情况。</w:t>
      </w:r>
    </w:p>
    <w:p>
      <w:pPr>
        <w:snapToGrid w:val="0"/>
        <w:spacing w:line="360" w:lineRule="auto"/>
        <w:ind w:firstLine="480" w:firstLineChars="200"/>
        <w:rPr>
          <w:rFonts w:ascii="宋体"/>
          <w:sz w:val="24"/>
          <w:szCs w:val="24"/>
        </w:rPr>
      </w:pPr>
      <w:r>
        <w:rPr>
          <w:rFonts w:ascii="宋体"/>
          <w:sz w:val="24"/>
          <w:szCs w:val="24"/>
        </w:rPr>
        <w:t>5</w:t>
      </w:r>
      <w:r>
        <w:rPr>
          <w:rFonts w:hint="eastAsia" w:ascii="宋体"/>
          <w:sz w:val="24"/>
          <w:szCs w:val="24"/>
        </w:rPr>
        <w:t>.项目实施的部分阶段须夜间施工，供应商应充分考虑夜间施工带来的不利因素及相关费用，夜间施工需满足国家相关流程及要求</w:t>
      </w:r>
    </w:p>
    <w:p>
      <w:pPr>
        <w:pStyle w:val="3"/>
        <w:ind w:left="1600" w:hanging="480"/>
      </w:pPr>
    </w:p>
    <w:p>
      <w:pPr>
        <w:pStyle w:val="5"/>
        <w:pageBreakBefore/>
        <w:spacing w:line="360" w:lineRule="auto"/>
        <w:jc w:val="center"/>
        <w:rPr>
          <w:rFonts w:ascii="宋体" w:eastAsia="宋体"/>
          <w:sz w:val="36"/>
          <w:szCs w:val="30"/>
        </w:rPr>
      </w:pPr>
      <w:bookmarkStart w:id="63" w:name="_Toc137459393"/>
      <w:r>
        <w:rPr>
          <w:rFonts w:hint="eastAsia" w:ascii="宋体" w:eastAsia="宋体"/>
          <w:sz w:val="36"/>
          <w:szCs w:val="30"/>
        </w:rPr>
        <w:t>第三篇  项目商务需求</w:t>
      </w:r>
      <w:bookmarkEnd w:id="32"/>
      <w:bookmarkEnd w:id="63"/>
    </w:p>
    <w:p>
      <w:pPr>
        <w:snapToGrid w:val="0"/>
        <w:spacing w:line="360" w:lineRule="auto"/>
        <w:ind w:firstLine="422" w:firstLineChars="200"/>
        <w:rPr>
          <w:rFonts w:ascii="宋体"/>
          <w:b/>
          <w:sz w:val="24"/>
          <w:szCs w:val="24"/>
        </w:rPr>
      </w:pPr>
      <w:bookmarkStart w:id="64" w:name="_Toc267320049"/>
      <w:r>
        <w:rPr>
          <w:rFonts w:hint="eastAsia" w:ascii="宋体"/>
          <w:b/>
          <w:sz w:val="21"/>
          <w:szCs w:val="21"/>
        </w:rPr>
        <w:t>“※”标注的要求为符合性审查中的实质性要求，响应文件若不满足按无效投标处理。</w:t>
      </w:r>
    </w:p>
    <w:bookmarkEnd w:id="64"/>
    <w:p>
      <w:pPr>
        <w:pStyle w:val="6"/>
        <w:spacing w:before="0" w:after="0" w:line="360" w:lineRule="auto"/>
        <w:ind w:firstLine="482" w:firstLineChars="200"/>
        <w:rPr>
          <w:rFonts w:ascii="宋体"/>
          <w:sz w:val="24"/>
          <w:szCs w:val="24"/>
        </w:rPr>
      </w:pPr>
      <w:bookmarkStart w:id="65" w:name="_Toc27142"/>
      <w:bookmarkStart w:id="66" w:name="_Toc21322"/>
      <w:bookmarkStart w:id="67" w:name="_Toc16335"/>
      <w:bookmarkStart w:id="68" w:name="_Toc137459394"/>
      <w:bookmarkStart w:id="69" w:name="_Toc79589963"/>
      <w:r>
        <w:rPr>
          <w:rFonts w:hint="eastAsia" w:ascii="宋体"/>
          <w:sz w:val="24"/>
          <w:szCs w:val="24"/>
        </w:rPr>
        <w:t>※一、实施时间、实施地点及验收方式</w:t>
      </w:r>
      <w:bookmarkEnd w:id="65"/>
      <w:bookmarkEnd w:id="66"/>
      <w:bookmarkEnd w:id="67"/>
      <w:bookmarkEnd w:id="68"/>
      <w:bookmarkEnd w:id="69"/>
    </w:p>
    <w:p>
      <w:pPr>
        <w:snapToGrid w:val="0"/>
        <w:spacing w:line="360" w:lineRule="auto"/>
        <w:ind w:firstLine="480" w:firstLineChars="200"/>
        <w:rPr>
          <w:sz w:val="24"/>
          <w:szCs w:val="24"/>
        </w:rPr>
      </w:pPr>
      <w:r>
        <w:rPr>
          <w:rFonts w:hint="eastAsia"/>
          <w:sz w:val="24"/>
          <w:szCs w:val="24"/>
        </w:rPr>
        <w:t>（一）实施时间：</w:t>
      </w:r>
    </w:p>
    <w:p>
      <w:pPr>
        <w:snapToGrid w:val="0"/>
        <w:spacing w:line="360" w:lineRule="auto"/>
        <w:ind w:firstLine="480" w:firstLineChars="200"/>
        <w:rPr>
          <w:sz w:val="24"/>
          <w:szCs w:val="24"/>
        </w:rPr>
      </w:pPr>
      <w:r>
        <w:rPr>
          <w:rFonts w:hint="eastAsia"/>
          <w:sz w:val="24"/>
          <w:szCs w:val="24"/>
        </w:rPr>
        <w:t>中标公示后，10个日历日内须签订合同。采购合同签定后60个日历日，成交供应商须完成项目建设，并完成合同验收及初步验收。</w:t>
      </w:r>
    </w:p>
    <w:p>
      <w:pPr>
        <w:snapToGrid w:val="0"/>
        <w:spacing w:line="360" w:lineRule="auto"/>
        <w:ind w:firstLine="480" w:firstLineChars="200"/>
        <w:rPr>
          <w:sz w:val="24"/>
          <w:szCs w:val="24"/>
        </w:rPr>
      </w:pPr>
      <w:r>
        <w:rPr>
          <w:rFonts w:hint="eastAsia"/>
          <w:sz w:val="24"/>
          <w:szCs w:val="24"/>
        </w:rPr>
        <w:t>（二）实施地点：</w:t>
      </w:r>
    </w:p>
    <w:p>
      <w:pPr>
        <w:snapToGrid w:val="0"/>
        <w:spacing w:line="360" w:lineRule="auto"/>
        <w:ind w:firstLine="480" w:firstLineChars="200"/>
        <w:rPr>
          <w:sz w:val="24"/>
          <w:szCs w:val="24"/>
        </w:rPr>
      </w:pPr>
      <w:r>
        <w:rPr>
          <w:rFonts w:hint="eastAsia"/>
          <w:sz w:val="24"/>
          <w:szCs w:val="24"/>
        </w:rPr>
        <w:t>重庆市无线电监测站办公楼内。</w:t>
      </w:r>
    </w:p>
    <w:p>
      <w:pPr>
        <w:snapToGrid w:val="0"/>
        <w:spacing w:line="360" w:lineRule="auto"/>
        <w:ind w:firstLine="480" w:firstLineChars="200"/>
        <w:rPr>
          <w:sz w:val="24"/>
          <w:szCs w:val="24"/>
        </w:rPr>
      </w:pPr>
      <w:r>
        <w:rPr>
          <w:rFonts w:hint="eastAsia"/>
          <w:sz w:val="24"/>
          <w:szCs w:val="24"/>
        </w:rPr>
        <w:t>（三）验收方式</w:t>
      </w:r>
    </w:p>
    <w:p>
      <w:pPr>
        <w:snapToGrid w:val="0"/>
        <w:spacing w:line="360" w:lineRule="auto"/>
        <w:ind w:firstLine="480" w:firstLineChars="200"/>
        <w:rPr>
          <w:sz w:val="24"/>
          <w:szCs w:val="24"/>
        </w:rPr>
      </w:pPr>
      <w:r>
        <w:rPr>
          <w:rFonts w:hint="eastAsia"/>
          <w:sz w:val="24"/>
          <w:szCs w:val="24"/>
        </w:rPr>
        <w:t>依据《无线电频率占用费转移支付资金建设项目管理办法（试行）》、《关于进一步加强无线电管理基础和技术设施建设项目验收有关工作的通知》及其它相关规定，进行竣工验收。</w:t>
      </w:r>
    </w:p>
    <w:p>
      <w:pPr>
        <w:snapToGrid w:val="0"/>
        <w:spacing w:line="360" w:lineRule="auto"/>
        <w:ind w:firstLine="480" w:firstLineChars="200"/>
        <w:rPr>
          <w:sz w:val="24"/>
          <w:szCs w:val="24"/>
        </w:rPr>
      </w:pPr>
      <w:r>
        <w:rPr>
          <w:rFonts w:hint="eastAsia"/>
          <w:sz w:val="24"/>
          <w:szCs w:val="24"/>
        </w:rPr>
        <w:t>1. 所有项目工作完成，采购人组织验收。</w:t>
      </w:r>
    </w:p>
    <w:p>
      <w:pPr>
        <w:snapToGrid w:val="0"/>
        <w:spacing w:line="360" w:lineRule="auto"/>
        <w:ind w:firstLine="480" w:firstLineChars="200"/>
        <w:rPr>
          <w:sz w:val="24"/>
          <w:szCs w:val="24"/>
        </w:rPr>
      </w:pPr>
      <w:r>
        <w:rPr>
          <w:rFonts w:hint="eastAsia"/>
          <w:sz w:val="24"/>
          <w:szCs w:val="24"/>
        </w:rPr>
        <w:t>2.施工过程应遵照现行国家有关及规程规范进行施工，按照有关要求进行检查验收。成交供应商提供的所有设备和材料应有完善的质量检测手段和质量保证体系，必须符合国家标准和行业标准。</w:t>
      </w:r>
    </w:p>
    <w:p>
      <w:pPr>
        <w:snapToGrid w:val="0"/>
        <w:spacing w:line="360" w:lineRule="auto"/>
        <w:ind w:firstLine="480" w:firstLineChars="200"/>
        <w:rPr>
          <w:sz w:val="24"/>
          <w:szCs w:val="24"/>
        </w:rPr>
      </w:pPr>
      <w:r>
        <w:rPr>
          <w:rFonts w:hint="eastAsia"/>
          <w:sz w:val="24"/>
          <w:szCs w:val="24"/>
        </w:rPr>
        <w:t>3.本项目为交钥匙工程，工程完工后，采购人在7个工作日内按国家相关标准验收程序和规程进行验收。</w:t>
      </w:r>
    </w:p>
    <w:p>
      <w:pPr>
        <w:snapToGrid w:val="0"/>
        <w:spacing w:line="360" w:lineRule="auto"/>
        <w:ind w:firstLine="480" w:firstLineChars="200"/>
        <w:rPr>
          <w:sz w:val="24"/>
          <w:szCs w:val="24"/>
        </w:rPr>
      </w:pPr>
      <w:r>
        <w:rPr>
          <w:rFonts w:hint="eastAsia"/>
          <w:sz w:val="24"/>
          <w:szCs w:val="24"/>
        </w:rPr>
        <w:t>4．如验收达不到规定要求，需返工的工程所产生的费用以及对采购人造成一定的影响，成交供应商承担一切责任，并赔偿所造成的损失。（其中验收相关的费用由成交供应商自行承担）</w:t>
      </w:r>
    </w:p>
    <w:p>
      <w:pPr>
        <w:snapToGrid w:val="0"/>
        <w:spacing w:line="360" w:lineRule="auto"/>
        <w:ind w:firstLine="480" w:firstLineChars="200"/>
        <w:rPr>
          <w:rFonts w:ascii="Times New Roman" w:hAnsi="Times New Roman"/>
          <w:sz w:val="24"/>
          <w:szCs w:val="24"/>
        </w:rPr>
      </w:pPr>
      <w:r>
        <w:rPr>
          <w:rFonts w:hint="eastAsia"/>
          <w:sz w:val="24"/>
          <w:szCs w:val="24"/>
        </w:rPr>
        <w:t>5.成交供应商须做好施工全过程中相关工程资料的留存，须有施工现场的施工前后及期间相应节点的对比影像资料（特别是隐蔽工程）用于后期结算。因缺少影像资料造成无法办理相关工程内容结算的损失由成交供应商自行承担。</w:t>
      </w:r>
    </w:p>
    <w:p>
      <w:pPr>
        <w:pStyle w:val="6"/>
        <w:spacing w:before="0" w:after="0" w:line="360" w:lineRule="auto"/>
        <w:ind w:firstLine="482" w:firstLineChars="200"/>
        <w:rPr>
          <w:rFonts w:ascii="宋体"/>
          <w:sz w:val="24"/>
          <w:szCs w:val="24"/>
        </w:rPr>
      </w:pPr>
      <w:bookmarkStart w:id="70" w:name="_Toc79589964"/>
      <w:bookmarkStart w:id="71" w:name="_Toc22442"/>
      <w:bookmarkStart w:id="72" w:name="_Toc15365"/>
      <w:bookmarkStart w:id="73" w:name="_Toc137459395"/>
      <w:bookmarkStart w:id="74" w:name="_Toc24153"/>
      <w:bookmarkStart w:id="75" w:name="_Toc267320050"/>
      <w:r>
        <w:rPr>
          <w:rFonts w:hint="eastAsia" w:ascii="宋体"/>
          <w:sz w:val="24"/>
          <w:szCs w:val="24"/>
        </w:rPr>
        <w:t>※二、报价要求</w:t>
      </w:r>
      <w:bookmarkEnd w:id="70"/>
      <w:bookmarkEnd w:id="71"/>
      <w:bookmarkEnd w:id="72"/>
      <w:bookmarkEnd w:id="73"/>
      <w:bookmarkEnd w:id="74"/>
    </w:p>
    <w:p>
      <w:pPr>
        <w:snapToGrid w:val="0"/>
        <w:spacing w:line="360" w:lineRule="auto"/>
        <w:ind w:firstLine="480" w:firstLineChars="200"/>
        <w:rPr>
          <w:sz w:val="24"/>
          <w:szCs w:val="24"/>
        </w:rPr>
      </w:pPr>
      <w:r>
        <w:rPr>
          <w:rFonts w:hint="eastAsia"/>
          <w:sz w:val="24"/>
          <w:szCs w:val="24"/>
        </w:rPr>
        <w:t>本次报价为人民币报价，包含：施工费、材料费、运输费（含装卸费）、安装费、调试费、人工费、保险费、税费等所有费用。（签订合同实行包干价，施工过程中不增加任何费用）</w:t>
      </w:r>
    </w:p>
    <w:p>
      <w:pPr>
        <w:pStyle w:val="6"/>
        <w:spacing w:before="0" w:after="0" w:line="360" w:lineRule="auto"/>
        <w:ind w:firstLine="482" w:firstLineChars="200"/>
        <w:rPr>
          <w:rFonts w:ascii="宋体"/>
          <w:sz w:val="24"/>
          <w:szCs w:val="24"/>
        </w:rPr>
      </w:pPr>
      <w:bookmarkStart w:id="76" w:name="_Toc22216"/>
      <w:bookmarkStart w:id="77" w:name="_Toc137459396"/>
      <w:bookmarkStart w:id="78" w:name="_Toc16035"/>
      <w:bookmarkStart w:id="79" w:name="_Toc24783"/>
      <w:bookmarkStart w:id="80" w:name="_Toc79589965"/>
      <w:r>
        <w:rPr>
          <w:rFonts w:hint="eastAsia" w:ascii="宋体"/>
          <w:sz w:val="24"/>
          <w:szCs w:val="24"/>
        </w:rPr>
        <w:t>※三、质量保证及售后服务</w:t>
      </w:r>
      <w:bookmarkEnd w:id="75"/>
      <w:bookmarkEnd w:id="76"/>
      <w:bookmarkEnd w:id="77"/>
      <w:bookmarkEnd w:id="78"/>
      <w:bookmarkEnd w:id="79"/>
      <w:bookmarkEnd w:id="80"/>
    </w:p>
    <w:p>
      <w:pPr>
        <w:snapToGrid w:val="0"/>
        <w:spacing w:line="360" w:lineRule="auto"/>
        <w:ind w:firstLine="480" w:firstLineChars="200"/>
        <w:rPr>
          <w:sz w:val="24"/>
          <w:szCs w:val="24"/>
        </w:rPr>
      </w:pPr>
      <w:bookmarkStart w:id="81" w:name="_Toc24459"/>
      <w:bookmarkStart w:id="82" w:name="_Toc524444868"/>
      <w:bookmarkStart w:id="83" w:name="_Toc30476"/>
      <w:bookmarkStart w:id="84" w:name="_Toc14239"/>
      <w:bookmarkStart w:id="85" w:name="_Toc267320051"/>
      <w:bookmarkStart w:id="86" w:name="_Toc449477399"/>
      <w:bookmarkStart w:id="87" w:name="_Toc79589967"/>
      <w:bookmarkStart w:id="88" w:name="_Toc523837616"/>
      <w:r>
        <w:rPr>
          <w:rFonts w:hint="eastAsia"/>
          <w:sz w:val="24"/>
          <w:szCs w:val="24"/>
        </w:rPr>
        <w:t>（一）质量保证</w:t>
      </w:r>
    </w:p>
    <w:p>
      <w:pPr>
        <w:snapToGrid w:val="0"/>
        <w:spacing w:line="360" w:lineRule="auto"/>
        <w:ind w:firstLine="480" w:firstLineChars="200"/>
        <w:rPr>
          <w:sz w:val="24"/>
          <w:szCs w:val="24"/>
        </w:rPr>
      </w:pPr>
      <w:r>
        <w:rPr>
          <w:rFonts w:hint="eastAsia"/>
          <w:sz w:val="24"/>
          <w:szCs w:val="24"/>
        </w:rPr>
        <w:t>1.1项目质保期</w:t>
      </w:r>
    </w:p>
    <w:p>
      <w:pPr>
        <w:snapToGrid w:val="0"/>
        <w:spacing w:line="360" w:lineRule="auto"/>
        <w:ind w:firstLine="480" w:firstLineChars="200"/>
        <w:rPr>
          <w:sz w:val="24"/>
          <w:szCs w:val="24"/>
        </w:rPr>
      </w:pPr>
      <w:r>
        <w:rPr>
          <w:rFonts w:hint="eastAsia"/>
          <w:sz w:val="24"/>
          <w:szCs w:val="24"/>
        </w:rPr>
        <w:t>整体工程质保期2年。</w:t>
      </w:r>
    </w:p>
    <w:p>
      <w:pPr>
        <w:snapToGrid w:val="0"/>
        <w:spacing w:line="360" w:lineRule="auto"/>
        <w:ind w:firstLine="480" w:firstLineChars="200"/>
        <w:rPr>
          <w:sz w:val="24"/>
          <w:szCs w:val="24"/>
        </w:rPr>
      </w:pPr>
      <w:r>
        <w:rPr>
          <w:rFonts w:hint="eastAsia"/>
          <w:sz w:val="24"/>
          <w:szCs w:val="24"/>
        </w:rPr>
        <w:t>（二）售后服务期限和内容</w:t>
      </w:r>
    </w:p>
    <w:p>
      <w:pPr>
        <w:snapToGrid w:val="0"/>
        <w:spacing w:line="360" w:lineRule="auto"/>
        <w:ind w:firstLine="480" w:firstLineChars="200"/>
        <w:rPr>
          <w:sz w:val="24"/>
          <w:szCs w:val="24"/>
        </w:rPr>
      </w:pPr>
      <w:r>
        <w:rPr>
          <w:rFonts w:hint="eastAsia"/>
          <w:sz w:val="24"/>
          <w:szCs w:val="24"/>
        </w:rPr>
        <w:t>售后服务期限不低于2年。成交供应商应当为采购人提供以下技术支持和服务：</w:t>
      </w:r>
    </w:p>
    <w:p>
      <w:pPr>
        <w:snapToGrid w:val="0"/>
        <w:spacing w:line="360" w:lineRule="auto"/>
        <w:ind w:firstLine="480" w:firstLineChars="200"/>
        <w:rPr>
          <w:sz w:val="24"/>
          <w:szCs w:val="24"/>
        </w:rPr>
      </w:pPr>
      <w:r>
        <w:rPr>
          <w:rFonts w:hint="eastAsia"/>
          <w:sz w:val="24"/>
          <w:szCs w:val="24"/>
        </w:rPr>
        <w:t>2.1电话咨询</w:t>
      </w:r>
    </w:p>
    <w:p>
      <w:pPr>
        <w:snapToGrid w:val="0"/>
        <w:spacing w:line="360" w:lineRule="auto"/>
        <w:ind w:firstLine="480" w:firstLineChars="200"/>
        <w:rPr>
          <w:sz w:val="24"/>
          <w:szCs w:val="24"/>
        </w:rPr>
      </w:pPr>
      <w:r>
        <w:rPr>
          <w:rFonts w:hint="eastAsia"/>
          <w:sz w:val="24"/>
          <w:szCs w:val="24"/>
        </w:rPr>
        <w:t>成交供应商应当为采购人提供技术援助电话，解答采购人在使用中遇到的问题，及时为采购人提出解决问题的建议。</w:t>
      </w:r>
    </w:p>
    <w:p>
      <w:pPr>
        <w:snapToGrid w:val="0"/>
        <w:spacing w:line="360" w:lineRule="auto"/>
        <w:ind w:firstLine="480" w:firstLineChars="200"/>
        <w:rPr>
          <w:sz w:val="24"/>
          <w:szCs w:val="24"/>
        </w:rPr>
      </w:pPr>
      <w:r>
        <w:rPr>
          <w:rFonts w:hint="eastAsia"/>
          <w:sz w:val="24"/>
          <w:szCs w:val="24"/>
        </w:rPr>
        <w:t>2.2现场响应</w:t>
      </w:r>
    </w:p>
    <w:p>
      <w:pPr>
        <w:snapToGrid w:val="0"/>
        <w:spacing w:line="360" w:lineRule="auto"/>
        <w:ind w:firstLine="480" w:firstLineChars="200"/>
        <w:rPr>
          <w:sz w:val="24"/>
          <w:szCs w:val="24"/>
        </w:rPr>
      </w:pPr>
      <w:r>
        <w:rPr>
          <w:rFonts w:hint="eastAsia"/>
          <w:sz w:val="24"/>
          <w:szCs w:val="24"/>
        </w:rPr>
        <w:t>采购人遇到使用及技术问题，电话咨询不能解决的，成交供应商应在8小内到达现场进行处理，确保产品正常工作；无法在48小时内解决的，应在120小时内提供备用产品，使采购人能够正常使用。</w:t>
      </w:r>
    </w:p>
    <w:p>
      <w:pPr>
        <w:snapToGrid w:val="0"/>
        <w:spacing w:line="360" w:lineRule="auto"/>
        <w:ind w:firstLine="480" w:firstLineChars="200"/>
        <w:rPr>
          <w:sz w:val="24"/>
          <w:szCs w:val="24"/>
        </w:rPr>
      </w:pPr>
      <w:r>
        <w:rPr>
          <w:rFonts w:hint="eastAsia"/>
          <w:sz w:val="24"/>
          <w:szCs w:val="24"/>
        </w:rPr>
        <w:t>2.2.3  消防系统。每月对气体管网巡检，看管网表面油漆有无脱落、锈蚀，支架是否松动。喷嘴处有无杂物堵塞，周围是否有遮挡物挡住喷嘴。每月巡检探测器，手动报警按钮和警铃的外观以及其工作状况。巡检火灾自动报警控制器、显示器的功能。并对报警控制器、各消防控制线路接线箱进行清洁保养。</w:t>
      </w:r>
    </w:p>
    <w:p>
      <w:pPr>
        <w:snapToGrid w:val="0"/>
        <w:spacing w:line="360" w:lineRule="auto"/>
        <w:ind w:firstLine="480" w:firstLineChars="200"/>
        <w:rPr>
          <w:sz w:val="24"/>
          <w:szCs w:val="24"/>
        </w:rPr>
      </w:pPr>
      <w:r>
        <w:rPr>
          <w:rFonts w:hint="eastAsia"/>
          <w:sz w:val="24"/>
          <w:szCs w:val="24"/>
        </w:rPr>
        <w:t>2.2.4 电气设备。每季度定期检测机房电气装置，做到整齐、牢固、正确、标志明确、外观良好、内外清洁。如有老化损坏现象，要积极维修更换。</w:t>
      </w:r>
    </w:p>
    <w:p>
      <w:pPr>
        <w:snapToGrid w:val="0"/>
        <w:spacing w:line="360" w:lineRule="auto"/>
        <w:ind w:firstLine="480" w:firstLineChars="200"/>
        <w:rPr>
          <w:sz w:val="24"/>
          <w:szCs w:val="24"/>
        </w:rPr>
      </w:pPr>
      <w:r>
        <w:rPr>
          <w:rFonts w:hint="eastAsia"/>
          <w:sz w:val="24"/>
          <w:szCs w:val="24"/>
        </w:rPr>
        <w:t>2.3 其它售后服务工作</w:t>
      </w:r>
    </w:p>
    <w:p>
      <w:pPr>
        <w:snapToGrid w:val="0"/>
        <w:spacing w:line="360" w:lineRule="auto"/>
        <w:ind w:firstLine="480" w:firstLineChars="200"/>
        <w:rPr>
          <w:sz w:val="24"/>
          <w:szCs w:val="24"/>
        </w:rPr>
      </w:pPr>
      <w:r>
        <w:rPr>
          <w:rFonts w:hint="eastAsia"/>
          <w:sz w:val="24"/>
          <w:szCs w:val="24"/>
        </w:rPr>
        <w:t>成交供应商须完成采购人根据实际工作情况安排的其它售后服务工作。</w:t>
      </w:r>
    </w:p>
    <w:p>
      <w:pPr>
        <w:snapToGrid w:val="0"/>
        <w:spacing w:line="360" w:lineRule="auto"/>
        <w:ind w:firstLine="480" w:firstLineChars="200"/>
        <w:rPr>
          <w:sz w:val="24"/>
          <w:szCs w:val="24"/>
        </w:rPr>
      </w:pPr>
      <w:r>
        <w:rPr>
          <w:rFonts w:hint="eastAsia"/>
          <w:sz w:val="24"/>
          <w:szCs w:val="24"/>
        </w:rPr>
        <w:t>2.4质保期外服务要求。</w:t>
      </w:r>
    </w:p>
    <w:p>
      <w:pPr>
        <w:snapToGrid w:val="0"/>
        <w:spacing w:line="360" w:lineRule="auto"/>
        <w:ind w:firstLine="480" w:firstLineChars="200"/>
        <w:rPr>
          <w:sz w:val="24"/>
          <w:szCs w:val="24"/>
        </w:rPr>
      </w:pPr>
      <w:r>
        <w:rPr>
          <w:rFonts w:hint="eastAsia"/>
          <w:sz w:val="24"/>
          <w:szCs w:val="24"/>
        </w:rPr>
        <w:t>2.4.1质量保证期过后，供应商和制造商应同样提供免费电话咨询服务，并应承诺提供产品上门维护服务。</w:t>
      </w:r>
    </w:p>
    <w:p>
      <w:pPr>
        <w:snapToGrid w:val="0"/>
        <w:spacing w:line="360" w:lineRule="auto"/>
        <w:ind w:firstLine="480" w:firstLineChars="200"/>
        <w:rPr>
          <w:sz w:val="24"/>
          <w:szCs w:val="24"/>
        </w:rPr>
      </w:pPr>
      <w:r>
        <w:rPr>
          <w:rFonts w:hint="eastAsia"/>
          <w:sz w:val="24"/>
          <w:szCs w:val="24"/>
        </w:rPr>
        <w:t>2.4.2 质量保证期过后，采购人需要继续由原供应商和制造商提供售后服务的，该供应商和制造商应以优惠价格提供售后服务。</w:t>
      </w:r>
    </w:p>
    <w:p>
      <w:pPr>
        <w:snapToGrid w:val="0"/>
        <w:spacing w:line="360" w:lineRule="auto"/>
        <w:ind w:firstLine="480" w:firstLineChars="200"/>
        <w:rPr>
          <w:sz w:val="24"/>
          <w:szCs w:val="24"/>
        </w:rPr>
      </w:pPr>
      <w:r>
        <w:rPr>
          <w:rFonts w:hint="eastAsia"/>
          <w:sz w:val="24"/>
          <w:szCs w:val="24"/>
        </w:rPr>
        <w:t>2.5.3 质量保证期过后，对于因设计、材料及制造工艺等存在的潜在缺陷，而非正常的老化、磨损或运行过程中第三方损坏等，供应商和制造商应同样提供免费服务。</w:t>
      </w:r>
    </w:p>
    <w:p>
      <w:pPr>
        <w:pStyle w:val="6"/>
        <w:spacing w:before="0" w:after="0" w:line="360" w:lineRule="auto"/>
        <w:ind w:firstLine="482" w:firstLineChars="200"/>
        <w:rPr>
          <w:rFonts w:ascii="宋体"/>
          <w:sz w:val="24"/>
          <w:szCs w:val="24"/>
        </w:rPr>
      </w:pPr>
      <w:bookmarkStart w:id="89" w:name="_Toc137459397"/>
      <w:r>
        <w:rPr>
          <w:rFonts w:hint="eastAsia" w:ascii="宋体"/>
          <w:sz w:val="24"/>
          <w:szCs w:val="24"/>
        </w:rPr>
        <w:t>※四、付款方式</w:t>
      </w:r>
      <w:bookmarkEnd w:id="89"/>
    </w:p>
    <w:p>
      <w:pPr>
        <w:snapToGrid w:val="0"/>
        <w:spacing w:line="360" w:lineRule="auto"/>
        <w:ind w:firstLine="480" w:firstLineChars="200"/>
        <w:rPr>
          <w:sz w:val="24"/>
          <w:szCs w:val="24"/>
        </w:rPr>
      </w:pPr>
      <w:r>
        <w:rPr>
          <w:rFonts w:hint="eastAsia"/>
          <w:sz w:val="24"/>
          <w:szCs w:val="24"/>
        </w:rPr>
        <w:t>（一）本工程无预付款。</w:t>
      </w:r>
    </w:p>
    <w:p>
      <w:pPr>
        <w:snapToGrid w:val="0"/>
        <w:spacing w:line="360" w:lineRule="auto"/>
        <w:ind w:firstLine="480" w:firstLineChars="200"/>
        <w:rPr>
          <w:sz w:val="24"/>
          <w:szCs w:val="24"/>
        </w:rPr>
      </w:pPr>
      <w:r>
        <w:rPr>
          <w:rFonts w:hint="eastAsia"/>
          <w:sz w:val="24"/>
          <w:szCs w:val="24"/>
        </w:rPr>
        <w:t>（二）竣工验收合格后14日内，采购人向成交供应商支付合同总金额的97%。</w:t>
      </w:r>
    </w:p>
    <w:p>
      <w:pPr>
        <w:snapToGrid w:val="0"/>
        <w:spacing w:line="360" w:lineRule="auto"/>
        <w:ind w:firstLine="480" w:firstLineChars="200"/>
        <w:rPr>
          <w:sz w:val="24"/>
          <w:szCs w:val="24"/>
        </w:rPr>
      </w:pPr>
      <w:r>
        <w:rPr>
          <w:rFonts w:hint="eastAsia"/>
          <w:sz w:val="24"/>
          <w:szCs w:val="24"/>
        </w:rPr>
        <w:t>（三）竣工验收2年后，如果成交供应商提供的质量保证和售后服务符合招标要求、投标承诺及合同约定，采购人退还3%质保金。</w:t>
      </w:r>
    </w:p>
    <w:bookmarkEnd w:id="81"/>
    <w:bookmarkEnd w:id="82"/>
    <w:bookmarkEnd w:id="83"/>
    <w:bookmarkEnd w:id="84"/>
    <w:bookmarkEnd w:id="85"/>
    <w:bookmarkEnd w:id="86"/>
    <w:bookmarkEnd w:id="87"/>
    <w:bookmarkEnd w:id="88"/>
    <w:p>
      <w:pPr>
        <w:snapToGrid w:val="0"/>
        <w:spacing w:line="360" w:lineRule="auto"/>
        <w:ind w:firstLine="482" w:firstLineChars="200"/>
        <w:rPr>
          <w:rFonts w:ascii="宋体" w:hAnsi="宋体"/>
          <w:b/>
          <w:sz w:val="24"/>
          <w:szCs w:val="24"/>
        </w:rPr>
      </w:pPr>
      <w:r>
        <w:rPr>
          <w:rFonts w:hint="eastAsia" w:ascii="宋体" w:hAnsi="宋体"/>
          <w:b/>
          <w:sz w:val="24"/>
          <w:szCs w:val="24"/>
        </w:rPr>
        <w:t>五、知识产权</w:t>
      </w:r>
    </w:p>
    <w:p>
      <w:pPr>
        <w:snapToGrid w:val="0"/>
        <w:spacing w:line="360" w:lineRule="auto"/>
        <w:ind w:firstLine="480" w:firstLineChars="200"/>
        <w:rPr>
          <w:sz w:val="24"/>
          <w:szCs w:val="24"/>
        </w:rPr>
      </w:pPr>
      <w:r>
        <w:rPr>
          <w:rFonts w:hint="eastAsia"/>
          <w:sz w:val="24"/>
          <w:szCs w:val="24"/>
        </w:rPr>
        <w:t>采购人在中华人民共和国境内使用成交供应商提供的货物及服务时免受第三方提出的侵犯其专利权或其它知识产权的起诉。如果第三方提出侵权指控，成交供应商应承担由此而引起的一切法律责任和费用。</w:t>
      </w:r>
    </w:p>
    <w:p>
      <w:pPr>
        <w:pStyle w:val="6"/>
        <w:spacing w:before="0" w:after="0" w:line="360" w:lineRule="auto"/>
        <w:ind w:firstLine="482" w:firstLineChars="200"/>
        <w:rPr>
          <w:rFonts w:ascii="宋体" w:hAnsi="宋体"/>
          <w:sz w:val="24"/>
          <w:szCs w:val="24"/>
        </w:rPr>
      </w:pPr>
      <w:bookmarkStart w:id="90" w:name="_Toc523837618"/>
      <w:bookmarkStart w:id="91" w:name="_Toc137459398"/>
      <w:bookmarkStart w:id="92" w:name="_Toc79589968"/>
      <w:bookmarkStart w:id="93" w:name="_Toc524444870"/>
      <w:bookmarkStart w:id="94" w:name="_Toc80620854"/>
      <w:bookmarkStart w:id="95" w:name="_Toc23829"/>
      <w:bookmarkStart w:id="96" w:name="_Toc27507"/>
      <w:bookmarkStart w:id="97" w:name="_Toc441065672"/>
      <w:r>
        <w:rPr>
          <w:rFonts w:hint="eastAsia" w:ascii="宋体" w:hAnsi="宋体"/>
          <w:sz w:val="24"/>
          <w:szCs w:val="24"/>
        </w:rPr>
        <w:t>六、其他</w:t>
      </w:r>
      <w:bookmarkEnd w:id="90"/>
      <w:bookmarkEnd w:id="91"/>
      <w:bookmarkEnd w:id="92"/>
      <w:bookmarkEnd w:id="93"/>
      <w:bookmarkEnd w:id="94"/>
      <w:bookmarkEnd w:id="95"/>
      <w:bookmarkEnd w:id="96"/>
      <w:bookmarkEnd w:id="97"/>
    </w:p>
    <w:p>
      <w:pPr>
        <w:snapToGrid w:val="0"/>
        <w:spacing w:line="360" w:lineRule="auto"/>
        <w:ind w:firstLine="480" w:firstLineChars="200"/>
        <w:rPr>
          <w:sz w:val="24"/>
          <w:szCs w:val="24"/>
        </w:rPr>
      </w:pPr>
      <w:r>
        <w:rPr>
          <w:rFonts w:hint="eastAsia"/>
          <w:sz w:val="24"/>
          <w:szCs w:val="24"/>
        </w:rPr>
        <w:t>（一）供应商必须在响应文件中对以上条款和服务承诺明确列出，承诺内容必须达到本篇及采购文件其他条款的要求。</w:t>
      </w:r>
    </w:p>
    <w:p>
      <w:pPr>
        <w:snapToGrid w:val="0"/>
        <w:spacing w:line="360" w:lineRule="auto"/>
        <w:ind w:firstLine="480" w:firstLineChars="200"/>
        <w:rPr>
          <w:sz w:val="24"/>
          <w:szCs w:val="24"/>
        </w:rPr>
      </w:pPr>
      <w:r>
        <w:rPr>
          <w:rFonts w:hint="eastAsia"/>
          <w:sz w:val="24"/>
          <w:szCs w:val="24"/>
        </w:rPr>
        <w:t>（二）其他未尽事宜由双方在合同中约定。</w:t>
      </w:r>
    </w:p>
    <w:p>
      <w:pPr>
        <w:pStyle w:val="2"/>
        <w:ind w:firstLine="480"/>
        <w:rPr>
          <w:rFonts w:ascii="Calibri" w:eastAsia="宋体"/>
          <w:sz w:val="24"/>
          <w:szCs w:val="24"/>
        </w:rPr>
      </w:pPr>
    </w:p>
    <w:p>
      <w:pPr>
        <w:snapToGrid w:val="0"/>
        <w:spacing w:line="360" w:lineRule="auto"/>
        <w:ind w:firstLine="480" w:firstLineChars="200"/>
        <w:rPr>
          <w:rFonts w:ascii="宋体"/>
          <w:sz w:val="24"/>
          <w:szCs w:val="24"/>
        </w:rPr>
      </w:pPr>
    </w:p>
    <w:p>
      <w:pPr>
        <w:snapToGrid w:val="0"/>
        <w:spacing w:line="360" w:lineRule="auto"/>
        <w:ind w:firstLine="480" w:firstLineChars="200"/>
        <w:rPr>
          <w:rFonts w:ascii="宋体"/>
          <w:sz w:val="24"/>
          <w:szCs w:val="24"/>
        </w:rPr>
      </w:pPr>
    </w:p>
    <w:p>
      <w:pPr>
        <w:pStyle w:val="5"/>
        <w:pageBreakBefore/>
        <w:spacing w:line="360" w:lineRule="auto"/>
        <w:jc w:val="center"/>
        <w:rPr>
          <w:rFonts w:ascii="宋体" w:eastAsia="宋体"/>
          <w:sz w:val="36"/>
          <w:szCs w:val="30"/>
        </w:rPr>
      </w:pPr>
      <w:bookmarkStart w:id="98" w:name="_Toc137459399"/>
      <w:r>
        <w:rPr>
          <w:rFonts w:hint="eastAsia" w:ascii="宋体" w:eastAsia="宋体"/>
          <w:sz w:val="36"/>
          <w:szCs w:val="30"/>
        </w:rPr>
        <w:t>第四篇  磋商程序及方法、评审标准、无效响应和采购终止</w:t>
      </w:r>
      <w:bookmarkEnd w:id="98"/>
    </w:p>
    <w:p>
      <w:pPr>
        <w:pStyle w:val="6"/>
        <w:snapToGrid w:val="0"/>
        <w:spacing w:before="0" w:after="0" w:line="360" w:lineRule="auto"/>
        <w:ind w:firstLine="482" w:firstLineChars="200"/>
        <w:rPr>
          <w:rFonts w:ascii="宋体" w:hAnsi="宋体"/>
          <w:sz w:val="24"/>
          <w:szCs w:val="24"/>
        </w:rPr>
      </w:pPr>
      <w:bookmarkStart w:id="99" w:name="_Toc135234096"/>
      <w:bookmarkStart w:id="100" w:name="_Toc137459400"/>
      <w:r>
        <w:rPr>
          <w:rFonts w:hint="eastAsia" w:ascii="宋体" w:hAnsi="宋体"/>
          <w:sz w:val="24"/>
          <w:szCs w:val="24"/>
        </w:rPr>
        <w:t>一、磋商程序及方法</w:t>
      </w:r>
      <w:bookmarkEnd w:id="99"/>
      <w:bookmarkEnd w:id="100"/>
    </w:p>
    <w:p>
      <w:pPr>
        <w:spacing w:line="360" w:lineRule="auto"/>
        <w:ind w:firstLine="480" w:firstLineChars="200"/>
        <w:rPr>
          <w:rFonts w:ascii="宋体" w:hAnsi="宋体"/>
          <w:sz w:val="24"/>
          <w:szCs w:val="24"/>
        </w:rPr>
      </w:pPr>
      <w:r>
        <w:rPr>
          <w:rFonts w:hint="eastAsia" w:ascii="宋体" w:hAnsi="宋体"/>
          <w:sz w:val="24"/>
          <w:szCs w:val="24"/>
        </w:rPr>
        <w:t>（一）磋商按竞争性磋商文件规定的时间和地点进行，供应商须有法定代表人或其授权代表参加并签到。竞争性磋商以抽签的形式确定磋商顺序，由本项目依法组建的磋商小组分别与各供应商进行磋商。</w:t>
      </w:r>
    </w:p>
    <w:p>
      <w:pPr>
        <w:spacing w:line="360" w:lineRule="auto"/>
        <w:ind w:firstLine="480" w:firstLineChars="200"/>
        <w:rPr>
          <w:rFonts w:ascii="宋体" w:hAnsi="宋体"/>
          <w:sz w:val="24"/>
          <w:szCs w:val="24"/>
        </w:rPr>
      </w:pPr>
      <w:r>
        <w:rPr>
          <w:rFonts w:hint="eastAsia" w:ascii="宋体" w:hAnsi="宋体"/>
          <w:sz w:val="24"/>
          <w:szCs w:val="24"/>
        </w:rPr>
        <w:t>（二）磋商小组对各供应商的资格条件、响应文件的有效性、完整性和响应程度进行审查。各供应商只有在完全符合要求的前提下，才能参与正式磋商。</w:t>
      </w:r>
    </w:p>
    <w:p>
      <w:pPr>
        <w:snapToGrid w:val="0"/>
        <w:spacing w:line="360" w:lineRule="auto"/>
        <w:ind w:firstLine="480" w:firstLineChars="200"/>
        <w:rPr>
          <w:rFonts w:ascii="宋体" w:hAnsi="宋体" w:cs="宋体"/>
          <w:kern w:val="0"/>
          <w:sz w:val="24"/>
          <w:szCs w:val="24"/>
        </w:rPr>
      </w:pPr>
      <w:r>
        <w:rPr>
          <w:rFonts w:hint="eastAsia" w:ascii="宋体" w:hAnsi="宋体"/>
          <w:sz w:val="24"/>
          <w:szCs w:val="24"/>
        </w:rPr>
        <w:t>1.</w:t>
      </w:r>
      <w:r>
        <w:rPr>
          <w:rFonts w:hint="eastAsia" w:ascii="宋体" w:hAnsi="宋体" w:cs="宋体"/>
          <w:kern w:val="0"/>
          <w:sz w:val="24"/>
          <w:szCs w:val="24"/>
        </w:rPr>
        <w:t>资格性检查。依据法律法规和竞争性磋商文件的规定，对响应文件中的资格证明、磋商保证金等进行审查，以确定供应商是否具备磋商资格。资格性检查资料表如下：</w:t>
      </w:r>
    </w:p>
    <w:tbl>
      <w:tblPr>
        <w:tblStyle w:val="68"/>
        <w:tblW w:w="96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851"/>
        <w:gridCol w:w="4421"/>
        <w:gridCol w:w="3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trPr>
        <w:tc>
          <w:tcPr>
            <w:tcW w:w="817" w:type="dxa"/>
            <w:vAlign w:val="center"/>
          </w:tcPr>
          <w:p>
            <w:pPr>
              <w:snapToGrid w:val="0"/>
              <w:jc w:val="center"/>
              <w:rPr>
                <w:rFonts w:ascii="宋体" w:hAnsi="宋体" w:cs="宋体"/>
                <w:b/>
                <w:kern w:val="0"/>
                <w:sz w:val="21"/>
                <w:szCs w:val="21"/>
              </w:rPr>
            </w:pPr>
            <w:r>
              <w:rPr>
                <w:rFonts w:hint="eastAsia" w:ascii="宋体" w:hAnsi="宋体" w:cs="宋体"/>
                <w:b/>
                <w:kern w:val="0"/>
                <w:sz w:val="21"/>
                <w:szCs w:val="21"/>
              </w:rPr>
              <w:t>序号</w:t>
            </w:r>
          </w:p>
        </w:tc>
        <w:tc>
          <w:tcPr>
            <w:tcW w:w="5272" w:type="dxa"/>
            <w:gridSpan w:val="2"/>
            <w:vAlign w:val="center"/>
          </w:tcPr>
          <w:p>
            <w:pPr>
              <w:snapToGrid w:val="0"/>
              <w:jc w:val="center"/>
              <w:rPr>
                <w:rFonts w:ascii="宋体" w:hAnsi="宋体" w:cs="宋体"/>
                <w:b/>
                <w:kern w:val="0"/>
                <w:sz w:val="21"/>
                <w:szCs w:val="21"/>
              </w:rPr>
            </w:pPr>
            <w:r>
              <w:rPr>
                <w:rFonts w:hint="eastAsia" w:ascii="宋体" w:hAnsi="宋体" w:cs="宋体"/>
                <w:b/>
                <w:kern w:val="0"/>
                <w:sz w:val="21"/>
                <w:szCs w:val="21"/>
              </w:rPr>
              <w:t>检查因素</w:t>
            </w:r>
          </w:p>
        </w:tc>
        <w:tc>
          <w:tcPr>
            <w:tcW w:w="3579" w:type="dxa"/>
            <w:vAlign w:val="center"/>
          </w:tcPr>
          <w:p>
            <w:pPr>
              <w:snapToGrid w:val="0"/>
              <w:jc w:val="center"/>
              <w:rPr>
                <w:rFonts w:ascii="宋体" w:hAnsi="宋体" w:cs="宋体"/>
                <w:b/>
                <w:kern w:val="0"/>
                <w:sz w:val="21"/>
                <w:szCs w:val="21"/>
              </w:rPr>
            </w:pPr>
            <w:r>
              <w:rPr>
                <w:rFonts w:hint="eastAsia" w:ascii="宋体" w:hAnsi="宋体" w:cs="宋体"/>
                <w:b/>
                <w:kern w:val="0"/>
                <w:sz w:val="21"/>
                <w:szCs w:val="21"/>
              </w:rPr>
              <w:t>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2" w:hRule="atLeast"/>
        </w:trPr>
        <w:tc>
          <w:tcPr>
            <w:tcW w:w="817" w:type="dxa"/>
            <w:vMerge w:val="restart"/>
            <w:vAlign w:val="center"/>
          </w:tcPr>
          <w:p>
            <w:pPr>
              <w:snapToGrid w:val="0"/>
              <w:jc w:val="center"/>
              <w:rPr>
                <w:rFonts w:ascii="宋体" w:hAnsi="宋体"/>
                <w:sz w:val="21"/>
                <w:szCs w:val="21"/>
              </w:rPr>
            </w:pPr>
            <w:r>
              <w:rPr>
                <w:rFonts w:hint="eastAsia" w:ascii="宋体" w:hAnsi="宋体"/>
                <w:sz w:val="21"/>
                <w:szCs w:val="21"/>
              </w:rPr>
              <w:t>（一）</w:t>
            </w:r>
          </w:p>
        </w:tc>
        <w:tc>
          <w:tcPr>
            <w:tcW w:w="851" w:type="dxa"/>
            <w:vMerge w:val="restart"/>
            <w:vAlign w:val="center"/>
          </w:tcPr>
          <w:p>
            <w:pPr>
              <w:snapToGrid w:val="0"/>
              <w:rPr>
                <w:rFonts w:ascii="宋体" w:hAnsi="宋体" w:cs="仿宋_GB2312"/>
                <w:sz w:val="21"/>
                <w:szCs w:val="21"/>
                <w:lang w:val="zh-CN"/>
              </w:rPr>
            </w:pPr>
            <w:r>
              <w:rPr>
                <w:rFonts w:hint="eastAsia" w:ascii="宋体" w:hAnsi="宋体" w:cs="仿宋_GB2312"/>
                <w:sz w:val="21"/>
                <w:szCs w:val="21"/>
                <w:lang w:val="zh-CN"/>
              </w:rPr>
              <w:t>《中华人民共和国政府采购法》第二十二条规定</w:t>
            </w:r>
          </w:p>
        </w:tc>
        <w:tc>
          <w:tcPr>
            <w:tcW w:w="4421" w:type="dxa"/>
            <w:vAlign w:val="center"/>
          </w:tcPr>
          <w:p>
            <w:pPr>
              <w:snapToGrid w:val="0"/>
              <w:rPr>
                <w:rFonts w:ascii="宋体" w:hAnsi="宋体"/>
                <w:sz w:val="21"/>
                <w:szCs w:val="21"/>
              </w:rPr>
            </w:pPr>
            <w:r>
              <w:rPr>
                <w:rFonts w:hint="eastAsia" w:ascii="宋体" w:hAnsi="宋体"/>
                <w:sz w:val="21"/>
                <w:szCs w:val="21"/>
              </w:rPr>
              <w:t>1.具有独立承担民事责任的能力</w:t>
            </w:r>
          </w:p>
        </w:tc>
        <w:tc>
          <w:tcPr>
            <w:tcW w:w="3579" w:type="dxa"/>
            <w:vAlign w:val="center"/>
          </w:tcPr>
          <w:p>
            <w:pPr>
              <w:snapToGrid w:val="0"/>
              <w:rPr>
                <w:rFonts w:ascii="宋体" w:hAnsi="宋体"/>
                <w:sz w:val="21"/>
                <w:szCs w:val="21"/>
              </w:rPr>
            </w:pPr>
            <w:r>
              <w:rPr>
                <w:rFonts w:hint="eastAsia" w:ascii="宋体" w:hAnsi="宋体"/>
                <w:sz w:val="21"/>
                <w:szCs w:val="21"/>
              </w:rPr>
              <w:t>供应商法人营业执照（副本）或社会团体法人登记证书（副本）或民办非企业单位法人登记证书（副本）或事业单位法人证书（副本）或个体工商户营业执照或有效的自然人身份证明（提供复印件）；</w:t>
            </w:r>
          </w:p>
          <w:p>
            <w:pPr>
              <w:snapToGrid w:val="0"/>
              <w:rPr>
                <w:rFonts w:ascii="宋体" w:hAnsi="宋体"/>
                <w:sz w:val="21"/>
                <w:szCs w:val="21"/>
              </w:rPr>
            </w:pPr>
            <w:r>
              <w:rPr>
                <w:rFonts w:hint="eastAsia" w:ascii="宋体" w:hAnsi="宋体"/>
                <w:sz w:val="21"/>
                <w:szCs w:val="21"/>
              </w:rPr>
              <w:t>供应商法定代表人身份证明和法定代表人授权代表委托书。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1" w:hRule="atLeast"/>
        </w:trPr>
        <w:tc>
          <w:tcPr>
            <w:tcW w:w="817" w:type="dxa"/>
            <w:vMerge w:val="continue"/>
            <w:vAlign w:val="center"/>
          </w:tcPr>
          <w:p>
            <w:pPr>
              <w:rPr>
                <w:rFonts w:ascii="宋体" w:hAnsi="宋体"/>
                <w:sz w:val="21"/>
                <w:szCs w:val="21"/>
              </w:rPr>
            </w:pPr>
          </w:p>
        </w:tc>
        <w:tc>
          <w:tcPr>
            <w:tcW w:w="851" w:type="dxa"/>
            <w:vMerge w:val="continue"/>
            <w:vAlign w:val="center"/>
          </w:tcPr>
          <w:p>
            <w:pPr>
              <w:rPr>
                <w:rFonts w:ascii="宋体" w:hAnsi="宋体"/>
                <w:sz w:val="21"/>
                <w:szCs w:val="21"/>
              </w:rPr>
            </w:pPr>
          </w:p>
        </w:tc>
        <w:tc>
          <w:tcPr>
            <w:tcW w:w="4421" w:type="dxa"/>
            <w:vAlign w:val="center"/>
          </w:tcPr>
          <w:p>
            <w:pPr>
              <w:snapToGrid w:val="0"/>
              <w:rPr>
                <w:rFonts w:ascii="宋体" w:hAnsi="宋体"/>
                <w:sz w:val="21"/>
                <w:szCs w:val="21"/>
              </w:rPr>
            </w:pPr>
            <w:r>
              <w:rPr>
                <w:rFonts w:hint="eastAsia" w:ascii="宋体" w:hAnsi="宋体" w:cs="仿宋_GB2312"/>
                <w:sz w:val="21"/>
                <w:szCs w:val="21"/>
                <w:lang w:val="zh-CN"/>
              </w:rPr>
              <w:t>2.</w:t>
            </w:r>
            <w:r>
              <w:rPr>
                <w:rFonts w:hint="eastAsia" w:ascii="宋体" w:hAnsi="宋体"/>
                <w:sz w:val="21"/>
                <w:szCs w:val="21"/>
              </w:rPr>
              <w:t>具有良好的商业信誉和健全的财务会计制度</w:t>
            </w:r>
          </w:p>
        </w:tc>
        <w:tc>
          <w:tcPr>
            <w:tcW w:w="3579" w:type="dxa"/>
            <w:vMerge w:val="restart"/>
            <w:vAlign w:val="center"/>
          </w:tcPr>
          <w:p>
            <w:pPr>
              <w:snapToGrid w:val="0"/>
              <w:rPr>
                <w:rFonts w:ascii="宋体" w:hAnsi="宋体"/>
                <w:sz w:val="21"/>
                <w:szCs w:val="21"/>
              </w:rPr>
            </w:pPr>
            <w:r>
              <w:rPr>
                <w:rFonts w:hint="eastAsia" w:ascii="宋体" w:hAnsi="宋体"/>
                <w:sz w:val="21"/>
                <w:szCs w:val="21"/>
              </w:rPr>
              <w:t>供应商提供《基本资格条件承诺函》（见格式文件）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8" w:hRule="atLeast"/>
        </w:trPr>
        <w:tc>
          <w:tcPr>
            <w:tcW w:w="817" w:type="dxa"/>
            <w:vMerge w:val="continue"/>
            <w:vAlign w:val="center"/>
          </w:tcPr>
          <w:p>
            <w:pPr>
              <w:rPr>
                <w:rFonts w:ascii="宋体" w:hAnsi="宋体"/>
                <w:sz w:val="21"/>
                <w:szCs w:val="21"/>
              </w:rPr>
            </w:pPr>
          </w:p>
        </w:tc>
        <w:tc>
          <w:tcPr>
            <w:tcW w:w="851" w:type="dxa"/>
            <w:vMerge w:val="continue"/>
            <w:vAlign w:val="center"/>
          </w:tcPr>
          <w:p>
            <w:pPr>
              <w:rPr>
                <w:rFonts w:ascii="宋体" w:hAnsi="宋体"/>
                <w:sz w:val="21"/>
                <w:szCs w:val="21"/>
              </w:rPr>
            </w:pPr>
          </w:p>
        </w:tc>
        <w:tc>
          <w:tcPr>
            <w:tcW w:w="4421" w:type="dxa"/>
            <w:vAlign w:val="center"/>
          </w:tcPr>
          <w:p>
            <w:pPr>
              <w:snapToGrid w:val="0"/>
              <w:rPr>
                <w:rFonts w:ascii="宋体" w:hAnsi="宋体" w:cs="仿宋_GB2312"/>
                <w:sz w:val="21"/>
                <w:szCs w:val="21"/>
                <w:lang w:val="zh-CN"/>
              </w:rPr>
            </w:pPr>
            <w:r>
              <w:rPr>
                <w:rFonts w:hint="eastAsia" w:ascii="宋体" w:hAnsi="宋体" w:cs="仿宋_GB2312"/>
                <w:sz w:val="21"/>
                <w:szCs w:val="21"/>
                <w:lang w:val="zh-CN"/>
              </w:rPr>
              <w:t>3.具有履行合同所必需的设备和专业技术能力</w:t>
            </w:r>
          </w:p>
        </w:tc>
        <w:tc>
          <w:tcPr>
            <w:tcW w:w="3579" w:type="dxa"/>
            <w:vMerge w:val="continue"/>
            <w:vAlign w:val="center"/>
          </w:tcPr>
          <w:p>
            <w:pPr>
              <w:snapToGrid w:val="0"/>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8" w:hRule="atLeast"/>
        </w:trPr>
        <w:tc>
          <w:tcPr>
            <w:tcW w:w="817" w:type="dxa"/>
            <w:vMerge w:val="continue"/>
            <w:vAlign w:val="center"/>
          </w:tcPr>
          <w:p>
            <w:pPr>
              <w:rPr>
                <w:rFonts w:ascii="宋体" w:hAnsi="宋体"/>
                <w:sz w:val="21"/>
                <w:szCs w:val="21"/>
              </w:rPr>
            </w:pPr>
          </w:p>
        </w:tc>
        <w:tc>
          <w:tcPr>
            <w:tcW w:w="851" w:type="dxa"/>
            <w:vMerge w:val="continue"/>
            <w:vAlign w:val="center"/>
          </w:tcPr>
          <w:p>
            <w:pPr>
              <w:rPr>
                <w:rFonts w:ascii="宋体" w:hAnsi="宋体"/>
                <w:sz w:val="21"/>
                <w:szCs w:val="21"/>
              </w:rPr>
            </w:pPr>
          </w:p>
        </w:tc>
        <w:tc>
          <w:tcPr>
            <w:tcW w:w="4421" w:type="dxa"/>
            <w:vAlign w:val="center"/>
          </w:tcPr>
          <w:p>
            <w:pPr>
              <w:snapToGrid w:val="0"/>
              <w:rPr>
                <w:rFonts w:ascii="宋体" w:hAnsi="宋体" w:cs="仿宋_GB2312"/>
                <w:sz w:val="21"/>
                <w:szCs w:val="21"/>
                <w:lang w:val="zh-CN"/>
              </w:rPr>
            </w:pPr>
            <w:r>
              <w:rPr>
                <w:rFonts w:hint="eastAsia" w:ascii="宋体" w:hAnsi="宋体" w:cs="仿宋_GB2312"/>
                <w:sz w:val="21"/>
                <w:szCs w:val="21"/>
                <w:lang w:val="zh-CN"/>
              </w:rPr>
              <w:t>4.有依法缴纳税收的良好记录</w:t>
            </w:r>
          </w:p>
        </w:tc>
        <w:tc>
          <w:tcPr>
            <w:tcW w:w="3579" w:type="dxa"/>
            <w:vMerge w:val="continue"/>
            <w:vAlign w:val="center"/>
          </w:tcPr>
          <w:p>
            <w:pPr>
              <w:snapToGrid w:val="0"/>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trPr>
        <w:tc>
          <w:tcPr>
            <w:tcW w:w="817" w:type="dxa"/>
            <w:vMerge w:val="continue"/>
            <w:vAlign w:val="center"/>
          </w:tcPr>
          <w:p>
            <w:pPr>
              <w:rPr>
                <w:rFonts w:ascii="宋体" w:hAnsi="宋体"/>
                <w:sz w:val="21"/>
                <w:szCs w:val="21"/>
              </w:rPr>
            </w:pPr>
          </w:p>
        </w:tc>
        <w:tc>
          <w:tcPr>
            <w:tcW w:w="851" w:type="dxa"/>
            <w:vMerge w:val="continue"/>
            <w:vAlign w:val="center"/>
          </w:tcPr>
          <w:p>
            <w:pPr>
              <w:rPr>
                <w:rFonts w:ascii="宋体" w:hAnsi="宋体"/>
                <w:sz w:val="21"/>
                <w:szCs w:val="21"/>
              </w:rPr>
            </w:pPr>
          </w:p>
        </w:tc>
        <w:tc>
          <w:tcPr>
            <w:tcW w:w="4421" w:type="dxa"/>
            <w:vAlign w:val="center"/>
          </w:tcPr>
          <w:p>
            <w:pPr>
              <w:snapToGrid w:val="0"/>
              <w:rPr>
                <w:rFonts w:ascii="宋体" w:hAnsi="宋体" w:cs="仿宋_GB2312"/>
                <w:sz w:val="21"/>
                <w:szCs w:val="21"/>
                <w:lang w:val="zh-CN"/>
              </w:rPr>
            </w:pPr>
            <w:r>
              <w:rPr>
                <w:rFonts w:hint="eastAsia" w:ascii="宋体" w:hAnsi="宋体"/>
                <w:sz w:val="21"/>
                <w:szCs w:val="21"/>
              </w:rPr>
              <w:t>5.参加政府采购活动前三年内，在经营活动中没有重大违法记录</w:t>
            </w:r>
          </w:p>
        </w:tc>
        <w:tc>
          <w:tcPr>
            <w:tcW w:w="3579" w:type="dxa"/>
            <w:vMerge w:val="continue"/>
            <w:vAlign w:val="center"/>
          </w:tcPr>
          <w:p>
            <w:pPr>
              <w:snapToGrid w:val="0"/>
              <w:rPr>
                <w:rFonts w:ascii="宋体" w:hAnsi="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8" w:hRule="atLeast"/>
        </w:trPr>
        <w:tc>
          <w:tcPr>
            <w:tcW w:w="817" w:type="dxa"/>
            <w:vMerge w:val="continue"/>
            <w:vAlign w:val="center"/>
          </w:tcPr>
          <w:p>
            <w:pPr>
              <w:rPr>
                <w:rFonts w:ascii="宋体" w:hAnsi="宋体"/>
                <w:sz w:val="21"/>
                <w:szCs w:val="21"/>
              </w:rPr>
            </w:pPr>
          </w:p>
        </w:tc>
        <w:tc>
          <w:tcPr>
            <w:tcW w:w="851" w:type="dxa"/>
            <w:vMerge w:val="continue"/>
            <w:vAlign w:val="center"/>
          </w:tcPr>
          <w:p>
            <w:pPr>
              <w:rPr>
                <w:rFonts w:ascii="宋体" w:hAnsi="宋体"/>
                <w:sz w:val="21"/>
                <w:szCs w:val="21"/>
              </w:rPr>
            </w:pPr>
          </w:p>
        </w:tc>
        <w:tc>
          <w:tcPr>
            <w:tcW w:w="4421" w:type="dxa"/>
            <w:vAlign w:val="center"/>
          </w:tcPr>
          <w:p>
            <w:pPr>
              <w:snapToGrid w:val="0"/>
              <w:rPr>
                <w:rFonts w:ascii="宋体" w:hAnsi="宋体"/>
                <w:sz w:val="21"/>
                <w:szCs w:val="21"/>
              </w:rPr>
            </w:pPr>
            <w:r>
              <w:rPr>
                <w:rFonts w:hint="eastAsia" w:ascii="宋体" w:hAnsi="宋体"/>
                <w:sz w:val="21"/>
                <w:szCs w:val="21"/>
              </w:rPr>
              <w:t>6.法律、行政法规规定的其他条件</w:t>
            </w:r>
          </w:p>
        </w:tc>
        <w:tc>
          <w:tcPr>
            <w:tcW w:w="3579" w:type="dxa"/>
            <w:vAlign w:val="center"/>
          </w:tcPr>
          <w:p>
            <w:pPr>
              <w:snapToGrid w:val="0"/>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8" w:hRule="atLeast"/>
        </w:trPr>
        <w:tc>
          <w:tcPr>
            <w:tcW w:w="817" w:type="dxa"/>
            <w:vAlign w:val="center"/>
          </w:tcPr>
          <w:p>
            <w:pPr>
              <w:rPr>
                <w:rFonts w:ascii="宋体" w:hAnsi="宋体"/>
                <w:sz w:val="21"/>
                <w:szCs w:val="21"/>
              </w:rPr>
            </w:pPr>
            <w:r>
              <w:rPr>
                <w:rFonts w:hint="eastAsia" w:ascii="宋体" w:hAnsi="宋体"/>
                <w:sz w:val="21"/>
                <w:szCs w:val="21"/>
              </w:rPr>
              <w:t>（二）</w:t>
            </w:r>
          </w:p>
        </w:tc>
        <w:tc>
          <w:tcPr>
            <w:tcW w:w="5272" w:type="dxa"/>
            <w:gridSpan w:val="2"/>
            <w:vAlign w:val="center"/>
          </w:tcPr>
          <w:p>
            <w:pPr>
              <w:snapToGrid w:val="0"/>
              <w:rPr>
                <w:rFonts w:ascii="宋体" w:hAnsi="宋体"/>
                <w:sz w:val="21"/>
                <w:szCs w:val="21"/>
              </w:rPr>
            </w:pPr>
            <w:r>
              <w:rPr>
                <w:rFonts w:hint="eastAsia" w:ascii="宋体" w:hAnsi="宋体"/>
                <w:sz w:val="21"/>
                <w:szCs w:val="21"/>
              </w:rPr>
              <w:t>本项目特定资格条件</w:t>
            </w:r>
          </w:p>
        </w:tc>
        <w:tc>
          <w:tcPr>
            <w:tcW w:w="3579" w:type="dxa"/>
            <w:vAlign w:val="center"/>
          </w:tcPr>
          <w:p>
            <w:pPr>
              <w:snapToGrid w:val="0"/>
              <w:rPr>
                <w:rFonts w:ascii="宋体" w:hAnsi="宋体"/>
                <w:sz w:val="21"/>
                <w:szCs w:val="21"/>
              </w:rPr>
            </w:pPr>
            <w:r>
              <w:rPr>
                <w:rFonts w:hint="eastAsia" w:ascii="宋体" w:hAnsi="宋体"/>
                <w:sz w:val="21"/>
                <w:szCs w:val="21"/>
              </w:rPr>
              <w:t>按第一篇“三、供应商资格要求（二）本项目的特定资格条件”的要求提交（如果有）。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8" w:hRule="atLeast"/>
        </w:trPr>
        <w:tc>
          <w:tcPr>
            <w:tcW w:w="817" w:type="dxa"/>
            <w:vAlign w:val="center"/>
          </w:tcPr>
          <w:p>
            <w:pPr>
              <w:snapToGrid w:val="0"/>
              <w:jc w:val="center"/>
              <w:rPr>
                <w:rFonts w:ascii="宋体" w:hAnsi="宋体"/>
                <w:sz w:val="21"/>
                <w:szCs w:val="21"/>
              </w:rPr>
            </w:pPr>
            <w:r>
              <w:rPr>
                <w:rFonts w:hint="eastAsia" w:ascii="宋体" w:hAnsi="宋体"/>
                <w:sz w:val="21"/>
                <w:szCs w:val="21"/>
              </w:rPr>
              <w:t>（三）</w:t>
            </w:r>
          </w:p>
        </w:tc>
        <w:tc>
          <w:tcPr>
            <w:tcW w:w="5272" w:type="dxa"/>
            <w:gridSpan w:val="2"/>
            <w:vAlign w:val="center"/>
          </w:tcPr>
          <w:p>
            <w:pPr>
              <w:snapToGrid w:val="0"/>
              <w:rPr>
                <w:rFonts w:ascii="宋体" w:hAnsi="宋体"/>
                <w:sz w:val="21"/>
                <w:szCs w:val="21"/>
              </w:rPr>
            </w:pPr>
            <w:r>
              <w:rPr>
                <w:rFonts w:hint="eastAsia" w:ascii="宋体" w:hAnsi="宋体"/>
                <w:sz w:val="21"/>
                <w:szCs w:val="21"/>
              </w:rPr>
              <w:t>落实政府采购政策需满足的资格要求：</w:t>
            </w:r>
          </w:p>
        </w:tc>
        <w:tc>
          <w:tcPr>
            <w:tcW w:w="3579" w:type="dxa"/>
            <w:vAlign w:val="center"/>
          </w:tcPr>
          <w:p>
            <w:pPr>
              <w:snapToGrid w:val="0"/>
              <w:rPr>
                <w:rFonts w:ascii="宋体" w:hAnsi="宋体"/>
                <w:sz w:val="21"/>
                <w:szCs w:val="21"/>
              </w:rPr>
            </w:pPr>
            <w:r>
              <w:rPr>
                <w:rFonts w:hint="eastAsia" w:ascii="宋体" w:hAnsi="宋体"/>
                <w:sz w:val="21"/>
                <w:szCs w:val="21"/>
              </w:rPr>
              <w:t>按第一篇“三、供应商资格要求（三）落实政府采购政策需满足的资格要求”的要求提交（如果有）。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2" w:hRule="atLeast"/>
        </w:trPr>
        <w:tc>
          <w:tcPr>
            <w:tcW w:w="817" w:type="dxa"/>
            <w:vAlign w:val="center"/>
          </w:tcPr>
          <w:p>
            <w:pPr>
              <w:snapToGrid w:val="0"/>
              <w:jc w:val="center"/>
              <w:rPr>
                <w:rFonts w:ascii="宋体" w:hAnsi="宋体"/>
                <w:sz w:val="21"/>
                <w:szCs w:val="21"/>
              </w:rPr>
            </w:pPr>
            <w:r>
              <w:rPr>
                <w:rFonts w:hint="eastAsia" w:ascii="宋体" w:hAnsi="宋体"/>
                <w:sz w:val="21"/>
                <w:szCs w:val="21"/>
              </w:rPr>
              <w:t>（四）</w:t>
            </w:r>
          </w:p>
        </w:tc>
        <w:tc>
          <w:tcPr>
            <w:tcW w:w="5272" w:type="dxa"/>
            <w:gridSpan w:val="2"/>
            <w:vAlign w:val="center"/>
          </w:tcPr>
          <w:p>
            <w:pPr>
              <w:snapToGrid w:val="0"/>
              <w:rPr>
                <w:rFonts w:ascii="宋体" w:hAnsi="宋体"/>
                <w:sz w:val="21"/>
                <w:szCs w:val="21"/>
              </w:rPr>
            </w:pPr>
            <w:r>
              <w:rPr>
                <w:rFonts w:hint="eastAsia" w:ascii="宋体" w:hAnsi="宋体"/>
                <w:sz w:val="21"/>
                <w:szCs w:val="21"/>
              </w:rPr>
              <w:t>磋商保证金</w:t>
            </w:r>
          </w:p>
        </w:tc>
        <w:tc>
          <w:tcPr>
            <w:tcW w:w="3579" w:type="dxa"/>
            <w:vAlign w:val="center"/>
          </w:tcPr>
          <w:p>
            <w:pPr>
              <w:snapToGrid w:val="0"/>
              <w:rPr>
                <w:rFonts w:ascii="宋体" w:hAnsi="宋体" w:cs="宋体"/>
                <w:sz w:val="21"/>
                <w:szCs w:val="21"/>
              </w:rPr>
            </w:pPr>
            <w:r>
              <w:rPr>
                <w:rFonts w:hint="eastAsia" w:ascii="宋体" w:hAnsi="宋体"/>
                <w:sz w:val="21"/>
                <w:szCs w:val="21"/>
              </w:rPr>
              <w:t>按照采购文件的规定提交磋商保证金。</w:t>
            </w:r>
          </w:p>
        </w:tc>
      </w:tr>
    </w:tbl>
    <w:p>
      <w:pPr>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注：</w:t>
      </w:r>
    </w:p>
    <w:p>
      <w:pPr>
        <w:snapToGrid w:val="0"/>
        <w:spacing w:line="360" w:lineRule="auto"/>
        <w:ind w:firstLine="482" w:firstLineChars="200"/>
        <w:rPr>
          <w:rFonts w:ascii="宋体" w:hAnsi="宋体" w:cs="宋体"/>
          <w:b/>
          <w:bCs/>
          <w:kern w:val="0"/>
          <w:sz w:val="24"/>
          <w:szCs w:val="24"/>
        </w:rPr>
      </w:pPr>
      <w:r>
        <w:rPr>
          <w:rFonts w:hint="eastAsia" w:ascii="宋体" w:hAnsi="宋体" w:cs="宋体"/>
          <w:b/>
          <w:bCs/>
          <w:kern w:val="0"/>
          <w:sz w:val="24"/>
          <w:szCs w:val="24"/>
        </w:rPr>
        <w:t>供应商应对其承诺内容的真实性、合法性、有效性负责。经调查核实为虚假承诺的，视同为“提供虚假材料谋取中标、成交”的违法行为，依照《中华人民共和国政府采购法》等法律法规追究相应责任。</w:t>
      </w:r>
    </w:p>
    <w:p>
      <w:pPr>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根据《中华人民共和国政府采购法实施条例》第十九条“参加政府采购活动前三年内，在经营活动中没有重大违法记录”中“重大违法记录”，是指供应商因违法经营受到刑事处罚或者责令停产停业、吊销许可证或者执照、较大数额罚款等行政处罚。行政处罚中“较大数额”的认定标准，以《财政部关于&lt;中华人民共和国政府采购法实施条例&gt;第十九条第一款“较大数额罚款”具体适用问题的意见》（财库〔2022〕3号）规定为准。</w:t>
      </w:r>
    </w:p>
    <w:p>
      <w:pPr>
        <w:spacing w:line="360" w:lineRule="auto"/>
        <w:ind w:firstLine="480" w:firstLineChars="200"/>
        <w:rPr>
          <w:rFonts w:ascii="宋体" w:hAnsi="宋体"/>
          <w:kern w:val="0"/>
          <w:sz w:val="24"/>
          <w:szCs w:val="24"/>
        </w:rPr>
      </w:pPr>
      <w:r>
        <w:rPr>
          <w:rFonts w:hint="eastAsia" w:ascii="宋体" w:hAnsi="宋体"/>
          <w:sz w:val="24"/>
          <w:szCs w:val="24"/>
        </w:rPr>
        <w:t>2.</w:t>
      </w:r>
      <w:r>
        <w:rPr>
          <w:rFonts w:hint="eastAsia" w:ascii="宋体" w:hAnsi="宋体" w:cs="宋体"/>
          <w:kern w:val="0"/>
          <w:sz w:val="24"/>
          <w:szCs w:val="24"/>
        </w:rPr>
        <w:t>符合性检查。依据竞争性磋商文件的规定，从响应文件的有效性、完整性和对竞争性磋商文件的响应程度进行审查，以确定是否对竞争性磋商文件的实质性要求作出响应。</w:t>
      </w:r>
      <w:r>
        <w:rPr>
          <w:rFonts w:hint="eastAsia" w:ascii="宋体" w:hAnsi="宋体"/>
          <w:kern w:val="0"/>
          <w:sz w:val="24"/>
          <w:szCs w:val="24"/>
        </w:rPr>
        <w:t>符合性检查资料表如下：</w:t>
      </w:r>
    </w:p>
    <w:tbl>
      <w:tblPr>
        <w:tblStyle w:val="6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73"/>
        <w:gridCol w:w="1996"/>
        <w:gridCol w:w="5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 w:hRule="atLeast"/>
        </w:trPr>
        <w:tc>
          <w:tcPr>
            <w:tcW w:w="675" w:type="dxa"/>
            <w:vAlign w:val="center"/>
          </w:tcPr>
          <w:p>
            <w:pPr>
              <w:spacing w:line="240" w:lineRule="exact"/>
              <w:jc w:val="center"/>
              <w:rPr>
                <w:rFonts w:ascii="宋体" w:hAnsi="宋体" w:cs="宋体"/>
                <w:b/>
                <w:kern w:val="0"/>
                <w:sz w:val="21"/>
                <w:szCs w:val="21"/>
              </w:rPr>
            </w:pPr>
            <w:r>
              <w:rPr>
                <w:rFonts w:hint="eastAsia" w:ascii="宋体" w:hAnsi="宋体" w:cs="宋体"/>
                <w:b/>
                <w:kern w:val="0"/>
                <w:sz w:val="21"/>
                <w:szCs w:val="21"/>
              </w:rPr>
              <w:t>序号</w:t>
            </w:r>
          </w:p>
        </w:tc>
        <w:tc>
          <w:tcPr>
            <w:tcW w:w="3569" w:type="dxa"/>
            <w:gridSpan w:val="2"/>
            <w:vAlign w:val="center"/>
          </w:tcPr>
          <w:p>
            <w:pPr>
              <w:spacing w:line="240" w:lineRule="exact"/>
              <w:jc w:val="center"/>
              <w:rPr>
                <w:rFonts w:ascii="宋体" w:hAnsi="宋体" w:cs="宋体"/>
                <w:b/>
                <w:kern w:val="0"/>
                <w:sz w:val="21"/>
                <w:szCs w:val="21"/>
              </w:rPr>
            </w:pPr>
            <w:r>
              <w:rPr>
                <w:rFonts w:hint="eastAsia" w:ascii="宋体" w:hAnsi="宋体" w:cs="宋体"/>
                <w:b/>
                <w:kern w:val="0"/>
                <w:sz w:val="21"/>
                <w:szCs w:val="21"/>
              </w:rPr>
              <w:t>评审因素</w:t>
            </w:r>
          </w:p>
        </w:tc>
        <w:tc>
          <w:tcPr>
            <w:tcW w:w="5220" w:type="dxa"/>
            <w:vAlign w:val="center"/>
          </w:tcPr>
          <w:p>
            <w:pPr>
              <w:spacing w:line="240" w:lineRule="exact"/>
              <w:jc w:val="center"/>
              <w:rPr>
                <w:rFonts w:ascii="宋体" w:hAnsi="宋体" w:cs="宋体"/>
                <w:b/>
                <w:kern w:val="0"/>
                <w:sz w:val="21"/>
                <w:szCs w:val="21"/>
              </w:rPr>
            </w:pPr>
            <w:r>
              <w:rPr>
                <w:rFonts w:hint="eastAsia" w:ascii="宋体" w:hAnsi="宋体" w:cs="宋体"/>
                <w:b/>
                <w:kern w:val="0"/>
                <w:sz w:val="21"/>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675" w:type="dxa"/>
            <w:vMerge w:val="restart"/>
            <w:vAlign w:val="center"/>
          </w:tcPr>
          <w:p>
            <w:pPr>
              <w:spacing w:line="240" w:lineRule="exact"/>
              <w:jc w:val="center"/>
              <w:rPr>
                <w:rFonts w:ascii="宋体" w:hAnsi="宋体" w:cs="宋体"/>
                <w:kern w:val="0"/>
                <w:sz w:val="21"/>
                <w:szCs w:val="21"/>
              </w:rPr>
            </w:pPr>
            <w:r>
              <w:rPr>
                <w:rFonts w:hint="eastAsia" w:ascii="宋体" w:hAnsi="宋体" w:cs="宋体"/>
                <w:kern w:val="0"/>
                <w:sz w:val="21"/>
                <w:szCs w:val="21"/>
              </w:rPr>
              <w:t>1</w:t>
            </w:r>
          </w:p>
        </w:tc>
        <w:tc>
          <w:tcPr>
            <w:tcW w:w="1573" w:type="dxa"/>
            <w:vMerge w:val="restart"/>
            <w:vAlign w:val="center"/>
          </w:tcPr>
          <w:p>
            <w:pPr>
              <w:spacing w:line="240" w:lineRule="exact"/>
              <w:rPr>
                <w:rFonts w:ascii="宋体" w:hAnsi="宋体" w:cs="宋体"/>
                <w:kern w:val="0"/>
                <w:sz w:val="21"/>
                <w:szCs w:val="21"/>
              </w:rPr>
            </w:pPr>
            <w:r>
              <w:rPr>
                <w:rFonts w:hint="eastAsia" w:ascii="宋体" w:hAnsi="宋体" w:cs="宋体"/>
                <w:kern w:val="0"/>
                <w:sz w:val="21"/>
                <w:szCs w:val="21"/>
              </w:rPr>
              <w:t>有效性审查</w:t>
            </w:r>
          </w:p>
        </w:tc>
        <w:tc>
          <w:tcPr>
            <w:tcW w:w="1996" w:type="dxa"/>
            <w:vAlign w:val="center"/>
          </w:tcPr>
          <w:p>
            <w:pPr>
              <w:spacing w:line="240" w:lineRule="exact"/>
              <w:rPr>
                <w:rFonts w:ascii="宋体" w:hAnsi="宋体" w:cs="宋体"/>
                <w:kern w:val="0"/>
                <w:sz w:val="21"/>
                <w:szCs w:val="21"/>
              </w:rPr>
            </w:pPr>
            <w:r>
              <w:rPr>
                <w:rFonts w:hint="eastAsia" w:ascii="宋体" w:hAnsi="宋体"/>
                <w:sz w:val="21"/>
                <w:szCs w:val="21"/>
              </w:rPr>
              <w:t>响应文件签署及盖章</w:t>
            </w:r>
          </w:p>
        </w:tc>
        <w:tc>
          <w:tcPr>
            <w:tcW w:w="5220" w:type="dxa"/>
            <w:vAlign w:val="center"/>
          </w:tcPr>
          <w:p>
            <w:pPr>
              <w:spacing w:line="240" w:lineRule="exact"/>
              <w:rPr>
                <w:rFonts w:ascii="宋体" w:hAnsi="宋体" w:cs="宋体"/>
                <w:kern w:val="0"/>
                <w:sz w:val="21"/>
                <w:szCs w:val="21"/>
              </w:rPr>
            </w:pPr>
            <w:r>
              <w:rPr>
                <w:rFonts w:hint="eastAsia" w:ascii="宋体" w:hAnsi="宋体"/>
                <w:sz w:val="21"/>
                <w:szCs w:val="21"/>
              </w:rPr>
              <w:t>响应文件上法定代表人或其授权代表人的签字齐全，响应文件盖章齐全。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75" w:type="dxa"/>
            <w:vMerge w:val="continue"/>
            <w:vAlign w:val="center"/>
          </w:tcPr>
          <w:p>
            <w:pPr>
              <w:spacing w:line="240" w:lineRule="exact"/>
              <w:jc w:val="center"/>
              <w:rPr>
                <w:rFonts w:ascii="宋体" w:hAnsi="宋体" w:cs="宋体"/>
                <w:kern w:val="0"/>
                <w:sz w:val="21"/>
                <w:szCs w:val="21"/>
              </w:rPr>
            </w:pPr>
          </w:p>
        </w:tc>
        <w:tc>
          <w:tcPr>
            <w:tcW w:w="1573" w:type="dxa"/>
            <w:vMerge w:val="continue"/>
            <w:vAlign w:val="center"/>
          </w:tcPr>
          <w:p>
            <w:pPr>
              <w:spacing w:line="240" w:lineRule="exact"/>
              <w:rPr>
                <w:rFonts w:ascii="宋体" w:hAnsi="宋体" w:cs="宋体"/>
                <w:kern w:val="0"/>
                <w:sz w:val="21"/>
                <w:szCs w:val="21"/>
              </w:rPr>
            </w:pPr>
          </w:p>
        </w:tc>
        <w:tc>
          <w:tcPr>
            <w:tcW w:w="1996" w:type="dxa"/>
            <w:vAlign w:val="center"/>
          </w:tcPr>
          <w:p>
            <w:pPr>
              <w:spacing w:line="240" w:lineRule="exact"/>
              <w:rPr>
                <w:rFonts w:ascii="宋体" w:hAnsi="宋体" w:cs="仿宋_GB2312"/>
                <w:sz w:val="21"/>
                <w:szCs w:val="21"/>
                <w:lang w:val="zh-CN"/>
              </w:rPr>
            </w:pPr>
            <w:r>
              <w:rPr>
                <w:rFonts w:hint="eastAsia" w:ascii="宋体" w:hAnsi="宋体" w:cs="仿宋_GB2312"/>
                <w:sz w:val="21"/>
                <w:szCs w:val="21"/>
                <w:lang w:val="zh-CN"/>
              </w:rPr>
              <w:t>磋商方案</w:t>
            </w:r>
          </w:p>
        </w:tc>
        <w:tc>
          <w:tcPr>
            <w:tcW w:w="5220" w:type="dxa"/>
            <w:vAlign w:val="center"/>
          </w:tcPr>
          <w:p>
            <w:pPr>
              <w:spacing w:line="240" w:lineRule="exact"/>
              <w:rPr>
                <w:rFonts w:ascii="宋体" w:hAnsi="宋体" w:cs="宋体"/>
                <w:kern w:val="0"/>
                <w:sz w:val="21"/>
                <w:szCs w:val="21"/>
              </w:rPr>
            </w:pPr>
            <w:r>
              <w:rPr>
                <w:rFonts w:hint="eastAsia" w:ascii="宋体" w:hAnsi="宋体" w:cs="仿宋_GB2312"/>
                <w:sz w:val="21"/>
                <w:szCs w:val="21"/>
                <w:lang w:val="zh-CN"/>
              </w:rPr>
              <w:t>只能有一个方案参与磋商。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675" w:type="dxa"/>
            <w:vMerge w:val="continue"/>
            <w:vAlign w:val="center"/>
          </w:tcPr>
          <w:p>
            <w:pPr>
              <w:spacing w:line="240" w:lineRule="exact"/>
              <w:jc w:val="center"/>
              <w:rPr>
                <w:rFonts w:ascii="宋体" w:hAnsi="宋体" w:cs="宋体"/>
                <w:kern w:val="0"/>
                <w:sz w:val="21"/>
                <w:szCs w:val="21"/>
              </w:rPr>
            </w:pPr>
          </w:p>
        </w:tc>
        <w:tc>
          <w:tcPr>
            <w:tcW w:w="1573" w:type="dxa"/>
            <w:vMerge w:val="continue"/>
            <w:vAlign w:val="center"/>
          </w:tcPr>
          <w:p>
            <w:pPr>
              <w:spacing w:line="240" w:lineRule="exact"/>
              <w:rPr>
                <w:rFonts w:ascii="宋体" w:hAnsi="宋体" w:cs="宋体"/>
                <w:kern w:val="0"/>
                <w:sz w:val="21"/>
                <w:szCs w:val="21"/>
              </w:rPr>
            </w:pPr>
          </w:p>
        </w:tc>
        <w:tc>
          <w:tcPr>
            <w:tcW w:w="1996" w:type="dxa"/>
            <w:vAlign w:val="center"/>
          </w:tcPr>
          <w:p>
            <w:pPr>
              <w:spacing w:line="240" w:lineRule="exact"/>
              <w:rPr>
                <w:rFonts w:ascii="宋体" w:hAnsi="宋体" w:cs="仿宋_GB2312"/>
                <w:sz w:val="21"/>
                <w:szCs w:val="21"/>
                <w:lang w:val="zh-CN"/>
              </w:rPr>
            </w:pPr>
            <w:r>
              <w:rPr>
                <w:rFonts w:hint="eastAsia" w:ascii="宋体" w:hAnsi="宋体"/>
                <w:sz w:val="21"/>
                <w:szCs w:val="21"/>
              </w:rPr>
              <w:t>报价唯一</w:t>
            </w:r>
          </w:p>
        </w:tc>
        <w:tc>
          <w:tcPr>
            <w:tcW w:w="5220" w:type="dxa"/>
            <w:vAlign w:val="center"/>
          </w:tcPr>
          <w:p>
            <w:pPr>
              <w:spacing w:line="240" w:lineRule="exact"/>
              <w:rPr>
                <w:rFonts w:ascii="宋体" w:hAnsi="宋体" w:cs="宋体"/>
                <w:kern w:val="0"/>
                <w:sz w:val="21"/>
                <w:szCs w:val="21"/>
              </w:rPr>
            </w:pPr>
            <w:r>
              <w:rPr>
                <w:rFonts w:hint="eastAsia" w:ascii="宋体" w:hAnsi="宋体" w:cs="仿宋_GB2312"/>
                <w:sz w:val="21"/>
                <w:szCs w:val="21"/>
                <w:lang w:val="zh-CN"/>
              </w:rPr>
              <w:t>只能在采购预算范围内报价，</w:t>
            </w:r>
            <w:r>
              <w:rPr>
                <w:rFonts w:hint="eastAsia" w:ascii="宋体" w:hAnsi="宋体"/>
                <w:sz w:val="21"/>
                <w:szCs w:val="21"/>
              </w:rPr>
              <w:t>只能有一个有效报价，不得提交选择性报价。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trPr>
        <w:tc>
          <w:tcPr>
            <w:tcW w:w="675" w:type="dxa"/>
            <w:vAlign w:val="center"/>
          </w:tcPr>
          <w:p>
            <w:pPr>
              <w:spacing w:line="240" w:lineRule="exact"/>
              <w:jc w:val="center"/>
              <w:rPr>
                <w:rFonts w:ascii="宋体" w:hAnsi="宋体" w:cs="宋体"/>
                <w:kern w:val="0"/>
                <w:sz w:val="21"/>
                <w:szCs w:val="21"/>
              </w:rPr>
            </w:pPr>
            <w:r>
              <w:rPr>
                <w:rFonts w:hint="eastAsia" w:ascii="宋体" w:hAnsi="宋体" w:cs="宋体"/>
                <w:kern w:val="0"/>
                <w:sz w:val="21"/>
                <w:szCs w:val="21"/>
              </w:rPr>
              <w:t>2</w:t>
            </w:r>
          </w:p>
        </w:tc>
        <w:tc>
          <w:tcPr>
            <w:tcW w:w="1573" w:type="dxa"/>
            <w:vAlign w:val="center"/>
          </w:tcPr>
          <w:p>
            <w:pPr>
              <w:spacing w:line="240" w:lineRule="exact"/>
              <w:rPr>
                <w:rFonts w:ascii="宋体" w:hAnsi="宋体" w:cs="宋体"/>
                <w:kern w:val="0"/>
                <w:sz w:val="21"/>
                <w:szCs w:val="21"/>
              </w:rPr>
            </w:pPr>
            <w:r>
              <w:rPr>
                <w:rFonts w:hint="eastAsia" w:ascii="宋体" w:hAnsi="宋体" w:cs="宋体"/>
                <w:kern w:val="0"/>
                <w:sz w:val="21"/>
                <w:szCs w:val="21"/>
              </w:rPr>
              <w:t>完整性审查</w:t>
            </w:r>
          </w:p>
        </w:tc>
        <w:tc>
          <w:tcPr>
            <w:tcW w:w="1996" w:type="dxa"/>
            <w:vAlign w:val="center"/>
          </w:tcPr>
          <w:p>
            <w:pPr>
              <w:spacing w:line="240" w:lineRule="exact"/>
              <w:rPr>
                <w:rFonts w:ascii="宋体" w:hAnsi="宋体" w:cs="宋体"/>
                <w:kern w:val="0"/>
                <w:sz w:val="21"/>
                <w:szCs w:val="21"/>
              </w:rPr>
            </w:pPr>
            <w:r>
              <w:rPr>
                <w:rFonts w:hint="eastAsia" w:ascii="宋体" w:hAnsi="宋体" w:cs="仿宋_GB2312"/>
                <w:sz w:val="21"/>
                <w:szCs w:val="21"/>
                <w:lang w:val="zh-CN"/>
              </w:rPr>
              <w:t>响应文件份数</w:t>
            </w:r>
          </w:p>
        </w:tc>
        <w:tc>
          <w:tcPr>
            <w:tcW w:w="5220" w:type="dxa"/>
            <w:vAlign w:val="center"/>
          </w:tcPr>
          <w:p>
            <w:pPr>
              <w:spacing w:line="240" w:lineRule="exact"/>
              <w:rPr>
                <w:rFonts w:ascii="宋体" w:hAnsi="宋体" w:cs="宋体"/>
                <w:kern w:val="0"/>
                <w:sz w:val="21"/>
                <w:szCs w:val="21"/>
              </w:rPr>
            </w:pPr>
            <w:r>
              <w:rPr>
                <w:rFonts w:hint="eastAsia" w:ascii="宋体" w:hAnsi="宋体" w:cs="仿宋_GB2312"/>
                <w:sz w:val="21"/>
                <w:szCs w:val="21"/>
                <w:lang w:val="zh-CN"/>
              </w:rPr>
              <w:t>响应文件正、副本（含电子文档）数量符合竞争性磋商文件要求。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675" w:type="dxa"/>
            <w:vMerge w:val="restart"/>
            <w:vAlign w:val="center"/>
          </w:tcPr>
          <w:p>
            <w:pPr>
              <w:spacing w:line="240" w:lineRule="exact"/>
              <w:jc w:val="center"/>
              <w:rPr>
                <w:rFonts w:ascii="宋体" w:hAnsi="宋体" w:cs="宋体"/>
                <w:kern w:val="0"/>
                <w:sz w:val="21"/>
                <w:szCs w:val="21"/>
              </w:rPr>
            </w:pPr>
            <w:r>
              <w:rPr>
                <w:rFonts w:hint="eastAsia" w:ascii="宋体" w:hAnsi="宋体" w:cs="宋体"/>
                <w:kern w:val="0"/>
                <w:sz w:val="21"/>
                <w:szCs w:val="21"/>
              </w:rPr>
              <w:t>3</w:t>
            </w:r>
          </w:p>
        </w:tc>
        <w:tc>
          <w:tcPr>
            <w:tcW w:w="1573" w:type="dxa"/>
            <w:vMerge w:val="restart"/>
            <w:vAlign w:val="center"/>
          </w:tcPr>
          <w:p>
            <w:pPr>
              <w:spacing w:line="240" w:lineRule="exact"/>
              <w:rPr>
                <w:rFonts w:ascii="宋体" w:hAnsi="宋体" w:cs="仿宋_GB2312"/>
                <w:sz w:val="21"/>
                <w:szCs w:val="21"/>
                <w:lang w:val="zh-CN"/>
              </w:rPr>
            </w:pPr>
            <w:r>
              <w:rPr>
                <w:rFonts w:hint="eastAsia" w:ascii="宋体" w:hAnsi="宋体" w:cs="宋体"/>
                <w:kern w:val="0"/>
                <w:sz w:val="21"/>
                <w:szCs w:val="21"/>
              </w:rPr>
              <w:t>竞争性磋商文件的响应程度审查</w:t>
            </w:r>
          </w:p>
        </w:tc>
        <w:tc>
          <w:tcPr>
            <w:tcW w:w="1996" w:type="dxa"/>
            <w:vAlign w:val="center"/>
          </w:tcPr>
          <w:p>
            <w:pPr>
              <w:spacing w:line="240" w:lineRule="exact"/>
              <w:rPr>
                <w:rFonts w:ascii="宋体" w:hAnsi="宋体" w:cs="宋体"/>
                <w:kern w:val="0"/>
                <w:sz w:val="21"/>
                <w:szCs w:val="21"/>
              </w:rPr>
            </w:pPr>
            <w:r>
              <w:rPr>
                <w:rFonts w:hint="eastAsia" w:ascii="宋体" w:hAnsi="宋体" w:cs="宋体"/>
                <w:kern w:val="0"/>
                <w:sz w:val="21"/>
                <w:szCs w:val="21"/>
              </w:rPr>
              <w:t>响应文件内容</w:t>
            </w:r>
          </w:p>
        </w:tc>
        <w:tc>
          <w:tcPr>
            <w:tcW w:w="5220" w:type="dxa"/>
            <w:vAlign w:val="center"/>
          </w:tcPr>
          <w:p>
            <w:pPr>
              <w:pStyle w:val="36"/>
              <w:spacing w:line="240" w:lineRule="exact"/>
              <w:rPr>
                <w:rFonts w:ascii="宋体" w:hAnsi="宋体" w:cs="宋体"/>
                <w:kern w:val="0"/>
                <w:sz w:val="21"/>
                <w:szCs w:val="21"/>
              </w:rPr>
            </w:pPr>
            <w:r>
              <w:rPr>
                <w:rFonts w:hint="eastAsia" w:ascii="宋体" w:hAnsi="宋体" w:cs="仿宋_GB2312"/>
                <w:sz w:val="21"/>
                <w:szCs w:val="21"/>
                <w:lang w:val="zh-CN"/>
              </w:rPr>
              <w:t>满足本竞争性磋商文件第二篇、第三篇中（※）号标注的部分要求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 w:hRule="atLeast"/>
        </w:trPr>
        <w:tc>
          <w:tcPr>
            <w:tcW w:w="675" w:type="dxa"/>
            <w:vMerge w:val="continue"/>
            <w:vAlign w:val="center"/>
          </w:tcPr>
          <w:p>
            <w:pPr>
              <w:spacing w:line="240" w:lineRule="exact"/>
              <w:jc w:val="center"/>
              <w:rPr>
                <w:rFonts w:ascii="宋体" w:hAnsi="宋体" w:cs="宋体"/>
                <w:kern w:val="0"/>
                <w:sz w:val="21"/>
                <w:szCs w:val="21"/>
              </w:rPr>
            </w:pPr>
          </w:p>
        </w:tc>
        <w:tc>
          <w:tcPr>
            <w:tcW w:w="1573" w:type="dxa"/>
            <w:vMerge w:val="continue"/>
            <w:vAlign w:val="center"/>
          </w:tcPr>
          <w:p>
            <w:pPr>
              <w:spacing w:line="240" w:lineRule="exact"/>
              <w:rPr>
                <w:rFonts w:ascii="宋体" w:hAnsi="宋体" w:cs="仿宋_GB2312"/>
                <w:sz w:val="21"/>
                <w:szCs w:val="21"/>
                <w:lang w:val="zh-CN"/>
              </w:rPr>
            </w:pPr>
          </w:p>
        </w:tc>
        <w:tc>
          <w:tcPr>
            <w:tcW w:w="1996" w:type="dxa"/>
            <w:vAlign w:val="center"/>
          </w:tcPr>
          <w:p>
            <w:pPr>
              <w:spacing w:line="240" w:lineRule="exact"/>
              <w:rPr>
                <w:rFonts w:ascii="宋体" w:hAnsi="宋体" w:cs="宋体"/>
                <w:kern w:val="0"/>
                <w:sz w:val="21"/>
                <w:szCs w:val="21"/>
              </w:rPr>
            </w:pPr>
            <w:r>
              <w:rPr>
                <w:rFonts w:hint="eastAsia" w:ascii="宋体" w:hAnsi="宋体" w:cs="宋体"/>
                <w:kern w:val="0"/>
                <w:sz w:val="21"/>
                <w:szCs w:val="21"/>
              </w:rPr>
              <w:t>磋商有效期</w:t>
            </w:r>
          </w:p>
        </w:tc>
        <w:tc>
          <w:tcPr>
            <w:tcW w:w="5220" w:type="dxa"/>
            <w:vAlign w:val="center"/>
          </w:tcPr>
          <w:p>
            <w:pPr>
              <w:spacing w:line="240" w:lineRule="exact"/>
              <w:rPr>
                <w:rFonts w:ascii="宋体" w:hAnsi="宋体" w:cs="宋体"/>
                <w:kern w:val="0"/>
                <w:sz w:val="21"/>
                <w:szCs w:val="21"/>
              </w:rPr>
            </w:pPr>
            <w:r>
              <w:rPr>
                <w:rFonts w:hint="eastAsia" w:ascii="宋体" w:hAnsi="宋体" w:cs="宋体"/>
                <w:kern w:val="0"/>
                <w:sz w:val="21"/>
                <w:szCs w:val="21"/>
              </w:rPr>
              <w:t>满足竞争性磋商文件</w:t>
            </w:r>
            <w:r>
              <w:rPr>
                <w:rFonts w:hint="eastAsia" w:ascii="宋体" w:hAnsi="宋体" w:cs="仿宋_GB2312"/>
                <w:sz w:val="21"/>
                <w:szCs w:val="21"/>
                <w:lang w:val="zh-CN"/>
              </w:rPr>
              <w:t>规定。</w:t>
            </w:r>
          </w:p>
        </w:tc>
      </w:tr>
    </w:tbl>
    <w:p>
      <w:pPr>
        <w:spacing w:line="360" w:lineRule="auto"/>
        <w:ind w:firstLine="480" w:firstLineChars="200"/>
        <w:rPr>
          <w:rFonts w:ascii="宋体" w:hAnsi="宋体"/>
          <w:sz w:val="24"/>
          <w:szCs w:val="24"/>
        </w:rPr>
      </w:pPr>
      <w:r>
        <w:rPr>
          <w:rFonts w:hint="eastAsia" w:ascii="宋体" w:hAnsi="宋体"/>
          <w:sz w:val="24"/>
          <w:szCs w:val="24"/>
        </w:rPr>
        <w:t>根据《财政部关于政府采购竞争性磋商采购方式管理暂行办法有关问题的补充通知》（财库〔2015〕124号）采用竞争性磋商采购方式采购的政府购买服务项目（含政府和社会资本合作项目），在采购过程中符合要求的供应商（社会资本）只有2家的，竞争性磋商采购活动可以继续进行。</w:t>
      </w:r>
    </w:p>
    <w:p>
      <w:pPr>
        <w:spacing w:line="360" w:lineRule="auto"/>
        <w:ind w:firstLine="480" w:firstLineChars="200"/>
        <w:rPr>
          <w:rFonts w:ascii="宋体" w:hAnsi="宋体"/>
          <w:sz w:val="24"/>
          <w:szCs w:val="24"/>
        </w:rPr>
      </w:pPr>
      <w:r>
        <w:rPr>
          <w:rFonts w:hint="eastAsia" w:ascii="宋体" w:hAnsi="宋体"/>
          <w:sz w:val="24"/>
          <w:szCs w:val="24"/>
        </w:rPr>
        <w:t>3.澄清有关问题。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spacing w:line="360" w:lineRule="auto"/>
        <w:ind w:firstLine="480" w:firstLineChars="200"/>
        <w:rPr>
          <w:rFonts w:ascii="宋体" w:hAnsi="宋体"/>
          <w:sz w:val="24"/>
          <w:szCs w:val="24"/>
        </w:rPr>
      </w:pPr>
      <w:r>
        <w:rPr>
          <w:rFonts w:hint="eastAsia" w:ascii="宋体" w:hAnsi="宋体"/>
          <w:sz w:val="24"/>
          <w:szCs w:val="24"/>
        </w:rPr>
        <w:t>4.磋商小组要求供应商澄清、说明或者更正响应文件应当以书面形式作出。供应商的澄清、说明或者更正应当由法定代表人或其授权代表签字或者加盖公章。由授权代表签字的，应当附法定代表人授权书。</w:t>
      </w:r>
    </w:p>
    <w:p>
      <w:pPr>
        <w:spacing w:line="360" w:lineRule="auto"/>
        <w:ind w:firstLine="480" w:firstLineChars="200"/>
        <w:rPr>
          <w:rFonts w:ascii="宋体" w:hAnsi="宋体"/>
          <w:sz w:val="24"/>
          <w:szCs w:val="24"/>
        </w:rPr>
      </w:pPr>
      <w:r>
        <w:rPr>
          <w:rFonts w:hint="eastAsia" w:ascii="宋体" w:hAnsi="宋体"/>
          <w:sz w:val="24"/>
          <w:szCs w:val="24"/>
        </w:rPr>
        <w:t>5.在磋商过程中磋商的任何一方不得向他人透露与磋商有关的技术资料、价格或其他信息。</w:t>
      </w:r>
    </w:p>
    <w:p>
      <w:pPr>
        <w:spacing w:line="360" w:lineRule="auto"/>
        <w:ind w:firstLine="480" w:firstLineChars="200"/>
        <w:rPr>
          <w:rFonts w:ascii="宋体" w:hAnsi="宋体"/>
          <w:sz w:val="24"/>
          <w:szCs w:val="24"/>
        </w:rPr>
      </w:pPr>
      <w:r>
        <w:rPr>
          <w:rFonts w:hint="eastAsia" w:ascii="宋体" w:hAnsi="宋体"/>
          <w:sz w:val="24"/>
          <w:szCs w:val="24"/>
        </w:rPr>
        <w:t>6.在磋商过程中，磋商小组可以根据竞争性磋商文件和磋商情况实质性变动采购需求中的技术、服务要求以及合同草案条款，但不得变动竞争性磋商文件中的其他内容。实质性变动的内容，须经采购人代表确认。对竞争性磋商文件作出的实质性变动是竞争性磋商文件的有效组成部分，磋商小组应当及时以书面形式同时通知所有参加磋商的供应商。</w:t>
      </w:r>
    </w:p>
    <w:p>
      <w:pPr>
        <w:spacing w:line="360" w:lineRule="auto"/>
        <w:ind w:firstLine="480" w:firstLineChars="200"/>
        <w:rPr>
          <w:rFonts w:ascii="宋体" w:hAnsi="宋体"/>
          <w:sz w:val="24"/>
          <w:szCs w:val="24"/>
        </w:rPr>
      </w:pPr>
      <w:r>
        <w:rPr>
          <w:rFonts w:hint="eastAsia" w:ascii="宋体" w:hAnsi="宋体"/>
          <w:sz w:val="24"/>
          <w:szCs w:val="24"/>
        </w:rPr>
        <w:t>7.供应商在磋商时作出的所有书面承诺须由法定代表人或其授权代表签字。</w:t>
      </w:r>
    </w:p>
    <w:p>
      <w:pPr>
        <w:spacing w:line="360" w:lineRule="auto"/>
        <w:ind w:firstLine="480" w:firstLineChars="200"/>
        <w:rPr>
          <w:rFonts w:ascii="宋体" w:hAnsi="宋体"/>
          <w:sz w:val="24"/>
          <w:szCs w:val="24"/>
        </w:rPr>
      </w:pPr>
      <w:r>
        <w:rPr>
          <w:rFonts w:hint="eastAsia" w:ascii="宋体" w:hAnsi="宋体"/>
          <w:sz w:val="24"/>
          <w:szCs w:val="24"/>
        </w:rPr>
        <w:t>8.经磋商确定最终采购需求且磋商结束后，供应商应当按照竞争性磋商文件的变动情况和磋商小组的要求重新提交响应文件或重新做出相关的书面承诺，最后书面提交最后报价及有关承诺（填写《最后报价表》并提交）。</w:t>
      </w:r>
      <w:r>
        <w:rPr>
          <w:rFonts w:ascii="宋体" w:hAnsi="宋体"/>
          <w:sz w:val="24"/>
          <w:szCs w:val="24"/>
        </w:rPr>
        <w:t>已提交响应文件</w:t>
      </w:r>
      <w:r>
        <w:rPr>
          <w:rFonts w:hint="eastAsia" w:ascii="宋体" w:hAnsi="宋体"/>
          <w:sz w:val="24"/>
          <w:szCs w:val="24"/>
        </w:rPr>
        <w:t>但未在规定时间内进行最后报价</w:t>
      </w:r>
      <w:r>
        <w:rPr>
          <w:rFonts w:ascii="宋体" w:hAnsi="宋体"/>
          <w:sz w:val="24"/>
          <w:szCs w:val="24"/>
        </w:rPr>
        <w:t>的供应商，</w:t>
      </w:r>
      <w:r>
        <w:rPr>
          <w:rFonts w:hint="eastAsia" w:ascii="宋体" w:hAnsi="宋体"/>
          <w:sz w:val="24"/>
          <w:szCs w:val="24"/>
        </w:rPr>
        <w:t>视为放弃最后报价，以供应商响应文件中的报价为准。</w:t>
      </w:r>
    </w:p>
    <w:p>
      <w:pPr>
        <w:spacing w:line="360" w:lineRule="auto"/>
        <w:ind w:firstLine="480" w:firstLineChars="200"/>
        <w:rPr>
          <w:rFonts w:ascii="宋体" w:hAnsi="宋体"/>
          <w:sz w:val="24"/>
          <w:szCs w:val="24"/>
        </w:rPr>
      </w:pPr>
      <w:r>
        <w:rPr>
          <w:rFonts w:hint="eastAsia" w:ascii="宋体" w:hAnsi="宋体"/>
          <w:sz w:val="24"/>
          <w:szCs w:val="24"/>
        </w:rPr>
        <w:t>9.磋商小组采用综合评分法对提交最后报价的供应商的响应文件和最后报价（含有效书面承诺）进行综合评分，综合评分法是指响应文件满足竞争性磋商文件全部实质性要求且按照评审因素的量化指标评审得分最高的供应商为成交候选供应商的评审方法。供应商总得分为价格、商务、技术等评定因素分别按照相应权重值计算分项得分后相加，满分为100分，（详见评审标准）</w:t>
      </w:r>
    </w:p>
    <w:p>
      <w:pPr>
        <w:spacing w:line="360" w:lineRule="auto"/>
        <w:ind w:firstLine="480" w:firstLineChars="200"/>
        <w:rPr>
          <w:rFonts w:ascii="宋体" w:hAnsi="宋体"/>
          <w:sz w:val="24"/>
          <w:szCs w:val="24"/>
        </w:rPr>
      </w:pPr>
      <w:r>
        <w:rPr>
          <w:rFonts w:hint="eastAsia" w:ascii="宋体" w:hAnsi="宋体"/>
          <w:sz w:val="24"/>
          <w:szCs w:val="24"/>
        </w:rPr>
        <w:t>10.磋商小组各成员独立对每个有效响应的文件进行评价、打分，然后汇总每个供应商每项评分因素的得分，并根据综合评分情况按照评审得分由高到低顺序推荐3名以上成交候选供应商，并编写评审报告。若供应商的评审得分相同的，按照最后报价由低到高的顺序排列推荐。评审得分且最后报价相同的，按照服务指标优劣顺序排列推荐。以上都相同的，按服务条款的优劣顺序排列推荐。</w:t>
      </w:r>
    </w:p>
    <w:p>
      <w:pPr>
        <w:pStyle w:val="6"/>
        <w:spacing w:before="0" w:after="0" w:line="440" w:lineRule="exact"/>
        <w:ind w:firstLine="482" w:firstLineChars="200"/>
        <w:rPr>
          <w:rFonts w:ascii="宋体"/>
          <w:sz w:val="24"/>
          <w:szCs w:val="24"/>
        </w:rPr>
      </w:pPr>
      <w:bookmarkStart w:id="101" w:name="_Toc137459401"/>
      <w:r>
        <w:rPr>
          <w:rFonts w:hint="eastAsia" w:ascii="宋体"/>
          <w:sz w:val="24"/>
          <w:szCs w:val="24"/>
        </w:rPr>
        <w:t>二、</w:t>
      </w:r>
      <w:bookmarkStart w:id="102" w:name="_Toc342913394"/>
      <w:bookmarkStart w:id="103" w:name="_Toc102227320"/>
      <w:r>
        <w:rPr>
          <w:rFonts w:hint="eastAsia" w:ascii="宋体"/>
          <w:sz w:val="24"/>
          <w:szCs w:val="24"/>
        </w:rPr>
        <w:t>评审标准</w:t>
      </w:r>
      <w:bookmarkEnd w:id="101"/>
    </w:p>
    <w:tbl>
      <w:tblPr>
        <w:tblStyle w:val="68"/>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1135"/>
        <w:gridCol w:w="737"/>
        <w:gridCol w:w="5245"/>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0" w:hRule="atLeast"/>
        </w:trPr>
        <w:tc>
          <w:tcPr>
            <w:tcW w:w="533"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28"/>
              <w:jc w:val="center"/>
              <w:rPr>
                <w:rFonts w:ascii="宋体" w:hAnsi="宋体"/>
                <w:b/>
                <w:sz w:val="21"/>
                <w:szCs w:val="21"/>
              </w:rPr>
            </w:pPr>
            <w:r>
              <w:rPr>
                <w:rFonts w:hint="eastAsia" w:ascii="宋体" w:hAnsi="宋体"/>
                <w:b/>
                <w:sz w:val="21"/>
                <w:szCs w:val="21"/>
              </w:rPr>
              <w:t>序号</w:t>
            </w:r>
          </w:p>
        </w:tc>
        <w:tc>
          <w:tcPr>
            <w:tcW w:w="1135"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28"/>
              <w:jc w:val="center"/>
              <w:rPr>
                <w:rFonts w:ascii="宋体" w:hAnsi="宋体"/>
                <w:b/>
                <w:sz w:val="21"/>
                <w:szCs w:val="21"/>
              </w:rPr>
            </w:pPr>
            <w:r>
              <w:rPr>
                <w:rFonts w:hint="eastAsia" w:ascii="宋体" w:hAnsi="宋体"/>
                <w:b/>
                <w:sz w:val="21"/>
                <w:szCs w:val="21"/>
              </w:rPr>
              <w:t>评分因素</w:t>
            </w:r>
          </w:p>
          <w:p>
            <w:pPr>
              <w:spacing w:line="240" w:lineRule="atLeast"/>
              <w:ind w:firstLine="28"/>
              <w:jc w:val="center"/>
              <w:rPr>
                <w:rFonts w:ascii="宋体" w:hAnsi="宋体"/>
                <w:b/>
                <w:sz w:val="21"/>
                <w:szCs w:val="21"/>
              </w:rPr>
            </w:pPr>
            <w:r>
              <w:rPr>
                <w:rFonts w:hint="eastAsia" w:ascii="宋体" w:hAnsi="宋体"/>
                <w:b/>
                <w:sz w:val="21"/>
                <w:szCs w:val="21"/>
              </w:rPr>
              <w:t>及权重</w:t>
            </w:r>
          </w:p>
        </w:tc>
        <w:tc>
          <w:tcPr>
            <w:tcW w:w="737"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28"/>
              <w:jc w:val="center"/>
              <w:rPr>
                <w:rFonts w:ascii="宋体" w:hAnsi="宋体"/>
                <w:b/>
                <w:sz w:val="21"/>
                <w:szCs w:val="21"/>
              </w:rPr>
            </w:pPr>
            <w:r>
              <w:rPr>
                <w:rFonts w:hint="eastAsia" w:ascii="宋体" w:hAnsi="宋体"/>
                <w:b/>
                <w:sz w:val="21"/>
                <w:szCs w:val="21"/>
              </w:rPr>
              <w:t>分值</w:t>
            </w:r>
          </w:p>
        </w:tc>
        <w:tc>
          <w:tcPr>
            <w:tcW w:w="5245"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28"/>
              <w:jc w:val="center"/>
              <w:rPr>
                <w:rFonts w:ascii="宋体" w:hAnsi="宋体"/>
                <w:b/>
                <w:sz w:val="21"/>
                <w:szCs w:val="21"/>
              </w:rPr>
            </w:pPr>
            <w:r>
              <w:rPr>
                <w:rFonts w:hint="eastAsia" w:ascii="宋体" w:hAnsi="宋体"/>
                <w:b/>
                <w:sz w:val="21"/>
                <w:szCs w:val="21"/>
              </w:rPr>
              <w:t>评分标准</w:t>
            </w:r>
          </w:p>
        </w:tc>
        <w:tc>
          <w:tcPr>
            <w:tcW w:w="1956" w:type="dxa"/>
            <w:tcBorders>
              <w:top w:val="single" w:color="auto" w:sz="4" w:space="0"/>
              <w:left w:val="single" w:color="auto" w:sz="4" w:space="0"/>
              <w:bottom w:val="single" w:color="auto" w:sz="4" w:space="0"/>
              <w:right w:val="single" w:color="auto" w:sz="4" w:space="0"/>
            </w:tcBorders>
            <w:vAlign w:val="center"/>
          </w:tcPr>
          <w:p>
            <w:pPr>
              <w:pStyle w:val="232"/>
              <w:spacing w:before="0" w:after="0" w:line="240" w:lineRule="atLeast"/>
              <w:rPr>
                <w:rFonts w:ascii="宋体" w:hAnsi="宋体" w:eastAsia="宋体"/>
                <w:sz w:val="21"/>
                <w:szCs w:val="21"/>
              </w:rPr>
            </w:pPr>
            <w:r>
              <w:rPr>
                <w:rFonts w:hint="eastAsia" w:ascii="宋体" w:hAnsi="宋体" w:eastAsia="宋体"/>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0" w:hRule="atLeast"/>
        </w:trPr>
        <w:tc>
          <w:tcPr>
            <w:tcW w:w="533"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28"/>
              <w:jc w:val="center"/>
              <w:rPr>
                <w:rFonts w:ascii="宋体" w:hAnsi="宋体"/>
                <w:sz w:val="21"/>
                <w:szCs w:val="21"/>
              </w:rPr>
            </w:pPr>
            <w:r>
              <w:rPr>
                <w:rFonts w:hint="eastAsia" w:ascii="宋体" w:hAnsi="宋体"/>
                <w:sz w:val="21"/>
                <w:szCs w:val="21"/>
              </w:rPr>
              <w:t>1</w:t>
            </w:r>
          </w:p>
        </w:tc>
        <w:tc>
          <w:tcPr>
            <w:tcW w:w="1135"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28"/>
              <w:jc w:val="center"/>
              <w:rPr>
                <w:rFonts w:ascii="宋体" w:hAnsi="宋体"/>
                <w:sz w:val="21"/>
                <w:szCs w:val="21"/>
              </w:rPr>
            </w:pPr>
            <w:r>
              <w:rPr>
                <w:rFonts w:hint="eastAsia" w:ascii="宋体" w:hAnsi="宋体"/>
                <w:sz w:val="21"/>
                <w:szCs w:val="21"/>
              </w:rPr>
              <w:t>磋商报价</w:t>
            </w:r>
          </w:p>
          <w:p>
            <w:pPr>
              <w:spacing w:line="240" w:lineRule="atLeast"/>
              <w:ind w:firstLine="28"/>
              <w:jc w:val="center"/>
              <w:rPr>
                <w:rFonts w:ascii="宋体" w:hAnsi="宋体"/>
                <w:sz w:val="21"/>
                <w:szCs w:val="21"/>
              </w:rPr>
            </w:pPr>
            <w:r>
              <w:rPr>
                <w:rFonts w:hint="eastAsia" w:ascii="宋体" w:hAnsi="宋体"/>
                <w:sz w:val="21"/>
                <w:szCs w:val="21"/>
              </w:rPr>
              <w:t>（50%）</w:t>
            </w:r>
          </w:p>
        </w:tc>
        <w:tc>
          <w:tcPr>
            <w:tcW w:w="737"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28"/>
              <w:jc w:val="center"/>
              <w:rPr>
                <w:rFonts w:ascii="宋体" w:hAnsi="宋体"/>
                <w:sz w:val="21"/>
                <w:szCs w:val="21"/>
              </w:rPr>
            </w:pPr>
            <w:r>
              <w:rPr>
                <w:rFonts w:hint="eastAsia" w:ascii="宋体" w:hAnsi="宋体"/>
                <w:sz w:val="21"/>
                <w:szCs w:val="21"/>
              </w:rPr>
              <w:t>50</w:t>
            </w:r>
          </w:p>
        </w:tc>
        <w:tc>
          <w:tcPr>
            <w:tcW w:w="5245"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sz w:val="21"/>
                <w:szCs w:val="21"/>
              </w:rPr>
            </w:pPr>
            <w:r>
              <w:rPr>
                <w:rFonts w:hint="eastAsia" w:ascii="宋体" w:hAnsi="宋体"/>
                <w:sz w:val="21"/>
                <w:szCs w:val="21"/>
              </w:rPr>
              <w:t>满足磋商文件资格要求且最后报价最低的供应商的价格为磋商基准价，按照下列公式计算每个供应商的磋商报价得分。</w:t>
            </w:r>
          </w:p>
          <w:p>
            <w:pPr>
              <w:ind w:firstLine="28"/>
              <w:rPr>
                <w:rFonts w:ascii="宋体" w:hAnsi="宋体"/>
                <w:sz w:val="21"/>
                <w:szCs w:val="21"/>
              </w:rPr>
            </w:pPr>
            <w:r>
              <w:rPr>
                <w:rFonts w:hint="eastAsia" w:ascii="宋体" w:hAnsi="宋体"/>
                <w:sz w:val="21"/>
                <w:szCs w:val="21"/>
              </w:rPr>
              <w:t>磋商报价得分=（磋商基准价/最后磋商报价）×价格权值×100</w:t>
            </w:r>
            <w:r>
              <w:rPr>
                <w:rStyle w:val="74"/>
                <w:rFonts w:hint="eastAsia" w:ascii="宋体" w:hAnsi="宋体"/>
                <w:sz w:val="21"/>
                <w:szCs w:val="21"/>
              </w:rPr>
              <w:t>供应商</w:t>
            </w:r>
          </w:p>
        </w:tc>
        <w:tc>
          <w:tcPr>
            <w:tcW w:w="1956"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b/>
                <w:sz w:val="21"/>
                <w:szCs w:val="21"/>
              </w:rPr>
            </w:pPr>
            <w:r>
              <w:rPr>
                <w:rFonts w:hint="eastAsia" w:ascii="宋体" w:hAnsi="宋体"/>
                <w:sz w:val="21"/>
                <w:szCs w:val="21"/>
              </w:rPr>
              <w:t>对小微企业的价格用扣除后的价格参与评审，详见“关于小微企业报价扣除比例说明”。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56" w:hRule="atLeast"/>
        </w:trPr>
        <w:tc>
          <w:tcPr>
            <w:tcW w:w="533" w:type="dxa"/>
            <w:tcBorders>
              <w:top w:val="single" w:color="auto" w:sz="4" w:space="0"/>
              <w:left w:val="single" w:color="auto" w:sz="4" w:space="0"/>
              <w:right w:val="single" w:color="auto" w:sz="4" w:space="0"/>
            </w:tcBorders>
            <w:vAlign w:val="center"/>
          </w:tcPr>
          <w:p>
            <w:pPr>
              <w:spacing w:line="240" w:lineRule="atLeast"/>
              <w:ind w:firstLine="28"/>
              <w:jc w:val="center"/>
              <w:rPr>
                <w:rFonts w:ascii="宋体" w:hAnsi="宋体"/>
                <w:sz w:val="21"/>
                <w:szCs w:val="21"/>
              </w:rPr>
            </w:pPr>
            <w:r>
              <w:rPr>
                <w:rFonts w:hint="eastAsia" w:ascii="宋体" w:hAnsi="宋体"/>
                <w:sz w:val="21"/>
                <w:szCs w:val="21"/>
              </w:rPr>
              <w:t>2</w:t>
            </w:r>
          </w:p>
        </w:tc>
        <w:tc>
          <w:tcPr>
            <w:tcW w:w="1135" w:type="dxa"/>
            <w:tcBorders>
              <w:top w:val="single" w:color="auto" w:sz="4" w:space="0"/>
              <w:left w:val="single" w:color="auto" w:sz="4" w:space="0"/>
              <w:right w:val="single" w:color="auto" w:sz="4" w:space="0"/>
            </w:tcBorders>
            <w:vAlign w:val="center"/>
          </w:tcPr>
          <w:p>
            <w:pPr>
              <w:spacing w:line="240" w:lineRule="atLeast"/>
              <w:ind w:firstLine="28"/>
              <w:jc w:val="center"/>
              <w:rPr>
                <w:rFonts w:ascii="宋体" w:hAnsi="宋体"/>
                <w:sz w:val="21"/>
                <w:szCs w:val="21"/>
              </w:rPr>
            </w:pPr>
            <w:r>
              <w:rPr>
                <w:rFonts w:hint="eastAsia" w:ascii="宋体" w:hAnsi="宋体"/>
                <w:sz w:val="21"/>
                <w:szCs w:val="21"/>
              </w:rPr>
              <w:t>技术部分</w:t>
            </w:r>
          </w:p>
          <w:p>
            <w:pPr>
              <w:spacing w:line="240" w:lineRule="atLeast"/>
              <w:ind w:firstLine="28"/>
              <w:jc w:val="center"/>
              <w:rPr>
                <w:rFonts w:ascii="宋体" w:hAnsi="宋体"/>
                <w:sz w:val="21"/>
                <w:szCs w:val="21"/>
              </w:rPr>
            </w:pPr>
            <w:r>
              <w:rPr>
                <w:rFonts w:hint="eastAsia" w:ascii="宋体" w:hAnsi="宋体"/>
                <w:sz w:val="21"/>
                <w:szCs w:val="21"/>
              </w:rPr>
              <w:t>（36%）</w:t>
            </w:r>
          </w:p>
        </w:tc>
        <w:tc>
          <w:tcPr>
            <w:tcW w:w="737" w:type="dxa"/>
            <w:tcBorders>
              <w:top w:val="single" w:color="auto" w:sz="4" w:space="0"/>
              <w:left w:val="single" w:color="auto" w:sz="4" w:space="0"/>
              <w:right w:val="single" w:color="auto" w:sz="4" w:space="0"/>
            </w:tcBorders>
            <w:vAlign w:val="center"/>
          </w:tcPr>
          <w:p>
            <w:pPr>
              <w:spacing w:line="240" w:lineRule="atLeast"/>
              <w:ind w:firstLine="28"/>
              <w:jc w:val="center"/>
              <w:rPr>
                <w:rFonts w:ascii="宋体" w:hAnsi="宋体"/>
                <w:color w:val="FF0000"/>
                <w:sz w:val="21"/>
                <w:szCs w:val="21"/>
              </w:rPr>
            </w:pPr>
            <w:r>
              <w:rPr>
                <w:rFonts w:hint="eastAsia" w:ascii="宋体" w:hAnsi="宋体"/>
                <w:sz w:val="21"/>
                <w:szCs w:val="21"/>
              </w:rPr>
              <w:t>36分</w:t>
            </w:r>
          </w:p>
        </w:tc>
        <w:tc>
          <w:tcPr>
            <w:tcW w:w="5245" w:type="dxa"/>
            <w:tcBorders>
              <w:top w:val="single" w:color="auto" w:sz="4" w:space="0"/>
              <w:left w:val="single" w:color="auto" w:sz="4" w:space="0"/>
              <w:right w:val="single" w:color="auto" w:sz="4" w:space="0"/>
            </w:tcBorders>
            <w:vAlign w:val="center"/>
          </w:tcPr>
          <w:p>
            <w:pPr>
              <w:spacing w:line="240" w:lineRule="atLeast"/>
              <w:rPr>
                <w:rFonts w:ascii="宋体" w:hAnsi="宋体"/>
                <w:sz w:val="21"/>
                <w:szCs w:val="21"/>
              </w:rPr>
            </w:pPr>
            <w:r>
              <w:rPr>
                <w:rFonts w:hint="eastAsia" w:ascii="宋体" w:hAnsi="宋体"/>
                <w:sz w:val="21"/>
                <w:szCs w:val="21"/>
              </w:rPr>
              <w:t>项目实施方案</w:t>
            </w:r>
          </w:p>
          <w:p>
            <w:pPr>
              <w:spacing w:line="240" w:lineRule="atLeast"/>
              <w:rPr>
                <w:rFonts w:ascii="宋体" w:hAnsi="宋体"/>
                <w:sz w:val="21"/>
                <w:szCs w:val="21"/>
              </w:rPr>
            </w:pPr>
            <w:r>
              <w:rPr>
                <w:rFonts w:hint="eastAsia" w:ascii="宋体" w:hAnsi="宋体"/>
                <w:sz w:val="21"/>
                <w:szCs w:val="21"/>
              </w:rPr>
              <w:t>供应商提供项目建设实施方案。要求施工方案和施工组织合理、符合相关行业规范。有明确的工期、质量、服务目标。有详细的工程进度保证措施、质量保证措施、安全文明施工措施。</w:t>
            </w:r>
          </w:p>
          <w:p>
            <w:pPr>
              <w:spacing w:line="240" w:lineRule="atLeast"/>
              <w:rPr>
                <w:rFonts w:ascii="宋体" w:hAnsi="宋体"/>
                <w:sz w:val="21"/>
                <w:szCs w:val="21"/>
              </w:rPr>
            </w:pPr>
            <w:r>
              <w:rPr>
                <w:rFonts w:hint="eastAsia" w:ascii="宋体" w:hAnsi="宋体"/>
                <w:sz w:val="21"/>
                <w:szCs w:val="21"/>
              </w:rPr>
              <w:t>（1）装修改造部分实施方案评分标准（26分）</w:t>
            </w:r>
          </w:p>
          <w:p>
            <w:pPr>
              <w:spacing w:line="240" w:lineRule="atLeast"/>
              <w:rPr>
                <w:rFonts w:ascii="宋体" w:hAnsi="宋体"/>
                <w:sz w:val="21"/>
                <w:szCs w:val="21"/>
              </w:rPr>
            </w:pPr>
            <w:r>
              <w:rPr>
                <w:rFonts w:hint="eastAsia" w:ascii="宋体" w:hAnsi="宋体"/>
                <w:sz w:val="21"/>
                <w:szCs w:val="21"/>
              </w:rPr>
              <w:t>优（方案合理、组织有序、符合规范、措施得当）得26分，良（方案较合理、组织较有序、基本符合规范、措施较得当）得</w:t>
            </w:r>
            <w:r>
              <w:rPr>
                <w:rFonts w:ascii="宋体" w:hAnsi="宋体"/>
                <w:sz w:val="21"/>
                <w:szCs w:val="21"/>
              </w:rPr>
              <w:t>16</w:t>
            </w:r>
            <w:r>
              <w:rPr>
                <w:rFonts w:hint="eastAsia" w:ascii="宋体" w:hAnsi="宋体"/>
                <w:sz w:val="21"/>
                <w:szCs w:val="21"/>
              </w:rPr>
              <w:t>分，一般（方案一般、组织一般、基本符合规范、措施一般）得</w:t>
            </w:r>
            <w:r>
              <w:rPr>
                <w:rFonts w:ascii="宋体" w:hAnsi="宋体"/>
                <w:sz w:val="21"/>
                <w:szCs w:val="21"/>
              </w:rPr>
              <w:t>6</w:t>
            </w:r>
            <w:r>
              <w:rPr>
                <w:rFonts w:hint="eastAsia" w:ascii="宋体" w:hAnsi="宋体"/>
                <w:sz w:val="21"/>
                <w:szCs w:val="21"/>
              </w:rPr>
              <w:t>分，差（方案差、组织查、不符合规范、措施差）或未提供得0分。</w:t>
            </w:r>
          </w:p>
          <w:p>
            <w:pPr>
              <w:spacing w:line="240" w:lineRule="atLeast"/>
              <w:rPr>
                <w:rFonts w:ascii="宋体" w:hAnsi="宋体"/>
                <w:sz w:val="21"/>
                <w:szCs w:val="21"/>
              </w:rPr>
            </w:pPr>
            <w:r>
              <w:rPr>
                <w:rFonts w:hint="eastAsia" w:ascii="宋体" w:hAnsi="宋体"/>
                <w:sz w:val="21"/>
                <w:szCs w:val="21"/>
              </w:rPr>
              <w:t>（2）消防改造部分实施方案评分标准（10分）</w:t>
            </w:r>
          </w:p>
          <w:p>
            <w:pPr>
              <w:spacing w:line="240" w:lineRule="atLeast"/>
              <w:rPr>
                <w:rFonts w:ascii="宋体" w:hAnsi="宋体"/>
                <w:sz w:val="21"/>
                <w:szCs w:val="21"/>
              </w:rPr>
            </w:pPr>
            <w:r>
              <w:rPr>
                <w:rFonts w:hint="eastAsia" w:ascii="宋体" w:hAnsi="宋体"/>
                <w:sz w:val="21"/>
                <w:szCs w:val="21"/>
              </w:rPr>
              <w:t>优（方案合理、组织有序、符合规范、措施得当）得10分，良（方案较合理、组织较有序、基本符合规范、措施较得当）得8分，一般（方案一般、组织一般、基本符合规范、措施一般）得6分，差（方案差、组织查、不符合规范、措施差）或未提供得0分。</w:t>
            </w:r>
          </w:p>
        </w:tc>
        <w:tc>
          <w:tcPr>
            <w:tcW w:w="1956" w:type="dxa"/>
            <w:tcBorders>
              <w:top w:val="single" w:color="auto" w:sz="4" w:space="0"/>
              <w:left w:val="single" w:color="auto" w:sz="4" w:space="0"/>
              <w:bottom w:val="single" w:color="auto" w:sz="4" w:space="0"/>
              <w:right w:val="single" w:color="auto" w:sz="4" w:space="0"/>
            </w:tcBorders>
            <w:vAlign w:val="center"/>
          </w:tcPr>
          <w:p>
            <w:pPr>
              <w:pStyle w:val="232"/>
              <w:rPr>
                <w:rFonts w:ascii="宋体" w:hAnsi="宋体" w:eastAsia="宋体"/>
                <w:b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9" w:hRule="atLeast"/>
        </w:trPr>
        <w:tc>
          <w:tcPr>
            <w:tcW w:w="533" w:type="dxa"/>
            <w:vMerge w:val="restart"/>
            <w:vAlign w:val="center"/>
          </w:tcPr>
          <w:p>
            <w:pPr>
              <w:spacing w:line="240" w:lineRule="atLeast"/>
              <w:ind w:firstLine="28"/>
              <w:jc w:val="center"/>
              <w:rPr>
                <w:rFonts w:ascii="宋体" w:hAnsi="宋体"/>
                <w:sz w:val="21"/>
                <w:szCs w:val="21"/>
              </w:rPr>
            </w:pPr>
            <w:r>
              <w:rPr>
                <w:rFonts w:hint="eastAsia" w:ascii="宋体" w:hAnsi="宋体"/>
                <w:sz w:val="21"/>
                <w:szCs w:val="21"/>
              </w:rPr>
              <w:t>3</w:t>
            </w:r>
          </w:p>
        </w:tc>
        <w:tc>
          <w:tcPr>
            <w:tcW w:w="1135" w:type="dxa"/>
            <w:vMerge w:val="restart"/>
            <w:vAlign w:val="center"/>
          </w:tcPr>
          <w:p>
            <w:pPr>
              <w:spacing w:line="240" w:lineRule="atLeast"/>
              <w:rPr>
                <w:rFonts w:ascii="宋体" w:hAnsi="宋体"/>
                <w:sz w:val="21"/>
                <w:szCs w:val="21"/>
              </w:rPr>
            </w:pPr>
            <w:r>
              <w:rPr>
                <w:rFonts w:hint="eastAsia" w:ascii="宋体" w:hAnsi="宋体"/>
                <w:sz w:val="21"/>
                <w:szCs w:val="21"/>
              </w:rPr>
              <w:t>商务部分（14%）</w:t>
            </w:r>
          </w:p>
        </w:tc>
        <w:tc>
          <w:tcPr>
            <w:tcW w:w="737" w:type="dxa"/>
            <w:vAlign w:val="center"/>
          </w:tcPr>
          <w:p>
            <w:pPr>
              <w:spacing w:line="240" w:lineRule="atLeast"/>
              <w:jc w:val="center"/>
              <w:rPr>
                <w:rFonts w:ascii="宋体" w:hAnsi="宋体"/>
                <w:sz w:val="21"/>
                <w:szCs w:val="21"/>
              </w:rPr>
            </w:pPr>
            <w:r>
              <w:rPr>
                <w:rFonts w:hint="eastAsia" w:ascii="宋体" w:hAnsi="宋体"/>
                <w:sz w:val="21"/>
                <w:szCs w:val="21"/>
              </w:rPr>
              <w:t>业绩</w:t>
            </w:r>
          </w:p>
          <w:p>
            <w:pPr>
              <w:spacing w:line="240" w:lineRule="atLeast"/>
              <w:jc w:val="center"/>
              <w:rPr>
                <w:rFonts w:ascii="宋体" w:hAnsi="宋体"/>
                <w:sz w:val="21"/>
                <w:szCs w:val="21"/>
              </w:rPr>
            </w:pPr>
            <w:r>
              <w:rPr>
                <w:rFonts w:hint="eastAsia" w:ascii="宋体" w:hAnsi="宋体"/>
                <w:sz w:val="21"/>
                <w:szCs w:val="21"/>
              </w:rPr>
              <w:t>（6分）</w:t>
            </w:r>
          </w:p>
        </w:tc>
        <w:tc>
          <w:tcPr>
            <w:tcW w:w="5245" w:type="dxa"/>
            <w:vAlign w:val="center"/>
          </w:tcPr>
          <w:p>
            <w:pPr>
              <w:spacing w:line="240" w:lineRule="atLeast"/>
              <w:rPr>
                <w:rFonts w:ascii="宋体" w:hAnsi="宋体"/>
                <w:sz w:val="21"/>
                <w:szCs w:val="21"/>
              </w:rPr>
            </w:pPr>
            <w:r>
              <w:rPr>
                <w:rFonts w:hint="eastAsia" w:ascii="宋体" w:hAnsi="宋体"/>
                <w:sz w:val="21"/>
                <w:szCs w:val="21"/>
              </w:rPr>
              <w:t>2019年1月1日以来供应商承担过陈列室或展厅改造或装修项目，每提供1个项目业绩得2分，最高得分为6分（以签订合同时间为准）。未提供得0分。</w:t>
            </w:r>
          </w:p>
        </w:tc>
        <w:tc>
          <w:tcPr>
            <w:tcW w:w="1956" w:type="dxa"/>
            <w:vAlign w:val="center"/>
          </w:tcPr>
          <w:p>
            <w:pPr>
              <w:spacing w:line="240" w:lineRule="atLeast"/>
              <w:rPr>
                <w:rFonts w:ascii="宋体" w:hAnsi="宋体"/>
                <w:sz w:val="21"/>
                <w:szCs w:val="21"/>
              </w:rPr>
            </w:pPr>
            <w:r>
              <w:rPr>
                <w:rFonts w:hint="eastAsia" w:ascii="宋体" w:hAnsi="宋体"/>
                <w:sz w:val="21"/>
                <w:szCs w:val="21"/>
              </w:rPr>
              <w:t>供应商须提供合同及验收报告复印件。</w:t>
            </w:r>
          </w:p>
          <w:p>
            <w:pPr>
              <w:spacing w:line="240" w:lineRule="atLeast"/>
              <w:rPr>
                <w:rFonts w:ascii="宋体" w:hAnsi="宋体"/>
                <w:sz w:val="21"/>
                <w:szCs w:val="21"/>
              </w:rPr>
            </w:pPr>
            <w:r>
              <w:rPr>
                <w:rFonts w:hint="eastAsia" w:ascii="宋体" w:hAnsi="宋体"/>
                <w:sz w:val="21"/>
                <w:szCs w:val="21"/>
              </w:rPr>
              <w:t>供应商须提供成功案例的项目名称、建设单位名称、建设单位联系人及电话等。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Merge w:val="continue"/>
            <w:vAlign w:val="center"/>
          </w:tcPr>
          <w:p>
            <w:pPr>
              <w:snapToGrid w:val="0"/>
              <w:spacing w:line="240" w:lineRule="atLeast"/>
              <w:jc w:val="center"/>
              <w:rPr>
                <w:rFonts w:ascii="宋体" w:hAnsi="宋体"/>
                <w:sz w:val="21"/>
                <w:szCs w:val="21"/>
              </w:rPr>
            </w:pPr>
          </w:p>
        </w:tc>
        <w:tc>
          <w:tcPr>
            <w:tcW w:w="1135" w:type="dxa"/>
            <w:vMerge w:val="continue"/>
            <w:vAlign w:val="center"/>
          </w:tcPr>
          <w:p>
            <w:pPr>
              <w:snapToGrid w:val="0"/>
              <w:spacing w:line="240" w:lineRule="atLeast"/>
              <w:jc w:val="center"/>
              <w:rPr>
                <w:rFonts w:ascii="宋体" w:hAnsi="宋体"/>
                <w:sz w:val="21"/>
                <w:szCs w:val="21"/>
              </w:rPr>
            </w:pPr>
          </w:p>
        </w:tc>
        <w:tc>
          <w:tcPr>
            <w:tcW w:w="737" w:type="dxa"/>
            <w:tcBorders>
              <w:top w:val="single" w:color="auto" w:sz="4" w:space="0"/>
              <w:bottom w:val="single" w:color="auto" w:sz="4" w:space="0"/>
              <w:right w:val="single" w:color="auto" w:sz="4" w:space="0"/>
            </w:tcBorders>
            <w:vAlign w:val="center"/>
          </w:tcPr>
          <w:p>
            <w:pPr>
              <w:spacing w:line="240" w:lineRule="atLeast"/>
              <w:jc w:val="center"/>
              <w:rPr>
                <w:rFonts w:ascii="宋体" w:hAnsi="宋体"/>
                <w:sz w:val="21"/>
                <w:szCs w:val="21"/>
              </w:rPr>
            </w:pPr>
            <w:r>
              <w:rPr>
                <w:rFonts w:hint="eastAsia" w:ascii="宋体" w:hAnsi="宋体"/>
                <w:sz w:val="21"/>
                <w:szCs w:val="21"/>
              </w:rPr>
              <w:t>供应商实力</w:t>
            </w:r>
          </w:p>
          <w:p>
            <w:pPr>
              <w:spacing w:line="240" w:lineRule="atLeast"/>
              <w:jc w:val="center"/>
              <w:rPr>
                <w:rFonts w:ascii="宋体" w:hAnsi="宋体"/>
                <w:sz w:val="21"/>
                <w:szCs w:val="21"/>
              </w:rPr>
            </w:pPr>
            <w:r>
              <w:rPr>
                <w:rFonts w:hint="eastAsia" w:ascii="宋体" w:hAnsi="宋体"/>
                <w:sz w:val="21"/>
                <w:szCs w:val="21"/>
              </w:rPr>
              <w:t>（</w:t>
            </w:r>
            <w:r>
              <w:rPr>
                <w:rFonts w:ascii="宋体" w:hAnsi="宋体"/>
                <w:sz w:val="21"/>
                <w:szCs w:val="21"/>
              </w:rPr>
              <w:t>5</w:t>
            </w:r>
            <w:r>
              <w:rPr>
                <w:rFonts w:hint="eastAsia" w:ascii="宋体" w:hAnsi="宋体"/>
                <w:sz w:val="21"/>
                <w:szCs w:val="21"/>
              </w:rPr>
              <w:t>分）</w:t>
            </w:r>
          </w:p>
        </w:tc>
        <w:tc>
          <w:tcPr>
            <w:tcW w:w="5245" w:type="dxa"/>
            <w:tcBorders>
              <w:top w:val="single" w:color="auto" w:sz="4" w:space="0"/>
              <w:left w:val="single" w:color="auto" w:sz="4" w:space="0"/>
              <w:bottom w:val="single" w:color="auto" w:sz="4" w:space="0"/>
            </w:tcBorders>
            <w:vAlign w:val="center"/>
          </w:tcPr>
          <w:p>
            <w:pPr>
              <w:spacing w:line="240" w:lineRule="atLeast"/>
              <w:rPr>
                <w:rFonts w:ascii="宋体" w:hAnsi="宋体"/>
                <w:sz w:val="21"/>
                <w:szCs w:val="21"/>
              </w:rPr>
            </w:pPr>
            <w:r>
              <w:rPr>
                <w:rFonts w:hint="eastAsia" w:ascii="宋体" w:hAnsi="宋体"/>
                <w:sz w:val="21"/>
                <w:szCs w:val="21"/>
              </w:rPr>
              <w:t>1</w:t>
            </w:r>
            <w:r>
              <w:rPr>
                <w:rFonts w:ascii="宋体" w:hAnsi="宋体"/>
                <w:sz w:val="21"/>
                <w:szCs w:val="21"/>
              </w:rPr>
              <w:t>.</w:t>
            </w:r>
            <w:r>
              <w:rPr>
                <w:rFonts w:hint="eastAsia" w:ascii="宋体" w:hAnsi="宋体"/>
                <w:sz w:val="21"/>
                <w:szCs w:val="21"/>
              </w:rPr>
              <w:t>特种作业人员配备。</w:t>
            </w:r>
          </w:p>
          <w:p>
            <w:pPr>
              <w:spacing w:line="240" w:lineRule="atLeast"/>
              <w:rPr>
                <w:rFonts w:ascii="宋体" w:hAnsi="宋体"/>
                <w:sz w:val="21"/>
                <w:szCs w:val="21"/>
              </w:rPr>
            </w:pPr>
            <w:r>
              <w:rPr>
                <w:rFonts w:hint="eastAsia" w:ascii="宋体" w:hAnsi="宋体"/>
                <w:sz w:val="21"/>
                <w:szCs w:val="21"/>
              </w:rPr>
              <w:t>供应商每提供</w:t>
            </w:r>
            <w:r>
              <w:rPr>
                <w:rFonts w:ascii="宋体" w:hAnsi="宋体"/>
                <w:sz w:val="21"/>
                <w:szCs w:val="21"/>
              </w:rPr>
              <w:t>1</w:t>
            </w:r>
            <w:r>
              <w:rPr>
                <w:rFonts w:hint="eastAsia" w:ascii="宋体" w:hAnsi="宋体"/>
                <w:sz w:val="21"/>
                <w:szCs w:val="21"/>
              </w:rPr>
              <w:t>名低压电工作业的特种作业人员及供应商为其缴纳的社保证明的，得</w:t>
            </w:r>
            <w:r>
              <w:rPr>
                <w:rFonts w:ascii="宋体" w:hAnsi="宋体"/>
                <w:sz w:val="21"/>
                <w:szCs w:val="21"/>
              </w:rPr>
              <w:t>1</w:t>
            </w:r>
            <w:r>
              <w:rPr>
                <w:rFonts w:hint="eastAsia" w:ascii="宋体" w:hAnsi="宋体"/>
                <w:sz w:val="21"/>
                <w:szCs w:val="21"/>
              </w:rPr>
              <w:t>分，最高得分为2分。</w:t>
            </w:r>
          </w:p>
          <w:p>
            <w:pPr>
              <w:spacing w:line="240" w:lineRule="atLeast"/>
              <w:rPr>
                <w:rFonts w:ascii="宋体" w:hAnsi="宋体"/>
                <w:sz w:val="21"/>
                <w:szCs w:val="21"/>
              </w:rPr>
            </w:pPr>
            <w:r>
              <w:rPr>
                <w:rFonts w:hint="eastAsia" w:ascii="宋体" w:hAnsi="宋体"/>
                <w:sz w:val="21"/>
                <w:szCs w:val="21"/>
              </w:rPr>
              <w:t>2</w:t>
            </w:r>
            <w:r>
              <w:rPr>
                <w:rFonts w:ascii="宋体" w:hAnsi="宋体"/>
                <w:sz w:val="21"/>
                <w:szCs w:val="21"/>
              </w:rPr>
              <w:t>.</w:t>
            </w:r>
            <w:r>
              <w:rPr>
                <w:rFonts w:hint="eastAsia" w:ascii="宋体" w:hAnsi="宋体"/>
                <w:sz w:val="21"/>
                <w:szCs w:val="21"/>
              </w:rPr>
              <w:t>供应商具有有效期内的ISO9000质量管理体系、ISO14000环境管理体系、ISO45001职业安全健康管理体系的，具备1项得</w:t>
            </w:r>
            <w:r>
              <w:rPr>
                <w:rFonts w:ascii="宋体" w:hAnsi="宋体"/>
                <w:sz w:val="21"/>
                <w:szCs w:val="21"/>
              </w:rPr>
              <w:t>1</w:t>
            </w:r>
            <w:r>
              <w:rPr>
                <w:rFonts w:hint="eastAsia" w:ascii="宋体" w:hAnsi="宋体"/>
                <w:sz w:val="21"/>
                <w:szCs w:val="21"/>
              </w:rPr>
              <w:t>分，满分3分。</w:t>
            </w:r>
          </w:p>
        </w:tc>
        <w:tc>
          <w:tcPr>
            <w:tcW w:w="1956" w:type="dxa"/>
            <w:tcBorders>
              <w:top w:val="single" w:color="auto" w:sz="4" w:space="0"/>
              <w:left w:val="single" w:color="auto" w:sz="4" w:space="0"/>
              <w:bottom w:val="single" w:color="auto" w:sz="4" w:space="0"/>
            </w:tcBorders>
            <w:vAlign w:val="center"/>
          </w:tcPr>
          <w:p>
            <w:pPr>
              <w:spacing w:line="240" w:lineRule="atLeast"/>
              <w:rPr>
                <w:rFonts w:ascii="宋体" w:hAnsi="宋体"/>
                <w:sz w:val="21"/>
                <w:szCs w:val="21"/>
              </w:rPr>
            </w:pPr>
            <w:r>
              <w:rPr>
                <w:rFonts w:hint="eastAsia" w:ascii="宋体" w:hAnsi="宋体"/>
                <w:sz w:val="21"/>
                <w:szCs w:val="21"/>
              </w:rPr>
              <w:t>提供相关证明材料复印件，加盖供应商公章。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Merge w:val="continue"/>
            <w:vAlign w:val="center"/>
          </w:tcPr>
          <w:p>
            <w:pPr>
              <w:snapToGrid w:val="0"/>
              <w:spacing w:line="240" w:lineRule="atLeast"/>
              <w:jc w:val="center"/>
              <w:rPr>
                <w:rFonts w:ascii="宋体" w:hAnsi="宋体"/>
                <w:sz w:val="21"/>
                <w:szCs w:val="21"/>
              </w:rPr>
            </w:pPr>
          </w:p>
        </w:tc>
        <w:tc>
          <w:tcPr>
            <w:tcW w:w="1135" w:type="dxa"/>
            <w:vMerge w:val="continue"/>
            <w:vAlign w:val="center"/>
          </w:tcPr>
          <w:p>
            <w:pPr>
              <w:snapToGrid w:val="0"/>
              <w:spacing w:line="240" w:lineRule="atLeast"/>
              <w:jc w:val="center"/>
              <w:rPr>
                <w:rFonts w:ascii="宋体" w:hAnsi="宋体"/>
                <w:sz w:val="21"/>
                <w:szCs w:val="21"/>
              </w:rPr>
            </w:pPr>
          </w:p>
        </w:tc>
        <w:tc>
          <w:tcPr>
            <w:tcW w:w="737" w:type="dxa"/>
            <w:tcBorders>
              <w:top w:val="single" w:color="auto" w:sz="4" w:space="0"/>
              <w:right w:val="single" w:color="auto" w:sz="4" w:space="0"/>
            </w:tcBorders>
            <w:vAlign w:val="center"/>
          </w:tcPr>
          <w:p>
            <w:pPr>
              <w:spacing w:line="240" w:lineRule="atLeast"/>
              <w:jc w:val="center"/>
              <w:rPr>
                <w:rFonts w:ascii="宋体" w:hAnsi="宋体"/>
                <w:sz w:val="21"/>
                <w:szCs w:val="21"/>
              </w:rPr>
            </w:pPr>
            <w:r>
              <w:rPr>
                <w:rFonts w:hint="eastAsia" w:ascii="宋体" w:hAnsi="宋体"/>
                <w:sz w:val="21"/>
                <w:szCs w:val="21"/>
              </w:rPr>
              <w:t>质保</w:t>
            </w:r>
          </w:p>
          <w:p>
            <w:pPr>
              <w:spacing w:line="240" w:lineRule="atLeast"/>
              <w:jc w:val="center"/>
              <w:rPr>
                <w:rFonts w:ascii="宋体" w:hAnsi="宋体"/>
                <w:sz w:val="21"/>
                <w:szCs w:val="21"/>
              </w:rPr>
            </w:pPr>
            <w:r>
              <w:rPr>
                <w:rFonts w:hint="eastAsia" w:ascii="宋体" w:hAnsi="宋体"/>
                <w:sz w:val="21"/>
                <w:szCs w:val="21"/>
              </w:rPr>
              <w:t>（</w:t>
            </w:r>
            <w:r>
              <w:rPr>
                <w:rFonts w:ascii="宋体" w:hAnsi="宋体"/>
                <w:sz w:val="21"/>
                <w:szCs w:val="21"/>
              </w:rPr>
              <w:t>3</w:t>
            </w:r>
            <w:r>
              <w:rPr>
                <w:rFonts w:hint="eastAsia" w:ascii="宋体" w:hAnsi="宋体"/>
                <w:sz w:val="21"/>
                <w:szCs w:val="21"/>
              </w:rPr>
              <w:t>分）</w:t>
            </w:r>
          </w:p>
        </w:tc>
        <w:tc>
          <w:tcPr>
            <w:tcW w:w="5245" w:type="dxa"/>
            <w:tcBorders>
              <w:top w:val="single" w:color="auto" w:sz="4" w:space="0"/>
              <w:left w:val="single" w:color="auto" w:sz="4" w:space="0"/>
            </w:tcBorders>
            <w:vAlign w:val="center"/>
          </w:tcPr>
          <w:p>
            <w:pPr>
              <w:spacing w:line="240" w:lineRule="atLeast"/>
              <w:rPr>
                <w:rFonts w:ascii="宋体" w:hAnsi="宋体"/>
                <w:sz w:val="21"/>
                <w:szCs w:val="21"/>
              </w:rPr>
            </w:pPr>
            <w:r>
              <w:rPr>
                <w:rFonts w:hint="eastAsia" w:ascii="宋体" w:hAnsi="宋体"/>
                <w:sz w:val="21"/>
                <w:szCs w:val="21"/>
              </w:rPr>
              <w:t>质保期在磋商文件规定基础上（即整体工程质保期2年），每增加1年得1分，最高得分为</w:t>
            </w:r>
            <w:r>
              <w:rPr>
                <w:rFonts w:ascii="宋体" w:hAnsi="宋体"/>
                <w:sz w:val="21"/>
                <w:szCs w:val="21"/>
              </w:rPr>
              <w:t>3</w:t>
            </w:r>
            <w:r>
              <w:rPr>
                <w:rFonts w:hint="eastAsia" w:ascii="宋体" w:hAnsi="宋体"/>
                <w:sz w:val="21"/>
                <w:szCs w:val="21"/>
              </w:rPr>
              <w:t>分。</w:t>
            </w:r>
          </w:p>
        </w:tc>
        <w:tc>
          <w:tcPr>
            <w:tcW w:w="1956" w:type="dxa"/>
            <w:tcBorders>
              <w:top w:val="single" w:color="auto" w:sz="4" w:space="0"/>
              <w:left w:val="single" w:color="auto" w:sz="4" w:space="0"/>
            </w:tcBorders>
            <w:vAlign w:val="center"/>
          </w:tcPr>
          <w:p>
            <w:pPr>
              <w:spacing w:line="240" w:lineRule="atLeast"/>
              <w:rPr>
                <w:rFonts w:ascii="宋体" w:hAnsi="宋体"/>
                <w:sz w:val="21"/>
                <w:szCs w:val="21"/>
              </w:rPr>
            </w:pPr>
            <w:r>
              <w:rPr>
                <w:rFonts w:hint="eastAsia" w:ascii="宋体" w:hAnsi="宋体"/>
                <w:sz w:val="21"/>
                <w:szCs w:val="21"/>
              </w:rPr>
              <w:t>提供承诺函原件。</w:t>
            </w:r>
          </w:p>
        </w:tc>
      </w:tr>
      <w:bookmarkEnd w:id="102"/>
      <w:bookmarkEnd w:id="103"/>
    </w:tbl>
    <w:p>
      <w:pPr>
        <w:snapToGrid w:val="0"/>
        <w:spacing w:line="360" w:lineRule="auto"/>
        <w:ind w:firstLine="465"/>
        <w:rPr>
          <w:rFonts w:ascii="宋体" w:hAnsi="宋体"/>
          <w:b/>
          <w:sz w:val="24"/>
          <w:szCs w:val="24"/>
        </w:rPr>
      </w:pPr>
      <w:r>
        <w:rPr>
          <w:rFonts w:hint="eastAsia" w:ascii="宋体" w:hAnsi="宋体"/>
          <w:b/>
          <w:sz w:val="24"/>
          <w:szCs w:val="24"/>
        </w:rPr>
        <w:t>说明：</w:t>
      </w:r>
    </w:p>
    <w:p>
      <w:pPr>
        <w:snapToGrid w:val="0"/>
        <w:spacing w:line="360" w:lineRule="auto"/>
        <w:ind w:firstLine="465"/>
        <w:rPr>
          <w:rFonts w:ascii="宋体" w:hAnsi="宋体"/>
          <w:sz w:val="24"/>
          <w:szCs w:val="24"/>
        </w:rPr>
      </w:pPr>
      <w:r>
        <w:rPr>
          <w:rFonts w:hint="eastAsia" w:ascii="宋体" w:hAnsi="宋体"/>
          <w:sz w:val="24"/>
          <w:szCs w:val="24"/>
        </w:rPr>
        <w:t>（一）磋商小组认为，排名在前面的成交供应商候选人的磋商报价或者某些分项报价明显不合理或者低于成本，有可能影响服务质量和不能诚信履约的，将要求其在规定的期限内提供书面文件予以解释说明，并提交相关证明材料；否则，磋商小组可以取消该成交供应商候选人资格，按顺序由排在后一位的成交供应商候选人递补，以此类推。</w:t>
      </w:r>
    </w:p>
    <w:p>
      <w:pPr>
        <w:snapToGrid w:val="0"/>
        <w:spacing w:line="360" w:lineRule="auto"/>
        <w:ind w:firstLine="465"/>
        <w:rPr>
          <w:rFonts w:ascii="宋体" w:hAnsi="宋体"/>
          <w:sz w:val="24"/>
          <w:szCs w:val="24"/>
        </w:rPr>
      </w:pPr>
      <w:r>
        <w:rPr>
          <w:rFonts w:hint="eastAsia" w:ascii="宋体" w:hAnsi="宋体"/>
          <w:sz w:val="24"/>
          <w:szCs w:val="24"/>
        </w:rPr>
        <w:t>（二）关于小微企业报价扣除比例说明</w:t>
      </w:r>
    </w:p>
    <w:p>
      <w:pPr>
        <w:snapToGrid w:val="0"/>
        <w:spacing w:line="360" w:lineRule="auto"/>
        <w:ind w:firstLine="465"/>
        <w:rPr>
          <w:rFonts w:ascii="宋体" w:hAnsi="宋体"/>
          <w:sz w:val="24"/>
          <w:szCs w:val="24"/>
        </w:rPr>
      </w:pPr>
      <w:r>
        <w:rPr>
          <w:rFonts w:hint="eastAsia" w:ascii="宋体" w:hAnsi="宋体"/>
          <w:sz w:val="24"/>
          <w:szCs w:val="24"/>
        </w:rPr>
        <w:t>1.按《关于印发&lt;政府采购促进中小企业发展管理办法&gt;的通知》（财库〔2020〕46号）之规定，在政府采购活动中，供应商提供的货物、工程或者服务符合下列情形的，享受本办法规定的中小企业扶持政策：</w:t>
      </w:r>
    </w:p>
    <w:p>
      <w:pPr>
        <w:snapToGrid w:val="0"/>
        <w:spacing w:line="360" w:lineRule="auto"/>
        <w:ind w:firstLine="465"/>
        <w:rPr>
          <w:rFonts w:ascii="宋体" w:hAnsi="宋体"/>
          <w:sz w:val="24"/>
          <w:szCs w:val="24"/>
        </w:rPr>
      </w:pPr>
      <w:r>
        <w:rPr>
          <w:rFonts w:hint="eastAsia" w:ascii="宋体" w:hAnsi="宋体"/>
          <w:sz w:val="24"/>
          <w:szCs w:val="24"/>
        </w:rPr>
        <w:t>（1）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w:t>
      </w:r>
    </w:p>
    <w:p>
      <w:pPr>
        <w:snapToGrid w:val="0"/>
        <w:spacing w:line="360" w:lineRule="auto"/>
        <w:ind w:firstLine="465"/>
        <w:rPr>
          <w:rFonts w:ascii="宋体" w:hAnsi="宋体"/>
          <w:sz w:val="24"/>
          <w:szCs w:val="24"/>
        </w:rPr>
      </w:pPr>
      <w:r>
        <w:rPr>
          <w:rFonts w:hint="eastAsia" w:ascii="宋体" w:hAnsi="宋体"/>
          <w:sz w:val="24"/>
          <w:szCs w:val="24"/>
        </w:rPr>
        <w:t>（2）在工程采购项目中，工程由中小企业承建，即工程施工单位为中小企业；</w:t>
      </w:r>
    </w:p>
    <w:p>
      <w:pPr>
        <w:snapToGrid w:val="0"/>
        <w:spacing w:line="360" w:lineRule="auto"/>
        <w:ind w:firstLine="465"/>
        <w:rPr>
          <w:rFonts w:ascii="宋体" w:hAnsi="宋体"/>
          <w:sz w:val="24"/>
          <w:szCs w:val="24"/>
        </w:rPr>
      </w:pPr>
      <w:r>
        <w:rPr>
          <w:rFonts w:hint="eastAsia" w:ascii="宋体" w:hAnsi="宋体"/>
          <w:sz w:val="24"/>
          <w:szCs w:val="24"/>
        </w:rPr>
        <w:t>（3）在服务采购项目中，服务由中小企业承接，即提供服务的人员为中小企业依照《中华人民共和国劳动合同法》订立劳动合同的从业人员。</w:t>
      </w:r>
    </w:p>
    <w:p>
      <w:pPr>
        <w:snapToGrid w:val="0"/>
        <w:spacing w:line="360" w:lineRule="auto"/>
        <w:ind w:firstLine="465"/>
        <w:rPr>
          <w:rFonts w:ascii="宋体" w:hAnsi="宋体"/>
          <w:sz w:val="24"/>
          <w:szCs w:val="24"/>
        </w:rPr>
      </w:pPr>
      <w:r>
        <w:rPr>
          <w:rFonts w:hint="eastAsia" w:ascii="宋体" w:hAnsi="宋体"/>
          <w:sz w:val="24"/>
          <w:szCs w:val="24"/>
        </w:rPr>
        <w:t>2.对小微型企业给予</w:t>
      </w:r>
      <w:r>
        <w:rPr>
          <w:rFonts w:hint="eastAsia" w:ascii="宋体" w:hAnsi="宋体"/>
          <w:sz w:val="24"/>
          <w:szCs w:val="24"/>
          <w:u w:val="single"/>
        </w:rPr>
        <w:t xml:space="preserve"> </w:t>
      </w:r>
      <w:r>
        <w:rPr>
          <w:rFonts w:ascii="宋体" w:hAnsi="宋体"/>
          <w:sz w:val="24"/>
          <w:szCs w:val="24"/>
          <w:u w:val="single"/>
        </w:rPr>
        <w:t>10</w:t>
      </w:r>
      <w:r>
        <w:rPr>
          <w:rFonts w:hint="eastAsia" w:ascii="宋体" w:hAnsi="宋体"/>
          <w:sz w:val="24"/>
          <w:szCs w:val="24"/>
          <w:u w:val="single"/>
        </w:rPr>
        <w:t xml:space="preserve"> </w:t>
      </w:r>
      <w:r>
        <w:rPr>
          <w:rFonts w:hint="eastAsia" w:ascii="宋体" w:hAnsi="宋体"/>
          <w:sz w:val="24"/>
          <w:szCs w:val="24"/>
        </w:rPr>
        <w:t>%的扣除，以扣除后的报价参与评审。</w:t>
      </w:r>
    </w:p>
    <w:p>
      <w:pPr>
        <w:snapToGrid w:val="0"/>
        <w:spacing w:line="360" w:lineRule="auto"/>
        <w:ind w:firstLine="465"/>
        <w:rPr>
          <w:rFonts w:ascii="宋体" w:hAnsi="宋体"/>
          <w:sz w:val="24"/>
          <w:szCs w:val="24"/>
        </w:rPr>
      </w:pPr>
      <w:r>
        <w:rPr>
          <w:rFonts w:hint="eastAsia" w:ascii="宋体" w:hAnsi="宋体"/>
          <w:sz w:val="24"/>
          <w:szCs w:val="24"/>
        </w:rPr>
        <w:t>3.监狱企业、残疾人福利性单位视同小型、微型企业。</w:t>
      </w:r>
    </w:p>
    <w:p>
      <w:pPr>
        <w:pStyle w:val="6"/>
        <w:spacing w:before="0" w:after="0" w:line="360" w:lineRule="auto"/>
        <w:ind w:firstLine="482" w:firstLineChars="200"/>
        <w:rPr>
          <w:rFonts w:ascii="宋体" w:hAnsi="宋体"/>
          <w:sz w:val="24"/>
          <w:szCs w:val="24"/>
        </w:rPr>
      </w:pPr>
      <w:bookmarkStart w:id="104" w:name="_Toc135234098"/>
      <w:bookmarkStart w:id="105" w:name="_Toc137459402"/>
      <w:r>
        <w:rPr>
          <w:rFonts w:hint="eastAsia" w:ascii="宋体" w:hAnsi="宋体"/>
          <w:sz w:val="24"/>
          <w:szCs w:val="24"/>
        </w:rPr>
        <w:t>三、无效响应</w:t>
      </w:r>
      <w:bookmarkEnd w:id="104"/>
      <w:bookmarkEnd w:id="105"/>
    </w:p>
    <w:p>
      <w:pPr>
        <w:snapToGrid w:val="0"/>
        <w:spacing w:line="360" w:lineRule="auto"/>
        <w:ind w:firstLine="465"/>
        <w:rPr>
          <w:rFonts w:ascii="宋体" w:hAnsi="宋体"/>
          <w:sz w:val="24"/>
          <w:szCs w:val="24"/>
        </w:rPr>
      </w:pPr>
      <w:r>
        <w:rPr>
          <w:rFonts w:hint="eastAsia" w:ascii="宋体" w:hAnsi="宋体"/>
          <w:sz w:val="24"/>
          <w:szCs w:val="24"/>
        </w:rPr>
        <w:t>供应商发生以下条款情况之一者，视为无效响应：</w:t>
      </w:r>
    </w:p>
    <w:p>
      <w:pPr>
        <w:snapToGrid w:val="0"/>
        <w:spacing w:line="360" w:lineRule="auto"/>
        <w:ind w:firstLine="465"/>
        <w:rPr>
          <w:rFonts w:ascii="宋体" w:hAnsi="宋体"/>
          <w:sz w:val="24"/>
          <w:szCs w:val="24"/>
        </w:rPr>
      </w:pPr>
      <w:r>
        <w:rPr>
          <w:rFonts w:hint="eastAsia" w:ascii="宋体" w:hAnsi="宋体"/>
          <w:sz w:val="24"/>
          <w:szCs w:val="24"/>
        </w:rPr>
        <w:t>（一）供应商不符合规定的基本资格条件或特定资格条件的；</w:t>
      </w:r>
    </w:p>
    <w:p>
      <w:pPr>
        <w:snapToGrid w:val="0"/>
        <w:spacing w:line="360" w:lineRule="auto"/>
        <w:ind w:firstLine="465"/>
        <w:rPr>
          <w:rFonts w:ascii="宋体" w:hAnsi="宋体"/>
          <w:sz w:val="24"/>
          <w:szCs w:val="24"/>
        </w:rPr>
      </w:pPr>
      <w:r>
        <w:rPr>
          <w:rFonts w:hint="eastAsia" w:ascii="宋体" w:hAnsi="宋体"/>
          <w:sz w:val="24"/>
          <w:szCs w:val="24"/>
        </w:rPr>
        <w:t>（二）供应商的法定代表人或其授权代表未参加磋商；</w:t>
      </w:r>
    </w:p>
    <w:p>
      <w:pPr>
        <w:snapToGrid w:val="0"/>
        <w:spacing w:line="360" w:lineRule="auto"/>
        <w:ind w:firstLine="465"/>
        <w:rPr>
          <w:rFonts w:ascii="宋体" w:hAnsi="宋体"/>
          <w:sz w:val="24"/>
          <w:szCs w:val="24"/>
        </w:rPr>
      </w:pPr>
      <w:r>
        <w:rPr>
          <w:rFonts w:hint="eastAsia" w:ascii="宋体" w:hAnsi="宋体"/>
          <w:sz w:val="24"/>
          <w:szCs w:val="24"/>
        </w:rPr>
        <w:t>（三）供应商未按照竞争性磋商文件的要求缴纳磋商保证金；</w:t>
      </w:r>
    </w:p>
    <w:p>
      <w:pPr>
        <w:snapToGrid w:val="0"/>
        <w:spacing w:line="360" w:lineRule="auto"/>
        <w:ind w:firstLine="465"/>
        <w:rPr>
          <w:rFonts w:ascii="宋体" w:hAnsi="宋体"/>
          <w:sz w:val="24"/>
          <w:szCs w:val="24"/>
        </w:rPr>
      </w:pPr>
      <w:r>
        <w:rPr>
          <w:rFonts w:hint="eastAsia" w:ascii="宋体" w:hAnsi="宋体"/>
          <w:sz w:val="24"/>
          <w:szCs w:val="24"/>
        </w:rPr>
        <w:t>（四）供应商所提交的响应文件不按第七篇“响应文件编制要求”规定签字、盖章；</w:t>
      </w:r>
    </w:p>
    <w:p>
      <w:pPr>
        <w:snapToGrid w:val="0"/>
        <w:spacing w:line="360" w:lineRule="auto"/>
        <w:ind w:firstLine="465"/>
        <w:rPr>
          <w:rFonts w:ascii="宋体" w:hAnsi="宋体"/>
          <w:sz w:val="24"/>
          <w:szCs w:val="24"/>
        </w:rPr>
      </w:pPr>
      <w:r>
        <w:rPr>
          <w:rFonts w:hint="eastAsia" w:ascii="宋体" w:hAnsi="宋体"/>
          <w:sz w:val="24"/>
          <w:szCs w:val="24"/>
        </w:rPr>
        <w:t>（五）供应商的最后报价超过采购预算金额或最高限价的；</w:t>
      </w:r>
    </w:p>
    <w:p>
      <w:pPr>
        <w:snapToGrid w:val="0"/>
        <w:spacing w:line="360" w:lineRule="auto"/>
        <w:ind w:firstLine="465"/>
        <w:rPr>
          <w:rFonts w:ascii="宋体" w:hAnsi="宋体"/>
          <w:sz w:val="24"/>
          <w:szCs w:val="24"/>
        </w:rPr>
      </w:pPr>
      <w:r>
        <w:rPr>
          <w:rFonts w:hint="eastAsia" w:ascii="宋体" w:hAnsi="宋体"/>
          <w:sz w:val="24"/>
          <w:szCs w:val="24"/>
        </w:rPr>
        <w:t>（六）单位负责人为同一人或者存在直接控股、管理关系的不同供应商，参加同一合同项下的政府采购活动的；</w:t>
      </w:r>
    </w:p>
    <w:p>
      <w:pPr>
        <w:snapToGrid w:val="0"/>
        <w:spacing w:line="360" w:lineRule="auto"/>
        <w:ind w:firstLine="480" w:firstLineChars="200"/>
        <w:rPr>
          <w:rFonts w:ascii="宋体" w:hAnsi="宋体"/>
          <w:sz w:val="24"/>
          <w:szCs w:val="24"/>
        </w:rPr>
      </w:pPr>
      <w:r>
        <w:rPr>
          <w:rFonts w:hint="eastAsia" w:ascii="宋体" w:hAnsi="宋体"/>
          <w:sz w:val="24"/>
          <w:szCs w:val="24"/>
        </w:rPr>
        <w:t>（七）</w:t>
      </w:r>
      <w:r>
        <w:rPr>
          <w:rFonts w:ascii="宋体" w:hAnsi="宋体"/>
          <w:sz w:val="24"/>
          <w:szCs w:val="24"/>
        </w:rPr>
        <w:t>为采购项目提供整体设计、规范编制或者项目管理、监理、检测等服务的供应商，再参加</w:t>
      </w:r>
      <w:r>
        <w:rPr>
          <w:rFonts w:hint="eastAsia" w:ascii="宋体" w:hAnsi="宋体"/>
          <w:sz w:val="24"/>
          <w:szCs w:val="24"/>
        </w:rPr>
        <w:t>该采购</w:t>
      </w:r>
      <w:r>
        <w:rPr>
          <w:rFonts w:ascii="宋体" w:hAnsi="宋体"/>
          <w:sz w:val="24"/>
          <w:szCs w:val="24"/>
        </w:rPr>
        <w:t>项目的</w:t>
      </w:r>
      <w:r>
        <w:rPr>
          <w:rFonts w:hint="eastAsia" w:ascii="宋体" w:hAnsi="宋体"/>
          <w:sz w:val="24"/>
          <w:szCs w:val="24"/>
        </w:rPr>
        <w:t>其他</w:t>
      </w:r>
      <w:r>
        <w:rPr>
          <w:rFonts w:ascii="宋体" w:hAnsi="宋体"/>
          <w:sz w:val="24"/>
          <w:szCs w:val="24"/>
        </w:rPr>
        <w:t>采购活动</w:t>
      </w:r>
      <w:r>
        <w:rPr>
          <w:rFonts w:hint="eastAsia" w:ascii="宋体" w:hAnsi="宋体"/>
          <w:sz w:val="24"/>
          <w:szCs w:val="24"/>
        </w:rPr>
        <w:t>；</w:t>
      </w:r>
    </w:p>
    <w:p>
      <w:pPr>
        <w:snapToGrid w:val="0"/>
        <w:spacing w:line="360" w:lineRule="auto"/>
        <w:ind w:firstLine="480" w:firstLineChars="200"/>
        <w:rPr>
          <w:rFonts w:ascii="宋体" w:hAnsi="宋体"/>
          <w:sz w:val="24"/>
          <w:szCs w:val="24"/>
        </w:rPr>
      </w:pPr>
      <w:r>
        <w:rPr>
          <w:rFonts w:hint="eastAsia" w:ascii="宋体" w:hAnsi="宋体"/>
          <w:sz w:val="24"/>
          <w:szCs w:val="24"/>
        </w:rPr>
        <w:t>（八）所提供的产品不符合必须强制执行的国家标准的；</w:t>
      </w:r>
    </w:p>
    <w:p>
      <w:pPr>
        <w:snapToGrid w:val="0"/>
        <w:spacing w:line="360" w:lineRule="auto"/>
        <w:ind w:firstLine="480" w:firstLineChars="200"/>
        <w:rPr>
          <w:rFonts w:ascii="宋体" w:hAnsi="宋体"/>
          <w:sz w:val="24"/>
          <w:szCs w:val="24"/>
        </w:rPr>
      </w:pPr>
      <w:r>
        <w:rPr>
          <w:rFonts w:hint="eastAsia" w:ascii="宋体" w:hAnsi="宋体"/>
          <w:sz w:val="24"/>
          <w:szCs w:val="24"/>
        </w:rPr>
        <w:t>（九）供应商的服务时间、服务质保期及磋商有效期不满足竞争性磋商文件要求的；</w:t>
      </w:r>
    </w:p>
    <w:p>
      <w:pPr>
        <w:snapToGrid w:val="0"/>
        <w:spacing w:line="360" w:lineRule="auto"/>
        <w:ind w:firstLine="465"/>
        <w:rPr>
          <w:rFonts w:ascii="宋体" w:hAnsi="宋体"/>
          <w:sz w:val="24"/>
          <w:szCs w:val="24"/>
        </w:rPr>
      </w:pPr>
      <w:r>
        <w:rPr>
          <w:rFonts w:hint="eastAsia" w:ascii="宋体" w:hAnsi="宋体"/>
          <w:sz w:val="24"/>
          <w:szCs w:val="24"/>
        </w:rPr>
        <w:t>（十）供应商响应文件内容有与国家现行法律法规相违背的内容，或附有采购人无法接受的条件。</w:t>
      </w:r>
    </w:p>
    <w:p>
      <w:pPr>
        <w:pStyle w:val="6"/>
        <w:spacing w:before="0" w:after="0" w:line="360" w:lineRule="auto"/>
        <w:ind w:firstLine="482" w:firstLineChars="200"/>
        <w:rPr>
          <w:rFonts w:ascii="宋体" w:hAnsi="宋体"/>
          <w:sz w:val="24"/>
          <w:szCs w:val="24"/>
        </w:rPr>
      </w:pPr>
      <w:bookmarkStart w:id="106" w:name="_Toc135234099"/>
      <w:bookmarkStart w:id="107" w:name="_Toc137459403"/>
      <w:r>
        <w:rPr>
          <w:rFonts w:hint="eastAsia" w:ascii="宋体" w:hAnsi="宋体"/>
          <w:sz w:val="24"/>
          <w:szCs w:val="24"/>
        </w:rPr>
        <w:t>四、采购终止</w:t>
      </w:r>
      <w:bookmarkEnd w:id="106"/>
      <w:bookmarkEnd w:id="107"/>
    </w:p>
    <w:p>
      <w:pPr>
        <w:snapToGrid w:val="0"/>
        <w:spacing w:line="360" w:lineRule="auto"/>
        <w:ind w:firstLine="465"/>
        <w:rPr>
          <w:rFonts w:ascii="宋体" w:hAnsi="宋体"/>
          <w:sz w:val="24"/>
          <w:szCs w:val="24"/>
        </w:rPr>
      </w:pPr>
      <w:r>
        <w:rPr>
          <w:rFonts w:hint="eastAsia" w:ascii="宋体" w:hAnsi="宋体"/>
          <w:sz w:val="24"/>
          <w:szCs w:val="24"/>
        </w:rPr>
        <w:t>出现下列情形之一的，采购人或者采购代理机构应当终止竞争性磋商采购活动，发布项目终止公告并说明原因，重新开展采购活动：</w:t>
      </w:r>
    </w:p>
    <w:p>
      <w:pPr>
        <w:snapToGrid w:val="0"/>
        <w:spacing w:line="360" w:lineRule="auto"/>
        <w:ind w:firstLine="465"/>
        <w:rPr>
          <w:rFonts w:ascii="宋体" w:hAnsi="宋体"/>
          <w:sz w:val="24"/>
          <w:szCs w:val="24"/>
        </w:rPr>
      </w:pPr>
      <w:r>
        <w:rPr>
          <w:rFonts w:hint="eastAsia" w:ascii="宋体" w:hAnsi="宋体"/>
          <w:sz w:val="24"/>
          <w:szCs w:val="24"/>
        </w:rPr>
        <w:t>（一）因情况变化，不再符合规定的竞争性磋商采购方式适用情形的；</w:t>
      </w:r>
    </w:p>
    <w:p>
      <w:pPr>
        <w:snapToGrid w:val="0"/>
        <w:spacing w:line="360" w:lineRule="auto"/>
        <w:ind w:firstLine="465"/>
        <w:rPr>
          <w:rFonts w:ascii="宋体" w:hAnsi="宋体"/>
          <w:sz w:val="24"/>
          <w:szCs w:val="24"/>
        </w:rPr>
      </w:pPr>
      <w:r>
        <w:rPr>
          <w:rFonts w:hint="eastAsia" w:ascii="宋体" w:hAnsi="宋体"/>
          <w:sz w:val="24"/>
          <w:szCs w:val="24"/>
        </w:rPr>
        <w:t>（二）出现影响采购公正的违法、违规行为的；</w:t>
      </w:r>
    </w:p>
    <w:p>
      <w:pPr>
        <w:snapToGrid w:val="0"/>
        <w:spacing w:line="360" w:lineRule="auto"/>
        <w:ind w:firstLine="465"/>
        <w:rPr>
          <w:rFonts w:ascii="宋体" w:hAnsi="宋体"/>
          <w:sz w:val="24"/>
          <w:szCs w:val="24"/>
        </w:rPr>
      </w:pPr>
      <w:r>
        <w:rPr>
          <w:rFonts w:hint="eastAsia" w:ascii="宋体" w:hAnsi="宋体"/>
          <w:sz w:val="24"/>
          <w:szCs w:val="24"/>
        </w:rPr>
        <w:t>（三）在采购过程中符合要求的供应商或者报价未超过采购预算的供应商不足3家的，但《政府采购竞争性磋商采购方式管理暂行办法》第二十一条第三款及《财政部关于政府采购竞争性磋商采购方式管理暂行办法有关问题的补充通知》规定的情形除外。</w:t>
      </w:r>
    </w:p>
    <w:p>
      <w:pPr>
        <w:snapToGrid w:val="0"/>
        <w:spacing w:line="360" w:lineRule="auto"/>
        <w:ind w:firstLine="465"/>
        <w:rPr>
          <w:rFonts w:ascii="宋体"/>
          <w:sz w:val="24"/>
          <w:szCs w:val="24"/>
        </w:rPr>
      </w:pPr>
    </w:p>
    <w:p>
      <w:pPr>
        <w:spacing w:line="360" w:lineRule="auto"/>
        <w:ind w:firstLine="480" w:firstLineChars="200"/>
        <w:rPr>
          <w:rFonts w:ascii="宋体"/>
          <w:sz w:val="24"/>
          <w:szCs w:val="24"/>
        </w:rPr>
        <w:sectPr>
          <w:footerReference r:id="rId8" w:type="default"/>
          <w:footerReference r:id="rId9" w:type="even"/>
          <w:pgSz w:w="11907" w:h="16840"/>
          <w:pgMar w:top="1134" w:right="1191" w:bottom="1134" w:left="1191" w:header="964" w:footer="992" w:gutter="0"/>
          <w:pgNumType w:fmt="numberInDash"/>
          <w:cols w:space="720" w:num="1"/>
          <w:docGrid w:linePitch="312" w:charSpace="0"/>
        </w:sectPr>
      </w:pPr>
    </w:p>
    <w:p>
      <w:pPr>
        <w:pStyle w:val="5"/>
        <w:spacing w:line="360" w:lineRule="auto"/>
        <w:jc w:val="center"/>
        <w:rPr>
          <w:rFonts w:ascii="宋体" w:eastAsia="宋体"/>
          <w:sz w:val="36"/>
          <w:szCs w:val="30"/>
        </w:rPr>
      </w:pPr>
      <w:bookmarkStart w:id="108" w:name="_Toc137459404"/>
      <w:bookmarkStart w:id="109" w:name="_Toc102227313"/>
      <w:r>
        <w:rPr>
          <w:rFonts w:hint="eastAsia" w:ascii="宋体" w:eastAsia="宋体"/>
          <w:sz w:val="36"/>
          <w:szCs w:val="30"/>
        </w:rPr>
        <w:t>第五篇  供应商须知</w:t>
      </w:r>
      <w:bookmarkEnd w:id="108"/>
      <w:bookmarkEnd w:id="109"/>
    </w:p>
    <w:p>
      <w:pPr>
        <w:pStyle w:val="6"/>
        <w:spacing w:before="0" w:after="0" w:line="360" w:lineRule="auto"/>
        <w:ind w:firstLine="482" w:firstLineChars="200"/>
        <w:rPr>
          <w:rFonts w:ascii="宋体"/>
          <w:sz w:val="24"/>
          <w:szCs w:val="24"/>
        </w:rPr>
      </w:pPr>
      <w:bookmarkStart w:id="110" w:name="_Toc137459405"/>
      <w:bookmarkStart w:id="111" w:name="_Toc342913389"/>
      <w:r>
        <w:rPr>
          <w:rFonts w:hint="eastAsia" w:ascii="宋体"/>
          <w:sz w:val="24"/>
          <w:szCs w:val="24"/>
        </w:rPr>
        <w:t>一、磋商费用</w:t>
      </w:r>
      <w:bookmarkEnd w:id="110"/>
      <w:bookmarkEnd w:id="111"/>
    </w:p>
    <w:p>
      <w:pPr>
        <w:pStyle w:val="182"/>
        <w:spacing w:line="360" w:lineRule="auto"/>
        <w:ind w:firstLine="480" w:firstLineChars="200"/>
        <w:rPr>
          <w:sz w:val="24"/>
          <w:szCs w:val="24"/>
        </w:rPr>
      </w:pPr>
      <w:r>
        <w:rPr>
          <w:rFonts w:hint="eastAsia"/>
          <w:sz w:val="24"/>
          <w:szCs w:val="24"/>
        </w:rPr>
        <w:t>参与磋商的供应商应承担其编制响应文件与递交响应文件所涉及的一切费用，不论磋商结果如何，采购人和采购代理机构在任何情况下无义务也无责任承担这些费用。</w:t>
      </w:r>
    </w:p>
    <w:p>
      <w:pPr>
        <w:pStyle w:val="6"/>
        <w:tabs>
          <w:tab w:val="left" w:pos="2640"/>
        </w:tabs>
        <w:spacing w:before="0" w:after="0" w:line="360" w:lineRule="auto"/>
        <w:ind w:firstLine="482" w:firstLineChars="200"/>
        <w:rPr>
          <w:rFonts w:ascii="宋体"/>
          <w:sz w:val="24"/>
          <w:szCs w:val="24"/>
        </w:rPr>
      </w:pPr>
      <w:bookmarkStart w:id="112" w:name="_Toc137459406"/>
      <w:bookmarkStart w:id="113" w:name="_Toc342913391"/>
      <w:r>
        <w:rPr>
          <w:rFonts w:hint="eastAsia" w:ascii="宋体"/>
          <w:sz w:val="24"/>
          <w:szCs w:val="24"/>
        </w:rPr>
        <w:t>二、竞争性磋商文件</w:t>
      </w:r>
      <w:bookmarkEnd w:id="112"/>
      <w:bookmarkEnd w:id="113"/>
    </w:p>
    <w:p>
      <w:pPr>
        <w:snapToGrid w:val="0"/>
        <w:spacing w:line="360" w:lineRule="auto"/>
        <w:ind w:firstLine="480" w:firstLineChars="200"/>
        <w:rPr>
          <w:rFonts w:ascii="宋体"/>
          <w:sz w:val="24"/>
          <w:szCs w:val="24"/>
        </w:rPr>
      </w:pPr>
      <w:r>
        <w:rPr>
          <w:rFonts w:hint="eastAsia" w:ascii="宋体"/>
          <w:sz w:val="24"/>
          <w:szCs w:val="24"/>
        </w:rPr>
        <w:t>（一）竞争性磋商文件由采购邀请书；采购服务需求；采购商务需求；磋商程序及方法、评审标准、无效响应和采购终止；供应商须知；合同草案条款；响应文件编制要求共七部分组成。</w:t>
      </w:r>
    </w:p>
    <w:p>
      <w:pPr>
        <w:snapToGrid w:val="0"/>
        <w:spacing w:line="360" w:lineRule="auto"/>
        <w:ind w:firstLine="480" w:firstLineChars="200"/>
        <w:rPr>
          <w:rFonts w:ascii="宋体"/>
          <w:sz w:val="24"/>
          <w:szCs w:val="24"/>
        </w:rPr>
      </w:pPr>
      <w:r>
        <w:rPr>
          <w:rFonts w:hint="eastAsia" w:ascii="宋体"/>
          <w:sz w:val="24"/>
          <w:szCs w:val="24"/>
        </w:rPr>
        <w:t>（二）采购人（或采购代理机构）所作的一切有效的书面通知、修改及补充，都是竞争性磋商文件不可分割的部分。</w:t>
      </w:r>
    </w:p>
    <w:p>
      <w:pPr>
        <w:snapToGrid w:val="0"/>
        <w:spacing w:line="360" w:lineRule="auto"/>
        <w:ind w:firstLine="480" w:firstLineChars="200"/>
        <w:rPr>
          <w:rFonts w:ascii="宋体"/>
          <w:sz w:val="24"/>
          <w:szCs w:val="24"/>
        </w:rPr>
      </w:pPr>
      <w:r>
        <w:rPr>
          <w:rFonts w:hint="eastAsia" w:ascii="宋体"/>
          <w:sz w:val="24"/>
          <w:szCs w:val="24"/>
        </w:rPr>
        <w:t>（三）竞争性磋商文件的解释</w:t>
      </w:r>
    </w:p>
    <w:p>
      <w:pPr>
        <w:spacing w:line="360" w:lineRule="auto"/>
        <w:ind w:firstLine="480" w:firstLineChars="200"/>
        <w:rPr>
          <w:rFonts w:ascii="宋体"/>
          <w:sz w:val="24"/>
          <w:szCs w:val="24"/>
        </w:rPr>
      </w:pPr>
      <w:r>
        <w:rPr>
          <w:rFonts w:hint="eastAsia" w:ascii="宋体"/>
          <w:sz w:val="24"/>
          <w:szCs w:val="24"/>
        </w:rPr>
        <w:t>供应商如对竞争性磋商文件有疑问，必须以书面形式在提交响应文件截止时间3个工作日前向采购人（或采购代理机构）要求澄清，采购人（或采购代理机构）可视具体情况做出处理或答复。如供应商未提出疑问，视为完全理解并同意本竞争性磋商文件。一经进入磋商程序，即视为供应商已详细阅读全部文件资料，完全理解竞争性磋商文件所有条款内容并同意放弃对这方面有不明白及误解的权利。</w:t>
      </w:r>
      <w:bookmarkStart w:id="114" w:name="_Toc318159160"/>
      <w:bookmarkStart w:id="115" w:name="_Toc318166429"/>
      <w:bookmarkStart w:id="116" w:name="_Toc318159780"/>
      <w:bookmarkStart w:id="117" w:name="_Toc318159349"/>
    </w:p>
    <w:p>
      <w:pPr>
        <w:spacing w:line="360" w:lineRule="auto"/>
        <w:ind w:firstLine="480" w:firstLineChars="200"/>
        <w:rPr>
          <w:rFonts w:ascii="宋体"/>
          <w:sz w:val="24"/>
          <w:szCs w:val="24"/>
        </w:rPr>
      </w:pPr>
      <w:r>
        <w:rPr>
          <w:rFonts w:hint="eastAsia" w:ascii="宋体"/>
          <w:sz w:val="24"/>
          <w:szCs w:val="24"/>
        </w:rPr>
        <w:t>（四）本竞争性磋商文件中，磋商小组根据与供应商进行磋商可能实质性变动的内容为竞争性磋商文件第二、三、六篇全部内容。</w:t>
      </w:r>
    </w:p>
    <w:p>
      <w:pPr>
        <w:spacing w:line="360" w:lineRule="auto"/>
        <w:ind w:firstLine="480" w:firstLineChars="200"/>
        <w:rPr>
          <w:rFonts w:ascii="宋体"/>
          <w:sz w:val="24"/>
          <w:szCs w:val="24"/>
        </w:rPr>
      </w:pPr>
      <w:r>
        <w:rPr>
          <w:rFonts w:hint="eastAsia" w:ascii="宋体"/>
          <w:sz w:val="24"/>
          <w:szCs w:val="24"/>
        </w:rPr>
        <w:t>（五）评审的依据为竞争性磋商文件和响应文件（含有效的书面承诺）。磋商小组判断响应文件对竞争性磋商文件的响应，仅基于响应文件本身而不靠外部证据。</w:t>
      </w:r>
    </w:p>
    <w:bookmarkEnd w:id="114"/>
    <w:bookmarkEnd w:id="115"/>
    <w:bookmarkEnd w:id="116"/>
    <w:bookmarkEnd w:id="117"/>
    <w:p>
      <w:pPr>
        <w:pStyle w:val="6"/>
        <w:spacing w:before="0" w:after="0" w:line="360" w:lineRule="auto"/>
        <w:ind w:firstLine="482" w:firstLineChars="200"/>
        <w:rPr>
          <w:rFonts w:ascii="宋体"/>
          <w:sz w:val="24"/>
          <w:szCs w:val="24"/>
        </w:rPr>
      </w:pPr>
      <w:bookmarkStart w:id="118" w:name="_Toc137459407"/>
      <w:bookmarkStart w:id="119" w:name="_Toc179714297"/>
      <w:bookmarkStart w:id="120" w:name="_Toc342913392"/>
      <w:bookmarkStart w:id="121" w:name="_Toc102227318"/>
      <w:r>
        <w:rPr>
          <w:rFonts w:hint="eastAsia" w:ascii="宋体"/>
          <w:sz w:val="24"/>
          <w:szCs w:val="24"/>
        </w:rPr>
        <w:t>三、磋商要求</w:t>
      </w:r>
      <w:bookmarkEnd w:id="118"/>
      <w:bookmarkEnd w:id="119"/>
      <w:bookmarkEnd w:id="120"/>
      <w:bookmarkEnd w:id="121"/>
    </w:p>
    <w:p>
      <w:pPr>
        <w:spacing w:line="360" w:lineRule="auto"/>
        <w:ind w:firstLine="480" w:firstLineChars="200"/>
        <w:rPr>
          <w:rFonts w:ascii="宋体"/>
          <w:sz w:val="24"/>
          <w:szCs w:val="24"/>
        </w:rPr>
      </w:pPr>
      <w:r>
        <w:rPr>
          <w:rFonts w:hint="eastAsia" w:ascii="宋体"/>
          <w:sz w:val="24"/>
          <w:szCs w:val="24"/>
        </w:rPr>
        <w:t>（一）响应文件</w:t>
      </w:r>
    </w:p>
    <w:p>
      <w:pPr>
        <w:spacing w:line="360" w:lineRule="auto"/>
        <w:ind w:firstLine="480" w:firstLineChars="200"/>
        <w:rPr>
          <w:rFonts w:ascii="宋体"/>
          <w:sz w:val="24"/>
          <w:szCs w:val="24"/>
        </w:rPr>
      </w:pPr>
      <w:r>
        <w:rPr>
          <w:rFonts w:hint="eastAsia" w:ascii="宋体"/>
          <w:sz w:val="24"/>
          <w:szCs w:val="24"/>
        </w:rPr>
        <w:t>1.供应商应当按照竞争性磋商文件的要求编制响应文件，并对竞争性磋商文件提出的要求和条件作出实质性响应，响应文件原则上采用软面订本，同时应编制完整的页码、目录。</w:t>
      </w:r>
    </w:p>
    <w:p>
      <w:pPr>
        <w:spacing w:line="360" w:lineRule="auto"/>
        <w:ind w:firstLine="480" w:firstLineChars="200"/>
        <w:rPr>
          <w:rFonts w:ascii="宋体"/>
          <w:sz w:val="24"/>
          <w:szCs w:val="24"/>
        </w:rPr>
      </w:pPr>
      <w:r>
        <w:rPr>
          <w:rFonts w:hint="eastAsia" w:ascii="宋体"/>
          <w:sz w:val="24"/>
          <w:szCs w:val="24"/>
        </w:rPr>
        <w:t>2.响应文件组成</w:t>
      </w:r>
    </w:p>
    <w:p>
      <w:pPr>
        <w:spacing w:line="360" w:lineRule="auto"/>
        <w:ind w:firstLine="480" w:firstLineChars="200"/>
        <w:rPr>
          <w:rFonts w:ascii="宋体"/>
          <w:sz w:val="24"/>
          <w:szCs w:val="24"/>
        </w:rPr>
      </w:pPr>
      <w:r>
        <w:rPr>
          <w:rFonts w:hint="eastAsia" w:ascii="宋体"/>
          <w:sz w:val="24"/>
          <w:szCs w:val="24"/>
        </w:rPr>
        <w:t>响应文件由第七篇“响应文件编制要求”规定的部分和供应商所作的一切有效补充、修改和承诺等文件组成，供应商应按照第七篇“响应文件编制要求”规定的目录顺序组织编写和装订，也可在基本格式基础上对表格进行扩展，未规定格式的由供应商自定格式。</w:t>
      </w:r>
    </w:p>
    <w:p>
      <w:pPr>
        <w:spacing w:line="360" w:lineRule="auto"/>
        <w:ind w:firstLine="480" w:firstLineChars="200"/>
        <w:rPr>
          <w:rFonts w:ascii="宋体"/>
          <w:sz w:val="24"/>
          <w:szCs w:val="24"/>
        </w:rPr>
      </w:pPr>
      <w:r>
        <w:rPr>
          <w:rFonts w:hint="eastAsia" w:ascii="宋体"/>
          <w:sz w:val="24"/>
          <w:szCs w:val="24"/>
        </w:rPr>
        <w:t>（二）联合体</w:t>
      </w:r>
    </w:p>
    <w:p>
      <w:pPr>
        <w:spacing w:line="360" w:lineRule="auto"/>
        <w:ind w:firstLine="480" w:firstLineChars="200"/>
        <w:rPr>
          <w:rFonts w:ascii="宋体"/>
          <w:sz w:val="24"/>
          <w:szCs w:val="24"/>
        </w:rPr>
      </w:pPr>
      <w:r>
        <w:rPr>
          <w:rFonts w:hint="eastAsia" w:ascii="宋体"/>
          <w:sz w:val="24"/>
          <w:szCs w:val="24"/>
        </w:rPr>
        <w:t>本项目不接受联合体磋商。</w:t>
      </w:r>
    </w:p>
    <w:p>
      <w:pPr>
        <w:spacing w:line="360" w:lineRule="auto"/>
        <w:ind w:firstLine="480" w:firstLineChars="200"/>
        <w:rPr>
          <w:rFonts w:ascii="宋体"/>
          <w:sz w:val="24"/>
          <w:szCs w:val="24"/>
        </w:rPr>
      </w:pPr>
      <w:r>
        <w:rPr>
          <w:rFonts w:hint="eastAsia" w:ascii="宋体"/>
          <w:sz w:val="24"/>
          <w:szCs w:val="24"/>
        </w:rPr>
        <w:t>（三）磋商有效期：响应文件及有关承诺文件有效期为提交响应文件截止时间起90天。</w:t>
      </w:r>
    </w:p>
    <w:p>
      <w:pPr>
        <w:spacing w:line="360" w:lineRule="auto"/>
        <w:ind w:firstLine="480" w:firstLineChars="200"/>
        <w:rPr>
          <w:rFonts w:ascii="宋体"/>
          <w:sz w:val="24"/>
          <w:szCs w:val="24"/>
        </w:rPr>
      </w:pPr>
      <w:r>
        <w:rPr>
          <w:rFonts w:hint="eastAsia" w:ascii="宋体"/>
          <w:sz w:val="24"/>
          <w:szCs w:val="24"/>
        </w:rPr>
        <w:t>（四）磋商保证金：</w:t>
      </w:r>
    </w:p>
    <w:p>
      <w:pPr>
        <w:spacing w:line="360" w:lineRule="auto"/>
        <w:ind w:firstLine="480" w:firstLineChars="200"/>
        <w:rPr>
          <w:rFonts w:ascii="宋体"/>
          <w:sz w:val="24"/>
          <w:szCs w:val="24"/>
        </w:rPr>
      </w:pPr>
      <w:r>
        <w:rPr>
          <w:rFonts w:hint="eastAsia" w:ascii="宋体"/>
          <w:sz w:val="24"/>
          <w:szCs w:val="24"/>
        </w:rPr>
        <w:t>1.供应商提交保证金金额和方式详见本文件第一篇“五、磋商保证金”；</w:t>
      </w:r>
    </w:p>
    <w:p>
      <w:pPr>
        <w:spacing w:line="360" w:lineRule="auto"/>
        <w:ind w:firstLine="480" w:firstLineChars="200"/>
        <w:rPr>
          <w:rFonts w:ascii="宋体"/>
          <w:sz w:val="24"/>
          <w:szCs w:val="24"/>
        </w:rPr>
      </w:pPr>
      <w:r>
        <w:rPr>
          <w:rFonts w:hint="eastAsia" w:ascii="宋体"/>
          <w:sz w:val="24"/>
          <w:szCs w:val="24"/>
        </w:rPr>
        <w:t>2.发生以下情况之一者，磋商保证金不予退还：</w:t>
      </w:r>
    </w:p>
    <w:p>
      <w:pPr>
        <w:spacing w:line="360" w:lineRule="auto"/>
        <w:ind w:firstLine="480" w:firstLineChars="200"/>
        <w:rPr>
          <w:rFonts w:ascii="宋体"/>
          <w:sz w:val="24"/>
          <w:szCs w:val="24"/>
        </w:rPr>
      </w:pPr>
      <w:r>
        <w:rPr>
          <w:rFonts w:hint="eastAsia" w:ascii="宋体"/>
          <w:sz w:val="24"/>
          <w:szCs w:val="24"/>
        </w:rPr>
        <w:t>2.1 供应商在提交响应文件截止时间后撤回响应文件的；</w:t>
      </w:r>
    </w:p>
    <w:p>
      <w:pPr>
        <w:spacing w:line="360" w:lineRule="auto"/>
        <w:ind w:firstLine="480" w:firstLineChars="200"/>
        <w:rPr>
          <w:rFonts w:ascii="宋体"/>
          <w:sz w:val="24"/>
          <w:szCs w:val="24"/>
        </w:rPr>
      </w:pPr>
      <w:r>
        <w:rPr>
          <w:rFonts w:hint="eastAsia" w:ascii="宋体"/>
          <w:sz w:val="24"/>
          <w:szCs w:val="24"/>
        </w:rPr>
        <w:t>2.2 供应商在响应文件中提供虚假材料的；</w:t>
      </w:r>
    </w:p>
    <w:p>
      <w:pPr>
        <w:spacing w:line="360" w:lineRule="auto"/>
        <w:ind w:firstLine="480" w:firstLineChars="200"/>
        <w:rPr>
          <w:rFonts w:ascii="宋体"/>
          <w:sz w:val="24"/>
          <w:szCs w:val="24"/>
        </w:rPr>
      </w:pPr>
      <w:r>
        <w:rPr>
          <w:rFonts w:hint="eastAsia" w:ascii="宋体"/>
          <w:sz w:val="24"/>
          <w:szCs w:val="24"/>
        </w:rPr>
        <w:t>2.3 除因不可抗力或竞争性磋商文件认可的情形以外，成交供应商不与采购人签订合同的；</w:t>
      </w:r>
    </w:p>
    <w:p>
      <w:pPr>
        <w:spacing w:line="360" w:lineRule="auto"/>
        <w:ind w:firstLine="480" w:firstLineChars="200"/>
        <w:rPr>
          <w:rFonts w:ascii="宋体"/>
          <w:sz w:val="24"/>
          <w:szCs w:val="24"/>
        </w:rPr>
      </w:pPr>
      <w:r>
        <w:rPr>
          <w:rFonts w:hint="eastAsia" w:ascii="宋体"/>
          <w:sz w:val="24"/>
          <w:szCs w:val="24"/>
        </w:rPr>
        <w:t>2.4 供应商与采购人、其他供应商或者采购代理机构恶意串通的；</w:t>
      </w:r>
    </w:p>
    <w:p>
      <w:pPr>
        <w:spacing w:line="360" w:lineRule="auto"/>
        <w:ind w:firstLine="480" w:firstLineChars="200"/>
        <w:rPr>
          <w:rFonts w:ascii="宋体"/>
          <w:sz w:val="24"/>
          <w:szCs w:val="24"/>
        </w:rPr>
      </w:pPr>
      <w:r>
        <w:rPr>
          <w:rFonts w:hint="eastAsia" w:ascii="宋体"/>
          <w:sz w:val="24"/>
          <w:szCs w:val="24"/>
        </w:rPr>
        <w:t>2.5 成交供应商不按规定的时间或拒绝按成交状态签订合同（即不按照磋商文件确定的合同文本以及采购标的、规格型号、采购金额、采购数量、技术和服务要求等事项签订政府采购合同的）。</w:t>
      </w:r>
    </w:p>
    <w:p>
      <w:pPr>
        <w:spacing w:line="360" w:lineRule="auto"/>
        <w:ind w:firstLine="480" w:firstLineChars="200"/>
        <w:rPr>
          <w:rFonts w:ascii="宋体"/>
          <w:sz w:val="24"/>
          <w:szCs w:val="24"/>
        </w:rPr>
      </w:pPr>
      <w:r>
        <w:rPr>
          <w:rFonts w:hint="eastAsia" w:ascii="宋体"/>
          <w:sz w:val="24"/>
          <w:szCs w:val="24"/>
        </w:rPr>
        <w:t>（四）修正错误</w:t>
      </w:r>
    </w:p>
    <w:p>
      <w:pPr>
        <w:spacing w:line="360" w:lineRule="auto"/>
        <w:ind w:firstLine="480" w:firstLineChars="200"/>
        <w:rPr>
          <w:rFonts w:ascii="宋体"/>
          <w:sz w:val="24"/>
          <w:szCs w:val="24"/>
        </w:rPr>
      </w:pPr>
      <w:r>
        <w:rPr>
          <w:rFonts w:hint="eastAsia" w:ascii="宋体"/>
          <w:sz w:val="24"/>
          <w:szCs w:val="24"/>
        </w:rPr>
        <w:t>1.若供应商所递交的响应文件或最后报价中的价格出现大写金额和小写金额不一致的错误，以大写金额修正为准。</w:t>
      </w:r>
    </w:p>
    <w:p>
      <w:pPr>
        <w:spacing w:line="360" w:lineRule="auto"/>
        <w:ind w:firstLine="480" w:firstLineChars="200"/>
        <w:rPr>
          <w:rFonts w:ascii="宋体"/>
          <w:sz w:val="24"/>
          <w:szCs w:val="24"/>
        </w:rPr>
      </w:pPr>
      <w:r>
        <w:rPr>
          <w:rFonts w:hint="eastAsia" w:ascii="宋体"/>
          <w:sz w:val="24"/>
          <w:szCs w:val="24"/>
        </w:rPr>
        <w:t>2.磋商小组按上述修正错误的原则及方法修正供应商的报价，供应商同意并签字确认后，修正后的报价对供应商具有约束作用。如果供应商不接受修正后的价格，将失去成为成交供应商的资格。</w:t>
      </w:r>
    </w:p>
    <w:p>
      <w:pPr>
        <w:snapToGrid w:val="0"/>
        <w:spacing w:line="360" w:lineRule="auto"/>
        <w:ind w:firstLine="480" w:firstLineChars="200"/>
        <w:rPr>
          <w:rFonts w:ascii="宋体"/>
          <w:sz w:val="24"/>
          <w:szCs w:val="24"/>
        </w:rPr>
      </w:pPr>
      <w:r>
        <w:rPr>
          <w:rFonts w:hint="eastAsia" w:ascii="宋体"/>
          <w:sz w:val="24"/>
          <w:szCs w:val="24"/>
        </w:rPr>
        <w:t>（五）提交响应文件的份数和签署</w:t>
      </w:r>
    </w:p>
    <w:p>
      <w:pPr>
        <w:snapToGrid w:val="0"/>
        <w:spacing w:line="360" w:lineRule="auto"/>
        <w:ind w:firstLine="480" w:firstLineChars="200"/>
        <w:rPr>
          <w:rFonts w:ascii="宋体"/>
          <w:sz w:val="24"/>
          <w:szCs w:val="24"/>
        </w:rPr>
      </w:pPr>
      <w:r>
        <w:rPr>
          <w:rFonts w:hint="eastAsia" w:ascii="宋体"/>
          <w:sz w:val="24"/>
          <w:szCs w:val="24"/>
        </w:rPr>
        <w:t>1.响应文件一式四份，其中正本一份，副本二份，电子文档一份；副本可为正本的复印件，应与正本一致，如出现不一致情况以正本为准。</w:t>
      </w:r>
    </w:p>
    <w:p>
      <w:pPr>
        <w:snapToGrid w:val="0"/>
        <w:spacing w:line="360" w:lineRule="auto"/>
        <w:ind w:firstLine="480" w:firstLineChars="200"/>
        <w:rPr>
          <w:rFonts w:ascii="宋体"/>
          <w:sz w:val="24"/>
          <w:szCs w:val="24"/>
        </w:rPr>
      </w:pPr>
      <w:r>
        <w:rPr>
          <w:rFonts w:hint="eastAsia" w:ascii="宋体"/>
          <w:sz w:val="24"/>
          <w:szCs w:val="24"/>
        </w:rPr>
        <w:t>2.</w:t>
      </w:r>
      <w:r>
        <w:rPr>
          <w:rFonts w:hint="eastAsia" w:ascii="宋体"/>
          <w:sz w:val="24"/>
        </w:rPr>
        <w:t>在响应文件正本中，竞争性磋商文件第七篇响应文件编制要求中规定签字、盖章的地方必须按其规定签字、盖章。</w:t>
      </w:r>
    </w:p>
    <w:p>
      <w:pPr>
        <w:snapToGrid w:val="0"/>
        <w:spacing w:line="360" w:lineRule="auto"/>
        <w:ind w:firstLine="480" w:firstLineChars="200"/>
        <w:rPr>
          <w:rFonts w:ascii="宋体"/>
          <w:sz w:val="24"/>
          <w:szCs w:val="24"/>
        </w:rPr>
      </w:pPr>
      <w:r>
        <w:rPr>
          <w:rFonts w:hint="eastAsia" w:ascii="宋体"/>
          <w:sz w:val="24"/>
          <w:szCs w:val="24"/>
        </w:rPr>
        <w:t>（六）响应文件的递交</w:t>
      </w:r>
    </w:p>
    <w:p>
      <w:pPr>
        <w:snapToGrid w:val="0"/>
        <w:spacing w:line="360" w:lineRule="auto"/>
        <w:ind w:firstLine="480" w:firstLineChars="200"/>
        <w:rPr>
          <w:rFonts w:ascii="宋体"/>
          <w:sz w:val="24"/>
          <w:szCs w:val="24"/>
        </w:rPr>
      </w:pPr>
      <w:r>
        <w:rPr>
          <w:rFonts w:hint="eastAsia" w:ascii="宋体"/>
          <w:sz w:val="24"/>
          <w:szCs w:val="24"/>
        </w:rPr>
        <w:t>1.响应文件的密封与标记</w:t>
      </w:r>
    </w:p>
    <w:p>
      <w:pPr>
        <w:snapToGrid w:val="0"/>
        <w:spacing w:line="360" w:lineRule="auto"/>
        <w:ind w:firstLine="480" w:firstLineChars="200"/>
        <w:rPr>
          <w:rFonts w:ascii="宋体"/>
          <w:sz w:val="24"/>
          <w:szCs w:val="24"/>
        </w:rPr>
      </w:pPr>
      <w:r>
        <w:rPr>
          <w:rFonts w:hint="eastAsia" w:ascii="宋体"/>
          <w:sz w:val="24"/>
          <w:szCs w:val="24"/>
        </w:rPr>
        <w:t>响应文件的正本、副本均采用信封分别密封。信封上注明项目名称、供应商名称、“正本”、“副本”字样。信封的封口应加盖供应商公章或法人授权代表签字。</w:t>
      </w:r>
    </w:p>
    <w:p>
      <w:pPr>
        <w:snapToGrid w:val="0"/>
        <w:spacing w:line="360" w:lineRule="auto"/>
        <w:ind w:firstLine="480" w:firstLineChars="200"/>
        <w:rPr>
          <w:rFonts w:ascii="宋体"/>
          <w:sz w:val="24"/>
          <w:szCs w:val="24"/>
        </w:rPr>
      </w:pPr>
      <w:r>
        <w:rPr>
          <w:rFonts w:hint="eastAsia" w:ascii="宋体"/>
          <w:sz w:val="24"/>
          <w:szCs w:val="24"/>
        </w:rPr>
        <w:t>响应文件的装订形式为</w:t>
      </w:r>
      <w:r>
        <w:rPr>
          <w:rFonts w:hint="eastAsia" w:ascii="宋体"/>
          <w:b/>
          <w:sz w:val="24"/>
          <w:szCs w:val="24"/>
        </w:rPr>
        <w:t>胶装</w:t>
      </w:r>
      <w:r>
        <w:rPr>
          <w:rFonts w:hint="eastAsia" w:ascii="宋体"/>
          <w:sz w:val="24"/>
          <w:szCs w:val="24"/>
        </w:rPr>
        <w:t>。</w:t>
      </w:r>
    </w:p>
    <w:p>
      <w:pPr>
        <w:snapToGrid w:val="0"/>
        <w:spacing w:line="360" w:lineRule="auto"/>
        <w:ind w:firstLine="480" w:firstLineChars="200"/>
        <w:rPr>
          <w:rFonts w:ascii="宋体"/>
          <w:sz w:val="24"/>
          <w:szCs w:val="24"/>
        </w:rPr>
      </w:pPr>
      <w:r>
        <w:rPr>
          <w:rFonts w:hint="eastAsia" w:ascii="宋体"/>
          <w:sz w:val="24"/>
          <w:szCs w:val="24"/>
        </w:rPr>
        <w:t>2.响应文件递交截止时间：参阅采购邀请书。</w:t>
      </w:r>
    </w:p>
    <w:p>
      <w:pPr>
        <w:snapToGrid w:val="0"/>
        <w:spacing w:line="360" w:lineRule="auto"/>
        <w:ind w:firstLine="480" w:firstLineChars="200"/>
        <w:rPr>
          <w:rFonts w:ascii="宋体"/>
          <w:sz w:val="24"/>
          <w:szCs w:val="24"/>
        </w:rPr>
      </w:pPr>
      <w:r>
        <w:rPr>
          <w:rFonts w:hint="eastAsia" w:ascii="宋体"/>
          <w:sz w:val="24"/>
          <w:szCs w:val="24"/>
        </w:rPr>
        <w:t>3.响应文件语言：简体中文</w:t>
      </w:r>
    </w:p>
    <w:p>
      <w:pPr>
        <w:snapToGrid w:val="0"/>
        <w:spacing w:line="360" w:lineRule="auto"/>
        <w:ind w:firstLine="480" w:firstLineChars="200"/>
        <w:rPr>
          <w:rFonts w:ascii="宋体"/>
          <w:sz w:val="24"/>
          <w:szCs w:val="24"/>
        </w:rPr>
      </w:pPr>
      <w:r>
        <w:rPr>
          <w:rFonts w:hint="eastAsia" w:ascii="宋体"/>
          <w:sz w:val="24"/>
          <w:szCs w:val="24"/>
        </w:rPr>
        <w:t>（七）供应商参与人员</w:t>
      </w:r>
    </w:p>
    <w:p>
      <w:pPr>
        <w:snapToGrid w:val="0"/>
        <w:spacing w:line="360" w:lineRule="auto"/>
        <w:ind w:firstLine="480" w:firstLineChars="200"/>
        <w:rPr>
          <w:rFonts w:ascii="宋体"/>
          <w:sz w:val="24"/>
          <w:szCs w:val="24"/>
        </w:rPr>
      </w:pPr>
      <w:r>
        <w:rPr>
          <w:rFonts w:hint="eastAsia" w:ascii="宋体"/>
          <w:sz w:val="24"/>
          <w:szCs w:val="24"/>
        </w:rPr>
        <w:t>各个供应商可派1-2名代表参与磋商，至少1人应为法定代表人或具有法定代表人授权委托书的授权代表。</w:t>
      </w:r>
    </w:p>
    <w:p>
      <w:pPr>
        <w:pStyle w:val="6"/>
        <w:spacing w:before="0" w:after="0" w:line="360" w:lineRule="auto"/>
        <w:ind w:firstLine="482" w:firstLineChars="200"/>
        <w:rPr>
          <w:rFonts w:ascii="宋体"/>
          <w:sz w:val="24"/>
          <w:szCs w:val="24"/>
        </w:rPr>
      </w:pPr>
      <w:bookmarkStart w:id="122" w:name="_Toc137459408"/>
      <w:r>
        <w:rPr>
          <w:rFonts w:hint="eastAsia" w:ascii="宋体"/>
          <w:sz w:val="24"/>
          <w:szCs w:val="24"/>
        </w:rPr>
        <w:t>四、成交供应商的确认和变更</w:t>
      </w:r>
      <w:bookmarkEnd w:id="122"/>
    </w:p>
    <w:p>
      <w:pPr>
        <w:snapToGrid w:val="0"/>
        <w:spacing w:line="360" w:lineRule="auto"/>
        <w:ind w:firstLine="480" w:firstLineChars="200"/>
        <w:rPr>
          <w:rFonts w:ascii="宋体"/>
          <w:sz w:val="24"/>
          <w:szCs w:val="24"/>
        </w:rPr>
      </w:pPr>
      <w:r>
        <w:rPr>
          <w:rFonts w:hint="eastAsia" w:ascii="宋体"/>
          <w:sz w:val="24"/>
          <w:szCs w:val="24"/>
        </w:rPr>
        <w:t>（一）成交供应商的确认</w:t>
      </w:r>
    </w:p>
    <w:p>
      <w:pPr>
        <w:snapToGrid w:val="0"/>
        <w:spacing w:line="360" w:lineRule="auto"/>
        <w:ind w:firstLine="480" w:firstLineChars="200"/>
        <w:rPr>
          <w:rFonts w:ascii="宋体"/>
          <w:sz w:val="24"/>
          <w:szCs w:val="24"/>
        </w:rPr>
      </w:pPr>
      <w:r>
        <w:rPr>
          <w:rFonts w:ascii="宋体"/>
          <w:sz w:val="24"/>
          <w:szCs w:val="24"/>
        </w:rPr>
        <w:t>采购代理机构应当在评审结束后2个工作日内将评审报告送采购人确认。采购人应当在收到评审报告后5个工作日内</w:t>
      </w:r>
      <w:r>
        <w:rPr>
          <w:rFonts w:hint="eastAsia" w:ascii="宋体"/>
          <w:sz w:val="24"/>
          <w:szCs w:val="24"/>
        </w:rPr>
        <w:t>，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pPr>
        <w:snapToGrid w:val="0"/>
        <w:spacing w:line="360" w:lineRule="auto"/>
        <w:ind w:firstLine="480" w:firstLineChars="200"/>
        <w:rPr>
          <w:rFonts w:ascii="宋体"/>
          <w:sz w:val="24"/>
          <w:szCs w:val="24"/>
        </w:rPr>
      </w:pPr>
      <w:r>
        <w:rPr>
          <w:rFonts w:hint="eastAsia" w:ascii="宋体"/>
          <w:sz w:val="24"/>
          <w:szCs w:val="24"/>
        </w:rPr>
        <w:t>（二）成交供应商的变更</w:t>
      </w:r>
    </w:p>
    <w:p>
      <w:pPr>
        <w:snapToGrid w:val="0"/>
        <w:spacing w:line="360" w:lineRule="auto"/>
        <w:ind w:firstLine="480" w:firstLineChars="200"/>
        <w:rPr>
          <w:rFonts w:ascii="宋体"/>
          <w:sz w:val="24"/>
          <w:szCs w:val="24"/>
        </w:rPr>
      </w:pPr>
      <w:r>
        <w:rPr>
          <w:rFonts w:hint="eastAsia" w:ascii="宋体"/>
          <w:sz w:val="24"/>
          <w:szCs w:val="24"/>
        </w:rPr>
        <w:t>1.成交供应商拒绝签订政府采购合同的，采购人可以按照评审报告推荐的成交候选人顺序，确定排名下一位的候选人为成交供应商，也可以重新开展政府采购活动。拒绝签订政府采购合同的成交供应商不得参加对该项目重新开展的采购活动。</w:t>
      </w:r>
    </w:p>
    <w:p>
      <w:pPr>
        <w:snapToGrid w:val="0"/>
        <w:spacing w:line="360" w:lineRule="auto"/>
        <w:ind w:firstLine="480" w:firstLineChars="200"/>
        <w:rPr>
          <w:rFonts w:ascii="宋体"/>
          <w:sz w:val="24"/>
          <w:szCs w:val="24"/>
        </w:rPr>
      </w:pPr>
      <w:r>
        <w:rPr>
          <w:rFonts w:hint="eastAsia" w:ascii="宋体"/>
          <w:sz w:val="24"/>
          <w:szCs w:val="24"/>
        </w:rPr>
        <w:t>2.成交供应商无充分理由放弃成交的，采购人将会同采购代理机构把相关情况报主管部门，主管部门将根据相关法律法规的规定对违规供应商进行处罚。</w:t>
      </w:r>
    </w:p>
    <w:p>
      <w:pPr>
        <w:pStyle w:val="6"/>
        <w:spacing w:before="0" w:after="0" w:line="360" w:lineRule="auto"/>
        <w:ind w:firstLine="482" w:firstLineChars="200"/>
        <w:rPr>
          <w:rFonts w:ascii="宋体"/>
          <w:sz w:val="24"/>
          <w:szCs w:val="24"/>
        </w:rPr>
      </w:pPr>
      <w:bookmarkStart w:id="123" w:name="_Toc102227321"/>
      <w:bookmarkStart w:id="124" w:name="_Toc342913395"/>
      <w:bookmarkStart w:id="125" w:name="_Toc137459409"/>
      <w:r>
        <w:rPr>
          <w:rFonts w:hint="eastAsia" w:ascii="宋体"/>
          <w:sz w:val="24"/>
          <w:szCs w:val="24"/>
        </w:rPr>
        <w:t>五、成交通知</w:t>
      </w:r>
      <w:bookmarkEnd w:id="123"/>
      <w:bookmarkEnd w:id="124"/>
      <w:bookmarkEnd w:id="125"/>
    </w:p>
    <w:p>
      <w:pPr>
        <w:spacing w:line="360" w:lineRule="auto"/>
        <w:ind w:firstLine="480" w:firstLineChars="200"/>
        <w:rPr>
          <w:rFonts w:ascii="宋体"/>
          <w:sz w:val="24"/>
          <w:szCs w:val="24"/>
        </w:rPr>
      </w:pPr>
      <w:r>
        <w:rPr>
          <w:rFonts w:hint="eastAsia" w:ascii="宋体"/>
          <w:sz w:val="24"/>
          <w:szCs w:val="24"/>
        </w:rPr>
        <w:t>（一）成交供应商确定后，采购代理机构将在重庆市无线电监测站网上发布成交结果公告。</w:t>
      </w:r>
    </w:p>
    <w:p>
      <w:pPr>
        <w:spacing w:line="360" w:lineRule="auto"/>
        <w:ind w:firstLine="480" w:firstLineChars="200"/>
        <w:rPr>
          <w:rFonts w:ascii="宋体"/>
          <w:sz w:val="24"/>
          <w:szCs w:val="24"/>
        </w:rPr>
      </w:pPr>
      <w:r>
        <w:rPr>
          <w:rFonts w:hint="eastAsia" w:ascii="宋体"/>
          <w:sz w:val="24"/>
          <w:szCs w:val="24"/>
        </w:rPr>
        <w:t>（二）结果公告期结束后，采购代理机构将以书面形式发出《成交通知书》。《成交通知书》一经发出即发生法律效力。</w:t>
      </w:r>
    </w:p>
    <w:p>
      <w:pPr>
        <w:spacing w:line="360" w:lineRule="auto"/>
        <w:ind w:firstLine="480" w:firstLineChars="200"/>
        <w:rPr>
          <w:rFonts w:ascii="宋体"/>
          <w:sz w:val="24"/>
          <w:szCs w:val="24"/>
        </w:rPr>
      </w:pPr>
      <w:r>
        <w:rPr>
          <w:rFonts w:hint="eastAsia" w:ascii="宋体"/>
          <w:sz w:val="24"/>
          <w:szCs w:val="24"/>
        </w:rPr>
        <w:t>（三）《成交通知书》将作为签订合同的依据。</w:t>
      </w:r>
    </w:p>
    <w:p>
      <w:pPr>
        <w:spacing w:line="360" w:lineRule="auto"/>
        <w:ind w:firstLine="480" w:firstLineChars="200"/>
        <w:rPr>
          <w:rFonts w:ascii="宋体"/>
        </w:rPr>
      </w:pPr>
      <w:r>
        <w:rPr>
          <w:rFonts w:hint="eastAsia" w:ascii="宋体"/>
          <w:sz w:val="24"/>
          <w:szCs w:val="24"/>
        </w:rPr>
        <w:t>（四）如有供应商对成交结果提出质疑的，在质疑处理完毕后发出成交通知书。</w:t>
      </w:r>
    </w:p>
    <w:p>
      <w:pPr>
        <w:pStyle w:val="6"/>
        <w:spacing w:before="0" w:after="0" w:line="360" w:lineRule="auto"/>
        <w:ind w:firstLine="482" w:firstLineChars="200"/>
        <w:rPr>
          <w:rFonts w:ascii="宋体"/>
          <w:sz w:val="24"/>
          <w:szCs w:val="24"/>
        </w:rPr>
      </w:pPr>
      <w:bookmarkStart w:id="126" w:name="_Toc137459410"/>
      <w:r>
        <w:rPr>
          <w:rFonts w:hint="eastAsia" w:ascii="宋体"/>
          <w:sz w:val="24"/>
          <w:szCs w:val="24"/>
        </w:rPr>
        <w:t>六、关于质疑和投诉</w:t>
      </w:r>
      <w:bookmarkEnd w:id="126"/>
    </w:p>
    <w:p>
      <w:pPr>
        <w:spacing w:line="360" w:lineRule="auto"/>
        <w:ind w:firstLine="480" w:firstLineChars="200"/>
        <w:rPr>
          <w:rFonts w:ascii="宋体"/>
          <w:sz w:val="24"/>
          <w:szCs w:val="24"/>
        </w:rPr>
      </w:pPr>
      <w:r>
        <w:rPr>
          <w:rFonts w:hint="eastAsia" w:ascii="宋体"/>
          <w:sz w:val="24"/>
          <w:szCs w:val="24"/>
        </w:rPr>
        <w:t>（一）质疑</w:t>
      </w:r>
    </w:p>
    <w:p>
      <w:pPr>
        <w:spacing w:line="360" w:lineRule="auto"/>
        <w:ind w:firstLine="570"/>
        <w:rPr>
          <w:rFonts w:ascii="宋体"/>
          <w:sz w:val="24"/>
          <w:szCs w:val="24"/>
        </w:rPr>
      </w:pPr>
      <w:r>
        <w:rPr>
          <w:rFonts w:hint="eastAsia" w:ascii="宋体"/>
          <w:sz w:val="24"/>
          <w:szCs w:val="24"/>
        </w:rPr>
        <w:t>供应商认为磋商文件、采购过程和成交结果使自己的权益</w:t>
      </w:r>
      <w:r>
        <w:rPr>
          <w:rFonts w:hint="eastAsia" w:ascii="宋体"/>
          <w:sz w:val="24"/>
          <w:szCs w:val="24"/>
          <w:lang w:val="en-US" w:eastAsia="zh-CN"/>
        </w:rPr>
        <w:t>受</w:t>
      </w:r>
      <w:bookmarkStart w:id="175" w:name="_GoBack"/>
      <w:bookmarkEnd w:id="175"/>
      <w:r>
        <w:rPr>
          <w:rFonts w:hint="eastAsia" w:ascii="宋体"/>
          <w:sz w:val="24"/>
          <w:szCs w:val="24"/>
        </w:rPr>
        <w:t>到伤害的，可向采购人或采购代理机构以书面形式提出质疑。</w:t>
      </w:r>
    </w:p>
    <w:p>
      <w:pPr>
        <w:spacing w:line="360" w:lineRule="auto"/>
        <w:ind w:firstLine="570"/>
        <w:rPr>
          <w:rFonts w:ascii="宋体"/>
          <w:sz w:val="24"/>
          <w:szCs w:val="24"/>
        </w:rPr>
      </w:pPr>
      <w:r>
        <w:rPr>
          <w:rFonts w:hint="eastAsia" w:ascii="宋体"/>
          <w:sz w:val="24"/>
          <w:szCs w:val="24"/>
        </w:rPr>
        <w:t>提出质疑的应当是参与所质疑项目采购活动的供应商。</w:t>
      </w:r>
    </w:p>
    <w:p>
      <w:pPr>
        <w:spacing w:line="360" w:lineRule="auto"/>
        <w:ind w:firstLine="570"/>
        <w:rPr>
          <w:rFonts w:ascii="宋体"/>
          <w:sz w:val="24"/>
          <w:szCs w:val="24"/>
        </w:rPr>
      </w:pPr>
      <w:r>
        <w:rPr>
          <w:rFonts w:hint="eastAsia" w:ascii="宋体"/>
          <w:sz w:val="24"/>
          <w:szCs w:val="24"/>
        </w:rPr>
        <w:t>1.质疑内容、时限</w:t>
      </w:r>
    </w:p>
    <w:p>
      <w:pPr>
        <w:spacing w:line="360" w:lineRule="auto"/>
        <w:ind w:firstLine="570"/>
        <w:rPr>
          <w:rFonts w:ascii="宋体"/>
          <w:sz w:val="24"/>
          <w:szCs w:val="24"/>
        </w:rPr>
      </w:pPr>
      <w:r>
        <w:rPr>
          <w:rFonts w:hint="eastAsia" w:ascii="宋体"/>
          <w:sz w:val="24"/>
          <w:szCs w:val="24"/>
        </w:rPr>
        <w:t>1.1供应商认为磋商文件、采购过程、成交结果使自己的权益受到损害的，可以在知道或者应知其权益受到损害之日起7个工作日内，以书面形式向采购人、采购代理机构提出质疑。</w:t>
      </w:r>
    </w:p>
    <w:p>
      <w:pPr>
        <w:spacing w:line="360" w:lineRule="auto"/>
        <w:ind w:firstLine="570"/>
        <w:rPr>
          <w:rFonts w:ascii="宋体"/>
          <w:sz w:val="24"/>
          <w:szCs w:val="24"/>
        </w:rPr>
      </w:pPr>
      <w:r>
        <w:rPr>
          <w:rFonts w:hint="eastAsia" w:ascii="宋体"/>
          <w:sz w:val="24"/>
          <w:szCs w:val="24"/>
        </w:rPr>
        <w:t>1.2 供应商提出质疑应当提交质疑函和必要的证明材料，质疑函应当包括下列内容：</w:t>
      </w:r>
    </w:p>
    <w:p>
      <w:pPr>
        <w:spacing w:line="360" w:lineRule="auto"/>
        <w:ind w:firstLine="570"/>
        <w:rPr>
          <w:rFonts w:ascii="宋体"/>
          <w:sz w:val="24"/>
          <w:szCs w:val="24"/>
        </w:rPr>
      </w:pPr>
      <w:r>
        <w:rPr>
          <w:rFonts w:hint="eastAsia" w:ascii="宋体"/>
          <w:sz w:val="24"/>
          <w:szCs w:val="24"/>
        </w:rPr>
        <w:t>（1）供应商的姓名或者名称、地址、邮编、联系人及联系电话；</w:t>
      </w:r>
    </w:p>
    <w:p>
      <w:pPr>
        <w:spacing w:line="360" w:lineRule="auto"/>
        <w:ind w:firstLine="570"/>
        <w:rPr>
          <w:rFonts w:ascii="宋体"/>
          <w:sz w:val="24"/>
          <w:szCs w:val="24"/>
        </w:rPr>
      </w:pPr>
      <w:r>
        <w:rPr>
          <w:rFonts w:hint="eastAsia" w:ascii="宋体"/>
          <w:sz w:val="24"/>
          <w:szCs w:val="24"/>
        </w:rPr>
        <w:t>（2）质疑项目的名称、项目号以及招标项目编号；</w:t>
      </w:r>
    </w:p>
    <w:p>
      <w:pPr>
        <w:spacing w:line="360" w:lineRule="auto"/>
        <w:ind w:firstLine="570"/>
        <w:rPr>
          <w:rFonts w:ascii="宋体"/>
          <w:sz w:val="24"/>
          <w:szCs w:val="24"/>
        </w:rPr>
      </w:pPr>
      <w:r>
        <w:rPr>
          <w:rFonts w:hint="eastAsia" w:ascii="宋体"/>
          <w:sz w:val="24"/>
          <w:szCs w:val="24"/>
        </w:rPr>
        <w:t>（3）具体、明确的质疑事项和与质疑事项相关的请求；</w:t>
      </w:r>
    </w:p>
    <w:p>
      <w:pPr>
        <w:spacing w:line="360" w:lineRule="auto"/>
        <w:ind w:firstLine="570"/>
        <w:rPr>
          <w:rFonts w:ascii="宋体"/>
          <w:sz w:val="24"/>
          <w:szCs w:val="24"/>
        </w:rPr>
      </w:pPr>
      <w:r>
        <w:rPr>
          <w:rFonts w:hint="eastAsia" w:ascii="宋体"/>
          <w:sz w:val="24"/>
          <w:szCs w:val="24"/>
        </w:rPr>
        <w:t>（4）事实依据；</w:t>
      </w:r>
    </w:p>
    <w:p>
      <w:pPr>
        <w:spacing w:line="360" w:lineRule="auto"/>
        <w:ind w:firstLine="570"/>
        <w:rPr>
          <w:rFonts w:ascii="宋体"/>
          <w:sz w:val="24"/>
          <w:szCs w:val="24"/>
        </w:rPr>
      </w:pPr>
      <w:r>
        <w:rPr>
          <w:rFonts w:hint="eastAsia" w:ascii="宋体"/>
          <w:sz w:val="24"/>
          <w:szCs w:val="24"/>
        </w:rPr>
        <w:t>（5）必要的法律依据；</w:t>
      </w:r>
    </w:p>
    <w:p>
      <w:pPr>
        <w:spacing w:line="360" w:lineRule="auto"/>
        <w:ind w:firstLine="570"/>
        <w:rPr>
          <w:rFonts w:ascii="宋体"/>
          <w:sz w:val="24"/>
          <w:szCs w:val="24"/>
        </w:rPr>
      </w:pPr>
      <w:r>
        <w:rPr>
          <w:rFonts w:hint="eastAsia" w:ascii="宋体"/>
          <w:sz w:val="24"/>
          <w:szCs w:val="24"/>
        </w:rPr>
        <w:t>（6）提出质疑的日期；</w:t>
      </w:r>
    </w:p>
    <w:p>
      <w:pPr>
        <w:spacing w:line="360" w:lineRule="auto"/>
        <w:ind w:firstLine="570"/>
        <w:rPr>
          <w:rFonts w:ascii="宋体"/>
          <w:sz w:val="24"/>
          <w:szCs w:val="24"/>
        </w:rPr>
      </w:pPr>
      <w:r>
        <w:rPr>
          <w:rFonts w:hint="eastAsia" w:ascii="宋体"/>
          <w:sz w:val="24"/>
          <w:szCs w:val="24"/>
        </w:rPr>
        <w:t>（7）营业执照（或事业单位法人证书，或个体工商户营业执照或有效的自然人身份证明）复印件；</w:t>
      </w:r>
    </w:p>
    <w:p>
      <w:pPr>
        <w:spacing w:line="360" w:lineRule="auto"/>
        <w:ind w:firstLine="570"/>
        <w:rPr>
          <w:rFonts w:ascii="宋体"/>
          <w:sz w:val="24"/>
          <w:szCs w:val="24"/>
        </w:rPr>
      </w:pPr>
      <w:r>
        <w:rPr>
          <w:rFonts w:hint="eastAsia" w:ascii="宋体"/>
          <w:sz w:val="24"/>
          <w:szCs w:val="24"/>
        </w:rPr>
        <w:t>（8）法定代表人授权委托书原件、法定代表人身份证复印件和其授权代表的身份证复印件（供应商为自然人的提供自然人身份证复印件）；</w:t>
      </w:r>
    </w:p>
    <w:p>
      <w:pPr>
        <w:spacing w:line="360" w:lineRule="auto"/>
        <w:ind w:firstLine="570"/>
        <w:rPr>
          <w:rFonts w:ascii="宋体"/>
          <w:sz w:val="24"/>
          <w:szCs w:val="24"/>
        </w:rPr>
      </w:pPr>
      <w:r>
        <w:rPr>
          <w:rFonts w:hint="eastAsia" w:ascii="宋体"/>
          <w:sz w:val="24"/>
          <w:szCs w:val="24"/>
        </w:rPr>
        <w:t>1.3 供应商为自然人的，质疑函应当由本人签字；供应商为法人或者其他组织的，质疑函应当由法定代表人、主要负责人，或者其授权代表签字或者盖章，并加盖公章。</w:t>
      </w:r>
    </w:p>
    <w:p>
      <w:pPr>
        <w:spacing w:line="360" w:lineRule="auto"/>
        <w:ind w:firstLine="570"/>
        <w:rPr>
          <w:rFonts w:ascii="宋体"/>
          <w:sz w:val="24"/>
          <w:szCs w:val="24"/>
        </w:rPr>
      </w:pPr>
      <w:r>
        <w:rPr>
          <w:rFonts w:hint="eastAsia" w:ascii="宋体"/>
          <w:sz w:val="24"/>
          <w:szCs w:val="24"/>
        </w:rPr>
        <w:t>2.质疑答复</w:t>
      </w:r>
    </w:p>
    <w:p>
      <w:pPr>
        <w:spacing w:line="360" w:lineRule="auto"/>
        <w:ind w:firstLine="570"/>
        <w:rPr>
          <w:rFonts w:ascii="宋体"/>
          <w:sz w:val="24"/>
          <w:szCs w:val="24"/>
        </w:rPr>
      </w:pPr>
      <w:r>
        <w:rPr>
          <w:rFonts w:hint="eastAsia" w:ascii="宋体"/>
          <w:sz w:val="24"/>
          <w:szCs w:val="24"/>
        </w:rPr>
        <w:t>采购人、采购代理机构应当在收到供应商的书面质疑后七个工作日内作出答复，并以书面形式通知质疑供应商和其他有关供应商。</w:t>
      </w:r>
    </w:p>
    <w:p>
      <w:pPr>
        <w:spacing w:line="360" w:lineRule="auto"/>
        <w:ind w:firstLine="570"/>
        <w:rPr>
          <w:rFonts w:ascii="宋体"/>
          <w:sz w:val="24"/>
          <w:szCs w:val="24"/>
        </w:rPr>
      </w:pPr>
      <w:r>
        <w:rPr>
          <w:rFonts w:hint="eastAsia" w:ascii="宋体"/>
          <w:sz w:val="24"/>
          <w:szCs w:val="24"/>
        </w:rPr>
        <w:t>3.其他</w:t>
      </w:r>
    </w:p>
    <w:p>
      <w:pPr>
        <w:spacing w:line="360" w:lineRule="auto"/>
        <w:ind w:firstLine="570"/>
        <w:rPr>
          <w:rFonts w:ascii="宋体"/>
          <w:sz w:val="24"/>
          <w:szCs w:val="24"/>
        </w:rPr>
      </w:pPr>
      <w:r>
        <w:rPr>
          <w:rFonts w:hint="eastAsia" w:ascii="宋体"/>
          <w:sz w:val="24"/>
          <w:szCs w:val="24"/>
        </w:rPr>
        <w:t>3.1 供应商应按照《政府采购质疑和投诉办法》（财政部令第94号）及相关法律法规要求，在法定质疑期内一次性提出针对同一采购程序环节的质疑。</w:t>
      </w:r>
    </w:p>
    <w:p>
      <w:pPr>
        <w:spacing w:line="360" w:lineRule="auto"/>
        <w:ind w:firstLine="570"/>
        <w:rPr>
          <w:rFonts w:ascii="宋体"/>
          <w:sz w:val="24"/>
          <w:szCs w:val="24"/>
        </w:rPr>
      </w:pPr>
      <w:r>
        <w:rPr>
          <w:rFonts w:hint="eastAsia" w:ascii="宋体"/>
          <w:sz w:val="24"/>
          <w:szCs w:val="24"/>
        </w:rPr>
        <w:t>3.2 质疑函范本可在财政部门户网站和中国政府采购网下载。</w:t>
      </w:r>
    </w:p>
    <w:p>
      <w:pPr>
        <w:spacing w:line="360" w:lineRule="auto"/>
        <w:ind w:firstLine="570"/>
        <w:rPr>
          <w:rFonts w:ascii="宋体"/>
          <w:sz w:val="24"/>
          <w:szCs w:val="24"/>
        </w:rPr>
      </w:pPr>
      <w:r>
        <w:rPr>
          <w:rFonts w:hint="eastAsia" w:ascii="宋体"/>
          <w:sz w:val="24"/>
          <w:szCs w:val="24"/>
        </w:rPr>
        <w:t>（二）投诉</w:t>
      </w:r>
    </w:p>
    <w:p>
      <w:pPr>
        <w:spacing w:line="360" w:lineRule="auto"/>
        <w:ind w:firstLine="570"/>
        <w:rPr>
          <w:rFonts w:ascii="宋体"/>
          <w:sz w:val="24"/>
          <w:szCs w:val="24"/>
        </w:rPr>
      </w:pPr>
      <w:r>
        <w:rPr>
          <w:rFonts w:ascii="宋体"/>
          <w:sz w:val="24"/>
          <w:szCs w:val="24"/>
        </w:rPr>
        <w:t>1.</w:t>
      </w:r>
      <w:r>
        <w:rPr>
          <w:rFonts w:hint="eastAsia" w:ascii="宋体"/>
          <w:sz w:val="24"/>
          <w:szCs w:val="24"/>
        </w:rPr>
        <w:t>供应商对采购人、采购代理机构的答复不满意，或者采购人、采购代理机构未在规定时间内作出答复的，可以在答复期满后</w:t>
      </w:r>
      <w:r>
        <w:rPr>
          <w:rFonts w:ascii="宋体"/>
          <w:sz w:val="24"/>
          <w:szCs w:val="24"/>
        </w:rPr>
        <w:t>15</w:t>
      </w:r>
      <w:r>
        <w:rPr>
          <w:rFonts w:hint="eastAsia" w:ascii="宋体"/>
          <w:sz w:val="24"/>
          <w:szCs w:val="24"/>
        </w:rPr>
        <w:t>个工作日内按照相关法律法规向主管部门提起投诉。</w:t>
      </w:r>
    </w:p>
    <w:p>
      <w:pPr>
        <w:spacing w:line="360" w:lineRule="auto"/>
        <w:ind w:firstLine="570"/>
        <w:rPr>
          <w:rFonts w:ascii="宋体"/>
          <w:sz w:val="24"/>
          <w:szCs w:val="24"/>
        </w:rPr>
      </w:pPr>
      <w:r>
        <w:rPr>
          <w:rFonts w:ascii="宋体"/>
          <w:sz w:val="24"/>
          <w:szCs w:val="24"/>
        </w:rPr>
        <w:t>2.</w:t>
      </w:r>
      <w:r>
        <w:rPr>
          <w:rFonts w:hint="eastAsia" w:ascii="宋体"/>
          <w:sz w:val="24"/>
          <w:szCs w:val="24"/>
        </w:rPr>
        <w:t>供应商应按照《政府采购质疑和投诉办法》（财政部令第</w:t>
      </w:r>
      <w:r>
        <w:rPr>
          <w:rFonts w:ascii="宋体"/>
          <w:sz w:val="24"/>
          <w:szCs w:val="24"/>
        </w:rPr>
        <w:t>94</w:t>
      </w:r>
      <w:r>
        <w:rPr>
          <w:rFonts w:hint="eastAsia" w:ascii="宋体"/>
          <w:sz w:val="24"/>
          <w:szCs w:val="24"/>
        </w:rPr>
        <w:t>号）及相关法律法规要求递交投诉书和必要的证明材料。投诉书范本可在财政部门户网站和中国政府采购网下载。</w:t>
      </w:r>
    </w:p>
    <w:p>
      <w:pPr>
        <w:spacing w:line="360" w:lineRule="auto"/>
        <w:ind w:firstLine="570"/>
        <w:rPr>
          <w:rFonts w:ascii="宋体"/>
          <w:sz w:val="24"/>
          <w:szCs w:val="24"/>
        </w:rPr>
      </w:pPr>
      <w:r>
        <w:rPr>
          <w:rFonts w:ascii="宋体"/>
          <w:sz w:val="24"/>
          <w:szCs w:val="24"/>
        </w:rPr>
        <w:t>3.</w:t>
      </w:r>
      <w:r>
        <w:rPr>
          <w:rFonts w:hint="eastAsia" w:ascii="宋体"/>
          <w:sz w:val="24"/>
          <w:szCs w:val="24"/>
        </w:rPr>
        <w:t>投诉书应当使用中文，相关当事人提供外文书证或者外国语视听资料的，应当附有中文译本，由翻译机构盖章或者翻译人员签名；相关当事人向主管部门提供的在中华人民共和国领域外形成的证据，应当说明来源，经所在国公证机关证明，并经中华人民共和国驻该国使领馆认证，或者履行中华人民共和国与证据所在国订立的有关条约中规定的证明手续；相关当事人提供的在香港特别行政区、澳门特别行政区和台湾地区内形成的证据，应当履行相关的证明手续。</w:t>
      </w:r>
    </w:p>
    <w:p>
      <w:pPr>
        <w:pStyle w:val="6"/>
        <w:spacing w:before="0" w:after="0" w:line="360" w:lineRule="auto"/>
        <w:ind w:firstLine="482" w:firstLineChars="200"/>
        <w:rPr>
          <w:rFonts w:ascii="宋体"/>
          <w:sz w:val="24"/>
          <w:szCs w:val="24"/>
        </w:rPr>
      </w:pPr>
      <w:bookmarkStart w:id="127" w:name="_Toc137459411"/>
      <w:r>
        <w:rPr>
          <w:rFonts w:hint="eastAsia" w:ascii="宋体"/>
          <w:sz w:val="24"/>
          <w:szCs w:val="24"/>
        </w:rPr>
        <w:t>七、采购代理服务费</w:t>
      </w:r>
      <w:bookmarkEnd w:id="127"/>
    </w:p>
    <w:p>
      <w:pPr>
        <w:spacing w:line="360" w:lineRule="auto"/>
        <w:ind w:firstLine="480" w:firstLineChars="200"/>
        <w:rPr>
          <w:rFonts w:ascii="宋体"/>
          <w:sz w:val="24"/>
        </w:rPr>
      </w:pPr>
      <w:r>
        <w:rPr>
          <w:rFonts w:hint="eastAsia" w:ascii="宋体"/>
          <w:sz w:val="24"/>
        </w:rPr>
        <w:t>（一）招标代理服务费标准</w:t>
      </w:r>
    </w:p>
    <w:p>
      <w:pPr>
        <w:spacing w:line="360" w:lineRule="auto"/>
        <w:ind w:firstLine="480" w:firstLineChars="200"/>
        <w:rPr>
          <w:rFonts w:ascii="宋体"/>
          <w:sz w:val="24"/>
        </w:rPr>
      </w:pPr>
      <w:r>
        <w:rPr>
          <w:rFonts w:hint="eastAsia" w:ascii="宋体"/>
          <w:sz w:val="24"/>
        </w:rPr>
        <w:t>供应商中标后向采购代理机构缴纳招标代理服务费，招标代理服务费的收取标准按照以下标准执行:</w:t>
      </w:r>
    </w:p>
    <w:tbl>
      <w:tblPr>
        <w:tblStyle w:val="68"/>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0"/>
        <w:gridCol w:w="2273"/>
        <w:gridCol w:w="2273"/>
        <w:gridCol w:w="2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trPr>
        <w:tc>
          <w:tcPr>
            <w:tcW w:w="2810" w:type="dxa"/>
            <w:tcBorders>
              <w:tl2br w:val="single" w:color="auto" w:sz="4" w:space="0"/>
            </w:tcBorders>
          </w:tcPr>
          <w:p>
            <w:pPr>
              <w:spacing w:line="240" w:lineRule="atLeast"/>
              <w:jc w:val="right"/>
              <w:rPr>
                <w:rFonts w:ascii="宋体"/>
                <w:sz w:val="21"/>
                <w:szCs w:val="21"/>
              </w:rPr>
            </w:pPr>
            <w:r>
              <w:rPr>
                <w:rFonts w:ascii="宋体"/>
                <w:sz w:val="21"/>
                <w:szCs w:val="21"/>
              </w:rPr>
              <mc:AlternateContent>
                <mc:Choice Requires="wps">
                  <w:drawing>
                    <wp:anchor distT="0" distB="0" distL="114300" distR="114300" simplePos="0" relativeHeight="251659264" behindDoc="0" locked="0" layoutInCell="0" allowOverlap="1">
                      <wp:simplePos x="0" y="0"/>
                      <wp:positionH relativeFrom="column">
                        <wp:posOffset>-114300</wp:posOffset>
                      </wp:positionH>
                      <wp:positionV relativeFrom="paragraph">
                        <wp:posOffset>-6350</wp:posOffset>
                      </wp:positionV>
                      <wp:extent cx="635" cy="635"/>
                      <wp:effectExtent l="0" t="0" r="18415" b="18415"/>
                      <wp:wrapNone/>
                      <wp:docPr id="7" name="直线 2"/>
                      <wp:cNvGraphicFramePr/>
                      <a:graphic xmlns:a="http://schemas.openxmlformats.org/drawingml/2006/main">
                        <a:graphicData uri="http://schemas.microsoft.com/office/word/2010/wordprocessingShape">
                          <wps:wsp>
                            <wps:cNvCnPr/>
                            <wps:spPr>
                              <a:xfrm>
                                <a:off x="0" y="0"/>
                                <a:ext cx="635" cy="635"/>
                              </a:xfrm>
                              <a:prstGeom prst="line">
                                <a:avLst/>
                              </a:prstGeom>
                              <a:noFill/>
                              <a:ln w="9525" cap="flat" cmpd="sng">
                                <a:solidFill>
                                  <a:srgbClr val="000000"/>
                                </a:solidFill>
                                <a:prstDash val="solid"/>
                                <a:round/>
                              </a:ln>
                            </wps:spPr>
                            <wps:bodyPr/>
                          </wps:wsp>
                        </a:graphicData>
                      </a:graphic>
                    </wp:anchor>
                  </w:drawing>
                </mc:Choice>
                <mc:Fallback>
                  <w:pict>
                    <v:line id="直线 2" o:spid="_x0000_s1026" o:spt="20" style="position:absolute;left:0pt;margin-left:-9pt;margin-top:-0.5pt;height:0.05pt;width:0.05pt;z-index:251659264;mso-width-relative:page;mso-height-relative:page;" filled="f" stroked="t" coordsize="21600,21600" o:allowincell="f" o:gfxdata="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fPvmD1gAAAAgB&#10;AAAPAAAAAAAAAAEAIAAAACIAAABkcnMvZG93bnJldi54bWxQSwECFAAUAAAACACHTuJAugRBPqsB&#10;AABAAwAADgAAAAAAAAABACAAAAAlAQAAZHJzL2Uyb0RvYy54bWxQSwUGAAAAAAYABgBZAQAAQgUA&#10;AAAA&#10;">
                      <v:fill on="f" focussize="0,0"/>
                      <v:stroke color="#000000" joinstyle="round"/>
                      <v:imagedata o:title=""/>
                      <o:lock v:ext="edit" aspectratio="f"/>
                    </v:line>
                  </w:pict>
                </mc:Fallback>
              </mc:AlternateContent>
            </w:r>
            <w:r>
              <w:rPr>
                <w:rFonts w:hint="eastAsia" w:ascii="宋体"/>
                <w:sz w:val="21"/>
                <w:szCs w:val="21"/>
              </w:rPr>
              <w:t>招标类型</w:t>
            </w:r>
          </w:p>
          <w:p>
            <w:pPr>
              <w:spacing w:line="240" w:lineRule="atLeast"/>
              <w:rPr>
                <w:rFonts w:ascii="宋体"/>
                <w:sz w:val="21"/>
                <w:szCs w:val="21"/>
              </w:rPr>
            </w:pPr>
            <w:r>
              <w:rPr>
                <w:rFonts w:hint="eastAsia" w:ascii="宋体"/>
                <w:sz w:val="21"/>
                <w:szCs w:val="21"/>
              </w:rPr>
              <w:t>中标金额（万元）</w:t>
            </w:r>
          </w:p>
        </w:tc>
        <w:tc>
          <w:tcPr>
            <w:tcW w:w="2273" w:type="dxa"/>
            <w:vAlign w:val="center"/>
          </w:tcPr>
          <w:p>
            <w:pPr>
              <w:spacing w:line="240" w:lineRule="atLeast"/>
              <w:jc w:val="center"/>
              <w:rPr>
                <w:rFonts w:ascii="宋体"/>
                <w:sz w:val="21"/>
                <w:szCs w:val="21"/>
              </w:rPr>
            </w:pPr>
            <w:r>
              <w:rPr>
                <w:rFonts w:hint="eastAsia" w:ascii="宋体"/>
                <w:sz w:val="21"/>
                <w:szCs w:val="21"/>
              </w:rPr>
              <w:t>货物招标</w:t>
            </w:r>
          </w:p>
        </w:tc>
        <w:tc>
          <w:tcPr>
            <w:tcW w:w="2273" w:type="dxa"/>
            <w:vAlign w:val="center"/>
          </w:tcPr>
          <w:p>
            <w:pPr>
              <w:spacing w:line="240" w:lineRule="atLeast"/>
              <w:jc w:val="center"/>
              <w:rPr>
                <w:rFonts w:ascii="宋体"/>
                <w:sz w:val="21"/>
                <w:szCs w:val="21"/>
              </w:rPr>
            </w:pPr>
            <w:r>
              <w:rPr>
                <w:rFonts w:hint="eastAsia" w:ascii="宋体"/>
                <w:sz w:val="21"/>
                <w:szCs w:val="21"/>
              </w:rPr>
              <w:t>服务招标</w:t>
            </w:r>
          </w:p>
        </w:tc>
        <w:tc>
          <w:tcPr>
            <w:tcW w:w="2272" w:type="dxa"/>
            <w:vAlign w:val="center"/>
          </w:tcPr>
          <w:p>
            <w:pPr>
              <w:pStyle w:val="194"/>
              <w:widowControl w:val="0"/>
              <w:pBdr>
                <w:left w:val="none" w:color="auto" w:sz="0" w:space="0"/>
                <w:right w:val="none" w:color="auto" w:sz="0" w:space="0"/>
              </w:pBdr>
              <w:spacing w:before="0" w:beforeAutospacing="0" w:after="0" w:afterAutospacing="0" w:line="240" w:lineRule="atLeast"/>
              <w:rPr>
                <w:kern w:val="2"/>
                <w:sz w:val="21"/>
                <w:szCs w:val="21"/>
              </w:rPr>
            </w:pPr>
            <w:r>
              <w:rPr>
                <w:rFonts w:hint="eastAsia"/>
                <w:kern w:val="2"/>
                <w:sz w:val="21"/>
                <w:szCs w:val="21"/>
              </w:rPr>
              <w:t>工程招标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810" w:type="dxa"/>
            <w:vAlign w:val="center"/>
          </w:tcPr>
          <w:p>
            <w:pPr>
              <w:spacing w:line="240" w:lineRule="atLeast"/>
              <w:jc w:val="center"/>
              <w:rPr>
                <w:rFonts w:ascii="宋体"/>
                <w:sz w:val="21"/>
                <w:szCs w:val="21"/>
              </w:rPr>
            </w:pPr>
            <w:r>
              <w:rPr>
                <w:rFonts w:hint="eastAsia" w:ascii="宋体"/>
                <w:sz w:val="21"/>
                <w:szCs w:val="21"/>
              </w:rPr>
              <w:t>100（含）以下</w:t>
            </w:r>
          </w:p>
        </w:tc>
        <w:tc>
          <w:tcPr>
            <w:tcW w:w="2273" w:type="dxa"/>
            <w:vAlign w:val="center"/>
          </w:tcPr>
          <w:p>
            <w:pPr>
              <w:spacing w:line="240" w:lineRule="atLeast"/>
              <w:jc w:val="center"/>
              <w:rPr>
                <w:rFonts w:ascii="宋体"/>
                <w:sz w:val="21"/>
                <w:szCs w:val="21"/>
              </w:rPr>
            </w:pPr>
            <w:r>
              <w:rPr>
                <w:rFonts w:hint="eastAsia" w:ascii="宋体"/>
                <w:sz w:val="21"/>
                <w:szCs w:val="21"/>
              </w:rPr>
              <w:t>1.5%</w:t>
            </w:r>
          </w:p>
        </w:tc>
        <w:tc>
          <w:tcPr>
            <w:tcW w:w="2273" w:type="dxa"/>
            <w:vAlign w:val="center"/>
          </w:tcPr>
          <w:p>
            <w:pPr>
              <w:spacing w:line="240" w:lineRule="atLeast"/>
              <w:jc w:val="center"/>
              <w:rPr>
                <w:rFonts w:ascii="宋体"/>
                <w:sz w:val="21"/>
                <w:szCs w:val="21"/>
              </w:rPr>
            </w:pPr>
            <w:r>
              <w:rPr>
                <w:rFonts w:hint="eastAsia" w:ascii="宋体"/>
                <w:sz w:val="21"/>
                <w:szCs w:val="21"/>
              </w:rPr>
              <w:t>1.5%</w:t>
            </w:r>
          </w:p>
        </w:tc>
        <w:tc>
          <w:tcPr>
            <w:tcW w:w="2272" w:type="dxa"/>
            <w:vAlign w:val="center"/>
          </w:tcPr>
          <w:p>
            <w:pPr>
              <w:spacing w:line="240" w:lineRule="atLeast"/>
              <w:jc w:val="center"/>
              <w:rPr>
                <w:rFonts w:ascii="宋体"/>
                <w:sz w:val="21"/>
                <w:szCs w:val="21"/>
              </w:rPr>
            </w:pPr>
            <w:r>
              <w:rPr>
                <w:rFonts w:hint="eastAsia" w:ascii="宋体"/>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810" w:type="dxa"/>
            <w:vAlign w:val="center"/>
          </w:tcPr>
          <w:p>
            <w:pPr>
              <w:spacing w:line="240" w:lineRule="atLeast"/>
              <w:jc w:val="center"/>
              <w:rPr>
                <w:rFonts w:ascii="宋体"/>
                <w:sz w:val="21"/>
                <w:szCs w:val="21"/>
              </w:rPr>
            </w:pPr>
            <w:r>
              <w:rPr>
                <w:rFonts w:hint="eastAsia" w:ascii="宋体"/>
                <w:sz w:val="21"/>
                <w:szCs w:val="21"/>
              </w:rPr>
              <w:t>100以上-500</w:t>
            </w:r>
          </w:p>
        </w:tc>
        <w:tc>
          <w:tcPr>
            <w:tcW w:w="2273" w:type="dxa"/>
            <w:vAlign w:val="center"/>
          </w:tcPr>
          <w:p>
            <w:pPr>
              <w:spacing w:line="240" w:lineRule="atLeast"/>
              <w:jc w:val="center"/>
              <w:rPr>
                <w:rFonts w:ascii="宋体"/>
                <w:sz w:val="21"/>
                <w:szCs w:val="21"/>
              </w:rPr>
            </w:pPr>
            <w:r>
              <w:rPr>
                <w:rFonts w:hint="eastAsia" w:ascii="宋体"/>
                <w:sz w:val="21"/>
                <w:szCs w:val="21"/>
              </w:rPr>
              <w:t>1.1%</w:t>
            </w:r>
          </w:p>
        </w:tc>
        <w:tc>
          <w:tcPr>
            <w:tcW w:w="2273" w:type="dxa"/>
            <w:vAlign w:val="center"/>
          </w:tcPr>
          <w:p>
            <w:pPr>
              <w:spacing w:line="240" w:lineRule="atLeast"/>
              <w:jc w:val="center"/>
              <w:rPr>
                <w:rFonts w:ascii="宋体"/>
                <w:sz w:val="21"/>
                <w:szCs w:val="21"/>
              </w:rPr>
            </w:pPr>
            <w:r>
              <w:rPr>
                <w:rFonts w:hint="eastAsia" w:ascii="宋体"/>
                <w:sz w:val="21"/>
                <w:szCs w:val="21"/>
              </w:rPr>
              <w:t>0.8%</w:t>
            </w:r>
          </w:p>
        </w:tc>
        <w:tc>
          <w:tcPr>
            <w:tcW w:w="2272" w:type="dxa"/>
            <w:vAlign w:val="center"/>
          </w:tcPr>
          <w:p>
            <w:pPr>
              <w:spacing w:line="240" w:lineRule="atLeast"/>
              <w:jc w:val="center"/>
              <w:rPr>
                <w:rFonts w:ascii="宋体"/>
                <w:sz w:val="21"/>
                <w:szCs w:val="21"/>
              </w:rPr>
            </w:pPr>
            <w:r>
              <w:rPr>
                <w:rFonts w:hint="eastAsia" w:ascii="宋体"/>
                <w:sz w:val="21"/>
                <w:szCs w:val="21"/>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810" w:type="dxa"/>
            <w:vAlign w:val="center"/>
          </w:tcPr>
          <w:p>
            <w:pPr>
              <w:spacing w:line="240" w:lineRule="atLeast"/>
              <w:jc w:val="center"/>
              <w:rPr>
                <w:rFonts w:ascii="宋体"/>
                <w:sz w:val="21"/>
                <w:szCs w:val="21"/>
              </w:rPr>
            </w:pPr>
            <w:r>
              <w:rPr>
                <w:rFonts w:hint="eastAsia" w:ascii="宋体"/>
                <w:sz w:val="21"/>
                <w:szCs w:val="21"/>
              </w:rPr>
              <w:t>500以上-1000</w:t>
            </w:r>
          </w:p>
        </w:tc>
        <w:tc>
          <w:tcPr>
            <w:tcW w:w="2273" w:type="dxa"/>
            <w:vAlign w:val="center"/>
          </w:tcPr>
          <w:p>
            <w:pPr>
              <w:spacing w:line="240" w:lineRule="atLeast"/>
              <w:jc w:val="center"/>
              <w:rPr>
                <w:rFonts w:ascii="宋体"/>
                <w:sz w:val="21"/>
                <w:szCs w:val="21"/>
              </w:rPr>
            </w:pPr>
            <w:r>
              <w:rPr>
                <w:rFonts w:hint="eastAsia" w:ascii="宋体"/>
                <w:sz w:val="21"/>
                <w:szCs w:val="21"/>
              </w:rPr>
              <w:t>0.8%</w:t>
            </w:r>
          </w:p>
        </w:tc>
        <w:tc>
          <w:tcPr>
            <w:tcW w:w="2273" w:type="dxa"/>
            <w:vAlign w:val="center"/>
          </w:tcPr>
          <w:p>
            <w:pPr>
              <w:spacing w:line="240" w:lineRule="atLeast"/>
              <w:jc w:val="center"/>
              <w:rPr>
                <w:rFonts w:ascii="宋体"/>
                <w:sz w:val="21"/>
                <w:szCs w:val="21"/>
              </w:rPr>
            </w:pPr>
            <w:r>
              <w:rPr>
                <w:rFonts w:hint="eastAsia" w:ascii="宋体"/>
                <w:sz w:val="21"/>
                <w:szCs w:val="21"/>
              </w:rPr>
              <w:t>0.45%</w:t>
            </w:r>
          </w:p>
        </w:tc>
        <w:tc>
          <w:tcPr>
            <w:tcW w:w="2272" w:type="dxa"/>
            <w:vAlign w:val="center"/>
          </w:tcPr>
          <w:p>
            <w:pPr>
              <w:spacing w:line="240" w:lineRule="atLeast"/>
              <w:jc w:val="center"/>
              <w:rPr>
                <w:rFonts w:ascii="宋体"/>
                <w:sz w:val="21"/>
                <w:szCs w:val="21"/>
              </w:rPr>
            </w:pPr>
            <w:r>
              <w:rPr>
                <w:rFonts w:hint="eastAsia" w:ascii="宋体"/>
                <w:sz w:val="21"/>
                <w:szCs w:val="21"/>
              </w:rPr>
              <w:t>0.55%</w:t>
            </w:r>
          </w:p>
        </w:tc>
      </w:tr>
    </w:tbl>
    <w:p>
      <w:pPr>
        <w:snapToGrid w:val="0"/>
        <w:spacing w:line="360" w:lineRule="auto"/>
        <w:ind w:firstLine="480" w:firstLineChars="200"/>
        <w:rPr>
          <w:rFonts w:ascii="宋体"/>
          <w:sz w:val="24"/>
        </w:rPr>
      </w:pPr>
      <w:r>
        <w:rPr>
          <w:rFonts w:hint="eastAsia" w:ascii="宋体"/>
          <w:sz w:val="24"/>
        </w:rPr>
        <w:t>注：采购代理服务收费按差额定率累进法计算。采购代理服务费按上表计算出不足3500元的，按3500元记取。</w:t>
      </w:r>
    </w:p>
    <w:p>
      <w:pPr>
        <w:snapToGrid w:val="0"/>
        <w:spacing w:line="360" w:lineRule="auto"/>
        <w:ind w:firstLine="480" w:firstLineChars="200"/>
        <w:rPr>
          <w:rFonts w:ascii="宋体"/>
          <w:sz w:val="24"/>
          <w:szCs w:val="24"/>
        </w:rPr>
      </w:pPr>
      <w:r>
        <w:rPr>
          <w:rFonts w:hint="eastAsia" w:ascii="宋体"/>
          <w:sz w:val="24"/>
          <w:szCs w:val="24"/>
        </w:rPr>
        <w:t>（二）采购代理服务费缴纳账户信息：</w:t>
      </w:r>
    </w:p>
    <w:p>
      <w:pPr>
        <w:snapToGrid w:val="0"/>
        <w:spacing w:line="360" w:lineRule="auto"/>
        <w:ind w:firstLine="482" w:firstLineChars="200"/>
        <w:rPr>
          <w:rFonts w:ascii="宋体"/>
          <w:b/>
          <w:sz w:val="24"/>
          <w:szCs w:val="24"/>
        </w:rPr>
      </w:pPr>
      <w:r>
        <w:rPr>
          <w:rFonts w:hint="eastAsia" w:ascii="宋体"/>
          <w:b/>
          <w:sz w:val="24"/>
          <w:szCs w:val="24"/>
        </w:rPr>
        <w:t>户  名：重庆市中基致信招标代理有限公司</w:t>
      </w:r>
    </w:p>
    <w:p>
      <w:pPr>
        <w:snapToGrid w:val="0"/>
        <w:spacing w:line="360" w:lineRule="auto"/>
        <w:ind w:firstLine="482" w:firstLineChars="200"/>
        <w:rPr>
          <w:rFonts w:ascii="宋体"/>
          <w:b/>
          <w:sz w:val="24"/>
          <w:szCs w:val="24"/>
        </w:rPr>
      </w:pPr>
      <w:r>
        <w:rPr>
          <w:rFonts w:hint="eastAsia" w:ascii="宋体"/>
          <w:b/>
          <w:sz w:val="24"/>
          <w:szCs w:val="24"/>
        </w:rPr>
        <w:t>开户行：中国银行重庆江北支行</w:t>
      </w:r>
    </w:p>
    <w:p>
      <w:pPr>
        <w:snapToGrid w:val="0"/>
        <w:spacing w:line="360" w:lineRule="auto"/>
        <w:ind w:firstLine="482" w:firstLineChars="200"/>
        <w:rPr>
          <w:rFonts w:ascii="宋体"/>
          <w:b/>
          <w:sz w:val="24"/>
          <w:szCs w:val="24"/>
        </w:rPr>
      </w:pPr>
      <w:r>
        <w:rPr>
          <w:rFonts w:hint="eastAsia" w:ascii="宋体"/>
          <w:b/>
          <w:sz w:val="24"/>
          <w:szCs w:val="24"/>
        </w:rPr>
        <w:t>账  号：1144 6718 4234</w:t>
      </w:r>
    </w:p>
    <w:p>
      <w:pPr>
        <w:pStyle w:val="6"/>
        <w:spacing w:before="0" w:after="0" w:line="360" w:lineRule="auto"/>
        <w:ind w:firstLine="482" w:firstLineChars="200"/>
        <w:rPr>
          <w:rFonts w:ascii="宋体"/>
          <w:sz w:val="24"/>
          <w:szCs w:val="24"/>
        </w:rPr>
      </w:pPr>
      <w:bookmarkStart w:id="128" w:name="_Toc102227322"/>
      <w:bookmarkStart w:id="129" w:name="_Toc342913396"/>
      <w:bookmarkStart w:id="130" w:name="_Toc137459412"/>
      <w:bookmarkStart w:id="131" w:name="_Toc11641055"/>
      <w:bookmarkStart w:id="132" w:name="_Toc12789059"/>
      <w:r>
        <w:rPr>
          <w:rFonts w:hint="eastAsia" w:ascii="宋体"/>
          <w:sz w:val="24"/>
          <w:szCs w:val="24"/>
        </w:rPr>
        <w:t>八、签订</w:t>
      </w:r>
      <w:bookmarkEnd w:id="128"/>
      <w:r>
        <w:rPr>
          <w:rFonts w:hint="eastAsia" w:ascii="宋体"/>
          <w:sz w:val="24"/>
          <w:szCs w:val="24"/>
        </w:rPr>
        <w:t>合同</w:t>
      </w:r>
      <w:bookmarkEnd w:id="129"/>
      <w:bookmarkEnd w:id="130"/>
    </w:p>
    <w:p>
      <w:pPr>
        <w:spacing w:line="360" w:lineRule="auto"/>
        <w:ind w:firstLine="480" w:firstLineChars="200"/>
        <w:rPr>
          <w:rFonts w:ascii="宋体"/>
          <w:sz w:val="24"/>
          <w:szCs w:val="24"/>
        </w:rPr>
      </w:pPr>
      <w:r>
        <w:rPr>
          <w:rFonts w:hint="eastAsia" w:ascii="宋体"/>
          <w:sz w:val="24"/>
          <w:szCs w:val="24"/>
        </w:rPr>
        <w:t>（一）采购人与成交供应商应当在成交通知书发出之日起20日内，按照磋商文件确定的合同文本以及技术和服务要求等事项签订政府采购合同。</w:t>
      </w:r>
    </w:p>
    <w:p>
      <w:pPr>
        <w:spacing w:line="360" w:lineRule="auto"/>
        <w:ind w:firstLine="480" w:firstLineChars="200"/>
        <w:rPr>
          <w:rFonts w:ascii="宋体"/>
          <w:sz w:val="24"/>
          <w:szCs w:val="24"/>
        </w:rPr>
      </w:pPr>
      <w:r>
        <w:rPr>
          <w:rFonts w:hint="eastAsia" w:ascii="宋体"/>
          <w:sz w:val="24"/>
          <w:szCs w:val="24"/>
        </w:rPr>
        <w:t>（二）竞争性磋商文件、成交供应商的响应文件及有效承诺文件等，均为签订合同的依据。</w:t>
      </w:r>
    </w:p>
    <w:p>
      <w:pPr>
        <w:spacing w:line="360" w:lineRule="auto"/>
        <w:ind w:firstLine="480" w:firstLineChars="200"/>
        <w:rPr>
          <w:rFonts w:ascii="宋体"/>
          <w:sz w:val="24"/>
          <w:szCs w:val="24"/>
        </w:rPr>
      </w:pPr>
      <w:r>
        <w:rPr>
          <w:rFonts w:hint="eastAsia" w:ascii="宋体"/>
          <w:sz w:val="24"/>
          <w:szCs w:val="24"/>
        </w:rPr>
        <w:t>（三）如成交供应商放弃成交项目或在签订合同时擅自改变成交状态的，采购人将按照相关法律法规处理。</w:t>
      </w:r>
    </w:p>
    <w:p>
      <w:pPr>
        <w:spacing w:line="360" w:lineRule="auto"/>
        <w:ind w:firstLine="480" w:firstLineChars="200"/>
        <w:rPr>
          <w:rFonts w:ascii="宋体"/>
          <w:sz w:val="24"/>
          <w:szCs w:val="24"/>
        </w:rPr>
      </w:pPr>
      <w:r>
        <w:rPr>
          <w:rFonts w:hint="eastAsia" w:ascii="宋体"/>
          <w:sz w:val="24"/>
          <w:szCs w:val="24"/>
        </w:rPr>
        <w:t>（四）采购人不得向成交供应商提出超出竞争性磋商文件以外的任何要求作为签订合同的条件，不得与成交供应商订立背离竞争性磋商确定的合同文本以及采购标的、规格型号、采购金额、采购数量、技术和服务要求等实质性内容的协议。</w:t>
      </w:r>
    </w:p>
    <w:p>
      <w:pPr>
        <w:spacing w:line="360" w:lineRule="auto"/>
        <w:ind w:firstLine="480" w:firstLineChars="200"/>
      </w:pPr>
      <w:r>
        <w:rPr>
          <w:rFonts w:hint="eastAsia" w:ascii="宋体"/>
          <w:sz w:val="24"/>
          <w:szCs w:val="24"/>
        </w:rPr>
        <w:t>（五）除不可抗力等因素外，成交通知书发出后，采购人改变成交结果，或者成交供应商拒绝签订政府采购合同的，应当承担相应的法律责任。</w:t>
      </w:r>
    </w:p>
    <w:p>
      <w:pPr>
        <w:pStyle w:val="5"/>
        <w:pageBreakBefore/>
        <w:spacing w:line="360" w:lineRule="auto"/>
        <w:jc w:val="center"/>
        <w:rPr>
          <w:rFonts w:ascii="宋体" w:eastAsia="宋体"/>
          <w:sz w:val="36"/>
          <w:szCs w:val="30"/>
        </w:rPr>
      </w:pPr>
      <w:bookmarkStart w:id="133" w:name="_Toc137459413"/>
      <w:r>
        <w:rPr>
          <w:rFonts w:hint="eastAsia" w:ascii="宋体" w:eastAsia="宋体"/>
          <w:sz w:val="36"/>
          <w:szCs w:val="30"/>
        </w:rPr>
        <w:t xml:space="preserve">第六篇  </w:t>
      </w:r>
      <w:bookmarkEnd w:id="131"/>
      <w:bookmarkEnd w:id="132"/>
      <w:r>
        <w:rPr>
          <w:rFonts w:hint="eastAsia" w:ascii="宋体" w:eastAsia="宋体"/>
          <w:sz w:val="36"/>
          <w:szCs w:val="30"/>
        </w:rPr>
        <w:t>合同草案条款</w:t>
      </w:r>
      <w:bookmarkEnd w:id="133"/>
    </w:p>
    <w:p>
      <w:pPr>
        <w:pStyle w:val="6"/>
        <w:spacing w:before="0" w:after="0" w:line="360" w:lineRule="auto"/>
        <w:ind w:firstLine="482" w:firstLineChars="200"/>
        <w:rPr>
          <w:rFonts w:ascii="宋体"/>
          <w:sz w:val="24"/>
          <w:szCs w:val="24"/>
        </w:rPr>
      </w:pPr>
      <w:bookmarkStart w:id="134" w:name="_Hlt41879464"/>
      <w:bookmarkEnd w:id="134"/>
      <w:bookmarkStart w:id="135" w:name="_Toc78194465"/>
      <w:bookmarkStart w:id="136" w:name="_Toc277084870"/>
      <w:bookmarkStart w:id="137" w:name="_Toc508007737"/>
      <w:bookmarkStart w:id="138" w:name="_Toc137459414"/>
      <w:bookmarkStart w:id="139" w:name="_Toc285722712"/>
      <w:bookmarkStart w:id="140" w:name="_Toc12789072"/>
      <w:r>
        <w:rPr>
          <w:rFonts w:hint="eastAsia" w:ascii="宋体"/>
          <w:sz w:val="24"/>
          <w:szCs w:val="24"/>
        </w:rPr>
        <w:t>一、合同主要条款</w:t>
      </w:r>
      <w:bookmarkEnd w:id="135"/>
      <w:bookmarkEnd w:id="136"/>
      <w:bookmarkEnd w:id="137"/>
      <w:bookmarkEnd w:id="138"/>
      <w:bookmarkEnd w:id="139"/>
    </w:p>
    <w:p>
      <w:pPr>
        <w:snapToGrid w:val="0"/>
        <w:spacing w:line="360" w:lineRule="auto"/>
        <w:ind w:firstLine="480" w:firstLineChars="200"/>
        <w:outlineLvl w:val="0"/>
        <w:rPr>
          <w:rFonts w:ascii="宋体"/>
          <w:bCs/>
          <w:sz w:val="24"/>
        </w:rPr>
      </w:pPr>
      <w:r>
        <w:rPr>
          <w:rFonts w:hint="eastAsia" w:ascii="宋体"/>
          <w:bCs/>
          <w:sz w:val="24"/>
        </w:rPr>
        <w:t>（一）定义</w:t>
      </w:r>
    </w:p>
    <w:p>
      <w:pPr>
        <w:snapToGrid w:val="0"/>
        <w:spacing w:line="360" w:lineRule="auto"/>
        <w:ind w:firstLine="480" w:firstLineChars="200"/>
        <w:outlineLvl w:val="0"/>
        <w:rPr>
          <w:rFonts w:ascii="宋体"/>
          <w:bCs/>
          <w:sz w:val="24"/>
        </w:rPr>
      </w:pPr>
      <w:r>
        <w:rPr>
          <w:rFonts w:hint="eastAsia" w:ascii="宋体"/>
          <w:bCs/>
          <w:sz w:val="24"/>
        </w:rPr>
        <w:t>1.甲方（需方）即采购人，是指通过招标采购，接受服务的各级国家机关、事业单位和团体组织。</w:t>
      </w:r>
    </w:p>
    <w:p>
      <w:pPr>
        <w:snapToGrid w:val="0"/>
        <w:spacing w:line="360" w:lineRule="auto"/>
        <w:ind w:firstLine="480" w:firstLineChars="200"/>
        <w:outlineLvl w:val="0"/>
        <w:rPr>
          <w:rFonts w:ascii="宋体"/>
          <w:bCs/>
          <w:sz w:val="24"/>
        </w:rPr>
      </w:pPr>
      <w:r>
        <w:rPr>
          <w:rFonts w:hint="eastAsia" w:ascii="宋体"/>
          <w:bCs/>
          <w:sz w:val="24"/>
        </w:rPr>
        <w:t>2.乙方（供方）即成交供应商，是指中标后提供服务的自然人、法人及其他组织。</w:t>
      </w:r>
    </w:p>
    <w:p>
      <w:pPr>
        <w:snapToGrid w:val="0"/>
        <w:spacing w:line="360" w:lineRule="auto"/>
        <w:ind w:firstLine="480" w:firstLineChars="200"/>
        <w:outlineLvl w:val="0"/>
        <w:rPr>
          <w:rFonts w:ascii="宋体"/>
          <w:bCs/>
          <w:sz w:val="24"/>
        </w:rPr>
      </w:pPr>
      <w:r>
        <w:rPr>
          <w:rFonts w:hint="eastAsia" w:ascii="宋体"/>
          <w:bCs/>
          <w:sz w:val="24"/>
        </w:rPr>
        <w:t>3.合同是指由甲乙双方按照采购文件和响应文件的实质性内容，通过协商一致达成的书面协议。</w:t>
      </w:r>
    </w:p>
    <w:p>
      <w:pPr>
        <w:snapToGrid w:val="0"/>
        <w:spacing w:line="360" w:lineRule="auto"/>
        <w:ind w:firstLine="480" w:firstLineChars="200"/>
        <w:outlineLvl w:val="0"/>
        <w:rPr>
          <w:rFonts w:ascii="宋体"/>
          <w:bCs/>
          <w:sz w:val="24"/>
        </w:rPr>
      </w:pPr>
      <w:r>
        <w:rPr>
          <w:rFonts w:hint="eastAsia" w:ascii="宋体"/>
          <w:bCs/>
          <w:sz w:val="24"/>
        </w:rPr>
        <w:t>4.合同价格指以中标价格为依据，在供方全面履行合同义务后，需方应支付给供方的金额。</w:t>
      </w:r>
    </w:p>
    <w:p>
      <w:pPr>
        <w:snapToGrid w:val="0"/>
        <w:spacing w:line="360" w:lineRule="auto"/>
        <w:ind w:firstLine="480" w:firstLineChars="200"/>
        <w:outlineLvl w:val="0"/>
        <w:rPr>
          <w:rFonts w:ascii="宋体"/>
          <w:bCs/>
          <w:sz w:val="24"/>
        </w:rPr>
      </w:pPr>
      <w:r>
        <w:rPr>
          <w:rFonts w:hint="eastAsia" w:ascii="宋体"/>
          <w:bCs/>
          <w:sz w:val="24"/>
        </w:rPr>
        <w:t>（二）服务内容</w:t>
      </w:r>
    </w:p>
    <w:p>
      <w:pPr>
        <w:snapToGrid w:val="0"/>
        <w:spacing w:line="360" w:lineRule="auto"/>
        <w:ind w:firstLine="480" w:firstLineChars="200"/>
        <w:outlineLvl w:val="0"/>
        <w:rPr>
          <w:rFonts w:ascii="宋体"/>
          <w:bCs/>
          <w:sz w:val="24"/>
        </w:rPr>
      </w:pPr>
      <w:r>
        <w:rPr>
          <w:rFonts w:hint="eastAsia" w:ascii="宋体"/>
          <w:bCs/>
          <w:sz w:val="24"/>
        </w:rPr>
        <w:t xml:space="preserve">合同包括以下服务内容： </w:t>
      </w:r>
    </w:p>
    <w:p>
      <w:pPr>
        <w:snapToGrid w:val="0"/>
        <w:spacing w:line="360" w:lineRule="auto"/>
        <w:ind w:firstLine="480" w:firstLineChars="200"/>
        <w:outlineLvl w:val="0"/>
        <w:rPr>
          <w:rFonts w:ascii="宋体"/>
          <w:bCs/>
          <w:sz w:val="24"/>
        </w:rPr>
      </w:pPr>
      <w:r>
        <w:rPr>
          <w:rFonts w:hint="eastAsia" w:ascii="宋体"/>
          <w:bCs/>
          <w:sz w:val="24"/>
        </w:rPr>
        <w:t>（三）合同价格</w:t>
      </w:r>
    </w:p>
    <w:p>
      <w:pPr>
        <w:snapToGrid w:val="0"/>
        <w:spacing w:line="360" w:lineRule="auto"/>
        <w:ind w:firstLine="480" w:firstLineChars="200"/>
        <w:outlineLvl w:val="0"/>
        <w:rPr>
          <w:rFonts w:ascii="宋体"/>
          <w:bCs/>
          <w:sz w:val="24"/>
        </w:rPr>
      </w:pPr>
      <w:r>
        <w:rPr>
          <w:rFonts w:hint="eastAsia" w:ascii="宋体"/>
          <w:bCs/>
          <w:sz w:val="24"/>
        </w:rPr>
        <w:t>1.合同价格即合同总价。</w:t>
      </w:r>
    </w:p>
    <w:p>
      <w:pPr>
        <w:snapToGrid w:val="0"/>
        <w:spacing w:line="360" w:lineRule="auto"/>
        <w:ind w:firstLine="480" w:firstLineChars="200"/>
        <w:outlineLvl w:val="0"/>
        <w:rPr>
          <w:rFonts w:ascii="宋体"/>
          <w:bCs/>
          <w:sz w:val="24"/>
        </w:rPr>
      </w:pPr>
      <w:r>
        <w:rPr>
          <w:rFonts w:hint="eastAsia" w:ascii="宋体"/>
          <w:bCs/>
          <w:sz w:val="24"/>
        </w:rPr>
        <w:t>2.合同价格</w:t>
      </w:r>
      <w:r>
        <w:rPr>
          <w:rFonts w:hint="eastAsia" w:ascii="宋体"/>
          <w:sz w:val="24"/>
          <w:szCs w:val="24"/>
        </w:rPr>
        <w:t>包括（但不限于）施工费、材料费、运输费（含装卸费）、安装费、调试费、人工费、保险费、税费等所有费用。因乙方供应商自身原因造成漏报、少报皆由其自行承担责任，甲方不再补偿。</w:t>
      </w:r>
    </w:p>
    <w:p>
      <w:pPr>
        <w:snapToGrid w:val="0"/>
        <w:spacing w:line="360" w:lineRule="auto"/>
        <w:ind w:firstLine="480" w:firstLineChars="200"/>
        <w:outlineLvl w:val="0"/>
        <w:rPr>
          <w:rFonts w:ascii="宋体"/>
          <w:bCs/>
          <w:sz w:val="24"/>
        </w:rPr>
      </w:pPr>
      <w:r>
        <w:rPr>
          <w:rFonts w:hint="eastAsia" w:ascii="宋体"/>
          <w:bCs/>
          <w:sz w:val="24"/>
        </w:rPr>
        <w:t>3.合同价为不变价。</w:t>
      </w:r>
    </w:p>
    <w:p>
      <w:pPr>
        <w:snapToGrid w:val="0"/>
        <w:spacing w:line="360" w:lineRule="auto"/>
        <w:ind w:firstLine="480" w:firstLineChars="200"/>
        <w:outlineLvl w:val="0"/>
        <w:rPr>
          <w:rFonts w:ascii="宋体"/>
          <w:bCs/>
          <w:sz w:val="24"/>
        </w:rPr>
      </w:pPr>
      <w:r>
        <w:rPr>
          <w:rFonts w:hint="eastAsia" w:ascii="宋体"/>
          <w:bCs/>
          <w:sz w:val="24"/>
        </w:rPr>
        <w:t>（四）转包和分包</w:t>
      </w:r>
    </w:p>
    <w:p>
      <w:pPr>
        <w:snapToGrid w:val="0"/>
        <w:spacing w:line="360" w:lineRule="auto"/>
        <w:ind w:firstLine="480" w:firstLineChars="200"/>
        <w:outlineLvl w:val="0"/>
        <w:rPr>
          <w:rFonts w:ascii="宋体"/>
          <w:bCs/>
          <w:sz w:val="24"/>
        </w:rPr>
      </w:pPr>
      <w:r>
        <w:rPr>
          <w:rFonts w:hint="eastAsia" w:ascii="宋体"/>
          <w:bCs/>
          <w:sz w:val="24"/>
        </w:rPr>
        <w:t>1.本合同范围的所有服务工作，应由乙方直接提供，不得转让他人提供。</w:t>
      </w:r>
    </w:p>
    <w:p>
      <w:pPr>
        <w:snapToGrid w:val="0"/>
        <w:spacing w:line="360" w:lineRule="auto"/>
        <w:ind w:firstLine="480" w:firstLineChars="200"/>
        <w:outlineLvl w:val="0"/>
        <w:rPr>
          <w:rFonts w:ascii="宋体"/>
          <w:bCs/>
          <w:sz w:val="24"/>
        </w:rPr>
      </w:pPr>
      <w:r>
        <w:rPr>
          <w:rFonts w:hint="eastAsia" w:ascii="宋体"/>
          <w:bCs/>
          <w:sz w:val="24"/>
        </w:rPr>
        <w:t>2.非经甲方书面同意，乙方不得将本合同范围的服务工作全部或部分转包给他人提供。</w:t>
      </w:r>
    </w:p>
    <w:p>
      <w:pPr>
        <w:snapToGrid w:val="0"/>
        <w:spacing w:line="360" w:lineRule="auto"/>
        <w:ind w:firstLine="480" w:firstLineChars="200"/>
        <w:outlineLvl w:val="0"/>
        <w:rPr>
          <w:rFonts w:ascii="宋体"/>
          <w:bCs/>
          <w:sz w:val="24"/>
        </w:rPr>
      </w:pPr>
      <w:r>
        <w:rPr>
          <w:rFonts w:hint="eastAsia" w:ascii="宋体"/>
          <w:bCs/>
          <w:sz w:val="24"/>
        </w:rPr>
        <w:t>3.如有转包和未经甲方同意的分包行为，甲方有权解除合同，没收履约保证金并追究乙方的违约责任。</w:t>
      </w:r>
    </w:p>
    <w:p>
      <w:pPr>
        <w:adjustRightInd w:val="0"/>
        <w:snapToGrid w:val="0"/>
        <w:spacing w:line="360" w:lineRule="auto"/>
        <w:ind w:firstLine="480" w:firstLineChars="200"/>
        <w:rPr>
          <w:rFonts w:ascii="宋体"/>
          <w:sz w:val="24"/>
        </w:rPr>
      </w:pPr>
      <w:r>
        <w:rPr>
          <w:rFonts w:hint="eastAsia" w:ascii="宋体"/>
          <w:bCs/>
          <w:sz w:val="24"/>
        </w:rPr>
        <w:t>（五）质量保证及售后服务</w:t>
      </w:r>
    </w:p>
    <w:p>
      <w:pPr>
        <w:adjustRightInd w:val="0"/>
        <w:snapToGrid w:val="0"/>
        <w:spacing w:line="360" w:lineRule="auto"/>
        <w:ind w:firstLine="480" w:firstLineChars="200"/>
        <w:rPr>
          <w:rFonts w:ascii="宋体"/>
          <w:sz w:val="24"/>
        </w:rPr>
      </w:pPr>
      <w:r>
        <w:rPr>
          <w:rFonts w:hint="eastAsia" w:ascii="宋体"/>
          <w:sz w:val="24"/>
        </w:rPr>
        <w:t>1.乙方应按采购文件规定要求向甲方提供服务。</w:t>
      </w:r>
    </w:p>
    <w:p>
      <w:pPr>
        <w:adjustRightInd w:val="0"/>
        <w:snapToGrid w:val="0"/>
        <w:spacing w:line="360" w:lineRule="auto"/>
        <w:ind w:firstLine="480" w:firstLineChars="200"/>
        <w:rPr>
          <w:rFonts w:ascii="宋体"/>
          <w:sz w:val="24"/>
        </w:rPr>
      </w:pPr>
      <w:r>
        <w:rPr>
          <w:rFonts w:hint="eastAsia" w:ascii="宋体"/>
          <w:sz w:val="24"/>
        </w:rPr>
        <w:t>2.在服务期内，乙方应对服务质量负责。</w:t>
      </w:r>
    </w:p>
    <w:p>
      <w:pPr>
        <w:adjustRightInd w:val="0"/>
        <w:snapToGrid w:val="0"/>
        <w:spacing w:line="360" w:lineRule="auto"/>
        <w:ind w:firstLine="480" w:firstLineChars="200"/>
        <w:rPr>
          <w:rFonts w:ascii="宋体"/>
          <w:sz w:val="24"/>
        </w:rPr>
      </w:pPr>
      <w:r>
        <w:rPr>
          <w:rFonts w:hint="eastAsia" w:ascii="宋体"/>
          <w:sz w:val="24"/>
        </w:rPr>
        <w:t>3.如甲方要求乙方提供履约保证金的，履约保证金的收取和退还应按本项目采购文件第三篇“项目商务要求”的要求处理。</w:t>
      </w:r>
    </w:p>
    <w:p>
      <w:pPr>
        <w:adjustRightInd w:val="0"/>
        <w:snapToGrid w:val="0"/>
        <w:spacing w:line="360" w:lineRule="auto"/>
        <w:ind w:firstLine="480" w:firstLineChars="200"/>
        <w:rPr>
          <w:rFonts w:ascii="宋体"/>
          <w:sz w:val="24"/>
        </w:rPr>
      </w:pPr>
      <w:r>
        <w:rPr>
          <w:rFonts w:hint="eastAsia" w:ascii="宋体"/>
          <w:sz w:val="24"/>
        </w:rPr>
        <w:t>（六）付款</w:t>
      </w:r>
    </w:p>
    <w:p>
      <w:pPr>
        <w:adjustRightInd w:val="0"/>
        <w:snapToGrid w:val="0"/>
        <w:spacing w:line="360" w:lineRule="auto"/>
        <w:ind w:firstLine="480" w:firstLineChars="200"/>
        <w:rPr>
          <w:rFonts w:ascii="宋体"/>
          <w:sz w:val="24"/>
        </w:rPr>
      </w:pPr>
      <w:r>
        <w:rPr>
          <w:rFonts w:hint="eastAsia" w:ascii="宋体"/>
          <w:sz w:val="24"/>
        </w:rPr>
        <w:t>1.本合同使用货币币制如未作特别说明均为人民币。</w:t>
      </w:r>
    </w:p>
    <w:p>
      <w:pPr>
        <w:adjustRightInd w:val="0"/>
        <w:snapToGrid w:val="0"/>
        <w:spacing w:line="360" w:lineRule="auto"/>
        <w:ind w:firstLine="480" w:firstLineChars="200"/>
        <w:rPr>
          <w:rFonts w:ascii="宋体"/>
          <w:sz w:val="24"/>
        </w:rPr>
      </w:pPr>
      <w:r>
        <w:rPr>
          <w:rFonts w:hint="eastAsia" w:ascii="宋体"/>
          <w:sz w:val="24"/>
        </w:rPr>
        <w:t>2.付款方式：银行转账、现金支票。</w:t>
      </w:r>
    </w:p>
    <w:p>
      <w:pPr>
        <w:adjustRightInd w:val="0"/>
        <w:snapToGrid w:val="0"/>
        <w:spacing w:line="360" w:lineRule="auto"/>
        <w:ind w:firstLine="480" w:firstLineChars="200"/>
        <w:rPr>
          <w:rFonts w:ascii="宋体"/>
          <w:sz w:val="24"/>
        </w:rPr>
      </w:pPr>
      <w:r>
        <w:rPr>
          <w:rFonts w:hint="eastAsia" w:ascii="宋体"/>
          <w:sz w:val="24"/>
        </w:rPr>
        <w:t>3.付款方法：参照本项目采购文件第三篇“项目商务要求”中关于付款方式的约定。</w:t>
      </w:r>
    </w:p>
    <w:p>
      <w:pPr>
        <w:adjustRightInd w:val="0"/>
        <w:snapToGrid w:val="0"/>
        <w:spacing w:line="360" w:lineRule="auto"/>
        <w:ind w:firstLine="480" w:firstLineChars="200"/>
        <w:rPr>
          <w:rFonts w:ascii="宋体"/>
          <w:sz w:val="24"/>
        </w:rPr>
      </w:pPr>
      <w:r>
        <w:rPr>
          <w:rFonts w:hint="eastAsia" w:ascii="宋体"/>
          <w:sz w:val="24"/>
        </w:rPr>
        <w:t>（七）检查验收</w:t>
      </w:r>
    </w:p>
    <w:p>
      <w:pPr>
        <w:adjustRightInd w:val="0"/>
        <w:snapToGrid w:val="0"/>
        <w:spacing w:line="360" w:lineRule="auto"/>
        <w:ind w:firstLine="480" w:firstLineChars="200"/>
        <w:rPr>
          <w:rFonts w:ascii="宋体"/>
          <w:sz w:val="24"/>
        </w:rPr>
      </w:pPr>
      <w:r>
        <w:rPr>
          <w:rFonts w:hint="eastAsia" w:ascii="宋体"/>
          <w:sz w:val="24"/>
        </w:rPr>
        <w:t>（八）索赔</w:t>
      </w:r>
    </w:p>
    <w:p>
      <w:pPr>
        <w:adjustRightInd w:val="0"/>
        <w:snapToGrid w:val="0"/>
        <w:spacing w:line="360" w:lineRule="auto"/>
        <w:ind w:firstLine="480" w:firstLineChars="200"/>
        <w:rPr>
          <w:rFonts w:ascii="宋体"/>
          <w:sz w:val="24"/>
        </w:rPr>
      </w:pPr>
      <w:r>
        <w:rPr>
          <w:rFonts w:hint="eastAsia" w:ascii="宋体"/>
          <w:sz w:val="24"/>
        </w:rPr>
        <w:t>供方对服务与合同要求不符负有责任，并且需方已于规定服务内和质量保证期内提出索赔，供方应按需方同意的下述一种或多种方法解决索赔事宜。</w:t>
      </w:r>
    </w:p>
    <w:p>
      <w:pPr>
        <w:adjustRightInd w:val="0"/>
        <w:snapToGrid w:val="0"/>
        <w:spacing w:line="360" w:lineRule="auto"/>
        <w:ind w:firstLine="480" w:firstLineChars="200"/>
        <w:rPr>
          <w:rFonts w:ascii="宋体"/>
          <w:sz w:val="24"/>
        </w:rPr>
      </w:pPr>
      <w:r>
        <w:rPr>
          <w:rFonts w:hint="eastAsia" w:ascii="宋体"/>
          <w:sz w:val="24"/>
        </w:rPr>
        <w:t>（九）知识产权</w:t>
      </w:r>
    </w:p>
    <w:p>
      <w:pPr>
        <w:adjustRightInd w:val="0"/>
        <w:snapToGrid w:val="0"/>
        <w:spacing w:line="360" w:lineRule="auto"/>
        <w:ind w:firstLine="480" w:firstLineChars="200"/>
        <w:rPr>
          <w:rFonts w:ascii="宋体"/>
          <w:sz w:val="24"/>
        </w:rPr>
      </w:pPr>
      <w:r>
        <w:rPr>
          <w:rFonts w:hint="eastAsia" w:ascii="宋体" w:cs="宋体"/>
          <w:kern w:val="0"/>
          <w:sz w:val="24"/>
          <w:szCs w:val="24"/>
        </w:rPr>
        <w:t>甲方在中华人民共和国境内使用乙方提供的服务时免受第三方提出的侵犯其专利权或其它知识产权的起诉。如果第三方提出侵权指控，乙方应承担由此而引起的一切法律责任和费用。</w:t>
      </w:r>
    </w:p>
    <w:p>
      <w:pPr>
        <w:snapToGrid w:val="0"/>
        <w:spacing w:line="360" w:lineRule="auto"/>
        <w:ind w:firstLine="480" w:firstLineChars="200"/>
        <w:outlineLvl w:val="0"/>
        <w:rPr>
          <w:rFonts w:ascii="宋体"/>
          <w:bCs/>
          <w:sz w:val="24"/>
        </w:rPr>
      </w:pPr>
      <w:r>
        <w:rPr>
          <w:rFonts w:hint="eastAsia" w:ascii="宋体"/>
          <w:bCs/>
          <w:sz w:val="24"/>
        </w:rPr>
        <w:t>（十）合同争议的解决</w:t>
      </w:r>
    </w:p>
    <w:p>
      <w:pPr>
        <w:snapToGrid w:val="0"/>
        <w:spacing w:line="360" w:lineRule="auto"/>
        <w:ind w:firstLine="480" w:firstLineChars="200"/>
        <w:outlineLvl w:val="0"/>
        <w:rPr>
          <w:rFonts w:ascii="宋体"/>
          <w:bCs/>
          <w:sz w:val="24"/>
        </w:rPr>
      </w:pPr>
      <w:r>
        <w:rPr>
          <w:rFonts w:hint="eastAsia" w:ascii="宋体"/>
          <w:bCs/>
          <w:sz w:val="24"/>
        </w:rPr>
        <w:t>1.当事人友好协商达成一致；</w:t>
      </w:r>
    </w:p>
    <w:p>
      <w:pPr>
        <w:snapToGrid w:val="0"/>
        <w:spacing w:line="360" w:lineRule="auto"/>
        <w:ind w:firstLine="480" w:firstLineChars="200"/>
        <w:outlineLvl w:val="0"/>
        <w:rPr>
          <w:rFonts w:ascii="宋体"/>
          <w:bCs/>
          <w:sz w:val="24"/>
        </w:rPr>
      </w:pPr>
      <w:r>
        <w:rPr>
          <w:rFonts w:hint="eastAsia" w:ascii="宋体"/>
          <w:bCs/>
          <w:sz w:val="24"/>
        </w:rPr>
        <w:t>2.在60天内当事人协商不能达成协议的，可提请采购人当地仲裁机构仲裁。</w:t>
      </w:r>
    </w:p>
    <w:p>
      <w:pPr>
        <w:snapToGrid w:val="0"/>
        <w:spacing w:line="360" w:lineRule="auto"/>
        <w:ind w:firstLine="480" w:firstLineChars="200"/>
        <w:outlineLvl w:val="0"/>
        <w:rPr>
          <w:rFonts w:ascii="宋体"/>
          <w:bCs/>
          <w:sz w:val="24"/>
        </w:rPr>
      </w:pPr>
      <w:r>
        <w:rPr>
          <w:rFonts w:hint="eastAsia" w:ascii="宋体"/>
          <w:bCs/>
          <w:sz w:val="24"/>
        </w:rPr>
        <w:t>（十一）违约责任</w:t>
      </w:r>
    </w:p>
    <w:p>
      <w:pPr>
        <w:snapToGrid w:val="0"/>
        <w:spacing w:line="360" w:lineRule="auto"/>
        <w:ind w:firstLine="480" w:firstLineChars="200"/>
        <w:outlineLvl w:val="0"/>
        <w:rPr>
          <w:rFonts w:ascii="宋体"/>
          <w:bCs/>
          <w:sz w:val="24"/>
        </w:rPr>
      </w:pPr>
      <w:r>
        <w:rPr>
          <w:rFonts w:hint="eastAsia" w:ascii="宋体"/>
          <w:bCs/>
          <w:sz w:val="24"/>
        </w:rPr>
        <w:t>按《中华人民共和国民法典》、《中华人民共和国政府采购法》有关条款，或由供需双方约定。</w:t>
      </w:r>
    </w:p>
    <w:p>
      <w:pPr>
        <w:snapToGrid w:val="0"/>
        <w:spacing w:line="360" w:lineRule="auto"/>
        <w:ind w:firstLine="480" w:firstLineChars="200"/>
        <w:outlineLvl w:val="0"/>
        <w:rPr>
          <w:rFonts w:ascii="宋体"/>
          <w:bCs/>
          <w:sz w:val="24"/>
        </w:rPr>
      </w:pPr>
      <w:r>
        <w:rPr>
          <w:rFonts w:hint="eastAsia" w:ascii="宋体"/>
          <w:bCs/>
          <w:sz w:val="24"/>
        </w:rPr>
        <w:t>（十二）合同生效及其它</w:t>
      </w:r>
    </w:p>
    <w:p>
      <w:pPr>
        <w:snapToGrid w:val="0"/>
        <w:spacing w:line="360" w:lineRule="auto"/>
        <w:ind w:firstLine="480" w:firstLineChars="200"/>
        <w:outlineLvl w:val="0"/>
        <w:rPr>
          <w:rFonts w:ascii="宋体"/>
          <w:bCs/>
          <w:sz w:val="24"/>
        </w:rPr>
      </w:pPr>
      <w:r>
        <w:rPr>
          <w:rFonts w:hint="eastAsia" w:ascii="宋体"/>
          <w:bCs/>
          <w:sz w:val="24"/>
        </w:rPr>
        <w:t>1.合同生效及其效力应符合《中华人民共和国民法典》有关规定。</w:t>
      </w:r>
    </w:p>
    <w:p>
      <w:pPr>
        <w:snapToGrid w:val="0"/>
        <w:spacing w:line="360" w:lineRule="auto"/>
        <w:ind w:firstLine="480" w:firstLineChars="200"/>
        <w:outlineLvl w:val="0"/>
        <w:rPr>
          <w:rFonts w:ascii="宋体"/>
          <w:bCs/>
          <w:sz w:val="24"/>
        </w:rPr>
      </w:pPr>
      <w:r>
        <w:rPr>
          <w:rFonts w:hint="eastAsia" w:ascii="宋体"/>
          <w:bCs/>
          <w:sz w:val="24"/>
        </w:rPr>
        <w:t>2.合同应经当事人法定代表人或委托代理人签字，加盖双方合同专用章或公章。</w:t>
      </w:r>
    </w:p>
    <w:p>
      <w:pPr>
        <w:snapToGrid w:val="0"/>
        <w:spacing w:line="360" w:lineRule="auto"/>
        <w:ind w:firstLine="480" w:firstLineChars="200"/>
        <w:outlineLvl w:val="0"/>
        <w:rPr>
          <w:rFonts w:ascii="宋体"/>
          <w:bCs/>
          <w:sz w:val="24"/>
        </w:rPr>
      </w:pPr>
      <w:r>
        <w:rPr>
          <w:rFonts w:hint="eastAsia" w:ascii="宋体"/>
          <w:bCs/>
          <w:sz w:val="24"/>
        </w:rPr>
        <w:t>3.合同所包括附件，是合同不可分割的一部分，具有同等法法律效力。</w:t>
      </w:r>
    </w:p>
    <w:p>
      <w:pPr>
        <w:snapToGrid w:val="0"/>
        <w:spacing w:line="360" w:lineRule="auto"/>
        <w:ind w:firstLine="480" w:firstLineChars="200"/>
        <w:outlineLvl w:val="0"/>
        <w:rPr>
          <w:rFonts w:ascii="宋体"/>
          <w:bCs/>
          <w:sz w:val="24"/>
        </w:rPr>
      </w:pPr>
      <w:r>
        <w:rPr>
          <w:rFonts w:hint="eastAsia" w:ascii="宋体"/>
          <w:bCs/>
          <w:sz w:val="24"/>
        </w:rPr>
        <w:t>4.本合同条件未尽事宜依照《中华人民共和国民法典》，由供需双方共同协商确定。</w:t>
      </w:r>
    </w:p>
    <w:p>
      <w:pPr>
        <w:snapToGrid w:val="0"/>
        <w:spacing w:line="360" w:lineRule="auto"/>
        <w:jc w:val="center"/>
        <w:outlineLvl w:val="0"/>
        <w:rPr>
          <w:rFonts w:ascii="宋体"/>
          <w:sz w:val="44"/>
        </w:rPr>
        <w:sectPr>
          <w:pgSz w:w="11907" w:h="16840"/>
          <w:pgMar w:top="1134" w:right="1191" w:bottom="1134" w:left="1191" w:header="964" w:footer="992" w:gutter="0"/>
          <w:pgNumType w:fmt="numberInDash"/>
          <w:cols w:space="720" w:num="1"/>
          <w:docGrid w:linePitch="312" w:charSpace="0"/>
        </w:sectPr>
      </w:pPr>
    </w:p>
    <w:p>
      <w:pPr>
        <w:pStyle w:val="6"/>
        <w:spacing w:before="0" w:after="0" w:line="360" w:lineRule="auto"/>
        <w:ind w:firstLine="482" w:firstLineChars="200"/>
        <w:rPr>
          <w:rFonts w:ascii="宋体"/>
          <w:sz w:val="24"/>
          <w:szCs w:val="24"/>
        </w:rPr>
      </w:pPr>
      <w:bookmarkStart w:id="141" w:name="_Toc508178250"/>
      <w:bookmarkStart w:id="142" w:name="_Toc277084871"/>
      <w:bookmarkStart w:id="143" w:name="_Toc285722713"/>
      <w:bookmarkStart w:id="144" w:name="_Toc137459415"/>
      <w:r>
        <w:rPr>
          <w:rFonts w:hint="eastAsia" w:ascii="宋体"/>
          <w:sz w:val="24"/>
          <w:szCs w:val="24"/>
        </w:rPr>
        <w:t>二、政府采购合同（格式）</w:t>
      </w:r>
      <w:bookmarkEnd w:id="141"/>
      <w:bookmarkEnd w:id="142"/>
      <w:bookmarkEnd w:id="143"/>
      <w:bookmarkEnd w:id="144"/>
    </w:p>
    <w:p>
      <w:pPr>
        <w:spacing w:line="500" w:lineRule="exact"/>
        <w:jc w:val="center"/>
        <w:rPr>
          <w:rFonts w:ascii="宋体"/>
          <w:b/>
          <w:sz w:val="44"/>
        </w:rPr>
      </w:pPr>
    </w:p>
    <w:bookmarkEnd w:id="140"/>
    <w:p>
      <w:pPr>
        <w:spacing w:line="360" w:lineRule="auto"/>
        <w:jc w:val="center"/>
        <w:rPr>
          <w:rFonts w:ascii="宋体"/>
          <w:b/>
          <w:sz w:val="44"/>
        </w:rPr>
      </w:pPr>
      <w:bookmarkStart w:id="145" w:name="_Toc23764521"/>
      <w:r>
        <w:rPr>
          <w:rFonts w:ascii="宋体"/>
          <w:b/>
          <w:sz w:val="44"/>
        </w:rPr>
        <w:t>重庆市政府采购合同</w:t>
      </w:r>
    </w:p>
    <w:p>
      <w:pPr>
        <w:spacing w:line="360" w:lineRule="auto"/>
        <w:jc w:val="center"/>
        <w:rPr>
          <w:rFonts w:ascii="宋体"/>
        </w:rPr>
      </w:pPr>
      <w:r>
        <w:rPr>
          <w:rFonts w:ascii="宋体"/>
        </w:rPr>
        <w:t>（项目编号：     ）</w:t>
      </w:r>
    </w:p>
    <w:p>
      <w:pPr>
        <w:spacing w:line="360" w:lineRule="auto"/>
        <w:rPr>
          <w:rFonts w:ascii="宋体"/>
          <w:sz w:val="24"/>
        </w:rPr>
      </w:pPr>
      <w:r>
        <w:rPr>
          <w:rFonts w:ascii="宋体"/>
          <w:sz w:val="24"/>
        </w:rPr>
        <w:t>甲方（需方）：___________________________      计价单位：____________</w:t>
      </w:r>
    </w:p>
    <w:p>
      <w:pPr>
        <w:spacing w:line="360" w:lineRule="auto"/>
        <w:rPr>
          <w:rFonts w:ascii="宋体"/>
          <w:sz w:val="24"/>
        </w:rPr>
      </w:pPr>
      <w:r>
        <w:rPr>
          <w:rFonts w:ascii="宋体"/>
          <w:sz w:val="24"/>
        </w:rPr>
        <w:t>乙方（供方）：___________________________      计量单位：_____________</w:t>
      </w:r>
    </w:p>
    <w:p>
      <w:pPr>
        <w:spacing w:line="360" w:lineRule="auto"/>
        <w:rPr>
          <w:rFonts w:ascii="宋体"/>
          <w:sz w:val="24"/>
        </w:rPr>
      </w:pPr>
    </w:p>
    <w:p>
      <w:pPr>
        <w:spacing w:line="360" w:lineRule="auto"/>
        <w:rPr>
          <w:rFonts w:ascii="宋体"/>
          <w:sz w:val="24"/>
        </w:rPr>
      </w:pPr>
      <w:r>
        <w:rPr>
          <w:rFonts w:ascii="宋体"/>
          <w:sz w:val="24"/>
        </w:rPr>
        <w:t>经双方协商一致，达成以下购销合同：</w:t>
      </w:r>
    </w:p>
    <w:tbl>
      <w:tblPr>
        <w:tblStyle w:val="68"/>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71"/>
        <w:gridCol w:w="984"/>
        <w:gridCol w:w="448"/>
        <w:gridCol w:w="850"/>
        <w:gridCol w:w="1134"/>
        <w:gridCol w:w="1559"/>
        <w:gridCol w:w="1567"/>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452" w:hRule="atLeast"/>
        </w:trPr>
        <w:tc>
          <w:tcPr>
            <w:tcW w:w="3071" w:type="dxa"/>
            <w:vAlign w:val="center"/>
          </w:tcPr>
          <w:p>
            <w:pPr>
              <w:spacing w:line="360" w:lineRule="auto"/>
              <w:jc w:val="center"/>
              <w:rPr>
                <w:rFonts w:ascii="宋体"/>
                <w:sz w:val="21"/>
                <w:szCs w:val="21"/>
              </w:rPr>
            </w:pPr>
            <w:r>
              <w:rPr>
                <w:rFonts w:hint="eastAsia" w:ascii="宋体"/>
                <w:sz w:val="21"/>
                <w:szCs w:val="21"/>
              </w:rPr>
              <w:t>项目类别</w:t>
            </w:r>
          </w:p>
        </w:tc>
        <w:tc>
          <w:tcPr>
            <w:tcW w:w="984" w:type="dxa"/>
            <w:vAlign w:val="center"/>
          </w:tcPr>
          <w:p>
            <w:pPr>
              <w:spacing w:line="360" w:lineRule="auto"/>
              <w:jc w:val="center"/>
              <w:rPr>
                <w:rFonts w:ascii="宋体"/>
                <w:sz w:val="21"/>
                <w:szCs w:val="21"/>
              </w:rPr>
            </w:pPr>
            <w:r>
              <w:rPr>
                <w:rFonts w:ascii="宋体"/>
                <w:sz w:val="21"/>
                <w:szCs w:val="21"/>
              </w:rPr>
              <w:t>数量</w:t>
            </w:r>
          </w:p>
        </w:tc>
        <w:tc>
          <w:tcPr>
            <w:tcW w:w="1298" w:type="dxa"/>
            <w:gridSpan w:val="2"/>
            <w:vAlign w:val="center"/>
          </w:tcPr>
          <w:p>
            <w:pPr>
              <w:spacing w:line="360" w:lineRule="auto"/>
              <w:jc w:val="center"/>
              <w:rPr>
                <w:rFonts w:ascii="宋体"/>
                <w:sz w:val="21"/>
                <w:szCs w:val="21"/>
              </w:rPr>
            </w:pPr>
            <w:r>
              <w:rPr>
                <w:rFonts w:ascii="宋体"/>
                <w:sz w:val="21"/>
                <w:szCs w:val="21"/>
              </w:rPr>
              <w:t>综合单价</w:t>
            </w:r>
          </w:p>
        </w:tc>
        <w:tc>
          <w:tcPr>
            <w:tcW w:w="1134" w:type="dxa"/>
            <w:vAlign w:val="center"/>
          </w:tcPr>
          <w:p>
            <w:pPr>
              <w:spacing w:line="360" w:lineRule="auto"/>
              <w:jc w:val="center"/>
              <w:rPr>
                <w:rFonts w:ascii="宋体"/>
                <w:sz w:val="21"/>
                <w:szCs w:val="21"/>
              </w:rPr>
            </w:pPr>
            <w:r>
              <w:rPr>
                <w:rFonts w:ascii="宋体"/>
                <w:sz w:val="21"/>
                <w:szCs w:val="21"/>
              </w:rPr>
              <w:t>总价</w:t>
            </w:r>
          </w:p>
        </w:tc>
        <w:tc>
          <w:tcPr>
            <w:tcW w:w="1559" w:type="dxa"/>
            <w:vAlign w:val="center"/>
          </w:tcPr>
          <w:p>
            <w:pPr>
              <w:spacing w:line="360" w:lineRule="auto"/>
              <w:jc w:val="center"/>
              <w:rPr>
                <w:rFonts w:ascii="宋体"/>
                <w:sz w:val="21"/>
                <w:szCs w:val="21"/>
              </w:rPr>
            </w:pPr>
            <w:r>
              <w:rPr>
                <w:rFonts w:hint="eastAsia" w:ascii="宋体"/>
                <w:sz w:val="21"/>
                <w:szCs w:val="21"/>
              </w:rPr>
              <w:t>服务</w:t>
            </w:r>
            <w:r>
              <w:rPr>
                <w:rFonts w:ascii="宋体"/>
                <w:sz w:val="21"/>
                <w:szCs w:val="21"/>
              </w:rPr>
              <w:t>时间</w:t>
            </w:r>
          </w:p>
        </w:tc>
        <w:tc>
          <w:tcPr>
            <w:tcW w:w="1567" w:type="dxa"/>
            <w:vAlign w:val="center"/>
          </w:tcPr>
          <w:p>
            <w:pPr>
              <w:spacing w:line="360" w:lineRule="auto"/>
              <w:jc w:val="center"/>
              <w:rPr>
                <w:rFonts w:ascii="宋体"/>
                <w:sz w:val="21"/>
                <w:szCs w:val="21"/>
              </w:rPr>
            </w:pPr>
            <w:r>
              <w:rPr>
                <w:rFonts w:hint="eastAsia" w:ascii="宋体"/>
                <w:sz w:val="21"/>
                <w:szCs w:val="21"/>
              </w:rPr>
              <w:t>服务</w:t>
            </w:r>
            <w:r>
              <w:rPr>
                <w:rFonts w:ascii="宋体"/>
                <w:sz w:val="21"/>
                <w:szCs w:val="21"/>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Pr>
        <w:tc>
          <w:tcPr>
            <w:tcW w:w="3071" w:type="dxa"/>
            <w:vAlign w:val="center"/>
          </w:tcPr>
          <w:p>
            <w:pPr>
              <w:spacing w:line="360" w:lineRule="auto"/>
              <w:jc w:val="center"/>
              <w:rPr>
                <w:rFonts w:ascii="宋体"/>
                <w:sz w:val="21"/>
                <w:szCs w:val="21"/>
              </w:rPr>
            </w:pPr>
          </w:p>
        </w:tc>
        <w:tc>
          <w:tcPr>
            <w:tcW w:w="984" w:type="dxa"/>
            <w:vAlign w:val="center"/>
          </w:tcPr>
          <w:p>
            <w:pPr>
              <w:spacing w:line="360" w:lineRule="auto"/>
              <w:jc w:val="center"/>
              <w:rPr>
                <w:rFonts w:ascii="宋体"/>
                <w:sz w:val="21"/>
                <w:szCs w:val="21"/>
              </w:rPr>
            </w:pPr>
          </w:p>
        </w:tc>
        <w:tc>
          <w:tcPr>
            <w:tcW w:w="1298" w:type="dxa"/>
            <w:gridSpan w:val="2"/>
            <w:vAlign w:val="center"/>
          </w:tcPr>
          <w:p>
            <w:pPr>
              <w:spacing w:line="360" w:lineRule="auto"/>
              <w:jc w:val="center"/>
              <w:rPr>
                <w:rFonts w:ascii="宋体"/>
                <w:sz w:val="21"/>
                <w:szCs w:val="21"/>
              </w:rPr>
            </w:pPr>
          </w:p>
        </w:tc>
        <w:tc>
          <w:tcPr>
            <w:tcW w:w="1134" w:type="dxa"/>
            <w:vAlign w:val="center"/>
          </w:tcPr>
          <w:p>
            <w:pPr>
              <w:spacing w:line="360" w:lineRule="auto"/>
              <w:jc w:val="center"/>
              <w:rPr>
                <w:rFonts w:ascii="宋体"/>
                <w:sz w:val="21"/>
                <w:szCs w:val="21"/>
              </w:rPr>
            </w:pPr>
          </w:p>
        </w:tc>
        <w:tc>
          <w:tcPr>
            <w:tcW w:w="1559" w:type="dxa"/>
            <w:vAlign w:val="center"/>
          </w:tcPr>
          <w:p>
            <w:pPr>
              <w:spacing w:line="360" w:lineRule="auto"/>
              <w:jc w:val="center"/>
              <w:rPr>
                <w:rFonts w:ascii="宋体"/>
                <w:sz w:val="21"/>
                <w:szCs w:val="21"/>
              </w:rPr>
            </w:pPr>
          </w:p>
        </w:tc>
        <w:tc>
          <w:tcPr>
            <w:tcW w:w="1567" w:type="dxa"/>
            <w:vAlign w:val="center"/>
          </w:tcPr>
          <w:p>
            <w:pPr>
              <w:spacing w:line="360" w:lineRule="auto"/>
              <w:jc w:val="center"/>
              <w:rPr>
                <w:rFonts w:asci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Pr>
        <w:tc>
          <w:tcPr>
            <w:tcW w:w="3071" w:type="dxa"/>
            <w:vAlign w:val="center"/>
          </w:tcPr>
          <w:p>
            <w:pPr>
              <w:spacing w:line="360" w:lineRule="auto"/>
              <w:jc w:val="center"/>
              <w:rPr>
                <w:rFonts w:ascii="宋体"/>
                <w:sz w:val="21"/>
                <w:szCs w:val="21"/>
              </w:rPr>
            </w:pPr>
          </w:p>
        </w:tc>
        <w:tc>
          <w:tcPr>
            <w:tcW w:w="984" w:type="dxa"/>
            <w:vAlign w:val="center"/>
          </w:tcPr>
          <w:p>
            <w:pPr>
              <w:spacing w:line="360" w:lineRule="auto"/>
              <w:jc w:val="center"/>
              <w:rPr>
                <w:rFonts w:ascii="宋体"/>
                <w:sz w:val="21"/>
                <w:szCs w:val="21"/>
              </w:rPr>
            </w:pPr>
          </w:p>
        </w:tc>
        <w:tc>
          <w:tcPr>
            <w:tcW w:w="1298" w:type="dxa"/>
            <w:gridSpan w:val="2"/>
            <w:vAlign w:val="center"/>
          </w:tcPr>
          <w:p>
            <w:pPr>
              <w:spacing w:line="360" w:lineRule="auto"/>
              <w:jc w:val="center"/>
              <w:rPr>
                <w:rFonts w:ascii="宋体"/>
                <w:sz w:val="21"/>
                <w:szCs w:val="21"/>
              </w:rPr>
            </w:pPr>
          </w:p>
        </w:tc>
        <w:tc>
          <w:tcPr>
            <w:tcW w:w="1134" w:type="dxa"/>
            <w:vAlign w:val="center"/>
          </w:tcPr>
          <w:p>
            <w:pPr>
              <w:spacing w:line="360" w:lineRule="auto"/>
              <w:jc w:val="center"/>
              <w:rPr>
                <w:rFonts w:ascii="宋体"/>
                <w:sz w:val="21"/>
                <w:szCs w:val="21"/>
              </w:rPr>
            </w:pPr>
          </w:p>
        </w:tc>
        <w:tc>
          <w:tcPr>
            <w:tcW w:w="1559" w:type="dxa"/>
            <w:vAlign w:val="center"/>
          </w:tcPr>
          <w:p>
            <w:pPr>
              <w:spacing w:line="360" w:lineRule="auto"/>
              <w:jc w:val="center"/>
              <w:rPr>
                <w:rFonts w:ascii="宋体"/>
                <w:sz w:val="21"/>
                <w:szCs w:val="21"/>
              </w:rPr>
            </w:pPr>
          </w:p>
        </w:tc>
        <w:tc>
          <w:tcPr>
            <w:tcW w:w="1567" w:type="dxa"/>
            <w:vAlign w:val="center"/>
          </w:tcPr>
          <w:p>
            <w:pPr>
              <w:spacing w:line="360" w:lineRule="auto"/>
              <w:jc w:val="center"/>
              <w:rPr>
                <w:rFonts w:asci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Pr>
        <w:tc>
          <w:tcPr>
            <w:tcW w:w="3071" w:type="dxa"/>
            <w:vAlign w:val="center"/>
          </w:tcPr>
          <w:p>
            <w:pPr>
              <w:spacing w:line="360" w:lineRule="auto"/>
              <w:jc w:val="center"/>
              <w:rPr>
                <w:rFonts w:ascii="宋体"/>
                <w:sz w:val="21"/>
                <w:szCs w:val="21"/>
              </w:rPr>
            </w:pPr>
          </w:p>
        </w:tc>
        <w:tc>
          <w:tcPr>
            <w:tcW w:w="984" w:type="dxa"/>
            <w:vAlign w:val="center"/>
          </w:tcPr>
          <w:p>
            <w:pPr>
              <w:spacing w:line="360" w:lineRule="auto"/>
              <w:jc w:val="center"/>
              <w:rPr>
                <w:rFonts w:ascii="宋体"/>
                <w:sz w:val="21"/>
                <w:szCs w:val="21"/>
              </w:rPr>
            </w:pPr>
          </w:p>
        </w:tc>
        <w:tc>
          <w:tcPr>
            <w:tcW w:w="1298" w:type="dxa"/>
            <w:gridSpan w:val="2"/>
            <w:vAlign w:val="center"/>
          </w:tcPr>
          <w:p>
            <w:pPr>
              <w:spacing w:line="360" w:lineRule="auto"/>
              <w:jc w:val="center"/>
              <w:rPr>
                <w:rFonts w:ascii="宋体"/>
                <w:sz w:val="21"/>
                <w:szCs w:val="21"/>
              </w:rPr>
            </w:pPr>
          </w:p>
        </w:tc>
        <w:tc>
          <w:tcPr>
            <w:tcW w:w="1134" w:type="dxa"/>
            <w:vAlign w:val="center"/>
          </w:tcPr>
          <w:p>
            <w:pPr>
              <w:spacing w:line="360" w:lineRule="auto"/>
              <w:jc w:val="center"/>
              <w:rPr>
                <w:rFonts w:ascii="宋体"/>
                <w:sz w:val="21"/>
                <w:szCs w:val="21"/>
              </w:rPr>
            </w:pPr>
          </w:p>
        </w:tc>
        <w:tc>
          <w:tcPr>
            <w:tcW w:w="1559" w:type="dxa"/>
            <w:vAlign w:val="center"/>
          </w:tcPr>
          <w:p>
            <w:pPr>
              <w:spacing w:line="360" w:lineRule="auto"/>
              <w:jc w:val="center"/>
              <w:rPr>
                <w:rFonts w:ascii="宋体"/>
                <w:sz w:val="21"/>
                <w:szCs w:val="21"/>
              </w:rPr>
            </w:pPr>
          </w:p>
        </w:tc>
        <w:tc>
          <w:tcPr>
            <w:tcW w:w="1567" w:type="dxa"/>
            <w:vAlign w:val="center"/>
          </w:tcPr>
          <w:p>
            <w:pPr>
              <w:spacing w:line="360" w:lineRule="auto"/>
              <w:jc w:val="center"/>
              <w:rPr>
                <w:rFonts w:asci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Pr>
        <w:tc>
          <w:tcPr>
            <w:tcW w:w="3071" w:type="dxa"/>
            <w:vAlign w:val="center"/>
          </w:tcPr>
          <w:p>
            <w:pPr>
              <w:spacing w:line="360" w:lineRule="auto"/>
              <w:jc w:val="center"/>
              <w:rPr>
                <w:rFonts w:ascii="宋体"/>
                <w:sz w:val="21"/>
                <w:szCs w:val="21"/>
              </w:rPr>
            </w:pPr>
          </w:p>
        </w:tc>
        <w:tc>
          <w:tcPr>
            <w:tcW w:w="984" w:type="dxa"/>
            <w:vAlign w:val="center"/>
          </w:tcPr>
          <w:p>
            <w:pPr>
              <w:spacing w:line="360" w:lineRule="auto"/>
              <w:jc w:val="center"/>
              <w:rPr>
                <w:rFonts w:ascii="宋体"/>
                <w:sz w:val="21"/>
                <w:szCs w:val="21"/>
              </w:rPr>
            </w:pPr>
          </w:p>
        </w:tc>
        <w:tc>
          <w:tcPr>
            <w:tcW w:w="1298" w:type="dxa"/>
            <w:gridSpan w:val="2"/>
            <w:vAlign w:val="center"/>
          </w:tcPr>
          <w:p>
            <w:pPr>
              <w:spacing w:line="360" w:lineRule="auto"/>
              <w:jc w:val="center"/>
              <w:rPr>
                <w:rFonts w:ascii="宋体"/>
                <w:sz w:val="21"/>
                <w:szCs w:val="21"/>
              </w:rPr>
            </w:pPr>
          </w:p>
        </w:tc>
        <w:tc>
          <w:tcPr>
            <w:tcW w:w="1134" w:type="dxa"/>
            <w:vAlign w:val="center"/>
          </w:tcPr>
          <w:p>
            <w:pPr>
              <w:spacing w:line="360" w:lineRule="auto"/>
              <w:jc w:val="center"/>
              <w:rPr>
                <w:rFonts w:ascii="宋体"/>
                <w:sz w:val="21"/>
                <w:szCs w:val="21"/>
              </w:rPr>
            </w:pPr>
          </w:p>
        </w:tc>
        <w:tc>
          <w:tcPr>
            <w:tcW w:w="1559" w:type="dxa"/>
            <w:vAlign w:val="center"/>
          </w:tcPr>
          <w:p>
            <w:pPr>
              <w:spacing w:line="360" w:lineRule="auto"/>
              <w:jc w:val="center"/>
              <w:rPr>
                <w:rFonts w:ascii="宋体"/>
                <w:sz w:val="21"/>
                <w:szCs w:val="21"/>
              </w:rPr>
            </w:pPr>
          </w:p>
        </w:tc>
        <w:tc>
          <w:tcPr>
            <w:tcW w:w="1567" w:type="dxa"/>
            <w:vAlign w:val="center"/>
          </w:tcPr>
          <w:p>
            <w:pPr>
              <w:spacing w:line="360" w:lineRule="auto"/>
              <w:jc w:val="center"/>
              <w:rPr>
                <w:rFonts w:asci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Pr>
        <w:tc>
          <w:tcPr>
            <w:tcW w:w="3071" w:type="dxa"/>
            <w:vAlign w:val="center"/>
          </w:tcPr>
          <w:p>
            <w:pPr>
              <w:spacing w:line="360" w:lineRule="auto"/>
              <w:jc w:val="center"/>
              <w:rPr>
                <w:rFonts w:ascii="宋体"/>
                <w:sz w:val="21"/>
                <w:szCs w:val="21"/>
              </w:rPr>
            </w:pPr>
          </w:p>
        </w:tc>
        <w:tc>
          <w:tcPr>
            <w:tcW w:w="984" w:type="dxa"/>
            <w:vAlign w:val="center"/>
          </w:tcPr>
          <w:p>
            <w:pPr>
              <w:spacing w:line="360" w:lineRule="auto"/>
              <w:jc w:val="center"/>
              <w:rPr>
                <w:rFonts w:ascii="宋体"/>
                <w:sz w:val="21"/>
                <w:szCs w:val="21"/>
              </w:rPr>
            </w:pPr>
          </w:p>
        </w:tc>
        <w:tc>
          <w:tcPr>
            <w:tcW w:w="1298" w:type="dxa"/>
            <w:gridSpan w:val="2"/>
            <w:vAlign w:val="center"/>
          </w:tcPr>
          <w:p>
            <w:pPr>
              <w:spacing w:line="360" w:lineRule="auto"/>
              <w:jc w:val="center"/>
              <w:rPr>
                <w:rFonts w:ascii="宋体"/>
                <w:sz w:val="21"/>
                <w:szCs w:val="21"/>
              </w:rPr>
            </w:pPr>
          </w:p>
        </w:tc>
        <w:tc>
          <w:tcPr>
            <w:tcW w:w="1134" w:type="dxa"/>
            <w:vAlign w:val="center"/>
          </w:tcPr>
          <w:p>
            <w:pPr>
              <w:spacing w:line="360" w:lineRule="auto"/>
              <w:jc w:val="center"/>
              <w:rPr>
                <w:rFonts w:ascii="宋体"/>
                <w:sz w:val="21"/>
                <w:szCs w:val="21"/>
              </w:rPr>
            </w:pPr>
          </w:p>
        </w:tc>
        <w:tc>
          <w:tcPr>
            <w:tcW w:w="1559" w:type="dxa"/>
            <w:vAlign w:val="center"/>
          </w:tcPr>
          <w:p>
            <w:pPr>
              <w:spacing w:line="360" w:lineRule="auto"/>
              <w:jc w:val="center"/>
              <w:rPr>
                <w:rFonts w:ascii="宋体"/>
                <w:sz w:val="21"/>
                <w:szCs w:val="21"/>
              </w:rPr>
            </w:pPr>
          </w:p>
        </w:tc>
        <w:tc>
          <w:tcPr>
            <w:tcW w:w="1567" w:type="dxa"/>
            <w:vAlign w:val="center"/>
          </w:tcPr>
          <w:p>
            <w:pPr>
              <w:spacing w:line="360" w:lineRule="auto"/>
              <w:jc w:val="center"/>
              <w:rPr>
                <w:rFonts w:asci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Pr>
        <w:tc>
          <w:tcPr>
            <w:tcW w:w="3071" w:type="dxa"/>
            <w:vAlign w:val="center"/>
          </w:tcPr>
          <w:p>
            <w:pPr>
              <w:spacing w:line="360" w:lineRule="auto"/>
              <w:jc w:val="center"/>
              <w:rPr>
                <w:rFonts w:ascii="宋体"/>
                <w:sz w:val="21"/>
                <w:szCs w:val="21"/>
              </w:rPr>
            </w:pPr>
          </w:p>
        </w:tc>
        <w:tc>
          <w:tcPr>
            <w:tcW w:w="984" w:type="dxa"/>
            <w:vAlign w:val="center"/>
          </w:tcPr>
          <w:p>
            <w:pPr>
              <w:spacing w:line="360" w:lineRule="auto"/>
              <w:jc w:val="center"/>
              <w:rPr>
                <w:rFonts w:ascii="宋体"/>
                <w:sz w:val="21"/>
                <w:szCs w:val="21"/>
              </w:rPr>
            </w:pPr>
          </w:p>
        </w:tc>
        <w:tc>
          <w:tcPr>
            <w:tcW w:w="1298" w:type="dxa"/>
            <w:gridSpan w:val="2"/>
            <w:vAlign w:val="center"/>
          </w:tcPr>
          <w:p>
            <w:pPr>
              <w:spacing w:line="360" w:lineRule="auto"/>
              <w:jc w:val="center"/>
              <w:rPr>
                <w:rFonts w:ascii="宋体"/>
                <w:sz w:val="21"/>
                <w:szCs w:val="21"/>
              </w:rPr>
            </w:pPr>
          </w:p>
        </w:tc>
        <w:tc>
          <w:tcPr>
            <w:tcW w:w="1134" w:type="dxa"/>
            <w:vAlign w:val="center"/>
          </w:tcPr>
          <w:p>
            <w:pPr>
              <w:spacing w:line="360" w:lineRule="auto"/>
              <w:jc w:val="center"/>
              <w:rPr>
                <w:rFonts w:ascii="宋体"/>
                <w:sz w:val="21"/>
                <w:szCs w:val="21"/>
              </w:rPr>
            </w:pPr>
          </w:p>
        </w:tc>
        <w:tc>
          <w:tcPr>
            <w:tcW w:w="1559" w:type="dxa"/>
            <w:vAlign w:val="center"/>
          </w:tcPr>
          <w:p>
            <w:pPr>
              <w:spacing w:line="360" w:lineRule="auto"/>
              <w:jc w:val="center"/>
              <w:rPr>
                <w:rFonts w:ascii="宋体"/>
                <w:sz w:val="21"/>
                <w:szCs w:val="21"/>
              </w:rPr>
            </w:pPr>
          </w:p>
        </w:tc>
        <w:tc>
          <w:tcPr>
            <w:tcW w:w="1567" w:type="dxa"/>
            <w:vAlign w:val="center"/>
          </w:tcPr>
          <w:p>
            <w:pPr>
              <w:spacing w:line="360" w:lineRule="auto"/>
              <w:jc w:val="center"/>
              <w:rPr>
                <w:rFonts w:asci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Pr>
        <w:tc>
          <w:tcPr>
            <w:tcW w:w="3071" w:type="dxa"/>
            <w:vAlign w:val="center"/>
          </w:tcPr>
          <w:p>
            <w:pPr>
              <w:spacing w:line="360" w:lineRule="auto"/>
              <w:jc w:val="center"/>
              <w:rPr>
                <w:rFonts w:ascii="宋体"/>
                <w:sz w:val="21"/>
                <w:szCs w:val="21"/>
              </w:rPr>
            </w:pPr>
          </w:p>
        </w:tc>
        <w:tc>
          <w:tcPr>
            <w:tcW w:w="984" w:type="dxa"/>
            <w:vAlign w:val="center"/>
          </w:tcPr>
          <w:p>
            <w:pPr>
              <w:spacing w:line="360" w:lineRule="auto"/>
              <w:jc w:val="center"/>
              <w:rPr>
                <w:rFonts w:ascii="宋体"/>
                <w:sz w:val="21"/>
                <w:szCs w:val="21"/>
              </w:rPr>
            </w:pPr>
          </w:p>
        </w:tc>
        <w:tc>
          <w:tcPr>
            <w:tcW w:w="1298" w:type="dxa"/>
            <w:gridSpan w:val="2"/>
            <w:vAlign w:val="center"/>
          </w:tcPr>
          <w:p>
            <w:pPr>
              <w:spacing w:line="360" w:lineRule="auto"/>
              <w:jc w:val="center"/>
              <w:rPr>
                <w:rFonts w:ascii="宋体"/>
                <w:sz w:val="21"/>
                <w:szCs w:val="21"/>
              </w:rPr>
            </w:pPr>
          </w:p>
        </w:tc>
        <w:tc>
          <w:tcPr>
            <w:tcW w:w="1134" w:type="dxa"/>
            <w:vAlign w:val="center"/>
          </w:tcPr>
          <w:p>
            <w:pPr>
              <w:spacing w:line="360" w:lineRule="auto"/>
              <w:jc w:val="center"/>
              <w:rPr>
                <w:rFonts w:ascii="宋体"/>
                <w:sz w:val="21"/>
                <w:szCs w:val="21"/>
              </w:rPr>
            </w:pPr>
          </w:p>
        </w:tc>
        <w:tc>
          <w:tcPr>
            <w:tcW w:w="1559" w:type="dxa"/>
            <w:vAlign w:val="center"/>
          </w:tcPr>
          <w:p>
            <w:pPr>
              <w:spacing w:line="360" w:lineRule="auto"/>
              <w:jc w:val="center"/>
              <w:rPr>
                <w:rFonts w:ascii="宋体"/>
                <w:sz w:val="21"/>
                <w:szCs w:val="21"/>
              </w:rPr>
            </w:pPr>
          </w:p>
        </w:tc>
        <w:tc>
          <w:tcPr>
            <w:tcW w:w="1567" w:type="dxa"/>
            <w:vAlign w:val="center"/>
          </w:tcPr>
          <w:p>
            <w:pPr>
              <w:spacing w:line="360" w:lineRule="auto"/>
              <w:jc w:val="center"/>
              <w:rPr>
                <w:rFonts w:asci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Pr>
        <w:tc>
          <w:tcPr>
            <w:tcW w:w="3071" w:type="dxa"/>
            <w:vAlign w:val="center"/>
          </w:tcPr>
          <w:p>
            <w:pPr>
              <w:spacing w:line="360" w:lineRule="auto"/>
              <w:jc w:val="center"/>
              <w:rPr>
                <w:rFonts w:ascii="宋体"/>
                <w:sz w:val="21"/>
                <w:szCs w:val="21"/>
              </w:rPr>
            </w:pPr>
          </w:p>
        </w:tc>
        <w:tc>
          <w:tcPr>
            <w:tcW w:w="984" w:type="dxa"/>
            <w:vAlign w:val="center"/>
          </w:tcPr>
          <w:p>
            <w:pPr>
              <w:spacing w:line="360" w:lineRule="auto"/>
              <w:jc w:val="center"/>
              <w:rPr>
                <w:rFonts w:ascii="宋体"/>
                <w:sz w:val="21"/>
                <w:szCs w:val="21"/>
              </w:rPr>
            </w:pPr>
          </w:p>
        </w:tc>
        <w:tc>
          <w:tcPr>
            <w:tcW w:w="1298" w:type="dxa"/>
            <w:gridSpan w:val="2"/>
            <w:vAlign w:val="center"/>
          </w:tcPr>
          <w:p>
            <w:pPr>
              <w:spacing w:line="360" w:lineRule="auto"/>
              <w:jc w:val="center"/>
              <w:rPr>
                <w:rFonts w:ascii="宋体"/>
                <w:sz w:val="21"/>
                <w:szCs w:val="21"/>
              </w:rPr>
            </w:pPr>
          </w:p>
        </w:tc>
        <w:tc>
          <w:tcPr>
            <w:tcW w:w="1134" w:type="dxa"/>
            <w:vAlign w:val="center"/>
          </w:tcPr>
          <w:p>
            <w:pPr>
              <w:spacing w:line="360" w:lineRule="auto"/>
              <w:jc w:val="center"/>
              <w:rPr>
                <w:rFonts w:ascii="宋体"/>
                <w:sz w:val="21"/>
                <w:szCs w:val="21"/>
              </w:rPr>
            </w:pPr>
          </w:p>
        </w:tc>
        <w:tc>
          <w:tcPr>
            <w:tcW w:w="1559" w:type="dxa"/>
            <w:vAlign w:val="center"/>
          </w:tcPr>
          <w:p>
            <w:pPr>
              <w:spacing w:line="360" w:lineRule="auto"/>
              <w:jc w:val="center"/>
              <w:rPr>
                <w:rFonts w:ascii="宋体"/>
                <w:sz w:val="21"/>
                <w:szCs w:val="21"/>
              </w:rPr>
            </w:pPr>
          </w:p>
        </w:tc>
        <w:tc>
          <w:tcPr>
            <w:tcW w:w="1567" w:type="dxa"/>
            <w:vAlign w:val="center"/>
          </w:tcPr>
          <w:p>
            <w:pPr>
              <w:spacing w:line="360" w:lineRule="auto"/>
              <w:jc w:val="center"/>
              <w:rPr>
                <w:rFonts w:asci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cantSplit/>
        </w:trPr>
        <w:tc>
          <w:tcPr>
            <w:tcW w:w="9613" w:type="dxa"/>
            <w:gridSpan w:val="7"/>
            <w:vAlign w:val="center"/>
          </w:tcPr>
          <w:p>
            <w:pPr>
              <w:spacing w:line="360" w:lineRule="auto"/>
              <w:rPr>
                <w:rFonts w:ascii="宋体"/>
                <w:sz w:val="21"/>
                <w:szCs w:val="21"/>
              </w:rPr>
            </w:pPr>
            <w:r>
              <w:rPr>
                <w:rFonts w:ascii="宋体"/>
                <w:sz w:val="21"/>
                <w:szCs w:val="21"/>
              </w:rPr>
              <w:t>合计人民币（小写）：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cantSplit/>
        </w:trPr>
        <w:tc>
          <w:tcPr>
            <w:tcW w:w="9613" w:type="dxa"/>
            <w:gridSpan w:val="7"/>
            <w:vAlign w:val="center"/>
          </w:tcPr>
          <w:p>
            <w:pPr>
              <w:spacing w:line="360" w:lineRule="auto"/>
              <w:rPr>
                <w:rFonts w:ascii="宋体"/>
                <w:sz w:val="21"/>
                <w:szCs w:val="21"/>
              </w:rPr>
            </w:pPr>
            <w:r>
              <w:rPr>
                <w:rFonts w:ascii="宋体"/>
                <w:sz w:val="21"/>
                <w:szCs w:val="21"/>
              </w:rPr>
              <w:t>合计人民币（大写）：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cantSplit/>
          <w:trHeight w:val="2052" w:hRule="atLeast"/>
        </w:trPr>
        <w:tc>
          <w:tcPr>
            <w:tcW w:w="9613" w:type="dxa"/>
            <w:gridSpan w:val="7"/>
          </w:tcPr>
          <w:p>
            <w:pPr>
              <w:spacing w:line="360" w:lineRule="auto"/>
              <w:rPr>
                <w:rFonts w:ascii="宋体"/>
                <w:sz w:val="21"/>
                <w:szCs w:val="21"/>
              </w:rPr>
            </w:pPr>
            <w:r>
              <w:rPr>
                <w:rFonts w:ascii="宋体"/>
                <w:sz w:val="21"/>
                <w:szCs w:val="21"/>
              </w:rPr>
              <w:t>一、质量要求和技术标准：</w:t>
            </w:r>
          </w:p>
          <w:p>
            <w:pPr>
              <w:spacing w:line="360" w:lineRule="auto"/>
              <w:rPr>
                <w:rFonts w:ascii="宋体"/>
                <w:sz w:val="21"/>
                <w:szCs w:val="21"/>
              </w:rPr>
            </w:pPr>
            <w:r>
              <w:rPr>
                <w:rFonts w:ascii="宋体"/>
                <w:sz w:val="21"/>
                <w:szCs w:val="21"/>
              </w:rPr>
              <w:t>1、服务措施：</w:t>
            </w:r>
          </w:p>
          <w:p>
            <w:pPr>
              <w:spacing w:line="360" w:lineRule="auto"/>
              <w:rPr>
                <w:rFonts w:asci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2" w:hRule="atLeast"/>
        </w:trPr>
        <w:tc>
          <w:tcPr>
            <w:tcW w:w="9628" w:type="dxa"/>
            <w:gridSpan w:val="8"/>
          </w:tcPr>
          <w:p>
            <w:pPr>
              <w:spacing w:line="360" w:lineRule="auto"/>
              <w:rPr>
                <w:rFonts w:ascii="宋体"/>
                <w:sz w:val="21"/>
                <w:szCs w:val="21"/>
              </w:rPr>
            </w:pPr>
            <w:r>
              <w:rPr>
                <w:rFonts w:hint="eastAsia" w:ascii="宋体"/>
                <w:sz w:val="21"/>
                <w:szCs w:val="21"/>
              </w:rPr>
              <w:t>二</w:t>
            </w:r>
            <w:r>
              <w:rPr>
                <w:rFonts w:ascii="宋体"/>
                <w:sz w:val="21"/>
                <w:szCs w:val="21"/>
              </w:rPr>
              <w:t>、验收标准、方法：</w:t>
            </w:r>
          </w:p>
          <w:p>
            <w:pPr>
              <w:spacing w:line="360" w:lineRule="auto"/>
              <w:rPr>
                <w:rFonts w:asci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7" w:hRule="atLeast"/>
        </w:trPr>
        <w:tc>
          <w:tcPr>
            <w:tcW w:w="9628" w:type="dxa"/>
            <w:gridSpan w:val="8"/>
          </w:tcPr>
          <w:p>
            <w:pPr>
              <w:spacing w:line="360" w:lineRule="auto"/>
              <w:rPr>
                <w:rFonts w:ascii="宋体"/>
                <w:sz w:val="21"/>
                <w:szCs w:val="21"/>
              </w:rPr>
            </w:pPr>
            <w:r>
              <w:rPr>
                <w:rFonts w:hint="eastAsia" w:ascii="宋体"/>
                <w:sz w:val="21"/>
                <w:szCs w:val="21"/>
              </w:rPr>
              <w:t>三</w:t>
            </w:r>
            <w:r>
              <w:rPr>
                <w:rFonts w:ascii="宋体"/>
                <w:sz w:val="21"/>
                <w:szCs w:val="21"/>
              </w:rPr>
              <w:t>、付款方式：</w:t>
            </w:r>
          </w:p>
          <w:p>
            <w:pPr>
              <w:pStyle w:val="36"/>
              <w:spacing w:line="360" w:lineRule="auto"/>
              <w:ind w:left="980"/>
              <w:rPr>
                <w:rFonts w:asci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7" w:hRule="atLeast"/>
        </w:trPr>
        <w:tc>
          <w:tcPr>
            <w:tcW w:w="9628" w:type="dxa"/>
            <w:gridSpan w:val="8"/>
          </w:tcPr>
          <w:p>
            <w:pPr>
              <w:spacing w:line="360" w:lineRule="auto"/>
              <w:rPr>
                <w:rFonts w:ascii="宋体"/>
                <w:sz w:val="21"/>
                <w:szCs w:val="21"/>
              </w:rPr>
            </w:pPr>
            <w:r>
              <w:rPr>
                <w:rFonts w:hint="eastAsia" w:ascii="宋体"/>
                <w:sz w:val="21"/>
                <w:szCs w:val="21"/>
              </w:rPr>
              <w:t>四</w:t>
            </w:r>
            <w:r>
              <w:rPr>
                <w:rFonts w:ascii="宋体"/>
                <w:sz w:val="21"/>
                <w:szCs w:val="21"/>
              </w:rPr>
              <w:t>、违约责任：</w:t>
            </w:r>
          </w:p>
          <w:p>
            <w:pPr>
              <w:spacing w:line="360" w:lineRule="auto"/>
              <w:rPr>
                <w:rFonts w:ascii="宋体"/>
                <w:sz w:val="21"/>
                <w:szCs w:val="21"/>
              </w:rPr>
            </w:pPr>
            <w:r>
              <w:rPr>
                <w:rFonts w:ascii="宋体"/>
                <w:sz w:val="21"/>
                <w:szCs w:val="21"/>
              </w:rPr>
              <w:t>按《</w:t>
            </w:r>
            <w:r>
              <w:rPr>
                <w:rFonts w:hint="eastAsia" w:ascii="宋体"/>
                <w:sz w:val="21"/>
                <w:szCs w:val="21"/>
              </w:rPr>
              <w:t>民法典</w:t>
            </w:r>
            <w:r>
              <w:rPr>
                <w:rFonts w:ascii="宋体"/>
                <w:sz w:val="21"/>
                <w:szCs w:val="21"/>
              </w:rPr>
              <w:t>》、《</w:t>
            </w:r>
            <w:r>
              <w:rPr>
                <w:rFonts w:hint="eastAsia" w:ascii="宋体"/>
                <w:sz w:val="21"/>
                <w:szCs w:val="21"/>
              </w:rPr>
              <w:t>中华人民共和国政府采购法</w:t>
            </w:r>
            <w:r>
              <w:rPr>
                <w:rFonts w:ascii="宋体"/>
                <w:sz w:val="21"/>
                <w:szCs w:val="21"/>
              </w:rPr>
              <w:t>》执行，或按双方约定。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1" w:hRule="atLeast"/>
        </w:trPr>
        <w:tc>
          <w:tcPr>
            <w:tcW w:w="9628" w:type="dxa"/>
            <w:gridSpan w:val="8"/>
          </w:tcPr>
          <w:p>
            <w:pPr>
              <w:spacing w:line="360" w:lineRule="auto"/>
              <w:rPr>
                <w:rFonts w:ascii="宋体"/>
                <w:sz w:val="21"/>
                <w:szCs w:val="21"/>
              </w:rPr>
            </w:pPr>
            <w:r>
              <w:rPr>
                <w:rFonts w:hint="eastAsia" w:ascii="宋体"/>
                <w:sz w:val="21"/>
                <w:szCs w:val="21"/>
              </w:rPr>
              <w:t>五</w:t>
            </w:r>
            <w:r>
              <w:rPr>
                <w:rFonts w:ascii="宋体"/>
                <w:sz w:val="21"/>
                <w:szCs w:val="21"/>
              </w:rPr>
              <w:t>、其他约定事项：</w:t>
            </w:r>
          </w:p>
          <w:p>
            <w:pPr>
              <w:spacing w:line="360" w:lineRule="auto"/>
              <w:rPr>
                <w:rFonts w:ascii="宋体"/>
                <w:sz w:val="21"/>
                <w:szCs w:val="21"/>
              </w:rPr>
            </w:pPr>
            <w:r>
              <w:rPr>
                <w:rFonts w:ascii="宋体"/>
                <w:sz w:val="21"/>
                <w:szCs w:val="21"/>
              </w:rPr>
              <w:t>1、</w:t>
            </w:r>
            <w:r>
              <w:rPr>
                <w:rFonts w:hint="eastAsia" w:ascii="宋体"/>
                <w:sz w:val="21"/>
                <w:szCs w:val="21"/>
              </w:rPr>
              <w:t>招标</w:t>
            </w:r>
            <w:r>
              <w:rPr>
                <w:rFonts w:ascii="宋体"/>
                <w:sz w:val="21"/>
                <w:szCs w:val="21"/>
              </w:rPr>
              <w:t>文件及其补遗文件、</w:t>
            </w:r>
            <w:r>
              <w:rPr>
                <w:rFonts w:hint="eastAsia" w:ascii="宋体"/>
                <w:sz w:val="21"/>
                <w:szCs w:val="21"/>
              </w:rPr>
              <w:t>投标</w:t>
            </w:r>
            <w:r>
              <w:rPr>
                <w:rFonts w:ascii="宋体"/>
                <w:sz w:val="21"/>
                <w:szCs w:val="21"/>
              </w:rPr>
              <w:t>文件和承诺是本合同不可分割的部分。</w:t>
            </w:r>
          </w:p>
          <w:p>
            <w:pPr>
              <w:spacing w:line="360" w:lineRule="auto"/>
              <w:ind w:left="360"/>
              <w:rPr>
                <w:rFonts w:ascii="宋体"/>
                <w:sz w:val="21"/>
                <w:szCs w:val="21"/>
              </w:rPr>
            </w:pPr>
            <w:r>
              <w:rPr>
                <w:rFonts w:ascii="宋体"/>
                <w:sz w:val="21"/>
                <w:szCs w:val="21"/>
              </w:rPr>
              <w:t>本合同如发生争议由双方协商解决，协商不成向需方所在人民法院提请诉讼。</w:t>
            </w:r>
          </w:p>
          <w:p>
            <w:pPr>
              <w:spacing w:line="360" w:lineRule="auto"/>
              <w:ind w:left="360"/>
              <w:rPr>
                <w:rFonts w:ascii="宋体"/>
                <w:sz w:val="21"/>
                <w:szCs w:val="21"/>
              </w:rPr>
            </w:pPr>
            <w:r>
              <w:rPr>
                <w:rFonts w:ascii="宋体"/>
                <w:sz w:val="21"/>
                <w:szCs w:val="21"/>
              </w:rPr>
              <w:t>本合同一式__份， 需方__份，供方__份，具同等法律效力。</w:t>
            </w:r>
          </w:p>
          <w:p>
            <w:pPr>
              <w:spacing w:line="360" w:lineRule="auto"/>
              <w:rPr>
                <w:rFonts w:ascii="宋体"/>
                <w:sz w:val="21"/>
                <w:szCs w:val="21"/>
              </w:rPr>
            </w:pPr>
            <w:r>
              <w:rPr>
                <w:rFonts w:hint="eastAsia" w:ascii="宋体"/>
                <w:sz w:val="21"/>
                <w:szCs w:val="21"/>
              </w:rPr>
              <w:t>2</w:t>
            </w:r>
            <w:r>
              <w:rPr>
                <w:rFonts w:ascii="宋体"/>
                <w:sz w:val="21"/>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8" w:hRule="atLeast"/>
        </w:trPr>
        <w:tc>
          <w:tcPr>
            <w:tcW w:w="4503" w:type="dxa"/>
            <w:gridSpan w:val="3"/>
          </w:tcPr>
          <w:p>
            <w:pPr>
              <w:spacing w:line="360" w:lineRule="auto"/>
              <w:rPr>
                <w:rFonts w:ascii="宋体"/>
                <w:sz w:val="21"/>
                <w:szCs w:val="21"/>
              </w:rPr>
            </w:pPr>
            <w:r>
              <w:rPr>
                <w:rFonts w:ascii="宋体"/>
                <w:sz w:val="21"/>
                <w:szCs w:val="21"/>
              </w:rPr>
              <w:t>需方：</w:t>
            </w:r>
          </w:p>
          <w:p>
            <w:pPr>
              <w:spacing w:line="360" w:lineRule="auto"/>
              <w:rPr>
                <w:rFonts w:ascii="宋体"/>
                <w:sz w:val="21"/>
                <w:szCs w:val="21"/>
              </w:rPr>
            </w:pPr>
            <w:r>
              <w:rPr>
                <w:rFonts w:ascii="宋体"/>
                <w:sz w:val="21"/>
                <w:szCs w:val="21"/>
              </w:rPr>
              <w:t>地址：</w:t>
            </w:r>
          </w:p>
          <w:p>
            <w:pPr>
              <w:spacing w:line="360" w:lineRule="auto"/>
              <w:rPr>
                <w:rFonts w:ascii="宋体"/>
                <w:sz w:val="21"/>
                <w:szCs w:val="21"/>
              </w:rPr>
            </w:pPr>
            <w:r>
              <w:rPr>
                <w:rFonts w:ascii="宋体"/>
                <w:sz w:val="21"/>
                <w:szCs w:val="21"/>
              </w:rPr>
              <w:t>联系电话：</w:t>
            </w:r>
          </w:p>
          <w:p>
            <w:pPr>
              <w:spacing w:line="360" w:lineRule="auto"/>
              <w:rPr>
                <w:rFonts w:ascii="宋体"/>
                <w:sz w:val="21"/>
                <w:szCs w:val="21"/>
              </w:rPr>
            </w:pPr>
            <w:r>
              <w:rPr>
                <w:rFonts w:ascii="宋体"/>
                <w:sz w:val="21"/>
                <w:szCs w:val="21"/>
              </w:rPr>
              <w:t>授权代表：</w:t>
            </w:r>
          </w:p>
        </w:tc>
        <w:tc>
          <w:tcPr>
            <w:tcW w:w="5125" w:type="dxa"/>
            <w:gridSpan w:val="5"/>
          </w:tcPr>
          <w:p>
            <w:pPr>
              <w:spacing w:line="360" w:lineRule="auto"/>
              <w:rPr>
                <w:rFonts w:ascii="宋体"/>
                <w:sz w:val="21"/>
                <w:szCs w:val="21"/>
              </w:rPr>
            </w:pPr>
            <w:r>
              <w:rPr>
                <w:rFonts w:ascii="宋体"/>
                <w:sz w:val="21"/>
                <w:szCs w:val="21"/>
              </w:rPr>
              <w:t>供方：</w:t>
            </w:r>
          </w:p>
          <w:p>
            <w:pPr>
              <w:spacing w:line="360" w:lineRule="auto"/>
              <w:rPr>
                <w:rFonts w:ascii="宋体"/>
                <w:sz w:val="21"/>
                <w:szCs w:val="21"/>
              </w:rPr>
            </w:pPr>
            <w:r>
              <w:rPr>
                <w:rFonts w:ascii="宋体"/>
                <w:sz w:val="21"/>
                <w:szCs w:val="21"/>
              </w:rPr>
              <w:t>地址：</w:t>
            </w:r>
          </w:p>
          <w:p>
            <w:pPr>
              <w:spacing w:line="360" w:lineRule="auto"/>
              <w:rPr>
                <w:rFonts w:ascii="宋体"/>
                <w:sz w:val="21"/>
                <w:szCs w:val="21"/>
              </w:rPr>
            </w:pPr>
            <w:r>
              <w:rPr>
                <w:rFonts w:ascii="宋体"/>
                <w:sz w:val="21"/>
                <w:szCs w:val="21"/>
              </w:rPr>
              <w:t>电话：</w:t>
            </w:r>
          </w:p>
          <w:p>
            <w:pPr>
              <w:spacing w:line="360" w:lineRule="auto"/>
              <w:rPr>
                <w:rFonts w:ascii="宋体"/>
                <w:sz w:val="21"/>
                <w:szCs w:val="21"/>
              </w:rPr>
            </w:pPr>
            <w:r>
              <w:rPr>
                <w:rFonts w:ascii="宋体"/>
                <w:sz w:val="21"/>
                <w:szCs w:val="21"/>
              </w:rPr>
              <w:t>传真：</w:t>
            </w:r>
          </w:p>
          <w:p>
            <w:pPr>
              <w:spacing w:line="360" w:lineRule="auto"/>
              <w:rPr>
                <w:rFonts w:ascii="宋体"/>
                <w:sz w:val="21"/>
                <w:szCs w:val="21"/>
              </w:rPr>
            </w:pPr>
            <w:r>
              <w:rPr>
                <w:rFonts w:ascii="宋体"/>
                <w:sz w:val="21"/>
                <w:szCs w:val="21"/>
              </w:rPr>
              <w:t>开户银行：</w:t>
            </w:r>
          </w:p>
          <w:p>
            <w:pPr>
              <w:spacing w:line="360" w:lineRule="auto"/>
              <w:rPr>
                <w:rFonts w:ascii="宋体"/>
                <w:sz w:val="21"/>
                <w:szCs w:val="21"/>
              </w:rPr>
            </w:pPr>
            <w:r>
              <w:rPr>
                <w:rFonts w:ascii="宋体"/>
                <w:sz w:val="21"/>
                <w:szCs w:val="21"/>
              </w:rPr>
              <w:t>账号：</w:t>
            </w:r>
          </w:p>
          <w:p>
            <w:pPr>
              <w:spacing w:line="360" w:lineRule="auto"/>
              <w:rPr>
                <w:rFonts w:ascii="宋体"/>
                <w:sz w:val="21"/>
                <w:szCs w:val="21"/>
              </w:rPr>
            </w:pPr>
            <w:r>
              <w:rPr>
                <w:rFonts w:ascii="宋体"/>
                <w:sz w:val="21"/>
                <w:szCs w:val="21"/>
              </w:rPr>
              <w:t>授权代表：</w:t>
            </w:r>
          </w:p>
          <w:p>
            <w:pPr>
              <w:widowControl/>
              <w:spacing w:line="360" w:lineRule="auto"/>
              <w:jc w:val="left"/>
              <w:rPr>
                <w:rFonts w:ascii="宋体"/>
                <w:sz w:val="21"/>
                <w:szCs w:val="21"/>
              </w:rPr>
            </w:pPr>
            <w:r>
              <w:rPr>
                <w:rFonts w:ascii="宋体"/>
                <w:sz w:val="21"/>
                <w:szCs w:val="21"/>
              </w:rPr>
              <w:t>（本栏请用计算机打印以便于准确付款）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2" w:hRule="atLeast"/>
        </w:trPr>
        <w:tc>
          <w:tcPr>
            <w:tcW w:w="9628" w:type="dxa"/>
            <w:gridSpan w:val="8"/>
          </w:tcPr>
          <w:p>
            <w:pPr>
              <w:spacing w:line="360" w:lineRule="auto"/>
              <w:rPr>
                <w:rFonts w:ascii="宋体"/>
                <w:sz w:val="21"/>
                <w:szCs w:val="21"/>
              </w:rPr>
            </w:pPr>
            <w:r>
              <w:rPr>
                <w:rFonts w:ascii="宋体"/>
                <w:sz w:val="21"/>
                <w:szCs w:val="21"/>
              </w:rPr>
              <w:t>备注：</w:t>
            </w:r>
          </w:p>
          <w:p>
            <w:pPr>
              <w:spacing w:line="360" w:lineRule="auto"/>
              <w:rPr>
                <w:rFonts w:ascii="宋体"/>
                <w:sz w:val="21"/>
                <w:szCs w:val="21"/>
              </w:rPr>
            </w:pPr>
          </w:p>
          <w:p>
            <w:pPr>
              <w:spacing w:line="360" w:lineRule="auto"/>
              <w:rPr>
                <w:rFonts w:ascii="宋体"/>
                <w:sz w:val="21"/>
                <w:szCs w:val="21"/>
              </w:rPr>
            </w:pPr>
          </w:p>
        </w:tc>
      </w:tr>
    </w:tbl>
    <w:p>
      <w:pPr>
        <w:spacing w:line="360" w:lineRule="auto"/>
        <w:ind w:firstLine="480" w:firstLineChars="200"/>
        <w:rPr>
          <w:rFonts w:ascii="宋体"/>
          <w:sz w:val="24"/>
        </w:rPr>
      </w:pPr>
      <w:r>
        <w:rPr>
          <w:rFonts w:ascii="宋体"/>
          <w:sz w:val="24"/>
        </w:rPr>
        <w:t>签约时间：           年   月   日      签约地点：</w:t>
      </w:r>
    </w:p>
    <w:p>
      <w:pPr>
        <w:spacing w:line="500" w:lineRule="exact"/>
        <w:ind w:firstLine="480" w:firstLineChars="200"/>
        <w:rPr>
          <w:rFonts w:ascii="宋体"/>
          <w:sz w:val="24"/>
        </w:rPr>
        <w:sectPr>
          <w:headerReference r:id="rId10" w:type="default"/>
          <w:pgSz w:w="11907" w:h="16840"/>
          <w:pgMar w:top="1134" w:right="1191" w:bottom="1134" w:left="1191" w:header="851" w:footer="992" w:gutter="0"/>
          <w:pgNumType w:fmt="numberInDash"/>
          <w:cols w:space="720" w:num="1"/>
          <w:docGrid w:linePitch="381" w:charSpace="-5734"/>
        </w:sectPr>
      </w:pPr>
    </w:p>
    <w:p>
      <w:pPr>
        <w:pStyle w:val="5"/>
        <w:spacing w:line="360" w:lineRule="auto"/>
        <w:jc w:val="center"/>
        <w:rPr>
          <w:rFonts w:ascii="宋体" w:eastAsia="宋体"/>
          <w:sz w:val="36"/>
          <w:szCs w:val="30"/>
        </w:rPr>
      </w:pPr>
      <w:bookmarkStart w:id="146" w:name="_Toc137459416"/>
      <w:r>
        <w:rPr>
          <w:rFonts w:ascii="宋体" w:eastAsia="宋体"/>
          <w:sz w:val="36"/>
          <w:szCs w:val="30"/>
        </w:rPr>
        <w:t>第七篇  响应文件编制要求</w:t>
      </w:r>
      <w:bookmarkEnd w:id="145"/>
      <w:bookmarkEnd w:id="146"/>
    </w:p>
    <w:p>
      <w:pPr>
        <w:pStyle w:val="6"/>
        <w:spacing w:before="0" w:after="0" w:line="360" w:lineRule="auto"/>
        <w:ind w:firstLine="482" w:firstLineChars="200"/>
        <w:rPr>
          <w:rFonts w:ascii="宋体" w:hAnsi="宋体"/>
          <w:sz w:val="24"/>
          <w:szCs w:val="24"/>
        </w:rPr>
      </w:pPr>
      <w:bookmarkStart w:id="147" w:name="_Toc135234113"/>
      <w:bookmarkStart w:id="148" w:name="_Toc137459417"/>
      <w:r>
        <w:rPr>
          <w:rFonts w:ascii="宋体" w:hAnsi="宋体"/>
          <w:sz w:val="24"/>
          <w:szCs w:val="24"/>
        </w:rPr>
        <w:t>一、经济部分</w:t>
      </w:r>
      <w:bookmarkEnd w:id="147"/>
      <w:bookmarkEnd w:id="148"/>
    </w:p>
    <w:p>
      <w:pPr>
        <w:snapToGrid w:val="0"/>
        <w:spacing w:line="360" w:lineRule="auto"/>
        <w:ind w:firstLine="480" w:firstLineChars="200"/>
        <w:rPr>
          <w:sz w:val="24"/>
          <w:szCs w:val="24"/>
        </w:rPr>
      </w:pPr>
      <w:r>
        <w:rPr>
          <w:sz w:val="24"/>
          <w:szCs w:val="24"/>
        </w:rPr>
        <w:t>（一）竞争性磋商报价函</w:t>
      </w:r>
    </w:p>
    <w:p>
      <w:pPr>
        <w:snapToGrid w:val="0"/>
        <w:spacing w:line="360" w:lineRule="auto"/>
        <w:ind w:firstLine="480" w:firstLineChars="200"/>
        <w:rPr>
          <w:sz w:val="24"/>
          <w:szCs w:val="24"/>
        </w:rPr>
      </w:pPr>
      <w:r>
        <w:rPr>
          <w:rFonts w:hint="eastAsia"/>
          <w:sz w:val="24"/>
          <w:szCs w:val="24"/>
        </w:rPr>
        <w:t>（二）分项报价明细表</w:t>
      </w:r>
    </w:p>
    <w:p>
      <w:pPr>
        <w:pStyle w:val="6"/>
        <w:spacing w:before="0" w:after="0" w:line="360" w:lineRule="auto"/>
        <w:ind w:firstLine="482" w:firstLineChars="200"/>
        <w:rPr>
          <w:rFonts w:ascii="宋体" w:hAnsi="宋体"/>
          <w:sz w:val="24"/>
          <w:szCs w:val="24"/>
        </w:rPr>
      </w:pPr>
      <w:bookmarkStart w:id="149" w:name="_Toc78194469"/>
      <w:bookmarkStart w:id="150" w:name="_Toc135234114"/>
      <w:bookmarkStart w:id="151" w:name="_Toc137459418"/>
      <w:r>
        <w:rPr>
          <w:rFonts w:hint="eastAsia" w:ascii="宋体" w:hAnsi="宋体"/>
          <w:sz w:val="24"/>
          <w:szCs w:val="24"/>
        </w:rPr>
        <w:t>二、服务部分</w:t>
      </w:r>
      <w:bookmarkEnd w:id="149"/>
      <w:bookmarkEnd w:id="150"/>
      <w:bookmarkEnd w:id="151"/>
    </w:p>
    <w:p>
      <w:pPr>
        <w:snapToGrid w:val="0"/>
        <w:spacing w:line="360" w:lineRule="auto"/>
        <w:ind w:firstLine="480" w:firstLineChars="200"/>
        <w:rPr>
          <w:rFonts w:ascii="宋体" w:hAnsi="宋体"/>
          <w:sz w:val="24"/>
          <w:szCs w:val="24"/>
        </w:rPr>
      </w:pPr>
      <w:r>
        <w:rPr>
          <w:rFonts w:hint="eastAsia" w:ascii="宋体" w:hAnsi="宋体"/>
          <w:sz w:val="24"/>
          <w:szCs w:val="24"/>
        </w:rPr>
        <w:t>（一）服务方案</w:t>
      </w:r>
    </w:p>
    <w:p>
      <w:pPr>
        <w:snapToGrid w:val="0"/>
        <w:spacing w:line="360" w:lineRule="auto"/>
        <w:ind w:firstLine="480" w:firstLineChars="200"/>
        <w:rPr>
          <w:sz w:val="24"/>
          <w:szCs w:val="24"/>
        </w:rPr>
      </w:pPr>
      <w:r>
        <w:rPr>
          <w:rFonts w:hint="eastAsia" w:ascii="宋体" w:hAnsi="宋体"/>
          <w:sz w:val="24"/>
          <w:szCs w:val="24"/>
        </w:rPr>
        <w:t>（二）服务响应偏离表</w:t>
      </w:r>
    </w:p>
    <w:p>
      <w:pPr>
        <w:pStyle w:val="6"/>
        <w:spacing w:before="0" w:after="0" w:line="360" w:lineRule="auto"/>
        <w:ind w:firstLine="482" w:firstLineChars="200"/>
        <w:rPr>
          <w:rFonts w:ascii="宋体" w:hAnsi="宋体"/>
          <w:sz w:val="24"/>
          <w:szCs w:val="24"/>
        </w:rPr>
      </w:pPr>
      <w:bookmarkStart w:id="152" w:name="_Toc137459419"/>
      <w:bookmarkStart w:id="153" w:name="_Toc135234115"/>
      <w:r>
        <w:rPr>
          <w:rFonts w:ascii="宋体" w:hAnsi="宋体"/>
          <w:sz w:val="24"/>
          <w:szCs w:val="24"/>
        </w:rPr>
        <w:t>三、商务部分</w:t>
      </w:r>
      <w:bookmarkEnd w:id="152"/>
      <w:bookmarkEnd w:id="153"/>
    </w:p>
    <w:p>
      <w:pPr>
        <w:snapToGrid w:val="0"/>
        <w:spacing w:line="360" w:lineRule="auto"/>
        <w:ind w:firstLine="480" w:firstLineChars="200"/>
        <w:rPr>
          <w:sz w:val="24"/>
          <w:szCs w:val="24"/>
        </w:rPr>
      </w:pPr>
      <w:r>
        <w:rPr>
          <w:sz w:val="24"/>
          <w:szCs w:val="24"/>
        </w:rPr>
        <w:t>（一）</w:t>
      </w:r>
      <w:r>
        <w:rPr>
          <w:rFonts w:hint="eastAsia"/>
          <w:sz w:val="24"/>
          <w:szCs w:val="24"/>
        </w:rPr>
        <w:t>商务条款差异表</w:t>
      </w:r>
    </w:p>
    <w:p>
      <w:pPr>
        <w:snapToGrid w:val="0"/>
        <w:spacing w:line="360" w:lineRule="auto"/>
        <w:ind w:firstLine="480" w:firstLineChars="200"/>
        <w:rPr>
          <w:sz w:val="24"/>
          <w:szCs w:val="24"/>
        </w:rPr>
      </w:pPr>
      <w:r>
        <w:rPr>
          <w:sz w:val="24"/>
          <w:szCs w:val="24"/>
        </w:rPr>
        <w:t>（二）</w:t>
      </w:r>
      <w:r>
        <w:rPr>
          <w:rFonts w:hint="eastAsia"/>
          <w:sz w:val="24"/>
          <w:szCs w:val="24"/>
        </w:rPr>
        <w:t>其它优惠服务承诺</w:t>
      </w:r>
    </w:p>
    <w:p>
      <w:pPr>
        <w:pStyle w:val="6"/>
        <w:spacing w:before="0" w:after="0" w:line="360" w:lineRule="auto"/>
        <w:ind w:firstLine="482" w:firstLineChars="200"/>
        <w:rPr>
          <w:rFonts w:ascii="宋体" w:hAnsi="宋体"/>
          <w:sz w:val="24"/>
          <w:szCs w:val="24"/>
        </w:rPr>
      </w:pPr>
      <w:bookmarkStart w:id="154" w:name="_Toc137459420"/>
      <w:bookmarkStart w:id="155" w:name="_Toc135234116"/>
      <w:r>
        <w:rPr>
          <w:rFonts w:ascii="宋体" w:hAnsi="宋体"/>
          <w:sz w:val="24"/>
          <w:szCs w:val="24"/>
        </w:rPr>
        <w:t>四、资格条件及其他</w:t>
      </w:r>
      <w:bookmarkEnd w:id="154"/>
      <w:bookmarkEnd w:id="155"/>
    </w:p>
    <w:p>
      <w:pPr>
        <w:snapToGrid w:val="0"/>
        <w:spacing w:line="360" w:lineRule="auto"/>
        <w:ind w:firstLine="480" w:firstLineChars="200"/>
        <w:rPr>
          <w:rFonts w:ascii="宋体" w:hAnsi="宋体"/>
          <w:sz w:val="24"/>
          <w:szCs w:val="24"/>
        </w:rPr>
      </w:pPr>
      <w:r>
        <w:rPr>
          <w:rFonts w:hint="eastAsia" w:ascii="宋体" w:hAnsi="宋体"/>
          <w:sz w:val="24"/>
          <w:szCs w:val="24"/>
        </w:rPr>
        <w:t>（一）法人营业执照（副本）或事业单位法人证书（副本）或个体工商户营业执照或有效的自然人身份证明或社会团体法人登记证书复印件</w:t>
      </w:r>
    </w:p>
    <w:p>
      <w:pPr>
        <w:snapToGrid w:val="0"/>
        <w:spacing w:line="360" w:lineRule="auto"/>
        <w:ind w:firstLine="480" w:firstLineChars="200"/>
        <w:rPr>
          <w:rFonts w:ascii="宋体" w:hAnsi="宋体"/>
          <w:sz w:val="24"/>
          <w:szCs w:val="24"/>
        </w:rPr>
      </w:pPr>
      <w:r>
        <w:rPr>
          <w:rFonts w:hint="eastAsia" w:ascii="宋体" w:hAnsi="宋体"/>
          <w:sz w:val="24"/>
          <w:szCs w:val="24"/>
        </w:rPr>
        <w:t>（二）法定代表人身份证明书（格式）</w:t>
      </w:r>
    </w:p>
    <w:p>
      <w:pPr>
        <w:snapToGrid w:val="0"/>
        <w:spacing w:line="360" w:lineRule="auto"/>
        <w:ind w:firstLine="480" w:firstLineChars="200"/>
        <w:rPr>
          <w:rFonts w:ascii="宋体" w:hAnsi="宋体"/>
          <w:sz w:val="24"/>
          <w:szCs w:val="24"/>
        </w:rPr>
      </w:pPr>
      <w:r>
        <w:rPr>
          <w:rFonts w:hint="eastAsia" w:ascii="宋体" w:hAnsi="宋体"/>
          <w:sz w:val="24"/>
          <w:szCs w:val="24"/>
        </w:rPr>
        <w:t>（三）法定代表人授权委托书（格式）</w:t>
      </w:r>
    </w:p>
    <w:p>
      <w:pPr>
        <w:snapToGrid w:val="0"/>
        <w:spacing w:line="360" w:lineRule="auto"/>
        <w:ind w:firstLine="480" w:firstLineChars="200"/>
        <w:rPr>
          <w:rFonts w:ascii="宋体" w:hAnsi="宋体"/>
          <w:sz w:val="24"/>
          <w:szCs w:val="24"/>
        </w:rPr>
      </w:pPr>
      <w:r>
        <w:rPr>
          <w:rFonts w:hint="eastAsia" w:ascii="宋体" w:hAnsi="宋体"/>
          <w:sz w:val="24"/>
          <w:szCs w:val="24"/>
        </w:rPr>
        <w:t>（四）基本资格条件承诺函（格式）</w:t>
      </w:r>
    </w:p>
    <w:p>
      <w:pPr>
        <w:snapToGrid w:val="0"/>
        <w:spacing w:line="360" w:lineRule="auto"/>
        <w:ind w:firstLine="480" w:firstLineChars="200"/>
        <w:rPr>
          <w:rFonts w:ascii="宋体" w:hAnsi="宋体"/>
          <w:sz w:val="24"/>
          <w:szCs w:val="24"/>
        </w:rPr>
      </w:pPr>
      <w:r>
        <w:rPr>
          <w:rFonts w:hint="eastAsia" w:ascii="宋体" w:hAnsi="宋体"/>
          <w:sz w:val="24"/>
          <w:szCs w:val="24"/>
        </w:rPr>
        <w:t>（五）特定资格条件证书或证明文件（如有）</w:t>
      </w:r>
    </w:p>
    <w:p>
      <w:pPr>
        <w:snapToGrid w:val="0"/>
        <w:spacing w:line="360" w:lineRule="auto"/>
        <w:ind w:firstLine="480" w:firstLineChars="200"/>
        <w:rPr>
          <w:rFonts w:ascii="宋体" w:hAnsi="宋体"/>
          <w:sz w:val="24"/>
          <w:szCs w:val="24"/>
        </w:rPr>
      </w:pPr>
      <w:r>
        <w:rPr>
          <w:rFonts w:hint="eastAsia" w:ascii="宋体" w:hAnsi="宋体"/>
          <w:sz w:val="24"/>
          <w:szCs w:val="24"/>
        </w:rPr>
        <w:t>（六）落实政府采购政策需满足的资格要求（如有）</w:t>
      </w:r>
    </w:p>
    <w:p>
      <w:pPr>
        <w:snapToGrid w:val="0"/>
        <w:spacing w:line="360" w:lineRule="auto"/>
        <w:ind w:firstLine="480" w:firstLineChars="200"/>
        <w:rPr>
          <w:rFonts w:ascii="宋体" w:hAnsi="宋体"/>
          <w:sz w:val="24"/>
          <w:szCs w:val="24"/>
        </w:rPr>
      </w:pPr>
      <w:r>
        <w:rPr>
          <w:rFonts w:hint="eastAsia" w:ascii="宋体" w:hAnsi="宋体"/>
          <w:sz w:val="24"/>
          <w:szCs w:val="24"/>
        </w:rPr>
        <w:t>（七）</w:t>
      </w:r>
      <w:r>
        <w:rPr>
          <w:rFonts w:ascii="宋体" w:hAnsi="宋体"/>
          <w:sz w:val="24"/>
          <w:szCs w:val="24"/>
        </w:rPr>
        <w:t>其他应提供的资料</w:t>
      </w:r>
    </w:p>
    <w:p>
      <w:pPr>
        <w:snapToGrid w:val="0"/>
        <w:spacing w:line="360" w:lineRule="auto"/>
        <w:ind w:firstLine="480" w:firstLineChars="200"/>
        <w:rPr>
          <w:rFonts w:ascii="宋体" w:hAnsi="宋体"/>
          <w:sz w:val="24"/>
          <w:szCs w:val="24"/>
        </w:rPr>
      </w:pPr>
      <w:r>
        <w:rPr>
          <w:rFonts w:ascii="宋体" w:hAnsi="宋体"/>
          <w:sz w:val="24"/>
          <w:szCs w:val="24"/>
        </w:rPr>
        <w:t>1.</w:t>
      </w:r>
      <w:r>
        <w:rPr>
          <w:rFonts w:hint="eastAsia" w:ascii="宋体" w:hAnsi="宋体"/>
          <w:sz w:val="24"/>
          <w:szCs w:val="24"/>
        </w:rPr>
        <w:t>中小</w:t>
      </w:r>
      <w:r>
        <w:rPr>
          <w:rFonts w:ascii="宋体" w:hAnsi="宋体"/>
          <w:sz w:val="24"/>
          <w:szCs w:val="24"/>
        </w:rPr>
        <w:t>企业</w:t>
      </w:r>
      <w:r>
        <w:rPr>
          <w:rFonts w:hint="eastAsia" w:ascii="宋体" w:hAnsi="宋体"/>
          <w:sz w:val="24"/>
          <w:szCs w:val="24"/>
        </w:rPr>
        <w:t>声明函</w:t>
      </w:r>
      <w:r>
        <w:rPr>
          <w:rFonts w:ascii="宋体" w:hAnsi="宋体"/>
          <w:sz w:val="24"/>
          <w:szCs w:val="24"/>
        </w:rPr>
        <w:t>、监狱企业证明文件、残疾人福利性单位声明函</w:t>
      </w:r>
    </w:p>
    <w:p>
      <w:pPr>
        <w:snapToGrid w:val="0"/>
        <w:spacing w:line="360" w:lineRule="auto"/>
        <w:ind w:firstLine="480" w:firstLineChars="200"/>
        <w:rPr>
          <w:rFonts w:ascii="宋体" w:hAnsi="宋体"/>
          <w:sz w:val="24"/>
          <w:szCs w:val="24"/>
        </w:rPr>
      </w:pPr>
      <w:r>
        <w:rPr>
          <w:rFonts w:ascii="宋体" w:hAnsi="宋体"/>
          <w:sz w:val="24"/>
          <w:szCs w:val="24"/>
        </w:rPr>
        <w:t>2.其他与项目有关的资料（自附）</w:t>
      </w:r>
    </w:p>
    <w:p>
      <w:pPr>
        <w:snapToGrid w:val="0"/>
        <w:spacing w:line="360" w:lineRule="auto"/>
        <w:ind w:firstLine="480" w:firstLineChars="200"/>
        <w:rPr>
          <w:rFonts w:ascii="宋体" w:hAnsi="宋体"/>
          <w:sz w:val="24"/>
          <w:szCs w:val="24"/>
        </w:rPr>
      </w:pPr>
    </w:p>
    <w:p>
      <w:pPr>
        <w:spacing w:line="440" w:lineRule="exact"/>
        <w:ind w:firstLine="480" w:firstLineChars="200"/>
        <w:rPr>
          <w:sz w:val="24"/>
          <w:szCs w:val="24"/>
        </w:rPr>
        <w:sectPr>
          <w:headerReference r:id="rId11" w:type="default"/>
          <w:pgSz w:w="11907" w:h="16840"/>
          <w:pgMar w:top="1134" w:right="1191" w:bottom="1134" w:left="1191" w:header="851" w:footer="992" w:gutter="0"/>
          <w:pgNumType w:fmt="numberInDash"/>
          <w:cols w:space="720" w:num="1"/>
          <w:docGrid w:linePitch="381" w:charSpace="-5735"/>
        </w:sectPr>
      </w:pPr>
    </w:p>
    <w:p>
      <w:pPr>
        <w:pageBreakBefore/>
        <w:tabs>
          <w:tab w:val="left" w:pos="6300"/>
        </w:tabs>
        <w:snapToGrid w:val="0"/>
        <w:spacing w:line="360" w:lineRule="auto"/>
        <w:rPr>
          <w:b/>
          <w:sz w:val="24"/>
          <w:szCs w:val="24"/>
        </w:rPr>
      </w:pPr>
      <w:bookmarkStart w:id="156" w:name="_Toc313008356"/>
      <w:bookmarkStart w:id="157" w:name="_Toc23764522"/>
      <w:bookmarkStart w:id="158" w:name="_Toc342913419"/>
      <w:bookmarkStart w:id="159" w:name="_Toc313888360"/>
      <w:bookmarkStart w:id="160" w:name="_Toc283382454"/>
      <w:bookmarkStart w:id="161" w:name="_Toc12789073"/>
      <w:r>
        <w:rPr>
          <w:rFonts w:hint="eastAsia"/>
          <w:b/>
          <w:sz w:val="24"/>
          <w:szCs w:val="24"/>
        </w:rPr>
        <w:t xml:space="preserve">    </w:t>
      </w:r>
      <w:r>
        <w:rPr>
          <w:b/>
          <w:sz w:val="24"/>
          <w:szCs w:val="24"/>
        </w:rPr>
        <w:t>一、经济部分</w:t>
      </w:r>
      <w:bookmarkEnd w:id="156"/>
      <w:bookmarkEnd w:id="157"/>
      <w:bookmarkEnd w:id="158"/>
      <w:bookmarkEnd w:id="159"/>
    </w:p>
    <w:bookmarkEnd w:id="160"/>
    <w:bookmarkEnd w:id="161"/>
    <w:p>
      <w:pPr>
        <w:tabs>
          <w:tab w:val="left" w:pos="6300"/>
        </w:tabs>
        <w:snapToGrid w:val="0"/>
        <w:spacing w:line="520" w:lineRule="exact"/>
        <w:ind w:firstLine="480" w:firstLineChars="200"/>
        <w:rPr>
          <w:sz w:val="24"/>
          <w:szCs w:val="24"/>
        </w:rPr>
      </w:pPr>
      <w:r>
        <w:rPr>
          <w:sz w:val="24"/>
          <w:szCs w:val="24"/>
        </w:rPr>
        <w:t>（一）竞争性磋商报价函</w:t>
      </w:r>
    </w:p>
    <w:p>
      <w:pPr>
        <w:tabs>
          <w:tab w:val="left" w:pos="6300"/>
        </w:tabs>
        <w:snapToGrid w:val="0"/>
        <w:spacing w:line="520" w:lineRule="exact"/>
        <w:jc w:val="center"/>
        <w:outlineLvl w:val="0"/>
        <w:rPr>
          <w:b/>
          <w:szCs w:val="28"/>
        </w:rPr>
      </w:pPr>
      <w:r>
        <w:rPr>
          <w:b/>
          <w:szCs w:val="28"/>
        </w:rPr>
        <w:t>竞争性磋商报价函</w:t>
      </w:r>
    </w:p>
    <w:p>
      <w:pPr>
        <w:tabs>
          <w:tab w:val="left" w:pos="6300"/>
        </w:tabs>
        <w:snapToGrid w:val="0"/>
        <w:spacing w:line="520" w:lineRule="exact"/>
        <w:rPr>
          <w:sz w:val="24"/>
          <w:szCs w:val="24"/>
        </w:rPr>
      </w:pPr>
      <w:r>
        <w:rPr>
          <w:sz w:val="24"/>
          <w:szCs w:val="24"/>
          <w:u w:val="single"/>
        </w:rPr>
        <w:t>（采购代理机构名称）</w:t>
      </w:r>
      <w:r>
        <w:rPr>
          <w:sz w:val="24"/>
          <w:szCs w:val="24"/>
        </w:rPr>
        <w:t>：</w:t>
      </w:r>
    </w:p>
    <w:p>
      <w:pPr>
        <w:tabs>
          <w:tab w:val="left" w:pos="6300"/>
        </w:tabs>
        <w:snapToGrid w:val="0"/>
        <w:spacing w:line="520" w:lineRule="exact"/>
        <w:ind w:firstLine="480" w:firstLineChars="200"/>
        <w:rPr>
          <w:sz w:val="24"/>
          <w:szCs w:val="24"/>
        </w:rPr>
      </w:pPr>
      <w:r>
        <w:rPr>
          <w:sz w:val="24"/>
          <w:szCs w:val="24"/>
        </w:rPr>
        <w:t>我方收到____________________________（项目名称）的竞争性磋商文件，经详细研究，决定参加该项目的磋商。</w:t>
      </w:r>
    </w:p>
    <w:p>
      <w:pPr>
        <w:tabs>
          <w:tab w:val="left" w:pos="6300"/>
        </w:tabs>
        <w:snapToGrid w:val="0"/>
        <w:spacing w:line="520" w:lineRule="exact"/>
        <w:ind w:firstLine="480" w:firstLineChars="200"/>
        <w:rPr>
          <w:sz w:val="24"/>
          <w:szCs w:val="24"/>
        </w:rPr>
      </w:pPr>
      <w:r>
        <w:rPr>
          <w:sz w:val="24"/>
          <w:szCs w:val="24"/>
        </w:rPr>
        <w:t>1.愿意按照竞争性磋商文件中的一切要求，提供本项目的</w:t>
      </w:r>
      <w:r>
        <w:rPr>
          <w:rFonts w:hint="eastAsia"/>
          <w:sz w:val="24"/>
          <w:szCs w:val="24"/>
        </w:rPr>
        <w:t>施工</w:t>
      </w:r>
      <w:r>
        <w:rPr>
          <w:sz w:val="24"/>
          <w:szCs w:val="24"/>
        </w:rPr>
        <w:t>服务，初始报价为人民币大写：</w:t>
      </w:r>
      <w:r>
        <w:rPr>
          <w:sz w:val="24"/>
          <w:szCs w:val="24"/>
          <w:u w:val="single"/>
        </w:rPr>
        <w:t xml:space="preserve">      </w:t>
      </w:r>
      <w:r>
        <w:rPr>
          <w:rFonts w:hint="eastAsia"/>
          <w:sz w:val="24"/>
          <w:szCs w:val="24"/>
        </w:rPr>
        <w:t>元</w:t>
      </w:r>
      <w:r>
        <w:rPr>
          <w:sz w:val="24"/>
          <w:szCs w:val="24"/>
        </w:rPr>
        <w:t>；人民币小写：</w:t>
      </w:r>
      <w:r>
        <w:rPr>
          <w:sz w:val="24"/>
          <w:szCs w:val="24"/>
          <w:u w:val="single"/>
        </w:rPr>
        <w:t xml:space="preserve">    </w:t>
      </w:r>
      <w:r>
        <w:rPr>
          <w:rFonts w:hint="eastAsia"/>
          <w:sz w:val="24"/>
          <w:szCs w:val="24"/>
        </w:rPr>
        <w:t>元</w:t>
      </w:r>
      <w:r>
        <w:rPr>
          <w:sz w:val="24"/>
          <w:szCs w:val="24"/>
        </w:rPr>
        <w:t>。以我公司最后报价为准。</w:t>
      </w:r>
    </w:p>
    <w:p>
      <w:pPr>
        <w:tabs>
          <w:tab w:val="left" w:pos="6300"/>
        </w:tabs>
        <w:snapToGrid w:val="0"/>
        <w:spacing w:line="520" w:lineRule="exact"/>
        <w:ind w:firstLine="480" w:firstLineChars="200"/>
        <w:rPr>
          <w:rFonts w:ascii="宋体" w:hAnsi="宋体"/>
          <w:sz w:val="24"/>
          <w:szCs w:val="24"/>
        </w:rPr>
      </w:pPr>
      <w:r>
        <w:rPr>
          <w:rFonts w:ascii="宋体" w:hAnsi="宋体"/>
          <w:sz w:val="24"/>
          <w:szCs w:val="24"/>
        </w:rPr>
        <w:t>2.我方现提交的响应文件为：响应文件正本</w:t>
      </w:r>
      <w:r>
        <w:rPr>
          <w:rFonts w:ascii="宋体" w:hAnsi="宋体"/>
          <w:sz w:val="24"/>
          <w:szCs w:val="24"/>
          <w:u w:val="single"/>
        </w:rPr>
        <w:t xml:space="preserve">   </w:t>
      </w:r>
      <w:r>
        <w:rPr>
          <w:rFonts w:ascii="宋体" w:hAnsi="宋体"/>
          <w:sz w:val="24"/>
          <w:szCs w:val="24"/>
        </w:rPr>
        <w:t>份，副本</w:t>
      </w:r>
      <w:r>
        <w:rPr>
          <w:rFonts w:ascii="宋体" w:hAnsi="宋体"/>
          <w:sz w:val="24"/>
          <w:szCs w:val="24"/>
          <w:u w:val="single"/>
        </w:rPr>
        <w:t xml:space="preserve">   </w:t>
      </w:r>
      <w:r>
        <w:rPr>
          <w:rFonts w:ascii="宋体" w:hAnsi="宋体"/>
          <w:sz w:val="24"/>
          <w:szCs w:val="24"/>
        </w:rPr>
        <w:t>份</w:t>
      </w:r>
      <w:r>
        <w:rPr>
          <w:rFonts w:hint="eastAsia" w:ascii="宋体" w:hAnsi="宋体"/>
          <w:sz w:val="24"/>
          <w:szCs w:val="24"/>
        </w:rPr>
        <w:t>，电子文档</w:t>
      </w:r>
      <w:r>
        <w:rPr>
          <w:rFonts w:ascii="宋体" w:hAnsi="宋体"/>
          <w:sz w:val="24"/>
          <w:szCs w:val="24"/>
          <w:u w:val="single"/>
        </w:rPr>
        <w:t xml:space="preserve">   </w:t>
      </w:r>
      <w:r>
        <w:rPr>
          <w:rFonts w:ascii="宋体" w:hAnsi="宋体"/>
          <w:sz w:val="24"/>
          <w:szCs w:val="24"/>
        </w:rPr>
        <w:t>份 。</w:t>
      </w:r>
    </w:p>
    <w:p>
      <w:pPr>
        <w:tabs>
          <w:tab w:val="left" w:pos="6300"/>
        </w:tabs>
        <w:snapToGrid w:val="0"/>
        <w:spacing w:line="520" w:lineRule="exact"/>
        <w:ind w:firstLine="480" w:firstLineChars="200"/>
        <w:rPr>
          <w:rFonts w:ascii="宋体" w:hAnsi="宋体"/>
          <w:sz w:val="24"/>
          <w:szCs w:val="24"/>
        </w:rPr>
      </w:pPr>
      <w:r>
        <w:rPr>
          <w:rFonts w:ascii="宋体" w:hAnsi="宋体"/>
          <w:sz w:val="24"/>
          <w:szCs w:val="24"/>
        </w:rPr>
        <w:t>3.我方承诺：本次磋商的有效期为90天。</w:t>
      </w:r>
    </w:p>
    <w:p>
      <w:pPr>
        <w:tabs>
          <w:tab w:val="left" w:pos="6300"/>
        </w:tabs>
        <w:snapToGrid w:val="0"/>
        <w:spacing w:line="520" w:lineRule="exact"/>
        <w:ind w:firstLine="480" w:firstLineChars="200"/>
        <w:rPr>
          <w:rFonts w:ascii="宋体" w:hAnsi="宋体"/>
          <w:sz w:val="24"/>
          <w:szCs w:val="24"/>
        </w:rPr>
      </w:pPr>
      <w:r>
        <w:rPr>
          <w:rFonts w:ascii="宋体" w:hAnsi="宋体"/>
          <w:sz w:val="24"/>
          <w:szCs w:val="24"/>
        </w:rPr>
        <w:t>4.我方完全理解和接受贵方竞争性磋商文件的一切规定和要求及评审办法。</w:t>
      </w:r>
    </w:p>
    <w:p>
      <w:pPr>
        <w:tabs>
          <w:tab w:val="left" w:pos="6300"/>
        </w:tabs>
        <w:snapToGrid w:val="0"/>
        <w:spacing w:line="520" w:lineRule="exact"/>
        <w:ind w:firstLine="480" w:firstLineChars="200"/>
        <w:rPr>
          <w:rFonts w:ascii="宋体" w:hAnsi="宋体"/>
          <w:sz w:val="24"/>
          <w:szCs w:val="24"/>
        </w:rPr>
      </w:pPr>
      <w:r>
        <w:rPr>
          <w:rFonts w:ascii="宋体" w:hAnsi="宋体"/>
          <w:sz w:val="24"/>
          <w:szCs w:val="24"/>
        </w:rPr>
        <w:t>5.在整个竞争性磋商过程中，我方若有违规行为，接受按照《中华人民共和国政府采购法》和《竞争性磋商文件》之规定给予惩罚。</w:t>
      </w:r>
    </w:p>
    <w:p>
      <w:pPr>
        <w:tabs>
          <w:tab w:val="left" w:pos="6300"/>
        </w:tabs>
        <w:snapToGrid w:val="0"/>
        <w:spacing w:line="520" w:lineRule="exact"/>
        <w:ind w:firstLine="480" w:firstLineChars="200"/>
        <w:rPr>
          <w:rFonts w:ascii="宋体" w:hAnsi="宋体"/>
          <w:sz w:val="24"/>
          <w:szCs w:val="24"/>
        </w:rPr>
      </w:pPr>
      <w:r>
        <w:rPr>
          <w:rFonts w:ascii="宋体" w:hAnsi="宋体"/>
          <w:sz w:val="24"/>
          <w:szCs w:val="24"/>
        </w:rPr>
        <w:t>6.我方若成为成交供应商，将按照最终磋商结果签订合同，并且严格履行合同义务。本承诺函将成为合同不可分割的一部分，与合同具有同等的法律效力。</w:t>
      </w:r>
    </w:p>
    <w:p>
      <w:pPr>
        <w:tabs>
          <w:tab w:val="left" w:pos="6300"/>
        </w:tabs>
        <w:snapToGrid w:val="0"/>
        <w:spacing w:line="520" w:lineRule="exact"/>
        <w:ind w:firstLine="480" w:firstLineChars="200"/>
        <w:rPr>
          <w:rFonts w:ascii="宋体" w:hAnsi="宋体"/>
          <w:sz w:val="24"/>
          <w:szCs w:val="24"/>
        </w:rPr>
      </w:pPr>
      <w:r>
        <w:rPr>
          <w:rFonts w:ascii="宋体" w:hAnsi="宋体"/>
          <w:sz w:val="24"/>
          <w:szCs w:val="24"/>
        </w:rPr>
        <w:t>7.我方同意按竞争性磋商文件规定，交纳竞争性磋商文件要求的磋商保证金。如果我方成为成交供应商，保证在接到成交通知书后，</w:t>
      </w:r>
      <w:r>
        <w:rPr>
          <w:rFonts w:hint="eastAsia" w:ascii="宋体" w:hAnsi="宋体"/>
          <w:sz w:val="24"/>
          <w:szCs w:val="24"/>
        </w:rPr>
        <w:t>按</w:t>
      </w:r>
      <w:r>
        <w:rPr>
          <w:rFonts w:ascii="宋体" w:hAnsi="宋体"/>
          <w:sz w:val="24"/>
          <w:szCs w:val="24"/>
        </w:rPr>
        <w:t>竞争性磋商文件规定</w:t>
      </w:r>
      <w:r>
        <w:rPr>
          <w:rFonts w:hint="eastAsia" w:ascii="宋体" w:hAnsi="宋体"/>
          <w:sz w:val="24"/>
          <w:szCs w:val="24"/>
        </w:rPr>
        <w:t>缴纳</w:t>
      </w:r>
      <w:r>
        <w:rPr>
          <w:rFonts w:ascii="宋体" w:hAnsi="宋体"/>
          <w:sz w:val="24"/>
          <w:szCs w:val="24"/>
        </w:rPr>
        <w:t>采购代理服务费。</w:t>
      </w:r>
    </w:p>
    <w:p>
      <w:pPr>
        <w:tabs>
          <w:tab w:val="left" w:pos="6300"/>
        </w:tabs>
        <w:snapToGrid w:val="0"/>
        <w:spacing w:line="520" w:lineRule="exact"/>
        <w:ind w:firstLine="480" w:firstLineChars="200"/>
        <w:rPr>
          <w:sz w:val="24"/>
          <w:szCs w:val="24"/>
        </w:rPr>
      </w:pPr>
      <w:r>
        <w:rPr>
          <w:rFonts w:ascii="宋体" w:hAnsi="宋体"/>
          <w:sz w:val="24"/>
          <w:szCs w:val="24"/>
        </w:rPr>
        <w:t>8.</w:t>
      </w:r>
      <w:r>
        <w:rPr>
          <w:sz w:val="24"/>
          <w:szCs w:val="28"/>
        </w:rPr>
        <w:t>我方未</w:t>
      </w:r>
      <w:r>
        <w:rPr>
          <w:sz w:val="24"/>
          <w:szCs w:val="24"/>
        </w:rPr>
        <w:t>为采购项目提供整体设计、规范编制或者项目管理、监理、检测等服务。</w:t>
      </w:r>
    </w:p>
    <w:p>
      <w:pPr>
        <w:tabs>
          <w:tab w:val="left" w:pos="6300"/>
        </w:tabs>
        <w:snapToGrid w:val="0"/>
        <w:spacing w:line="520" w:lineRule="exact"/>
        <w:ind w:firstLine="570"/>
        <w:rPr>
          <w:sz w:val="24"/>
          <w:szCs w:val="24"/>
        </w:rPr>
      </w:pPr>
      <w:r>
        <w:rPr>
          <w:sz w:val="24"/>
          <w:szCs w:val="24"/>
        </w:rPr>
        <w:t>供应商（公章）：</w:t>
      </w:r>
    </w:p>
    <w:p>
      <w:pPr>
        <w:tabs>
          <w:tab w:val="left" w:pos="6300"/>
        </w:tabs>
        <w:snapToGrid w:val="0"/>
        <w:spacing w:line="520" w:lineRule="exact"/>
        <w:ind w:firstLine="570"/>
        <w:rPr>
          <w:sz w:val="24"/>
          <w:szCs w:val="24"/>
        </w:rPr>
      </w:pPr>
      <w:r>
        <w:rPr>
          <w:sz w:val="24"/>
          <w:szCs w:val="24"/>
        </w:rPr>
        <w:t xml:space="preserve">地址：  </w:t>
      </w:r>
    </w:p>
    <w:p>
      <w:pPr>
        <w:tabs>
          <w:tab w:val="left" w:pos="6300"/>
        </w:tabs>
        <w:snapToGrid w:val="0"/>
        <w:spacing w:line="520" w:lineRule="exact"/>
        <w:ind w:firstLine="570"/>
        <w:rPr>
          <w:sz w:val="24"/>
          <w:szCs w:val="24"/>
        </w:rPr>
      </w:pPr>
      <w:r>
        <w:rPr>
          <w:sz w:val="24"/>
          <w:szCs w:val="24"/>
        </w:rPr>
        <w:t>电话：                                             传真：</w:t>
      </w:r>
    </w:p>
    <w:p>
      <w:pPr>
        <w:tabs>
          <w:tab w:val="left" w:pos="6300"/>
        </w:tabs>
        <w:snapToGrid w:val="0"/>
        <w:spacing w:line="520" w:lineRule="exact"/>
        <w:ind w:firstLine="570"/>
        <w:rPr>
          <w:sz w:val="24"/>
          <w:szCs w:val="24"/>
        </w:rPr>
      </w:pPr>
      <w:r>
        <w:rPr>
          <w:sz w:val="24"/>
          <w:szCs w:val="24"/>
        </w:rPr>
        <w:t>网址：                                             邮编：</w:t>
      </w:r>
    </w:p>
    <w:p>
      <w:pPr>
        <w:tabs>
          <w:tab w:val="left" w:pos="6300"/>
        </w:tabs>
        <w:snapToGrid w:val="0"/>
        <w:spacing w:line="520" w:lineRule="exact"/>
        <w:ind w:firstLine="570"/>
        <w:rPr>
          <w:sz w:val="24"/>
          <w:szCs w:val="24"/>
        </w:rPr>
      </w:pPr>
      <w:r>
        <w:rPr>
          <w:sz w:val="24"/>
          <w:szCs w:val="24"/>
        </w:rPr>
        <w:t>联系人：</w:t>
      </w:r>
    </w:p>
    <w:p>
      <w:pPr>
        <w:tabs>
          <w:tab w:val="left" w:pos="6300"/>
        </w:tabs>
        <w:snapToGrid w:val="0"/>
        <w:spacing w:line="520" w:lineRule="exact"/>
        <w:ind w:firstLine="570"/>
        <w:rPr>
          <w:sz w:val="24"/>
          <w:szCs w:val="24"/>
        </w:rPr>
      </w:pPr>
    </w:p>
    <w:p>
      <w:pPr>
        <w:snapToGrid w:val="0"/>
        <w:spacing w:line="520" w:lineRule="exact"/>
        <w:ind w:firstLine="480" w:firstLineChars="200"/>
        <w:rPr>
          <w:sz w:val="24"/>
          <w:szCs w:val="24"/>
        </w:rPr>
      </w:pPr>
      <w:r>
        <w:rPr>
          <w:sz w:val="24"/>
          <w:szCs w:val="24"/>
        </w:rPr>
        <w:t xml:space="preserve">                                                  年   月   日</w:t>
      </w:r>
    </w:p>
    <w:p>
      <w:pPr>
        <w:snapToGrid w:val="0"/>
        <w:spacing w:line="520" w:lineRule="exact"/>
        <w:ind w:firstLine="480" w:firstLineChars="200"/>
        <w:rPr>
          <w:sz w:val="24"/>
          <w:szCs w:val="24"/>
        </w:rPr>
      </w:pPr>
    </w:p>
    <w:p>
      <w:pPr>
        <w:snapToGrid w:val="0"/>
        <w:spacing w:line="520" w:lineRule="exact"/>
        <w:ind w:firstLine="480" w:firstLineChars="200"/>
        <w:rPr>
          <w:sz w:val="24"/>
          <w:szCs w:val="24"/>
        </w:rPr>
        <w:sectPr>
          <w:pgSz w:w="11907" w:h="16840"/>
          <w:pgMar w:top="1134" w:right="1191" w:bottom="1134" w:left="1191" w:header="851" w:footer="992" w:gutter="0"/>
          <w:pgNumType w:fmt="numberInDash"/>
          <w:cols w:space="720" w:num="1"/>
          <w:docGrid w:linePitch="380" w:charSpace="-5735"/>
        </w:sectPr>
      </w:pPr>
    </w:p>
    <w:p>
      <w:pPr>
        <w:pageBreakBefore/>
        <w:snapToGrid w:val="0"/>
        <w:spacing w:line="360" w:lineRule="auto"/>
        <w:ind w:firstLine="480" w:firstLineChars="200"/>
        <w:jc w:val="left"/>
        <w:rPr>
          <w:rFonts w:ascii="宋体" w:hAnsi="宋体"/>
          <w:sz w:val="24"/>
          <w:szCs w:val="24"/>
        </w:rPr>
      </w:pPr>
      <w:bookmarkStart w:id="162" w:name="_Toc23764523"/>
      <w:bookmarkStart w:id="163" w:name="_Toc313888361"/>
      <w:bookmarkStart w:id="164" w:name="_Toc342913420"/>
      <w:bookmarkStart w:id="165" w:name="_Toc313008357"/>
      <w:r>
        <w:rPr>
          <w:rFonts w:hint="eastAsia" w:ascii="宋体" w:hAnsi="宋体"/>
          <w:sz w:val="24"/>
          <w:szCs w:val="24"/>
        </w:rPr>
        <w:t>（二）分项报价明细表</w:t>
      </w:r>
    </w:p>
    <w:p>
      <w:pPr>
        <w:snapToGrid w:val="0"/>
        <w:spacing w:line="360" w:lineRule="auto"/>
        <w:ind w:firstLine="562" w:firstLineChars="200"/>
        <w:rPr>
          <w:rFonts w:ascii="宋体" w:hAnsi="宋体"/>
          <w:sz w:val="24"/>
          <w:szCs w:val="28"/>
        </w:rPr>
      </w:pPr>
      <w:r>
        <w:rPr>
          <w:rFonts w:hint="eastAsia" w:ascii="宋体" w:hAnsi="宋体"/>
          <w:b/>
          <w:szCs w:val="28"/>
        </w:rPr>
        <w:t>按工程量清单格式填写。</w:t>
      </w:r>
    </w:p>
    <w:p>
      <w:pPr>
        <w:snapToGrid w:val="0"/>
        <w:spacing w:line="360" w:lineRule="auto"/>
        <w:ind w:firstLine="480" w:firstLineChars="200"/>
        <w:rPr>
          <w:rFonts w:ascii="宋体" w:hAnsi="宋体"/>
          <w:sz w:val="24"/>
          <w:szCs w:val="28"/>
        </w:rPr>
      </w:pPr>
    </w:p>
    <w:p>
      <w:pPr>
        <w:snapToGrid w:val="0"/>
        <w:spacing w:line="360" w:lineRule="auto"/>
        <w:ind w:firstLine="480" w:firstLineChars="200"/>
        <w:rPr>
          <w:rFonts w:ascii="宋体" w:hAnsi="宋体"/>
          <w:sz w:val="24"/>
          <w:szCs w:val="28"/>
        </w:rPr>
      </w:pPr>
    </w:p>
    <w:p>
      <w:pPr>
        <w:snapToGrid w:val="0"/>
        <w:spacing w:line="360" w:lineRule="auto"/>
        <w:ind w:firstLine="480" w:firstLineChars="200"/>
        <w:rPr>
          <w:rFonts w:ascii="宋体" w:hAnsi="宋体"/>
          <w:sz w:val="24"/>
          <w:szCs w:val="28"/>
        </w:rPr>
      </w:pPr>
    </w:p>
    <w:p>
      <w:pPr>
        <w:snapToGrid w:val="0"/>
        <w:spacing w:line="360" w:lineRule="auto"/>
        <w:ind w:firstLine="480" w:firstLineChars="200"/>
        <w:rPr>
          <w:rFonts w:ascii="宋体" w:hAnsi="宋体"/>
          <w:sz w:val="24"/>
          <w:szCs w:val="28"/>
        </w:rPr>
      </w:pPr>
    </w:p>
    <w:p>
      <w:pPr>
        <w:snapToGrid w:val="0"/>
        <w:spacing w:line="360" w:lineRule="auto"/>
        <w:ind w:firstLine="480" w:firstLineChars="200"/>
        <w:rPr>
          <w:rFonts w:ascii="宋体" w:hAnsi="宋体"/>
          <w:sz w:val="24"/>
          <w:szCs w:val="28"/>
        </w:rPr>
      </w:pPr>
    </w:p>
    <w:p>
      <w:pPr>
        <w:pageBreakBefore/>
        <w:tabs>
          <w:tab w:val="left" w:pos="6300"/>
        </w:tabs>
        <w:snapToGrid w:val="0"/>
        <w:spacing w:line="360" w:lineRule="auto"/>
        <w:rPr>
          <w:b/>
          <w:sz w:val="24"/>
          <w:szCs w:val="24"/>
        </w:rPr>
      </w:pPr>
      <w:r>
        <w:rPr>
          <w:rFonts w:hint="eastAsia"/>
          <w:b/>
          <w:sz w:val="24"/>
          <w:szCs w:val="24"/>
        </w:rPr>
        <w:t xml:space="preserve">    </w:t>
      </w:r>
      <w:r>
        <w:rPr>
          <w:b/>
          <w:sz w:val="24"/>
          <w:szCs w:val="24"/>
        </w:rPr>
        <w:t>二、</w:t>
      </w:r>
      <w:r>
        <w:rPr>
          <w:rFonts w:hint="eastAsia"/>
          <w:b/>
          <w:sz w:val="24"/>
          <w:szCs w:val="24"/>
        </w:rPr>
        <w:t>服务</w:t>
      </w:r>
      <w:r>
        <w:rPr>
          <w:b/>
          <w:sz w:val="24"/>
          <w:szCs w:val="24"/>
        </w:rPr>
        <w:t>部分</w:t>
      </w:r>
      <w:bookmarkEnd w:id="162"/>
      <w:bookmarkEnd w:id="163"/>
      <w:bookmarkEnd w:id="164"/>
      <w:bookmarkEnd w:id="165"/>
    </w:p>
    <w:p>
      <w:pPr>
        <w:snapToGrid w:val="0"/>
        <w:spacing w:line="360" w:lineRule="auto"/>
        <w:rPr>
          <w:rFonts w:ascii="宋体" w:hAnsi="宋体"/>
          <w:sz w:val="24"/>
          <w:szCs w:val="24"/>
        </w:rPr>
      </w:pPr>
      <w:r>
        <w:rPr>
          <w:rFonts w:hint="eastAsia"/>
          <w:sz w:val="24"/>
          <w:szCs w:val="24"/>
        </w:rPr>
        <w:t xml:space="preserve">    </w:t>
      </w:r>
      <w:r>
        <w:rPr>
          <w:rFonts w:hint="eastAsia" w:ascii="宋体" w:hAnsi="宋体"/>
          <w:sz w:val="24"/>
          <w:szCs w:val="24"/>
        </w:rPr>
        <w:t>（一）服务方案</w:t>
      </w:r>
    </w:p>
    <w:p>
      <w:pPr>
        <w:snapToGrid w:val="0"/>
        <w:spacing w:line="360" w:lineRule="auto"/>
        <w:rPr>
          <w:rFonts w:ascii="宋体" w:hAnsi="宋体"/>
          <w:sz w:val="24"/>
          <w:szCs w:val="24"/>
        </w:rPr>
      </w:pPr>
      <w:r>
        <w:rPr>
          <w:rFonts w:hint="eastAsia" w:ascii="宋体" w:hAnsi="宋体"/>
          <w:sz w:val="24"/>
          <w:szCs w:val="24"/>
        </w:rPr>
        <w:t xml:space="preserve">    （二）服务响应偏离表</w:t>
      </w:r>
    </w:p>
    <w:p>
      <w:pPr>
        <w:tabs>
          <w:tab w:val="left" w:pos="6300"/>
        </w:tabs>
        <w:snapToGrid w:val="0"/>
        <w:spacing w:line="360" w:lineRule="auto"/>
        <w:jc w:val="center"/>
        <w:rPr>
          <w:rFonts w:ascii="宋体" w:hAnsi="宋体"/>
          <w:szCs w:val="24"/>
        </w:rPr>
      </w:pPr>
      <w:bookmarkStart w:id="166" w:name="_Hlk71831631"/>
      <w:r>
        <w:rPr>
          <w:rFonts w:hint="eastAsia" w:ascii="宋体" w:hAnsi="宋体"/>
          <w:szCs w:val="24"/>
        </w:rPr>
        <w:t>服务</w:t>
      </w:r>
      <w:bookmarkEnd w:id="166"/>
      <w:r>
        <w:rPr>
          <w:rFonts w:hint="eastAsia" w:ascii="宋体" w:hAnsi="宋体"/>
          <w:szCs w:val="24"/>
        </w:rPr>
        <w:t>响应偏离表</w:t>
      </w:r>
    </w:p>
    <w:p>
      <w:pPr>
        <w:pStyle w:val="36"/>
        <w:tabs>
          <w:tab w:val="left" w:pos="6300"/>
        </w:tabs>
        <w:snapToGrid w:val="0"/>
        <w:spacing w:line="360" w:lineRule="auto"/>
        <w:ind w:firstLine="480" w:firstLineChars="200"/>
        <w:outlineLvl w:val="0"/>
        <w:rPr>
          <w:rFonts w:ascii="宋体" w:hAnsi="宋体"/>
          <w:sz w:val="24"/>
        </w:rPr>
      </w:pPr>
      <w:r>
        <w:rPr>
          <w:rFonts w:hint="eastAsia" w:ascii="宋体" w:hAnsi="宋体"/>
          <w:sz w:val="24"/>
        </w:rPr>
        <w:t>项目号：</w:t>
      </w:r>
    </w:p>
    <w:p>
      <w:pPr>
        <w:pStyle w:val="36"/>
        <w:tabs>
          <w:tab w:val="left" w:pos="6300"/>
        </w:tabs>
        <w:snapToGrid w:val="0"/>
        <w:spacing w:line="360" w:lineRule="auto"/>
        <w:ind w:firstLine="480" w:firstLineChars="200"/>
        <w:outlineLvl w:val="0"/>
        <w:rPr>
          <w:rFonts w:ascii="宋体" w:hAnsi="宋体"/>
          <w:sz w:val="24"/>
        </w:rPr>
      </w:pPr>
      <w:r>
        <w:rPr>
          <w:rFonts w:hint="eastAsia" w:ascii="宋体" w:hAnsi="宋体"/>
          <w:sz w:val="24"/>
        </w:rPr>
        <w:t>项目名称：</w:t>
      </w:r>
    </w:p>
    <w:tbl>
      <w:tblPr>
        <w:tblStyle w:val="68"/>
        <w:tblW w:w="86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8"/>
        <w:gridCol w:w="2658"/>
        <w:gridCol w:w="2759"/>
        <w:gridCol w:w="2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138" w:type="dxa"/>
            <w:vAlign w:val="center"/>
          </w:tcPr>
          <w:p>
            <w:pPr>
              <w:tabs>
                <w:tab w:val="left" w:pos="6300"/>
              </w:tabs>
              <w:snapToGrid w:val="0"/>
              <w:jc w:val="center"/>
              <w:outlineLvl w:val="0"/>
              <w:rPr>
                <w:rFonts w:ascii="宋体" w:hAnsi="宋体"/>
                <w:sz w:val="21"/>
                <w:szCs w:val="21"/>
              </w:rPr>
            </w:pPr>
            <w:r>
              <w:rPr>
                <w:rFonts w:hint="eastAsia" w:ascii="宋体" w:hAnsi="宋体"/>
                <w:sz w:val="21"/>
                <w:szCs w:val="21"/>
              </w:rPr>
              <w:t>序号</w:t>
            </w:r>
          </w:p>
        </w:tc>
        <w:tc>
          <w:tcPr>
            <w:tcW w:w="2658" w:type="dxa"/>
            <w:vAlign w:val="center"/>
          </w:tcPr>
          <w:p>
            <w:pPr>
              <w:tabs>
                <w:tab w:val="left" w:pos="6300"/>
              </w:tabs>
              <w:snapToGrid w:val="0"/>
              <w:jc w:val="center"/>
              <w:outlineLvl w:val="0"/>
              <w:rPr>
                <w:rFonts w:ascii="宋体" w:hAnsi="宋体"/>
                <w:sz w:val="21"/>
                <w:szCs w:val="21"/>
              </w:rPr>
            </w:pPr>
            <w:r>
              <w:rPr>
                <w:rFonts w:hint="eastAsia" w:ascii="宋体" w:hAnsi="宋体"/>
                <w:sz w:val="21"/>
                <w:szCs w:val="21"/>
              </w:rPr>
              <w:t>采购需求</w:t>
            </w:r>
          </w:p>
        </w:tc>
        <w:tc>
          <w:tcPr>
            <w:tcW w:w="2759" w:type="dxa"/>
            <w:vAlign w:val="center"/>
          </w:tcPr>
          <w:p>
            <w:pPr>
              <w:tabs>
                <w:tab w:val="left" w:pos="6300"/>
              </w:tabs>
              <w:snapToGrid w:val="0"/>
              <w:jc w:val="center"/>
              <w:outlineLvl w:val="0"/>
              <w:rPr>
                <w:rFonts w:ascii="宋体" w:hAnsi="宋体"/>
                <w:sz w:val="21"/>
                <w:szCs w:val="21"/>
              </w:rPr>
            </w:pPr>
            <w:r>
              <w:rPr>
                <w:rFonts w:hint="eastAsia" w:ascii="宋体" w:hAnsi="宋体"/>
                <w:sz w:val="21"/>
                <w:szCs w:val="21"/>
              </w:rPr>
              <w:t>响应情况</w:t>
            </w:r>
          </w:p>
        </w:tc>
        <w:tc>
          <w:tcPr>
            <w:tcW w:w="2067" w:type="dxa"/>
            <w:vAlign w:val="center"/>
          </w:tcPr>
          <w:p>
            <w:pPr>
              <w:tabs>
                <w:tab w:val="left" w:pos="6300"/>
              </w:tabs>
              <w:snapToGrid w:val="0"/>
              <w:jc w:val="center"/>
              <w:outlineLvl w:val="0"/>
              <w:rPr>
                <w:rFonts w:ascii="宋体" w:hAnsi="宋体"/>
                <w:sz w:val="21"/>
                <w:szCs w:val="21"/>
              </w:rPr>
            </w:pPr>
            <w:r>
              <w:rPr>
                <w:rFonts w:hint="eastAsia" w:ascii="宋体" w:hAnsi="宋体"/>
                <w:sz w:val="21"/>
                <w:szCs w:val="21"/>
              </w:rPr>
              <w:t>差异说明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jc w:val="center"/>
              <w:outlineLvl w:val="0"/>
              <w:rPr>
                <w:rFonts w:ascii="宋体" w:hAnsi="宋体"/>
                <w:sz w:val="21"/>
                <w:szCs w:val="21"/>
              </w:rPr>
            </w:pPr>
          </w:p>
        </w:tc>
        <w:tc>
          <w:tcPr>
            <w:tcW w:w="2658" w:type="dxa"/>
            <w:vAlign w:val="center"/>
          </w:tcPr>
          <w:p>
            <w:pPr>
              <w:tabs>
                <w:tab w:val="left" w:pos="6300"/>
              </w:tabs>
              <w:snapToGrid w:val="0"/>
              <w:jc w:val="center"/>
              <w:outlineLvl w:val="0"/>
              <w:rPr>
                <w:rFonts w:ascii="宋体" w:hAnsi="宋体"/>
                <w:sz w:val="21"/>
                <w:szCs w:val="21"/>
              </w:rPr>
            </w:pPr>
          </w:p>
        </w:tc>
        <w:tc>
          <w:tcPr>
            <w:tcW w:w="2759" w:type="dxa"/>
            <w:vAlign w:val="center"/>
          </w:tcPr>
          <w:p>
            <w:pPr>
              <w:tabs>
                <w:tab w:val="left" w:pos="6300"/>
              </w:tabs>
              <w:snapToGrid w:val="0"/>
              <w:jc w:val="center"/>
              <w:outlineLvl w:val="0"/>
              <w:rPr>
                <w:rFonts w:ascii="宋体" w:hAnsi="宋体"/>
                <w:sz w:val="21"/>
                <w:szCs w:val="21"/>
              </w:rPr>
            </w:pPr>
          </w:p>
        </w:tc>
        <w:tc>
          <w:tcPr>
            <w:tcW w:w="2067" w:type="dxa"/>
            <w:vAlign w:val="center"/>
          </w:tcPr>
          <w:p>
            <w:pPr>
              <w:tabs>
                <w:tab w:val="left" w:pos="6300"/>
              </w:tabs>
              <w:snapToGrid w:val="0"/>
              <w:jc w:val="center"/>
              <w:outlineLvl w:val="0"/>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jc w:val="center"/>
              <w:outlineLvl w:val="0"/>
              <w:rPr>
                <w:rFonts w:ascii="宋体" w:hAnsi="宋体"/>
                <w:sz w:val="21"/>
                <w:szCs w:val="21"/>
              </w:rPr>
            </w:pPr>
          </w:p>
        </w:tc>
        <w:tc>
          <w:tcPr>
            <w:tcW w:w="2658" w:type="dxa"/>
            <w:vAlign w:val="center"/>
          </w:tcPr>
          <w:p>
            <w:pPr>
              <w:tabs>
                <w:tab w:val="left" w:pos="6300"/>
              </w:tabs>
              <w:snapToGrid w:val="0"/>
              <w:jc w:val="center"/>
              <w:outlineLvl w:val="0"/>
              <w:rPr>
                <w:rFonts w:ascii="宋体" w:hAnsi="宋体"/>
                <w:sz w:val="21"/>
                <w:szCs w:val="21"/>
              </w:rPr>
            </w:pPr>
          </w:p>
        </w:tc>
        <w:tc>
          <w:tcPr>
            <w:tcW w:w="2759" w:type="dxa"/>
            <w:vAlign w:val="center"/>
          </w:tcPr>
          <w:p>
            <w:pPr>
              <w:tabs>
                <w:tab w:val="left" w:pos="6300"/>
              </w:tabs>
              <w:snapToGrid w:val="0"/>
              <w:jc w:val="center"/>
              <w:outlineLvl w:val="0"/>
              <w:rPr>
                <w:rFonts w:ascii="宋体" w:hAnsi="宋体"/>
                <w:sz w:val="21"/>
                <w:szCs w:val="21"/>
              </w:rPr>
            </w:pPr>
          </w:p>
        </w:tc>
        <w:tc>
          <w:tcPr>
            <w:tcW w:w="2067" w:type="dxa"/>
            <w:vAlign w:val="center"/>
          </w:tcPr>
          <w:p>
            <w:pPr>
              <w:tabs>
                <w:tab w:val="left" w:pos="6300"/>
              </w:tabs>
              <w:snapToGrid w:val="0"/>
              <w:jc w:val="center"/>
              <w:outlineLvl w:val="0"/>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jc w:val="center"/>
              <w:outlineLvl w:val="0"/>
              <w:rPr>
                <w:rFonts w:ascii="宋体" w:hAnsi="宋体"/>
                <w:sz w:val="21"/>
                <w:szCs w:val="21"/>
              </w:rPr>
            </w:pPr>
          </w:p>
        </w:tc>
        <w:tc>
          <w:tcPr>
            <w:tcW w:w="2658" w:type="dxa"/>
            <w:vAlign w:val="center"/>
          </w:tcPr>
          <w:p>
            <w:pPr>
              <w:tabs>
                <w:tab w:val="left" w:pos="6300"/>
              </w:tabs>
              <w:snapToGrid w:val="0"/>
              <w:jc w:val="center"/>
              <w:outlineLvl w:val="0"/>
              <w:rPr>
                <w:rFonts w:ascii="宋体" w:hAnsi="宋体"/>
                <w:sz w:val="21"/>
                <w:szCs w:val="21"/>
              </w:rPr>
            </w:pPr>
          </w:p>
        </w:tc>
        <w:tc>
          <w:tcPr>
            <w:tcW w:w="2759" w:type="dxa"/>
            <w:vAlign w:val="center"/>
          </w:tcPr>
          <w:p>
            <w:pPr>
              <w:tabs>
                <w:tab w:val="left" w:pos="6300"/>
              </w:tabs>
              <w:snapToGrid w:val="0"/>
              <w:jc w:val="center"/>
              <w:outlineLvl w:val="0"/>
              <w:rPr>
                <w:rFonts w:ascii="宋体" w:hAnsi="宋体"/>
                <w:sz w:val="21"/>
                <w:szCs w:val="21"/>
              </w:rPr>
            </w:pPr>
          </w:p>
        </w:tc>
        <w:tc>
          <w:tcPr>
            <w:tcW w:w="2067" w:type="dxa"/>
            <w:vAlign w:val="center"/>
          </w:tcPr>
          <w:p>
            <w:pPr>
              <w:tabs>
                <w:tab w:val="left" w:pos="6300"/>
              </w:tabs>
              <w:snapToGrid w:val="0"/>
              <w:jc w:val="center"/>
              <w:outlineLvl w:val="0"/>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jc w:val="center"/>
              <w:outlineLvl w:val="0"/>
              <w:rPr>
                <w:rFonts w:ascii="宋体" w:hAnsi="宋体"/>
                <w:sz w:val="21"/>
                <w:szCs w:val="21"/>
              </w:rPr>
            </w:pPr>
          </w:p>
        </w:tc>
        <w:tc>
          <w:tcPr>
            <w:tcW w:w="2658" w:type="dxa"/>
            <w:vAlign w:val="center"/>
          </w:tcPr>
          <w:p>
            <w:pPr>
              <w:tabs>
                <w:tab w:val="left" w:pos="6300"/>
              </w:tabs>
              <w:snapToGrid w:val="0"/>
              <w:jc w:val="center"/>
              <w:outlineLvl w:val="0"/>
              <w:rPr>
                <w:rFonts w:ascii="宋体" w:hAnsi="宋体"/>
                <w:sz w:val="21"/>
                <w:szCs w:val="21"/>
              </w:rPr>
            </w:pPr>
          </w:p>
        </w:tc>
        <w:tc>
          <w:tcPr>
            <w:tcW w:w="2759" w:type="dxa"/>
            <w:vAlign w:val="center"/>
          </w:tcPr>
          <w:p>
            <w:pPr>
              <w:tabs>
                <w:tab w:val="left" w:pos="6300"/>
              </w:tabs>
              <w:snapToGrid w:val="0"/>
              <w:jc w:val="center"/>
              <w:outlineLvl w:val="0"/>
              <w:rPr>
                <w:rFonts w:ascii="宋体" w:hAnsi="宋体"/>
                <w:sz w:val="21"/>
                <w:szCs w:val="21"/>
              </w:rPr>
            </w:pPr>
          </w:p>
        </w:tc>
        <w:tc>
          <w:tcPr>
            <w:tcW w:w="2067" w:type="dxa"/>
            <w:vAlign w:val="center"/>
          </w:tcPr>
          <w:p>
            <w:pPr>
              <w:tabs>
                <w:tab w:val="left" w:pos="6300"/>
              </w:tabs>
              <w:snapToGrid w:val="0"/>
              <w:jc w:val="center"/>
              <w:outlineLvl w:val="0"/>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jc w:val="center"/>
              <w:outlineLvl w:val="0"/>
              <w:rPr>
                <w:rFonts w:ascii="宋体" w:hAnsi="宋体"/>
                <w:sz w:val="21"/>
                <w:szCs w:val="21"/>
              </w:rPr>
            </w:pPr>
          </w:p>
        </w:tc>
        <w:tc>
          <w:tcPr>
            <w:tcW w:w="2658" w:type="dxa"/>
            <w:vAlign w:val="center"/>
          </w:tcPr>
          <w:p>
            <w:pPr>
              <w:tabs>
                <w:tab w:val="left" w:pos="6300"/>
              </w:tabs>
              <w:snapToGrid w:val="0"/>
              <w:jc w:val="center"/>
              <w:outlineLvl w:val="0"/>
              <w:rPr>
                <w:rFonts w:ascii="宋体" w:hAnsi="宋体"/>
                <w:sz w:val="21"/>
                <w:szCs w:val="21"/>
              </w:rPr>
            </w:pPr>
          </w:p>
        </w:tc>
        <w:tc>
          <w:tcPr>
            <w:tcW w:w="2759" w:type="dxa"/>
            <w:vAlign w:val="center"/>
          </w:tcPr>
          <w:p>
            <w:pPr>
              <w:tabs>
                <w:tab w:val="left" w:pos="6300"/>
              </w:tabs>
              <w:snapToGrid w:val="0"/>
              <w:jc w:val="center"/>
              <w:outlineLvl w:val="0"/>
              <w:rPr>
                <w:rFonts w:ascii="宋体" w:hAnsi="宋体"/>
                <w:sz w:val="21"/>
                <w:szCs w:val="21"/>
              </w:rPr>
            </w:pPr>
          </w:p>
        </w:tc>
        <w:tc>
          <w:tcPr>
            <w:tcW w:w="2067" w:type="dxa"/>
            <w:vAlign w:val="center"/>
          </w:tcPr>
          <w:p>
            <w:pPr>
              <w:tabs>
                <w:tab w:val="left" w:pos="6300"/>
              </w:tabs>
              <w:snapToGrid w:val="0"/>
              <w:jc w:val="center"/>
              <w:outlineLvl w:val="0"/>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jc w:val="center"/>
              <w:outlineLvl w:val="0"/>
              <w:rPr>
                <w:rFonts w:ascii="宋体" w:hAnsi="宋体"/>
                <w:sz w:val="21"/>
                <w:szCs w:val="21"/>
              </w:rPr>
            </w:pPr>
          </w:p>
        </w:tc>
        <w:tc>
          <w:tcPr>
            <w:tcW w:w="2658" w:type="dxa"/>
            <w:vAlign w:val="center"/>
          </w:tcPr>
          <w:p>
            <w:pPr>
              <w:tabs>
                <w:tab w:val="left" w:pos="6300"/>
              </w:tabs>
              <w:snapToGrid w:val="0"/>
              <w:jc w:val="center"/>
              <w:outlineLvl w:val="0"/>
              <w:rPr>
                <w:rFonts w:ascii="宋体" w:hAnsi="宋体"/>
                <w:sz w:val="21"/>
                <w:szCs w:val="21"/>
              </w:rPr>
            </w:pPr>
          </w:p>
        </w:tc>
        <w:tc>
          <w:tcPr>
            <w:tcW w:w="2759" w:type="dxa"/>
            <w:vAlign w:val="center"/>
          </w:tcPr>
          <w:p>
            <w:pPr>
              <w:tabs>
                <w:tab w:val="left" w:pos="6300"/>
              </w:tabs>
              <w:snapToGrid w:val="0"/>
              <w:jc w:val="center"/>
              <w:outlineLvl w:val="0"/>
              <w:rPr>
                <w:rFonts w:ascii="宋体" w:hAnsi="宋体"/>
                <w:sz w:val="21"/>
                <w:szCs w:val="21"/>
              </w:rPr>
            </w:pPr>
          </w:p>
        </w:tc>
        <w:tc>
          <w:tcPr>
            <w:tcW w:w="2067" w:type="dxa"/>
            <w:vAlign w:val="center"/>
          </w:tcPr>
          <w:p>
            <w:pPr>
              <w:tabs>
                <w:tab w:val="left" w:pos="6300"/>
              </w:tabs>
              <w:snapToGrid w:val="0"/>
              <w:jc w:val="center"/>
              <w:outlineLvl w:val="0"/>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jc w:val="center"/>
              <w:outlineLvl w:val="0"/>
              <w:rPr>
                <w:rFonts w:ascii="宋体" w:hAnsi="宋体"/>
                <w:sz w:val="21"/>
                <w:szCs w:val="21"/>
              </w:rPr>
            </w:pPr>
          </w:p>
        </w:tc>
        <w:tc>
          <w:tcPr>
            <w:tcW w:w="2658" w:type="dxa"/>
            <w:vAlign w:val="center"/>
          </w:tcPr>
          <w:p>
            <w:pPr>
              <w:tabs>
                <w:tab w:val="left" w:pos="6300"/>
              </w:tabs>
              <w:snapToGrid w:val="0"/>
              <w:jc w:val="center"/>
              <w:outlineLvl w:val="0"/>
              <w:rPr>
                <w:rFonts w:ascii="宋体" w:hAnsi="宋体"/>
                <w:sz w:val="21"/>
                <w:szCs w:val="21"/>
              </w:rPr>
            </w:pPr>
          </w:p>
        </w:tc>
        <w:tc>
          <w:tcPr>
            <w:tcW w:w="2759" w:type="dxa"/>
            <w:vAlign w:val="center"/>
          </w:tcPr>
          <w:p>
            <w:pPr>
              <w:tabs>
                <w:tab w:val="left" w:pos="6300"/>
              </w:tabs>
              <w:snapToGrid w:val="0"/>
              <w:jc w:val="center"/>
              <w:outlineLvl w:val="0"/>
              <w:rPr>
                <w:rFonts w:ascii="宋体" w:hAnsi="宋体"/>
                <w:sz w:val="21"/>
                <w:szCs w:val="21"/>
              </w:rPr>
            </w:pPr>
          </w:p>
        </w:tc>
        <w:tc>
          <w:tcPr>
            <w:tcW w:w="2067" w:type="dxa"/>
            <w:vAlign w:val="center"/>
          </w:tcPr>
          <w:p>
            <w:pPr>
              <w:tabs>
                <w:tab w:val="left" w:pos="6300"/>
              </w:tabs>
              <w:snapToGrid w:val="0"/>
              <w:jc w:val="center"/>
              <w:outlineLvl w:val="0"/>
              <w:rPr>
                <w:rFonts w:ascii="宋体" w:hAnsi="宋体"/>
                <w:sz w:val="21"/>
                <w:szCs w:val="21"/>
              </w:rPr>
            </w:pPr>
          </w:p>
        </w:tc>
      </w:tr>
    </w:tbl>
    <w:p>
      <w:pPr>
        <w:spacing w:line="360" w:lineRule="auto"/>
        <w:ind w:firstLine="480" w:firstLineChars="200"/>
        <w:rPr>
          <w:rFonts w:ascii="宋体" w:hAnsi="宋体"/>
          <w:sz w:val="24"/>
          <w:szCs w:val="28"/>
        </w:rPr>
      </w:pPr>
    </w:p>
    <w:p>
      <w:pPr>
        <w:spacing w:line="360" w:lineRule="auto"/>
        <w:ind w:firstLine="480" w:firstLineChars="200"/>
        <w:rPr>
          <w:rFonts w:ascii="宋体" w:hAnsi="宋体"/>
          <w:sz w:val="24"/>
          <w:szCs w:val="28"/>
        </w:rPr>
      </w:pPr>
      <w:r>
        <w:rPr>
          <w:rFonts w:hint="eastAsia" w:ascii="宋体" w:hAnsi="宋体"/>
          <w:sz w:val="24"/>
          <w:szCs w:val="28"/>
        </w:rPr>
        <w:t xml:space="preserve">供应商：            </w:t>
      </w:r>
      <w:r>
        <w:rPr>
          <w:rFonts w:ascii="宋体" w:hAnsi="宋体"/>
          <w:sz w:val="24"/>
          <w:szCs w:val="28"/>
        </w:rPr>
        <w:t xml:space="preserve">           </w:t>
      </w:r>
      <w:r>
        <w:rPr>
          <w:rFonts w:hint="eastAsia" w:ascii="宋体" w:hAnsi="宋体"/>
          <w:sz w:val="24"/>
          <w:szCs w:val="28"/>
        </w:rPr>
        <w:t xml:space="preserve"> 法定代表人（或法定代表人授权代表）：</w:t>
      </w:r>
    </w:p>
    <w:p>
      <w:pPr>
        <w:spacing w:line="360" w:lineRule="auto"/>
        <w:ind w:firstLine="600" w:firstLineChars="250"/>
        <w:rPr>
          <w:rFonts w:ascii="宋体" w:hAnsi="宋体"/>
          <w:sz w:val="24"/>
          <w:szCs w:val="28"/>
        </w:rPr>
      </w:pPr>
    </w:p>
    <w:p>
      <w:pPr>
        <w:spacing w:line="360" w:lineRule="auto"/>
        <w:rPr>
          <w:rFonts w:ascii="宋体" w:hAnsi="宋体"/>
          <w:sz w:val="24"/>
          <w:szCs w:val="28"/>
        </w:rPr>
      </w:pPr>
      <w:r>
        <w:rPr>
          <w:rFonts w:hint="eastAsia" w:ascii="宋体" w:hAnsi="宋体"/>
          <w:sz w:val="24"/>
          <w:szCs w:val="28"/>
        </w:rPr>
        <w:t xml:space="preserve">   （供应商公章）                               （签字或盖章）</w:t>
      </w:r>
    </w:p>
    <w:p>
      <w:pPr>
        <w:tabs>
          <w:tab w:val="left" w:pos="6300"/>
        </w:tabs>
        <w:snapToGrid w:val="0"/>
        <w:spacing w:line="360" w:lineRule="auto"/>
        <w:ind w:firstLine="570"/>
        <w:rPr>
          <w:rFonts w:ascii="宋体" w:hAnsi="宋体"/>
          <w:sz w:val="24"/>
        </w:rPr>
      </w:pPr>
      <w:r>
        <w:rPr>
          <w:rFonts w:hint="eastAsia" w:ascii="宋体" w:hAnsi="宋体"/>
          <w:sz w:val="24"/>
          <w:szCs w:val="28"/>
        </w:rPr>
        <w:t xml:space="preserve">                                              年     月     日</w:t>
      </w:r>
    </w:p>
    <w:p>
      <w:pPr>
        <w:tabs>
          <w:tab w:val="left" w:pos="6300"/>
        </w:tabs>
        <w:snapToGrid w:val="0"/>
        <w:spacing w:line="360" w:lineRule="auto"/>
        <w:ind w:firstLine="480" w:firstLineChars="200"/>
        <w:rPr>
          <w:rFonts w:ascii="宋体" w:hAnsi="宋体"/>
          <w:sz w:val="24"/>
        </w:rPr>
      </w:pPr>
      <w:r>
        <w:rPr>
          <w:rFonts w:hint="eastAsia" w:ascii="宋体" w:hAnsi="宋体"/>
          <w:sz w:val="24"/>
        </w:rPr>
        <w:t>注：</w:t>
      </w:r>
    </w:p>
    <w:p>
      <w:pPr>
        <w:tabs>
          <w:tab w:val="left" w:pos="6300"/>
        </w:tabs>
        <w:snapToGrid w:val="0"/>
        <w:spacing w:line="360" w:lineRule="auto"/>
        <w:ind w:firstLine="480" w:firstLineChars="200"/>
        <w:rPr>
          <w:rFonts w:ascii="宋体" w:hAnsi="宋体"/>
          <w:sz w:val="24"/>
        </w:rPr>
      </w:pPr>
      <w:r>
        <w:rPr>
          <w:rFonts w:hint="eastAsia" w:ascii="宋体" w:hAnsi="宋体"/>
          <w:sz w:val="24"/>
          <w:szCs w:val="24"/>
        </w:rPr>
        <w:t>1</w:t>
      </w:r>
      <w:r>
        <w:rPr>
          <w:rFonts w:hint="eastAsia" w:ascii="宋体" w:hAnsi="宋体"/>
          <w:sz w:val="24"/>
        </w:rPr>
        <w:t>.本表即为对本项目“第二篇  项目技术、服务需求”中所列技术要求进行比较和响应；</w:t>
      </w:r>
    </w:p>
    <w:p>
      <w:pPr>
        <w:tabs>
          <w:tab w:val="left" w:pos="6300"/>
        </w:tabs>
        <w:snapToGrid w:val="0"/>
        <w:spacing w:line="360" w:lineRule="auto"/>
        <w:ind w:firstLine="480" w:firstLineChars="200"/>
        <w:rPr>
          <w:rFonts w:ascii="宋体" w:hAnsi="宋体"/>
          <w:sz w:val="24"/>
        </w:rPr>
      </w:pPr>
      <w:r>
        <w:rPr>
          <w:rFonts w:hint="eastAsia" w:ascii="宋体" w:hAnsi="宋体"/>
          <w:sz w:val="24"/>
        </w:rPr>
        <w:t>2.该表必须按照招标要求逐条如实填写，根据响应情况在“差异说明”项填写正偏离或负偏离及原因，完全符合的填写“无差异”；</w:t>
      </w:r>
    </w:p>
    <w:p>
      <w:pPr>
        <w:tabs>
          <w:tab w:val="left" w:pos="6300"/>
        </w:tabs>
        <w:snapToGrid w:val="0"/>
        <w:spacing w:line="360" w:lineRule="auto"/>
        <w:ind w:firstLine="480" w:firstLineChars="200"/>
        <w:rPr>
          <w:rFonts w:ascii="宋体" w:hAnsi="宋体"/>
          <w:sz w:val="24"/>
        </w:rPr>
      </w:pPr>
      <w:r>
        <w:rPr>
          <w:rFonts w:hint="eastAsia" w:ascii="宋体" w:hAnsi="宋体"/>
          <w:sz w:val="24"/>
        </w:rPr>
        <w:t>3.该表可扩展；</w:t>
      </w:r>
    </w:p>
    <w:p>
      <w:pPr>
        <w:pageBreakBefore/>
        <w:tabs>
          <w:tab w:val="left" w:pos="6300"/>
        </w:tabs>
        <w:snapToGrid w:val="0"/>
        <w:spacing w:line="360" w:lineRule="auto"/>
        <w:rPr>
          <w:b/>
          <w:sz w:val="24"/>
          <w:szCs w:val="24"/>
        </w:rPr>
      </w:pPr>
      <w:bookmarkStart w:id="167" w:name="_Toc342913421"/>
      <w:bookmarkStart w:id="168" w:name="_Toc313888362"/>
      <w:bookmarkStart w:id="169" w:name="_Toc313008358"/>
      <w:bookmarkStart w:id="170" w:name="_Toc23764524"/>
      <w:r>
        <w:rPr>
          <w:rFonts w:hint="eastAsia"/>
          <w:sz w:val="24"/>
          <w:szCs w:val="24"/>
        </w:rPr>
        <w:t xml:space="preserve">   </w:t>
      </w:r>
      <w:r>
        <w:rPr>
          <w:rFonts w:hint="eastAsia"/>
          <w:b/>
          <w:sz w:val="24"/>
          <w:szCs w:val="24"/>
        </w:rPr>
        <w:t xml:space="preserve"> </w:t>
      </w:r>
      <w:r>
        <w:rPr>
          <w:b/>
          <w:sz w:val="24"/>
          <w:szCs w:val="24"/>
        </w:rPr>
        <w:t>三、商务部分</w:t>
      </w:r>
      <w:bookmarkEnd w:id="167"/>
      <w:bookmarkEnd w:id="168"/>
      <w:bookmarkEnd w:id="169"/>
      <w:bookmarkEnd w:id="170"/>
    </w:p>
    <w:p>
      <w:pPr>
        <w:tabs>
          <w:tab w:val="left" w:pos="6300"/>
        </w:tabs>
        <w:snapToGrid w:val="0"/>
        <w:spacing w:line="360" w:lineRule="auto"/>
        <w:rPr>
          <w:sz w:val="24"/>
          <w:szCs w:val="24"/>
        </w:rPr>
      </w:pPr>
      <w:r>
        <w:rPr>
          <w:rFonts w:hint="eastAsia"/>
          <w:sz w:val="24"/>
          <w:szCs w:val="24"/>
        </w:rPr>
        <w:t xml:space="preserve">    （一）商务要求响应情况（格式自定）：</w:t>
      </w:r>
    </w:p>
    <w:p>
      <w:pPr>
        <w:tabs>
          <w:tab w:val="left" w:pos="6300"/>
        </w:tabs>
        <w:snapToGrid w:val="0"/>
        <w:spacing w:line="360" w:lineRule="auto"/>
        <w:rPr>
          <w:rFonts w:ascii="宋体" w:hAnsi="宋体"/>
          <w:sz w:val="24"/>
          <w:szCs w:val="24"/>
        </w:rPr>
      </w:pPr>
      <w:r>
        <w:rPr>
          <w:rFonts w:hint="eastAsia"/>
          <w:sz w:val="24"/>
          <w:szCs w:val="24"/>
        </w:rPr>
        <w:t xml:space="preserve">    （二）商务响应偏离表</w:t>
      </w:r>
    </w:p>
    <w:p>
      <w:pPr>
        <w:tabs>
          <w:tab w:val="left" w:pos="6300"/>
        </w:tabs>
        <w:snapToGrid w:val="0"/>
        <w:spacing w:line="360" w:lineRule="auto"/>
        <w:jc w:val="center"/>
        <w:rPr>
          <w:rFonts w:ascii="宋体" w:hAnsi="宋体"/>
          <w:szCs w:val="28"/>
        </w:rPr>
      </w:pPr>
      <w:r>
        <w:rPr>
          <w:rFonts w:hint="eastAsia" w:ascii="宋体" w:hAnsi="宋体"/>
          <w:szCs w:val="28"/>
        </w:rPr>
        <w:t>商务条款差异表</w:t>
      </w:r>
    </w:p>
    <w:p>
      <w:pPr>
        <w:tabs>
          <w:tab w:val="left" w:pos="6300"/>
        </w:tabs>
        <w:snapToGrid w:val="0"/>
        <w:spacing w:line="360" w:lineRule="auto"/>
        <w:ind w:firstLine="480" w:firstLineChars="200"/>
        <w:rPr>
          <w:rFonts w:ascii="宋体" w:hAnsi="宋体"/>
          <w:sz w:val="24"/>
          <w:szCs w:val="24"/>
        </w:rPr>
      </w:pPr>
      <w:r>
        <w:rPr>
          <w:rFonts w:hint="eastAsia" w:ascii="宋体" w:hAnsi="宋体"/>
          <w:sz w:val="24"/>
          <w:szCs w:val="24"/>
        </w:rPr>
        <w:t>项目号：</w:t>
      </w:r>
    </w:p>
    <w:p>
      <w:pPr>
        <w:tabs>
          <w:tab w:val="left" w:pos="6300"/>
        </w:tabs>
        <w:snapToGrid w:val="0"/>
        <w:spacing w:line="360" w:lineRule="auto"/>
        <w:ind w:firstLine="480" w:firstLineChars="200"/>
        <w:rPr>
          <w:rFonts w:ascii="宋体" w:hAnsi="宋体"/>
          <w:sz w:val="24"/>
          <w:szCs w:val="24"/>
        </w:rPr>
      </w:pPr>
      <w:r>
        <w:rPr>
          <w:rFonts w:hint="eastAsia" w:ascii="宋体" w:hAnsi="宋体"/>
          <w:sz w:val="24"/>
          <w:szCs w:val="24"/>
        </w:rPr>
        <w:t>采购项目名称：</w:t>
      </w:r>
    </w:p>
    <w:tbl>
      <w:tblPr>
        <w:tblStyle w:val="68"/>
        <w:tblW w:w="89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0"/>
        <w:gridCol w:w="2428"/>
        <w:gridCol w:w="2520"/>
        <w:gridCol w:w="2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jc w:val="center"/>
        </w:trPr>
        <w:tc>
          <w:tcPr>
            <w:tcW w:w="1580" w:type="dxa"/>
            <w:vAlign w:val="center"/>
          </w:tcPr>
          <w:p>
            <w:pPr>
              <w:tabs>
                <w:tab w:val="left" w:pos="6300"/>
              </w:tabs>
              <w:snapToGrid w:val="0"/>
              <w:jc w:val="center"/>
              <w:outlineLvl w:val="0"/>
              <w:rPr>
                <w:rFonts w:ascii="宋体" w:hAnsi="宋体"/>
                <w:sz w:val="21"/>
                <w:szCs w:val="21"/>
              </w:rPr>
            </w:pPr>
            <w:r>
              <w:rPr>
                <w:rFonts w:hint="eastAsia" w:ascii="宋体" w:hAnsi="宋体"/>
                <w:sz w:val="21"/>
                <w:szCs w:val="21"/>
              </w:rPr>
              <w:t>序号</w:t>
            </w:r>
          </w:p>
        </w:tc>
        <w:tc>
          <w:tcPr>
            <w:tcW w:w="2428" w:type="dxa"/>
            <w:vAlign w:val="center"/>
          </w:tcPr>
          <w:p>
            <w:pPr>
              <w:tabs>
                <w:tab w:val="left" w:pos="6300"/>
              </w:tabs>
              <w:snapToGrid w:val="0"/>
              <w:jc w:val="center"/>
              <w:outlineLvl w:val="0"/>
              <w:rPr>
                <w:rFonts w:ascii="宋体" w:hAnsi="宋体"/>
                <w:sz w:val="21"/>
                <w:szCs w:val="21"/>
              </w:rPr>
            </w:pPr>
            <w:r>
              <w:rPr>
                <w:rFonts w:hint="eastAsia" w:ascii="宋体" w:hAnsi="宋体"/>
                <w:sz w:val="21"/>
                <w:szCs w:val="21"/>
              </w:rPr>
              <w:t>采购需求</w:t>
            </w:r>
          </w:p>
        </w:tc>
        <w:tc>
          <w:tcPr>
            <w:tcW w:w="2520" w:type="dxa"/>
            <w:vAlign w:val="center"/>
          </w:tcPr>
          <w:p>
            <w:pPr>
              <w:tabs>
                <w:tab w:val="left" w:pos="6300"/>
              </w:tabs>
              <w:snapToGrid w:val="0"/>
              <w:jc w:val="center"/>
              <w:outlineLvl w:val="0"/>
              <w:rPr>
                <w:rFonts w:ascii="宋体" w:hAnsi="宋体"/>
                <w:sz w:val="21"/>
                <w:szCs w:val="21"/>
              </w:rPr>
            </w:pPr>
            <w:r>
              <w:rPr>
                <w:rFonts w:hint="eastAsia" w:ascii="宋体" w:hAnsi="宋体"/>
                <w:sz w:val="21"/>
                <w:szCs w:val="21"/>
              </w:rPr>
              <w:t>响应情况</w:t>
            </w:r>
          </w:p>
        </w:tc>
        <w:tc>
          <w:tcPr>
            <w:tcW w:w="2416" w:type="dxa"/>
            <w:vAlign w:val="center"/>
          </w:tcPr>
          <w:p>
            <w:pPr>
              <w:tabs>
                <w:tab w:val="left" w:pos="6300"/>
              </w:tabs>
              <w:snapToGrid w:val="0"/>
              <w:jc w:val="center"/>
              <w:outlineLvl w:val="0"/>
              <w:rPr>
                <w:rFonts w:ascii="宋体" w:hAnsi="宋体"/>
                <w:sz w:val="21"/>
                <w:szCs w:val="21"/>
              </w:rPr>
            </w:pPr>
            <w:r>
              <w:rPr>
                <w:rFonts w:hint="eastAsia" w:ascii="宋体" w:hAnsi="宋体"/>
                <w:sz w:val="21"/>
                <w:szCs w:val="21"/>
              </w:rPr>
              <w:t>差异说明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1580" w:type="dxa"/>
            <w:vAlign w:val="center"/>
          </w:tcPr>
          <w:p>
            <w:pPr>
              <w:tabs>
                <w:tab w:val="left" w:pos="6300"/>
              </w:tabs>
              <w:snapToGrid w:val="0"/>
              <w:ind w:firstLine="420" w:firstLineChars="200"/>
              <w:rPr>
                <w:rFonts w:ascii="宋体" w:hAnsi="宋体"/>
                <w:sz w:val="21"/>
                <w:szCs w:val="21"/>
              </w:rPr>
            </w:pPr>
          </w:p>
        </w:tc>
        <w:tc>
          <w:tcPr>
            <w:tcW w:w="2428" w:type="dxa"/>
            <w:vAlign w:val="center"/>
          </w:tcPr>
          <w:p>
            <w:pPr>
              <w:tabs>
                <w:tab w:val="left" w:pos="6300"/>
              </w:tabs>
              <w:snapToGrid w:val="0"/>
              <w:ind w:firstLine="420" w:firstLineChars="200"/>
              <w:rPr>
                <w:rFonts w:ascii="宋体" w:hAnsi="宋体"/>
                <w:sz w:val="21"/>
                <w:szCs w:val="21"/>
              </w:rPr>
            </w:pPr>
          </w:p>
        </w:tc>
        <w:tc>
          <w:tcPr>
            <w:tcW w:w="2520" w:type="dxa"/>
            <w:vAlign w:val="center"/>
          </w:tcPr>
          <w:p>
            <w:pPr>
              <w:tabs>
                <w:tab w:val="left" w:pos="6300"/>
              </w:tabs>
              <w:snapToGrid w:val="0"/>
              <w:ind w:firstLine="420" w:firstLineChars="200"/>
              <w:rPr>
                <w:rFonts w:ascii="宋体" w:hAnsi="宋体"/>
                <w:sz w:val="21"/>
                <w:szCs w:val="21"/>
              </w:rPr>
            </w:pPr>
          </w:p>
        </w:tc>
        <w:tc>
          <w:tcPr>
            <w:tcW w:w="2416" w:type="dxa"/>
            <w:vAlign w:val="center"/>
          </w:tcPr>
          <w:p>
            <w:pPr>
              <w:tabs>
                <w:tab w:val="left" w:pos="6300"/>
              </w:tabs>
              <w:snapToGrid w:val="0"/>
              <w:ind w:firstLine="420" w:firstLineChars="200"/>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1580" w:type="dxa"/>
            <w:vAlign w:val="center"/>
          </w:tcPr>
          <w:p>
            <w:pPr>
              <w:tabs>
                <w:tab w:val="left" w:pos="6300"/>
              </w:tabs>
              <w:snapToGrid w:val="0"/>
              <w:ind w:firstLine="420" w:firstLineChars="200"/>
              <w:rPr>
                <w:rFonts w:ascii="宋体" w:hAnsi="宋体"/>
                <w:sz w:val="21"/>
                <w:szCs w:val="21"/>
              </w:rPr>
            </w:pPr>
          </w:p>
        </w:tc>
        <w:tc>
          <w:tcPr>
            <w:tcW w:w="2428" w:type="dxa"/>
            <w:vAlign w:val="center"/>
          </w:tcPr>
          <w:p>
            <w:pPr>
              <w:tabs>
                <w:tab w:val="left" w:pos="6300"/>
              </w:tabs>
              <w:snapToGrid w:val="0"/>
              <w:ind w:firstLine="420" w:firstLineChars="200"/>
              <w:rPr>
                <w:rFonts w:ascii="宋体" w:hAnsi="宋体"/>
                <w:sz w:val="21"/>
                <w:szCs w:val="21"/>
              </w:rPr>
            </w:pPr>
          </w:p>
        </w:tc>
        <w:tc>
          <w:tcPr>
            <w:tcW w:w="2520" w:type="dxa"/>
            <w:vAlign w:val="center"/>
          </w:tcPr>
          <w:p>
            <w:pPr>
              <w:tabs>
                <w:tab w:val="left" w:pos="6300"/>
              </w:tabs>
              <w:snapToGrid w:val="0"/>
              <w:ind w:firstLine="420" w:firstLineChars="200"/>
              <w:rPr>
                <w:rFonts w:ascii="宋体" w:hAnsi="宋体"/>
                <w:sz w:val="21"/>
                <w:szCs w:val="21"/>
              </w:rPr>
            </w:pPr>
          </w:p>
        </w:tc>
        <w:tc>
          <w:tcPr>
            <w:tcW w:w="2416" w:type="dxa"/>
            <w:vAlign w:val="center"/>
          </w:tcPr>
          <w:p>
            <w:pPr>
              <w:tabs>
                <w:tab w:val="left" w:pos="6300"/>
              </w:tabs>
              <w:snapToGrid w:val="0"/>
              <w:ind w:firstLine="420" w:firstLineChars="200"/>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1580" w:type="dxa"/>
            <w:vAlign w:val="center"/>
          </w:tcPr>
          <w:p>
            <w:pPr>
              <w:tabs>
                <w:tab w:val="left" w:pos="6300"/>
              </w:tabs>
              <w:snapToGrid w:val="0"/>
              <w:ind w:firstLine="420" w:firstLineChars="200"/>
              <w:rPr>
                <w:rFonts w:ascii="宋体" w:hAnsi="宋体"/>
                <w:sz w:val="21"/>
                <w:szCs w:val="21"/>
              </w:rPr>
            </w:pPr>
          </w:p>
        </w:tc>
        <w:tc>
          <w:tcPr>
            <w:tcW w:w="2428" w:type="dxa"/>
            <w:vAlign w:val="center"/>
          </w:tcPr>
          <w:p>
            <w:pPr>
              <w:tabs>
                <w:tab w:val="left" w:pos="6300"/>
              </w:tabs>
              <w:snapToGrid w:val="0"/>
              <w:ind w:firstLine="420" w:firstLineChars="200"/>
              <w:rPr>
                <w:rFonts w:ascii="宋体" w:hAnsi="宋体"/>
                <w:sz w:val="21"/>
                <w:szCs w:val="21"/>
              </w:rPr>
            </w:pPr>
          </w:p>
        </w:tc>
        <w:tc>
          <w:tcPr>
            <w:tcW w:w="2520" w:type="dxa"/>
            <w:vAlign w:val="center"/>
          </w:tcPr>
          <w:p>
            <w:pPr>
              <w:tabs>
                <w:tab w:val="left" w:pos="6300"/>
              </w:tabs>
              <w:snapToGrid w:val="0"/>
              <w:ind w:firstLine="420" w:firstLineChars="200"/>
              <w:rPr>
                <w:rFonts w:ascii="宋体" w:hAnsi="宋体"/>
                <w:sz w:val="21"/>
                <w:szCs w:val="21"/>
              </w:rPr>
            </w:pPr>
          </w:p>
        </w:tc>
        <w:tc>
          <w:tcPr>
            <w:tcW w:w="2416" w:type="dxa"/>
            <w:vAlign w:val="center"/>
          </w:tcPr>
          <w:p>
            <w:pPr>
              <w:tabs>
                <w:tab w:val="left" w:pos="6300"/>
              </w:tabs>
              <w:snapToGrid w:val="0"/>
              <w:ind w:firstLine="420" w:firstLineChars="200"/>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1580" w:type="dxa"/>
            <w:vAlign w:val="center"/>
          </w:tcPr>
          <w:p>
            <w:pPr>
              <w:tabs>
                <w:tab w:val="left" w:pos="6300"/>
              </w:tabs>
              <w:snapToGrid w:val="0"/>
              <w:ind w:firstLine="420" w:firstLineChars="200"/>
              <w:rPr>
                <w:rFonts w:ascii="宋体" w:hAnsi="宋体"/>
                <w:sz w:val="21"/>
                <w:szCs w:val="21"/>
              </w:rPr>
            </w:pPr>
          </w:p>
        </w:tc>
        <w:tc>
          <w:tcPr>
            <w:tcW w:w="2428" w:type="dxa"/>
            <w:vAlign w:val="center"/>
          </w:tcPr>
          <w:p>
            <w:pPr>
              <w:tabs>
                <w:tab w:val="left" w:pos="6300"/>
              </w:tabs>
              <w:snapToGrid w:val="0"/>
              <w:ind w:firstLine="420" w:firstLineChars="200"/>
              <w:rPr>
                <w:rFonts w:ascii="宋体" w:hAnsi="宋体"/>
                <w:sz w:val="21"/>
                <w:szCs w:val="21"/>
              </w:rPr>
            </w:pPr>
          </w:p>
        </w:tc>
        <w:tc>
          <w:tcPr>
            <w:tcW w:w="2520" w:type="dxa"/>
            <w:vAlign w:val="center"/>
          </w:tcPr>
          <w:p>
            <w:pPr>
              <w:tabs>
                <w:tab w:val="left" w:pos="6300"/>
              </w:tabs>
              <w:snapToGrid w:val="0"/>
              <w:ind w:firstLine="420" w:firstLineChars="200"/>
              <w:rPr>
                <w:rFonts w:ascii="宋体" w:hAnsi="宋体"/>
                <w:sz w:val="21"/>
                <w:szCs w:val="21"/>
              </w:rPr>
            </w:pPr>
          </w:p>
        </w:tc>
        <w:tc>
          <w:tcPr>
            <w:tcW w:w="2416" w:type="dxa"/>
            <w:vAlign w:val="center"/>
          </w:tcPr>
          <w:p>
            <w:pPr>
              <w:tabs>
                <w:tab w:val="left" w:pos="6300"/>
              </w:tabs>
              <w:snapToGrid w:val="0"/>
              <w:ind w:firstLine="420" w:firstLineChars="200"/>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1580" w:type="dxa"/>
            <w:vAlign w:val="center"/>
          </w:tcPr>
          <w:p>
            <w:pPr>
              <w:tabs>
                <w:tab w:val="left" w:pos="6300"/>
              </w:tabs>
              <w:snapToGrid w:val="0"/>
              <w:ind w:firstLine="420" w:firstLineChars="200"/>
              <w:rPr>
                <w:rFonts w:ascii="宋体" w:hAnsi="宋体"/>
                <w:sz w:val="21"/>
                <w:szCs w:val="21"/>
              </w:rPr>
            </w:pPr>
          </w:p>
        </w:tc>
        <w:tc>
          <w:tcPr>
            <w:tcW w:w="2428" w:type="dxa"/>
            <w:vAlign w:val="center"/>
          </w:tcPr>
          <w:p>
            <w:pPr>
              <w:tabs>
                <w:tab w:val="left" w:pos="6300"/>
              </w:tabs>
              <w:snapToGrid w:val="0"/>
              <w:ind w:firstLine="420" w:firstLineChars="200"/>
              <w:rPr>
                <w:rFonts w:ascii="宋体" w:hAnsi="宋体"/>
                <w:sz w:val="21"/>
                <w:szCs w:val="21"/>
              </w:rPr>
            </w:pPr>
          </w:p>
        </w:tc>
        <w:tc>
          <w:tcPr>
            <w:tcW w:w="2520" w:type="dxa"/>
            <w:vAlign w:val="center"/>
          </w:tcPr>
          <w:p>
            <w:pPr>
              <w:tabs>
                <w:tab w:val="left" w:pos="6300"/>
              </w:tabs>
              <w:snapToGrid w:val="0"/>
              <w:ind w:firstLine="420" w:firstLineChars="200"/>
              <w:rPr>
                <w:rFonts w:ascii="宋体" w:hAnsi="宋体"/>
                <w:sz w:val="21"/>
                <w:szCs w:val="21"/>
              </w:rPr>
            </w:pPr>
          </w:p>
        </w:tc>
        <w:tc>
          <w:tcPr>
            <w:tcW w:w="2416" w:type="dxa"/>
            <w:vAlign w:val="center"/>
          </w:tcPr>
          <w:p>
            <w:pPr>
              <w:tabs>
                <w:tab w:val="left" w:pos="6300"/>
              </w:tabs>
              <w:snapToGrid w:val="0"/>
              <w:ind w:firstLine="420" w:firstLineChars="200"/>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1580" w:type="dxa"/>
            <w:vAlign w:val="center"/>
          </w:tcPr>
          <w:p>
            <w:pPr>
              <w:tabs>
                <w:tab w:val="left" w:pos="6300"/>
              </w:tabs>
              <w:snapToGrid w:val="0"/>
              <w:ind w:firstLine="420" w:firstLineChars="200"/>
              <w:rPr>
                <w:rFonts w:ascii="宋体" w:hAnsi="宋体"/>
                <w:sz w:val="21"/>
                <w:szCs w:val="21"/>
              </w:rPr>
            </w:pPr>
          </w:p>
        </w:tc>
        <w:tc>
          <w:tcPr>
            <w:tcW w:w="2428" w:type="dxa"/>
            <w:vAlign w:val="center"/>
          </w:tcPr>
          <w:p>
            <w:pPr>
              <w:tabs>
                <w:tab w:val="left" w:pos="6300"/>
              </w:tabs>
              <w:snapToGrid w:val="0"/>
              <w:ind w:firstLine="420" w:firstLineChars="200"/>
              <w:rPr>
                <w:rFonts w:ascii="宋体" w:hAnsi="宋体"/>
                <w:sz w:val="21"/>
                <w:szCs w:val="21"/>
              </w:rPr>
            </w:pPr>
          </w:p>
        </w:tc>
        <w:tc>
          <w:tcPr>
            <w:tcW w:w="2520" w:type="dxa"/>
            <w:vAlign w:val="center"/>
          </w:tcPr>
          <w:p>
            <w:pPr>
              <w:tabs>
                <w:tab w:val="left" w:pos="6300"/>
              </w:tabs>
              <w:snapToGrid w:val="0"/>
              <w:ind w:firstLine="420" w:firstLineChars="200"/>
              <w:rPr>
                <w:rFonts w:ascii="宋体" w:hAnsi="宋体"/>
                <w:sz w:val="21"/>
                <w:szCs w:val="21"/>
              </w:rPr>
            </w:pPr>
          </w:p>
        </w:tc>
        <w:tc>
          <w:tcPr>
            <w:tcW w:w="2416" w:type="dxa"/>
            <w:vAlign w:val="center"/>
          </w:tcPr>
          <w:p>
            <w:pPr>
              <w:tabs>
                <w:tab w:val="left" w:pos="6300"/>
              </w:tabs>
              <w:snapToGrid w:val="0"/>
              <w:ind w:firstLine="420" w:firstLineChars="200"/>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1580" w:type="dxa"/>
            <w:vAlign w:val="center"/>
          </w:tcPr>
          <w:p>
            <w:pPr>
              <w:tabs>
                <w:tab w:val="left" w:pos="6300"/>
              </w:tabs>
              <w:snapToGrid w:val="0"/>
              <w:ind w:firstLine="420" w:firstLineChars="200"/>
              <w:rPr>
                <w:rFonts w:ascii="宋体" w:hAnsi="宋体"/>
                <w:sz w:val="21"/>
                <w:szCs w:val="21"/>
              </w:rPr>
            </w:pPr>
          </w:p>
        </w:tc>
        <w:tc>
          <w:tcPr>
            <w:tcW w:w="2428" w:type="dxa"/>
            <w:vAlign w:val="center"/>
          </w:tcPr>
          <w:p>
            <w:pPr>
              <w:tabs>
                <w:tab w:val="left" w:pos="6300"/>
              </w:tabs>
              <w:snapToGrid w:val="0"/>
              <w:ind w:firstLine="420" w:firstLineChars="200"/>
              <w:rPr>
                <w:rFonts w:ascii="宋体" w:hAnsi="宋体"/>
                <w:sz w:val="21"/>
                <w:szCs w:val="21"/>
              </w:rPr>
            </w:pPr>
          </w:p>
        </w:tc>
        <w:tc>
          <w:tcPr>
            <w:tcW w:w="2520" w:type="dxa"/>
            <w:vAlign w:val="center"/>
          </w:tcPr>
          <w:p>
            <w:pPr>
              <w:tabs>
                <w:tab w:val="left" w:pos="6300"/>
              </w:tabs>
              <w:snapToGrid w:val="0"/>
              <w:ind w:firstLine="420" w:firstLineChars="200"/>
              <w:rPr>
                <w:rFonts w:ascii="宋体" w:hAnsi="宋体"/>
                <w:sz w:val="21"/>
                <w:szCs w:val="21"/>
              </w:rPr>
            </w:pPr>
          </w:p>
        </w:tc>
        <w:tc>
          <w:tcPr>
            <w:tcW w:w="2416" w:type="dxa"/>
            <w:vAlign w:val="center"/>
          </w:tcPr>
          <w:p>
            <w:pPr>
              <w:tabs>
                <w:tab w:val="left" w:pos="6300"/>
              </w:tabs>
              <w:snapToGrid w:val="0"/>
              <w:ind w:firstLine="420" w:firstLineChars="200"/>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1580" w:type="dxa"/>
            <w:vAlign w:val="center"/>
          </w:tcPr>
          <w:p>
            <w:pPr>
              <w:tabs>
                <w:tab w:val="left" w:pos="6300"/>
              </w:tabs>
              <w:snapToGrid w:val="0"/>
              <w:ind w:firstLine="420" w:firstLineChars="200"/>
              <w:rPr>
                <w:rFonts w:ascii="宋体" w:hAnsi="宋体"/>
                <w:sz w:val="21"/>
                <w:szCs w:val="21"/>
              </w:rPr>
            </w:pPr>
          </w:p>
        </w:tc>
        <w:tc>
          <w:tcPr>
            <w:tcW w:w="2428" w:type="dxa"/>
            <w:vAlign w:val="center"/>
          </w:tcPr>
          <w:p>
            <w:pPr>
              <w:tabs>
                <w:tab w:val="left" w:pos="6300"/>
              </w:tabs>
              <w:snapToGrid w:val="0"/>
              <w:ind w:firstLine="420" w:firstLineChars="200"/>
              <w:rPr>
                <w:rFonts w:ascii="宋体" w:hAnsi="宋体"/>
                <w:sz w:val="21"/>
                <w:szCs w:val="21"/>
              </w:rPr>
            </w:pPr>
          </w:p>
        </w:tc>
        <w:tc>
          <w:tcPr>
            <w:tcW w:w="2520" w:type="dxa"/>
            <w:vAlign w:val="center"/>
          </w:tcPr>
          <w:p>
            <w:pPr>
              <w:tabs>
                <w:tab w:val="left" w:pos="6300"/>
              </w:tabs>
              <w:snapToGrid w:val="0"/>
              <w:ind w:firstLine="420" w:firstLineChars="200"/>
              <w:rPr>
                <w:rFonts w:ascii="宋体" w:hAnsi="宋体"/>
                <w:sz w:val="21"/>
                <w:szCs w:val="21"/>
              </w:rPr>
            </w:pPr>
          </w:p>
        </w:tc>
        <w:tc>
          <w:tcPr>
            <w:tcW w:w="2416" w:type="dxa"/>
            <w:vAlign w:val="center"/>
          </w:tcPr>
          <w:p>
            <w:pPr>
              <w:tabs>
                <w:tab w:val="left" w:pos="6300"/>
              </w:tabs>
              <w:snapToGrid w:val="0"/>
              <w:ind w:firstLine="420" w:firstLineChars="200"/>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1580" w:type="dxa"/>
            <w:vAlign w:val="center"/>
          </w:tcPr>
          <w:p>
            <w:pPr>
              <w:tabs>
                <w:tab w:val="left" w:pos="6300"/>
              </w:tabs>
              <w:snapToGrid w:val="0"/>
              <w:ind w:firstLine="420" w:firstLineChars="200"/>
              <w:rPr>
                <w:rFonts w:ascii="宋体" w:hAnsi="宋体"/>
                <w:sz w:val="21"/>
                <w:szCs w:val="21"/>
              </w:rPr>
            </w:pPr>
          </w:p>
        </w:tc>
        <w:tc>
          <w:tcPr>
            <w:tcW w:w="2428" w:type="dxa"/>
            <w:vAlign w:val="center"/>
          </w:tcPr>
          <w:p>
            <w:pPr>
              <w:tabs>
                <w:tab w:val="left" w:pos="6300"/>
              </w:tabs>
              <w:snapToGrid w:val="0"/>
              <w:ind w:firstLine="420" w:firstLineChars="200"/>
              <w:rPr>
                <w:rFonts w:ascii="宋体" w:hAnsi="宋体"/>
                <w:sz w:val="21"/>
                <w:szCs w:val="21"/>
              </w:rPr>
            </w:pPr>
          </w:p>
        </w:tc>
        <w:tc>
          <w:tcPr>
            <w:tcW w:w="2520" w:type="dxa"/>
            <w:vAlign w:val="center"/>
          </w:tcPr>
          <w:p>
            <w:pPr>
              <w:tabs>
                <w:tab w:val="left" w:pos="6300"/>
              </w:tabs>
              <w:snapToGrid w:val="0"/>
              <w:ind w:firstLine="420" w:firstLineChars="200"/>
              <w:rPr>
                <w:rFonts w:ascii="宋体" w:hAnsi="宋体"/>
                <w:sz w:val="21"/>
                <w:szCs w:val="21"/>
              </w:rPr>
            </w:pPr>
          </w:p>
        </w:tc>
        <w:tc>
          <w:tcPr>
            <w:tcW w:w="2416" w:type="dxa"/>
            <w:vAlign w:val="center"/>
          </w:tcPr>
          <w:p>
            <w:pPr>
              <w:tabs>
                <w:tab w:val="left" w:pos="6300"/>
              </w:tabs>
              <w:snapToGrid w:val="0"/>
              <w:ind w:firstLine="420" w:firstLineChars="200"/>
              <w:rPr>
                <w:rFonts w:ascii="宋体" w:hAnsi="宋体"/>
                <w:sz w:val="21"/>
                <w:szCs w:val="21"/>
              </w:rPr>
            </w:pPr>
          </w:p>
        </w:tc>
      </w:tr>
    </w:tbl>
    <w:p>
      <w:pPr>
        <w:spacing w:line="360" w:lineRule="auto"/>
        <w:ind w:firstLine="480" w:firstLineChars="200"/>
        <w:rPr>
          <w:rFonts w:ascii="宋体" w:hAnsi="宋体"/>
          <w:sz w:val="24"/>
          <w:szCs w:val="28"/>
        </w:rPr>
      </w:pPr>
      <w:r>
        <w:rPr>
          <w:rFonts w:hint="eastAsia" w:ascii="宋体" w:hAnsi="宋体"/>
          <w:sz w:val="24"/>
          <w:szCs w:val="28"/>
        </w:rPr>
        <w:t xml:space="preserve">供应商：                     </w:t>
      </w:r>
      <w:r>
        <w:rPr>
          <w:rFonts w:ascii="宋体" w:hAnsi="宋体"/>
          <w:sz w:val="24"/>
          <w:szCs w:val="28"/>
        </w:rPr>
        <w:t xml:space="preserve">  </w:t>
      </w:r>
      <w:r>
        <w:rPr>
          <w:rFonts w:hint="eastAsia" w:ascii="宋体" w:hAnsi="宋体"/>
          <w:sz w:val="24"/>
          <w:szCs w:val="28"/>
        </w:rPr>
        <w:t xml:space="preserve">     法定代表人（或法定代表人授权代表）：</w:t>
      </w:r>
    </w:p>
    <w:p>
      <w:pPr>
        <w:tabs>
          <w:tab w:val="left" w:pos="6300"/>
        </w:tabs>
        <w:snapToGrid w:val="0"/>
        <w:spacing w:line="360" w:lineRule="auto"/>
        <w:ind w:firstLine="480" w:firstLineChars="200"/>
        <w:rPr>
          <w:rFonts w:ascii="宋体" w:hAnsi="宋体"/>
          <w:sz w:val="24"/>
          <w:szCs w:val="24"/>
        </w:rPr>
      </w:pPr>
      <w:r>
        <w:rPr>
          <w:rFonts w:hint="eastAsia" w:ascii="宋体" w:hAnsi="宋体"/>
          <w:sz w:val="24"/>
          <w:szCs w:val="24"/>
        </w:rPr>
        <w:t xml:space="preserve">    （供应商公章）                          （签字或盖章）</w:t>
      </w:r>
    </w:p>
    <w:p>
      <w:pPr>
        <w:tabs>
          <w:tab w:val="left" w:pos="6300"/>
        </w:tabs>
        <w:snapToGrid w:val="0"/>
        <w:spacing w:line="360" w:lineRule="auto"/>
        <w:ind w:firstLine="480" w:firstLineChars="200"/>
        <w:rPr>
          <w:rFonts w:ascii="宋体" w:hAnsi="宋体"/>
          <w:sz w:val="24"/>
          <w:szCs w:val="24"/>
        </w:rPr>
      </w:pPr>
      <w:r>
        <w:rPr>
          <w:rFonts w:hint="eastAsia" w:ascii="宋体" w:hAnsi="宋体"/>
          <w:sz w:val="24"/>
          <w:szCs w:val="24"/>
        </w:rPr>
        <w:t xml:space="preserve">                                            年     月     日</w:t>
      </w:r>
    </w:p>
    <w:p>
      <w:pPr>
        <w:tabs>
          <w:tab w:val="left" w:pos="6300"/>
        </w:tabs>
        <w:snapToGrid w:val="0"/>
        <w:spacing w:line="360" w:lineRule="auto"/>
        <w:ind w:firstLine="480" w:firstLineChars="200"/>
        <w:rPr>
          <w:rFonts w:ascii="宋体" w:hAnsi="宋体"/>
          <w:sz w:val="24"/>
          <w:szCs w:val="24"/>
        </w:rPr>
      </w:pPr>
      <w:r>
        <w:rPr>
          <w:rFonts w:hint="eastAsia" w:ascii="宋体" w:hAnsi="宋体"/>
          <w:sz w:val="24"/>
          <w:szCs w:val="24"/>
        </w:rPr>
        <w:t>注：1.本表即为对本项目“第三篇 项目商务要求”中所列商务条款进行比较和响应；</w:t>
      </w:r>
    </w:p>
    <w:p>
      <w:pPr>
        <w:tabs>
          <w:tab w:val="left" w:pos="6300"/>
        </w:tabs>
        <w:snapToGrid w:val="0"/>
        <w:spacing w:line="360" w:lineRule="auto"/>
        <w:ind w:firstLine="480" w:firstLineChars="200"/>
        <w:rPr>
          <w:rFonts w:ascii="宋体" w:hAnsi="宋体"/>
          <w:sz w:val="24"/>
          <w:szCs w:val="24"/>
        </w:rPr>
      </w:pPr>
      <w:r>
        <w:rPr>
          <w:rFonts w:hint="eastAsia" w:ascii="宋体" w:hAnsi="宋体"/>
          <w:sz w:val="24"/>
          <w:szCs w:val="24"/>
        </w:rPr>
        <w:t>2.该表必须按照采购文件要求逐条如实填写，根据投标情况在“差异说明”项填写正偏离或负偏离及原因，完全符合的填写“无差异”。</w:t>
      </w:r>
    </w:p>
    <w:p>
      <w:pPr>
        <w:tabs>
          <w:tab w:val="left" w:pos="6300"/>
        </w:tabs>
        <w:snapToGrid w:val="0"/>
        <w:spacing w:line="360" w:lineRule="auto"/>
        <w:ind w:firstLine="480" w:firstLineChars="200"/>
        <w:rPr>
          <w:rFonts w:ascii="宋体" w:hAnsi="宋体"/>
          <w:sz w:val="24"/>
          <w:szCs w:val="24"/>
        </w:rPr>
      </w:pPr>
      <w:r>
        <w:rPr>
          <w:rFonts w:hint="eastAsia" w:ascii="宋体" w:hAnsi="宋体"/>
          <w:sz w:val="24"/>
          <w:szCs w:val="24"/>
        </w:rPr>
        <w:t>3.该表可扩展。</w:t>
      </w:r>
    </w:p>
    <w:p>
      <w:pPr>
        <w:tabs>
          <w:tab w:val="left" w:pos="6300"/>
        </w:tabs>
        <w:snapToGrid w:val="0"/>
        <w:spacing w:line="360" w:lineRule="auto"/>
        <w:ind w:firstLine="480" w:firstLineChars="200"/>
        <w:rPr>
          <w:rFonts w:ascii="宋体" w:hAnsi="宋体"/>
          <w:sz w:val="24"/>
          <w:szCs w:val="24"/>
        </w:rPr>
      </w:pPr>
    </w:p>
    <w:p>
      <w:pPr>
        <w:pStyle w:val="2"/>
      </w:pPr>
    </w:p>
    <w:p>
      <w:pPr>
        <w:tabs>
          <w:tab w:val="left" w:pos="6300"/>
        </w:tabs>
        <w:snapToGrid w:val="0"/>
        <w:spacing w:line="500" w:lineRule="exact"/>
        <w:ind w:firstLine="480" w:firstLineChars="200"/>
        <w:rPr>
          <w:rFonts w:ascii="宋体" w:hAnsi="宋体"/>
          <w:sz w:val="24"/>
          <w:szCs w:val="24"/>
        </w:rPr>
      </w:pPr>
      <w:r>
        <w:rPr>
          <w:rFonts w:hint="eastAsia" w:ascii="宋体" w:hAnsi="宋体"/>
          <w:sz w:val="24"/>
          <w:szCs w:val="24"/>
        </w:rPr>
        <w:t>（三）其它优惠承诺（格式自定）</w:t>
      </w:r>
    </w:p>
    <w:p>
      <w:pPr>
        <w:pStyle w:val="2"/>
      </w:pPr>
    </w:p>
    <w:p>
      <w:pPr>
        <w:pageBreakBefore/>
        <w:tabs>
          <w:tab w:val="left" w:pos="6300"/>
        </w:tabs>
        <w:snapToGrid w:val="0"/>
        <w:spacing w:line="360" w:lineRule="auto"/>
        <w:rPr>
          <w:b/>
          <w:sz w:val="24"/>
          <w:szCs w:val="24"/>
        </w:rPr>
      </w:pPr>
      <w:bookmarkStart w:id="171" w:name="_Toc342913422"/>
      <w:bookmarkStart w:id="172" w:name="_Toc313008359"/>
      <w:bookmarkStart w:id="173" w:name="_Toc313888363"/>
      <w:bookmarkStart w:id="174" w:name="_Toc23764525"/>
      <w:r>
        <w:rPr>
          <w:rFonts w:hint="eastAsia"/>
          <w:b/>
          <w:sz w:val="24"/>
          <w:szCs w:val="24"/>
        </w:rPr>
        <w:t xml:space="preserve">    </w:t>
      </w:r>
      <w:r>
        <w:rPr>
          <w:b/>
          <w:sz w:val="24"/>
          <w:szCs w:val="24"/>
        </w:rPr>
        <w:t>四、资格条件及其他</w:t>
      </w:r>
      <w:bookmarkEnd w:id="171"/>
      <w:bookmarkEnd w:id="172"/>
      <w:bookmarkEnd w:id="173"/>
      <w:bookmarkEnd w:id="174"/>
    </w:p>
    <w:p>
      <w:pPr>
        <w:tabs>
          <w:tab w:val="left" w:pos="6300"/>
        </w:tabs>
        <w:snapToGrid w:val="0"/>
        <w:spacing w:line="360" w:lineRule="auto"/>
        <w:ind w:firstLine="570"/>
        <w:rPr>
          <w:rFonts w:ascii="宋体" w:hAnsi="宋体"/>
          <w:sz w:val="24"/>
          <w:szCs w:val="24"/>
        </w:rPr>
      </w:pPr>
      <w:r>
        <w:rPr>
          <w:rFonts w:hint="eastAsia" w:ascii="宋体" w:hAnsi="宋体"/>
          <w:sz w:val="24"/>
          <w:szCs w:val="24"/>
        </w:rPr>
        <w:t>（一）法人营业执照（副本）或事业单位法人证书（副本）或个体工商户营业执照或有效的自然人身份证明或社会团体法人登记证书复印件</w:t>
      </w:r>
    </w:p>
    <w:p>
      <w:pPr>
        <w:tabs>
          <w:tab w:val="left" w:pos="6300"/>
        </w:tabs>
        <w:snapToGrid w:val="0"/>
        <w:spacing w:line="360" w:lineRule="auto"/>
        <w:rPr>
          <w:rFonts w:ascii="宋体" w:hAnsi="宋体"/>
          <w:sz w:val="24"/>
          <w:szCs w:val="24"/>
        </w:rPr>
      </w:pPr>
    </w:p>
    <w:p>
      <w:pPr>
        <w:snapToGrid w:val="0"/>
        <w:spacing w:line="360" w:lineRule="auto"/>
        <w:ind w:firstLine="480" w:firstLineChars="200"/>
        <w:rPr>
          <w:rFonts w:ascii="宋体" w:hAnsi="宋体"/>
          <w:sz w:val="24"/>
          <w:szCs w:val="24"/>
        </w:rPr>
      </w:pPr>
      <w:r>
        <w:rPr>
          <w:rFonts w:hint="eastAsia" w:ascii="宋体" w:hAnsi="宋体"/>
          <w:sz w:val="24"/>
          <w:szCs w:val="24"/>
        </w:rPr>
        <w:t>（二）法定代表人身份证明书（格式）</w:t>
      </w:r>
    </w:p>
    <w:p>
      <w:pPr>
        <w:tabs>
          <w:tab w:val="left" w:pos="6300"/>
        </w:tabs>
        <w:snapToGrid w:val="0"/>
        <w:spacing w:line="360" w:lineRule="auto"/>
        <w:ind w:firstLine="570"/>
        <w:rPr>
          <w:rFonts w:ascii="宋体" w:hAnsi="宋体"/>
          <w:sz w:val="24"/>
        </w:rPr>
      </w:pPr>
    </w:p>
    <w:p>
      <w:pPr>
        <w:tabs>
          <w:tab w:val="left" w:pos="6300"/>
        </w:tabs>
        <w:snapToGrid w:val="0"/>
        <w:spacing w:line="360" w:lineRule="auto"/>
        <w:ind w:firstLine="570"/>
        <w:rPr>
          <w:rFonts w:ascii="宋体" w:hAnsi="宋体"/>
          <w:sz w:val="24"/>
        </w:rPr>
      </w:pPr>
      <w:r>
        <w:rPr>
          <w:rFonts w:hint="eastAsia" w:ascii="宋体" w:hAnsi="宋体"/>
          <w:sz w:val="24"/>
        </w:rPr>
        <w:t>项目名称：</w:t>
      </w:r>
      <w:r>
        <w:rPr>
          <w:rFonts w:hint="eastAsia" w:ascii="宋体" w:hAnsi="宋体"/>
          <w:sz w:val="24"/>
          <w:u w:val="single"/>
        </w:rPr>
        <w:t xml:space="preserve">                                                </w:t>
      </w:r>
    </w:p>
    <w:p>
      <w:pPr>
        <w:tabs>
          <w:tab w:val="left" w:pos="6300"/>
        </w:tabs>
        <w:snapToGrid w:val="0"/>
        <w:spacing w:line="360" w:lineRule="auto"/>
        <w:ind w:firstLine="570"/>
        <w:rPr>
          <w:rFonts w:ascii="宋体" w:hAnsi="宋体"/>
          <w:sz w:val="24"/>
        </w:rPr>
      </w:pPr>
    </w:p>
    <w:p>
      <w:pPr>
        <w:tabs>
          <w:tab w:val="left" w:pos="6300"/>
        </w:tabs>
        <w:snapToGrid w:val="0"/>
        <w:spacing w:line="360" w:lineRule="auto"/>
        <w:rPr>
          <w:rFonts w:ascii="宋体" w:hAnsi="宋体"/>
          <w:sz w:val="24"/>
        </w:rPr>
      </w:pPr>
      <w:r>
        <w:rPr>
          <w:rFonts w:hint="eastAsia" w:ascii="宋体" w:hAnsi="宋体"/>
          <w:sz w:val="24"/>
        </w:rPr>
        <w:t>致：</w:t>
      </w:r>
      <w:r>
        <w:rPr>
          <w:rFonts w:hint="eastAsia" w:ascii="宋体" w:hAnsi="宋体"/>
          <w:sz w:val="24"/>
          <w:u w:val="single"/>
        </w:rPr>
        <w:t xml:space="preserve">                     </w:t>
      </w:r>
      <w:r>
        <w:rPr>
          <w:rFonts w:hint="eastAsia" w:ascii="宋体" w:hAnsi="宋体"/>
          <w:sz w:val="24"/>
        </w:rPr>
        <w:t>（采购代理机构名称）：</w:t>
      </w:r>
    </w:p>
    <w:p>
      <w:pPr>
        <w:tabs>
          <w:tab w:val="left" w:pos="6300"/>
        </w:tabs>
        <w:snapToGrid w:val="0"/>
        <w:spacing w:line="360" w:lineRule="auto"/>
        <w:ind w:firstLine="570"/>
        <w:rPr>
          <w:rFonts w:ascii="宋体" w:hAnsi="宋体"/>
          <w:sz w:val="24"/>
        </w:rPr>
      </w:pPr>
      <w:r>
        <w:rPr>
          <w:rFonts w:hint="eastAsia" w:ascii="宋体" w:hAnsi="宋体"/>
          <w:sz w:val="24"/>
          <w:u w:val="single"/>
        </w:rPr>
        <w:t xml:space="preserve">        </w:t>
      </w:r>
      <w:r>
        <w:rPr>
          <w:rFonts w:hint="eastAsia" w:ascii="宋体" w:hAnsi="宋体"/>
          <w:sz w:val="24"/>
        </w:rPr>
        <w:t>（法定代表人姓名）在</w:t>
      </w:r>
      <w:r>
        <w:rPr>
          <w:rFonts w:hint="eastAsia" w:ascii="宋体" w:hAnsi="宋体"/>
          <w:sz w:val="24"/>
          <w:u w:val="single"/>
        </w:rPr>
        <w:t xml:space="preserve">                       </w:t>
      </w:r>
      <w:r>
        <w:rPr>
          <w:rFonts w:hint="eastAsia" w:ascii="宋体" w:hAnsi="宋体"/>
          <w:sz w:val="24"/>
        </w:rPr>
        <w:t>（供应商名称）任</w:t>
      </w:r>
      <w:r>
        <w:rPr>
          <w:rFonts w:hint="eastAsia" w:ascii="宋体" w:hAnsi="宋体"/>
          <w:sz w:val="24"/>
          <w:u w:val="single"/>
        </w:rPr>
        <w:t xml:space="preserve">    </w:t>
      </w:r>
      <w:r>
        <w:rPr>
          <w:rFonts w:hint="eastAsia" w:ascii="宋体" w:hAnsi="宋体"/>
          <w:sz w:val="24"/>
        </w:rPr>
        <w:t>（职务名称）职务，是（供应商名称）</w:t>
      </w:r>
      <w:r>
        <w:rPr>
          <w:rFonts w:hint="eastAsia" w:ascii="宋体" w:hAnsi="宋体"/>
          <w:sz w:val="24"/>
          <w:u w:val="single"/>
        </w:rPr>
        <w:t xml:space="preserve">              </w:t>
      </w:r>
      <w:r>
        <w:rPr>
          <w:rFonts w:hint="eastAsia" w:ascii="宋体" w:hAnsi="宋体"/>
          <w:sz w:val="24"/>
        </w:rPr>
        <w:t>的法定代表人。</w:t>
      </w:r>
    </w:p>
    <w:p>
      <w:pPr>
        <w:tabs>
          <w:tab w:val="left" w:pos="6300"/>
        </w:tabs>
        <w:snapToGrid w:val="0"/>
        <w:spacing w:line="360" w:lineRule="auto"/>
        <w:ind w:firstLine="570"/>
        <w:rPr>
          <w:rFonts w:ascii="宋体" w:hAnsi="宋体"/>
          <w:sz w:val="24"/>
        </w:rPr>
      </w:pPr>
    </w:p>
    <w:p>
      <w:pPr>
        <w:tabs>
          <w:tab w:val="left" w:pos="6300"/>
        </w:tabs>
        <w:snapToGrid w:val="0"/>
        <w:spacing w:line="360" w:lineRule="auto"/>
        <w:ind w:firstLine="570"/>
        <w:rPr>
          <w:rFonts w:ascii="宋体" w:hAnsi="宋体"/>
          <w:sz w:val="24"/>
        </w:rPr>
      </w:pPr>
      <w:r>
        <w:rPr>
          <w:rFonts w:hint="eastAsia" w:ascii="宋体" w:hAnsi="宋体"/>
          <w:sz w:val="24"/>
        </w:rPr>
        <w:t>特此证明。</w:t>
      </w:r>
    </w:p>
    <w:p>
      <w:pPr>
        <w:tabs>
          <w:tab w:val="left" w:pos="6300"/>
        </w:tabs>
        <w:snapToGrid w:val="0"/>
        <w:spacing w:line="360" w:lineRule="auto"/>
        <w:ind w:firstLine="570"/>
        <w:rPr>
          <w:rFonts w:ascii="宋体" w:hAnsi="宋体"/>
          <w:sz w:val="24"/>
        </w:rPr>
      </w:pPr>
    </w:p>
    <w:p>
      <w:pPr>
        <w:tabs>
          <w:tab w:val="left" w:pos="6300"/>
        </w:tabs>
        <w:snapToGrid w:val="0"/>
        <w:spacing w:line="360" w:lineRule="auto"/>
        <w:ind w:firstLine="570"/>
        <w:rPr>
          <w:rFonts w:ascii="宋体" w:hAnsi="宋体"/>
          <w:sz w:val="24"/>
        </w:rPr>
      </w:pPr>
    </w:p>
    <w:p>
      <w:pPr>
        <w:tabs>
          <w:tab w:val="left" w:pos="6300"/>
        </w:tabs>
        <w:snapToGrid w:val="0"/>
        <w:spacing w:line="360" w:lineRule="auto"/>
        <w:ind w:firstLine="570"/>
        <w:rPr>
          <w:rFonts w:ascii="宋体" w:hAnsi="宋体"/>
          <w:sz w:val="24"/>
        </w:rPr>
      </w:pPr>
    </w:p>
    <w:p>
      <w:pPr>
        <w:tabs>
          <w:tab w:val="left" w:pos="6300"/>
        </w:tabs>
        <w:snapToGrid w:val="0"/>
        <w:spacing w:line="360" w:lineRule="auto"/>
        <w:ind w:firstLine="570"/>
        <w:rPr>
          <w:rFonts w:ascii="宋体" w:hAnsi="宋体"/>
          <w:sz w:val="24"/>
        </w:rPr>
      </w:pPr>
      <w:r>
        <w:rPr>
          <w:rFonts w:hint="eastAsia" w:ascii="宋体" w:hAnsi="宋体"/>
          <w:sz w:val="24"/>
        </w:rPr>
        <w:t xml:space="preserve">                                             （供应商公章）</w:t>
      </w:r>
    </w:p>
    <w:p>
      <w:pPr>
        <w:tabs>
          <w:tab w:val="left" w:pos="6300"/>
        </w:tabs>
        <w:snapToGrid w:val="0"/>
        <w:spacing w:line="360" w:lineRule="auto"/>
        <w:ind w:firstLine="570"/>
        <w:rPr>
          <w:rFonts w:ascii="宋体" w:hAnsi="宋体"/>
          <w:sz w:val="24"/>
        </w:rPr>
      </w:pPr>
    </w:p>
    <w:p>
      <w:pPr>
        <w:tabs>
          <w:tab w:val="left" w:pos="6300"/>
        </w:tabs>
        <w:snapToGrid w:val="0"/>
        <w:spacing w:line="360" w:lineRule="auto"/>
        <w:ind w:firstLine="570"/>
        <w:rPr>
          <w:rFonts w:ascii="宋体" w:hAnsi="宋体"/>
          <w:sz w:val="24"/>
        </w:rPr>
      </w:pPr>
      <w:r>
        <w:rPr>
          <w:rFonts w:hint="eastAsia" w:ascii="宋体" w:hAnsi="宋体"/>
          <w:sz w:val="24"/>
        </w:rPr>
        <w:t xml:space="preserve">                                             年   月   日</w:t>
      </w:r>
    </w:p>
    <w:p>
      <w:pPr>
        <w:tabs>
          <w:tab w:val="left" w:pos="6300"/>
        </w:tabs>
        <w:snapToGrid w:val="0"/>
        <w:spacing w:line="360" w:lineRule="auto"/>
        <w:ind w:firstLine="570"/>
        <w:rPr>
          <w:rFonts w:ascii="宋体" w:hAnsi="宋体"/>
          <w:sz w:val="24"/>
        </w:rPr>
      </w:pPr>
      <w:r>
        <w:rPr>
          <w:rFonts w:hint="eastAsia" w:ascii="宋体" w:hAnsi="宋体"/>
          <w:sz w:val="24"/>
        </w:rPr>
        <w:t>（附：法定代表人身份证正反面复印件）</w:t>
      </w:r>
    </w:p>
    <w:p>
      <w:pPr>
        <w:tabs>
          <w:tab w:val="left" w:pos="6300"/>
        </w:tabs>
        <w:snapToGrid w:val="0"/>
        <w:spacing w:line="360" w:lineRule="auto"/>
        <w:ind w:firstLine="570"/>
        <w:rPr>
          <w:rFonts w:ascii="宋体" w:hAnsi="宋体"/>
          <w:sz w:val="24"/>
        </w:rPr>
      </w:pPr>
    </w:p>
    <w:p>
      <w:pPr>
        <w:tabs>
          <w:tab w:val="left" w:pos="6300"/>
        </w:tabs>
        <w:snapToGrid w:val="0"/>
        <w:spacing w:line="360" w:lineRule="auto"/>
        <w:ind w:firstLine="570"/>
        <w:rPr>
          <w:rFonts w:ascii="宋体" w:hAnsi="宋体"/>
          <w:sz w:val="24"/>
        </w:rPr>
      </w:pPr>
    </w:p>
    <w:p>
      <w:pPr>
        <w:tabs>
          <w:tab w:val="left" w:pos="6300"/>
        </w:tabs>
        <w:snapToGrid w:val="0"/>
        <w:spacing w:line="360" w:lineRule="auto"/>
        <w:ind w:firstLine="570"/>
        <w:rPr>
          <w:rFonts w:ascii="宋体" w:hAnsi="宋体"/>
          <w:sz w:val="24"/>
        </w:rPr>
      </w:pPr>
    </w:p>
    <w:p>
      <w:pPr>
        <w:tabs>
          <w:tab w:val="left" w:pos="6300"/>
        </w:tabs>
        <w:snapToGrid w:val="0"/>
        <w:spacing w:line="360" w:lineRule="auto"/>
        <w:ind w:firstLine="570"/>
        <w:rPr>
          <w:rFonts w:ascii="宋体" w:hAnsi="宋体"/>
          <w:sz w:val="24"/>
        </w:rPr>
      </w:pPr>
    </w:p>
    <w:p>
      <w:pPr>
        <w:tabs>
          <w:tab w:val="left" w:pos="6300"/>
        </w:tabs>
        <w:snapToGrid w:val="0"/>
        <w:spacing w:line="360" w:lineRule="auto"/>
        <w:ind w:firstLine="570"/>
        <w:rPr>
          <w:rFonts w:ascii="宋体" w:hAnsi="宋体"/>
          <w:sz w:val="24"/>
        </w:rPr>
      </w:pPr>
    </w:p>
    <w:p>
      <w:pPr>
        <w:tabs>
          <w:tab w:val="left" w:pos="6300"/>
        </w:tabs>
        <w:snapToGrid w:val="0"/>
        <w:spacing w:line="360" w:lineRule="auto"/>
        <w:ind w:firstLine="570"/>
        <w:rPr>
          <w:rFonts w:ascii="宋体" w:hAnsi="宋体"/>
          <w:sz w:val="24"/>
        </w:rPr>
      </w:pPr>
    </w:p>
    <w:p>
      <w:pPr>
        <w:snapToGrid w:val="0"/>
        <w:spacing w:line="360" w:lineRule="auto"/>
        <w:ind w:firstLine="560" w:firstLineChars="200"/>
        <w:rPr>
          <w:rFonts w:ascii="宋体" w:hAnsi="宋体"/>
          <w:sz w:val="24"/>
          <w:szCs w:val="24"/>
        </w:rPr>
      </w:pPr>
      <w:r>
        <w:rPr>
          <w:rFonts w:ascii="宋体" w:hAnsi="宋体"/>
        </w:rPr>
        <w:br w:type="column"/>
      </w:r>
      <w:r>
        <w:rPr>
          <w:rFonts w:hint="eastAsia" w:ascii="宋体" w:hAnsi="宋体"/>
          <w:sz w:val="24"/>
          <w:szCs w:val="24"/>
        </w:rPr>
        <w:t>（三）法定代表人授权委托书（格式）</w:t>
      </w:r>
    </w:p>
    <w:p>
      <w:pPr>
        <w:tabs>
          <w:tab w:val="left" w:pos="6300"/>
        </w:tabs>
        <w:snapToGrid w:val="0"/>
        <w:spacing w:line="360" w:lineRule="auto"/>
        <w:ind w:firstLine="570"/>
        <w:rPr>
          <w:rFonts w:ascii="宋体" w:hAnsi="宋体"/>
          <w:sz w:val="24"/>
        </w:rPr>
      </w:pPr>
      <w:r>
        <w:rPr>
          <w:rFonts w:hint="eastAsia" w:ascii="宋体" w:hAnsi="宋体"/>
          <w:sz w:val="24"/>
        </w:rPr>
        <w:t xml:space="preserve">    </w:t>
      </w:r>
    </w:p>
    <w:p>
      <w:pPr>
        <w:tabs>
          <w:tab w:val="left" w:pos="6300"/>
        </w:tabs>
        <w:snapToGrid w:val="0"/>
        <w:spacing w:line="360" w:lineRule="auto"/>
        <w:ind w:firstLine="480" w:firstLineChars="200"/>
        <w:rPr>
          <w:rFonts w:ascii="宋体" w:hAnsi="宋体"/>
          <w:sz w:val="24"/>
        </w:rPr>
      </w:pPr>
      <w:r>
        <w:rPr>
          <w:rFonts w:hint="eastAsia" w:ascii="宋体" w:hAnsi="宋体"/>
          <w:sz w:val="24"/>
          <w:szCs w:val="28"/>
        </w:rPr>
        <w:t>项目名称</w:t>
      </w:r>
      <w:r>
        <w:rPr>
          <w:rFonts w:hint="eastAsia" w:ascii="宋体" w:hAnsi="宋体"/>
          <w:sz w:val="24"/>
        </w:rPr>
        <w:t>：</w:t>
      </w:r>
      <w:r>
        <w:rPr>
          <w:rFonts w:hint="eastAsia" w:ascii="宋体" w:hAnsi="宋体"/>
          <w:sz w:val="24"/>
          <w:u w:val="single"/>
        </w:rPr>
        <w:t xml:space="preserve">                                                </w:t>
      </w:r>
    </w:p>
    <w:p>
      <w:pPr>
        <w:tabs>
          <w:tab w:val="left" w:pos="6300"/>
        </w:tabs>
        <w:snapToGrid w:val="0"/>
        <w:spacing w:line="360" w:lineRule="auto"/>
        <w:ind w:firstLine="570"/>
        <w:rPr>
          <w:rFonts w:ascii="宋体" w:hAnsi="宋体"/>
          <w:sz w:val="24"/>
        </w:rPr>
      </w:pPr>
    </w:p>
    <w:p>
      <w:pPr>
        <w:tabs>
          <w:tab w:val="left" w:pos="6300"/>
        </w:tabs>
        <w:snapToGrid w:val="0"/>
        <w:spacing w:line="360" w:lineRule="auto"/>
        <w:rPr>
          <w:rFonts w:ascii="宋体" w:hAnsi="宋体"/>
          <w:sz w:val="24"/>
        </w:rPr>
      </w:pPr>
      <w:r>
        <w:rPr>
          <w:rFonts w:hint="eastAsia" w:ascii="宋体" w:hAnsi="宋体"/>
          <w:sz w:val="24"/>
        </w:rPr>
        <w:t>致：</w:t>
      </w:r>
      <w:r>
        <w:rPr>
          <w:rFonts w:hint="eastAsia" w:ascii="宋体" w:hAnsi="宋体"/>
          <w:sz w:val="24"/>
          <w:u w:val="single"/>
        </w:rPr>
        <w:t xml:space="preserve">                     </w:t>
      </w:r>
      <w:r>
        <w:rPr>
          <w:rFonts w:hint="eastAsia" w:ascii="宋体" w:hAnsi="宋体"/>
          <w:sz w:val="24"/>
        </w:rPr>
        <w:t>（采购代理机构名称）：</w:t>
      </w:r>
    </w:p>
    <w:p>
      <w:pPr>
        <w:tabs>
          <w:tab w:val="left" w:pos="6300"/>
        </w:tabs>
        <w:snapToGrid w:val="0"/>
        <w:spacing w:line="360" w:lineRule="auto"/>
        <w:ind w:firstLine="480" w:firstLineChars="200"/>
        <w:rPr>
          <w:rFonts w:ascii="宋体" w:hAnsi="宋体"/>
          <w:sz w:val="24"/>
        </w:rPr>
      </w:pPr>
      <w:r>
        <w:rPr>
          <w:rFonts w:hint="eastAsia" w:ascii="宋体" w:hAnsi="宋体"/>
          <w:sz w:val="24"/>
          <w:u w:val="single"/>
        </w:rPr>
        <w:t xml:space="preserve">            </w:t>
      </w:r>
      <w:r>
        <w:rPr>
          <w:rFonts w:hint="eastAsia" w:ascii="宋体" w:hAnsi="宋体"/>
          <w:sz w:val="24"/>
        </w:rPr>
        <w:t>（供应商法定代表人名称）是</w:t>
      </w:r>
      <w:r>
        <w:rPr>
          <w:rFonts w:hint="eastAsia" w:ascii="宋体" w:hAnsi="宋体"/>
          <w:sz w:val="24"/>
          <w:u w:val="single"/>
        </w:rPr>
        <w:t xml:space="preserve">                    </w:t>
      </w:r>
      <w:r>
        <w:rPr>
          <w:rFonts w:hint="eastAsia" w:ascii="宋体" w:hAnsi="宋体"/>
          <w:sz w:val="24"/>
        </w:rPr>
        <w:t>（供应商名称）的法定代表人，特授权</w:t>
      </w:r>
      <w:r>
        <w:rPr>
          <w:rFonts w:hint="eastAsia" w:ascii="宋体" w:hAnsi="宋体"/>
          <w:sz w:val="24"/>
          <w:u w:val="single"/>
        </w:rPr>
        <w:t xml:space="preserve">          </w:t>
      </w:r>
      <w:r>
        <w:rPr>
          <w:rFonts w:hint="eastAsia" w:ascii="宋体" w:hAnsi="宋体"/>
          <w:sz w:val="24"/>
        </w:rPr>
        <w:t>（被授权人姓名及身份证代码）代表我单位全权办理上述项目的磋商、签约等具体工作，并签署全部有关文件、协议及合同。</w:t>
      </w:r>
    </w:p>
    <w:p>
      <w:pPr>
        <w:tabs>
          <w:tab w:val="left" w:pos="6300"/>
        </w:tabs>
        <w:snapToGrid w:val="0"/>
        <w:spacing w:line="360" w:lineRule="auto"/>
        <w:ind w:firstLine="480" w:firstLineChars="200"/>
        <w:rPr>
          <w:rFonts w:ascii="宋体" w:hAnsi="宋体"/>
          <w:sz w:val="24"/>
        </w:rPr>
      </w:pPr>
      <w:r>
        <w:rPr>
          <w:rFonts w:hint="eastAsia" w:ascii="宋体" w:hAnsi="宋体"/>
          <w:sz w:val="24"/>
        </w:rPr>
        <w:t>我单位对被授权人的</w:t>
      </w:r>
      <w:r>
        <w:rPr>
          <w:rFonts w:hint="eastAsia" w:ascii="宋体" w:hAnsi="宋体"/>
          <w:sz w:val="24"/>
          <w:szCs w:val="28"/>
        </w:rPr>
        <w:t>签署</w:t>
      </w:r>
      <w:r>
        <w:rPr>
          <w:rFonts w:hint="eastAsia" w:ascii="宋体" w:hAnsi="宋体"/>
          <w:sz w:val="24"/>
        </w:rPr>
        <w:t>负全部责任。</w:t>
      </w:r>
    </w:p>
    <w:p>
      <w:pPr>
        <w:tabs>
          <w:tab w:val="left" w:pos="6300"/>
        </w:tabs>
        <w:snapToGrid w:val="0"/>
        <w:spacing w:line="360" w:lineRule="auto"/>
        <w:ind w:firstLine="480" w:firstLineChars="200"/>
        <w:rPr>
          <w:rFonts w:ascii="宋体" w:hAnsi="宋体"/>
          <w:sz w:val="24"/>
        </w:rPr>
      </w:pPr>
      <w:r>
        <w:rPr>
          <w:rFonts w:hint="eastAsia" w:ascii="宋体" w:hAnsi="宋体"/>
          <w:sz w:val="24"/>
        </w:rPr>
        <w:t>在撤销授权的书面通知以前，本授权书一直有效。被授权人在授权书有效期内签署的所有文件不因授权的撤销而失效。</w:t>
      </w:r>
    </w:p>
    <w:p>
      <w:pPr>
        <w:tabs>
          <w:tab w:val="left" w:pos="6300"/>
        </w:tabs>
        <w:snapToGrid w:val="0"/>
        <w:spacing w:line="360" w:lineRule="auto"/>
        <w:ind w:firstLine="570"/>
        <w:rPr>
          <w:rFonts w:ascii="宋体" w:hAnsi="宋体"/>
          <w:sz w:val="24"/>
        </w:rPr>
      </w:pPr>
    </w:p>
    <w:p>
      <w:pPr>
        <w:tabs>
          <w:tab w:val="left" w:pos="6300"/>
        </w:tabs>
        <w:snapToGrid w:val="0"/>
        <w:spacing w:line="360" w:lineRule="auto"/>
        <w:ind w:firstLine="570"/>
        <w:rPr>
          <w:rFonts w:ascii="宋体" w:hAnsi="宋体"/>
          <w:sz w:val="24"/>
        </w:rPr>
      </w:pPr>
    </w:p>
    <w:p>
      <w:pPr>
        <w:tabs>
          <w:tab w:val="left" w:pos="6300"/>
        </w:tabs>
        <w:snapToGrid w:val="0"/>
        <w:spacing w:line="360" w:lineRule="auto"/>
        <w:ind w:firstLine="570"/>
        <w:rPr>
          <w:rFonts w:ascii="宋体" w:hAnsi="宋体"/>
          <w:sz w:val="24"/>
        </w:rPr>
      </w:pPr>
      <w:r>
        <w:rPr>
          <w:rFonts w:hint="eastAsia" w:ascii="宋体" w:hAnsi="宋体"/>
          <w:sz w:val="24"/>
        </w:rPr>
        <w:t>被授权人：                                 供应商法定代表人：</w:t>
      </w:r>
    </w:p>
    <w:p>
      <w:pPr>
        <w:tabs>
          <w:tab w:val="left" w:pos="6300"/>
        </w:tabs>
        <w:snapToGrid w:val="0"/>
        <w:spacing w:line="360" w:lineRule="auto"/>
        <w:ind w:firstLine="570"/>
        <w:rPr>
          <w:rFonts w:ascii="宋体" w:hAnsi="宋体"/>
          <w:sz w:val="24"/>
          <w:szCs w:val="28"/>
        </w:rPr>
      </w:pPr>
      <w:r>
        <w:rPr>
          <w:rFonts w:hint="eastAsia" w:ascii="宋体" w:hAnsi="宋体"/>
          <w:sz w:val="24"/>
          <w:szCs w:val="28"/>
        </w:rPr>
        <w:t>（签署或盖章）                                （签署或盖章）</w:t>
      </w:r>
    </w:p>
    <w:p>
      <w:pPr>
        <w:tabs>
          <w:tab w:val="left" w:pos="6300"/>
        </w:tabs>
        <w:snapToGrid w:val="0"/>
        <w:spacing w:line="360" w:lineRule="auto"/>
        <w:ind w:firstLine="570"/>
        <w:rPr>
          <w:rFonts w:ascii="宋体" w:hAnsi="宋体"/>
          <w:sz w:val="24"/>
          <w:szCs w:val="28"/>
        </w:rPr>
      </w:pPr>
    </w:p>
    <w:p>
      <w:pPr>
        <w:tabs>
          <w:tab w:val="left" w:pos="6300"/>
        </w:tabs>
        <w:snapToGrid w:val="0"/>
        <w:spacing w:line="360" w:lineRule="auto"/>
        <w:ind w:firstLine="570"/>
        <w:rPr>
          <w:rFonts w:ascii="宋体" w:hAnsi="宋体"/>
          <w:sz w:val="24"/>
        </w:rPr>
      </w:pPr>
    </w:p>
    <w:p>
      <w:pPr>
        <w:tabs>
          <w:tab w:val="left" w:pos="6300"/>
        </w:tabs>
        <w:snapToGrid w:val="0"/>
        <w:spacing w:line="360" w:lineRule="auto"/>
        <w:ind w:firstLine="570"/>
        <w:rPr>
          <w:rFonts w:ascii="宋体" w:hAnsi="宋体"/>
          <w:sz w:val="24"/>
        </w:rPr>
      </w:pPr>
      <w:r>
        <w:rPr>
          <w:rFonts w:hint="eastAsia" w:ascii="宋体" w:hAnsi="宋体"/>
          <w:sz w:val="24"/>
        </w:rPr>
        <w:t>（附：被授权人身份证正反面复印件）</w:t>
      </w:r>
    </w:p>
    <w:p>
      <w:pPr>
        <w:tabs>
          <w:tab w:val="left" w:pos="6300"/>
        </w:tabs>
        <w:snapToGrid w:val="0"/>
        <w:spacing w:line="360" w:lineRule="auto"/>
        <w:ind w:firstLine="570"/>
        <w:rPr>
          <w:rFonts w:ascii="宋体" w:hAnsi="宋体"/>
          <w:sz w:val="24"/>
        </w:rPr>
      </w:pPr>
      <w:r>
        <w:rPr>
          <w:rFonts w:hint="eastAsia" w:ascii="宋体" w:hAnsi="宋体"/>
          <w:sz w:val="24"/>
        </w:rPr>
        <w:t xml:space="preserve">                                          </w:t>
      </w:r>
    </w:p>
    <w:p>
      <w:pPr>
        <w:tabs>
          <w:tab w:val="left" w:pos="6300"/>
        </w:tabs>
        <w:snapToGrid w:val="0"/>
        <w:spacing w:line="360" w:lineRule="auto"/>
        <w:ind w:firstLine="570"/>
        <w:rPr>
          <w:rFonts w:ascii="宋体" w:hAnsi="宋体"/>
          <w:sz w:val="24"/>
        </w:rPr>
      </w:pPr>
    </w:p>
    <w:p>
      <w:pPr>
        <w:tabs>
          <w:tab w:val="left" w:pos="6300"/>
        </w:tabs>
        <w:snapToGrid w:val="0"/>
        <w:spacing w:line="360" w:lineRule="auto"/>
        <w:ind w:firstLine="570"/>
        <w:rPr>
          <w:rFonts w:ascii="宋体" w:hAnsi="宋体"/>
          <w:sz w:val="24"/>
        </w:rPr>
      </w:pPr>
    </w:p>
    <w:p>
      <w:pPr>
        <w:tabs>
          <w:tab w:val="left" w:pos="6300"/>
        </w:tabs>
        <w:snapToGrid w:val="0"/>
        <w:spacing w:line="360" w:lineRule="auto"/>
        <w:ind w:right="480" w:firstLine="570"/>
        <w:jc w:val="right"/>
        <w:rPr>
          <w:rFonts w:ascii="宋体" w:hAnsi="宋体"/>
          <w:sz w:val="24"/>
        </w:rPr>
      </w:pPr>
      <w:r>
        <w:rPr>
          <w:rFonts w:hint="eastAsia" w:ascii="宋体" w:hAnsi="宋体"/>
          <w:sz w:val="24"/>
        </w:rPr>
        <w:t>（供应商公章）</w:t>
      </w:r>
    </w:p>
    <w:p>
      <w:pPr>
        <w:tabs>
          <w:tab w:val="left" w:pos="6300"/>
        </w:tabs>
        <w:snapToGrid w:val="0"/>
        <w:spacing w:line="360" w:lineRule="auto"/>
        <w:ind w:right="480" w:firstLine="570"/>
        <w:jc w:val="right"/>
        <w:rPr>
          <w:rFonts w:ascii="宋体" w:hAnsi="宋体"/>
          <w:sz w:val="24"/>
        </w:rPr>
      </w:pPr>
      <w:r>
        <w:rPr>
          <w:rFonts w:hint="eastAsia" w:ascii="宋体" w:hAnsi="宋体"/>
          <w:sz w:val="24"/>
        </w:rPr>
        <w:t>年   月   日</w:t>
      </w:r>
    </w:p>
    <w:p>
      <w:pPr>
        <w:tabs>
          <w:tab w:val="left" w:pos="6300"/>
        </w:tabs>
        <w:snapToGrid w:val="0"/>
        <w:spacing w:line="360" w:lineRule="auto"/>
        <w:ind w:right="480" w:firstLine="570"/>
        <w:jc w:val="left"/>
        <w:rPr>
          <w:rFonts w:ascii="宋体" w:hAnsi="宋体"/>
          <w:sz w:val="24"/>
        </w:rPr>
      </w:pPr>
      <w:r>
        <w:rPr>
          <w:rFonts w:hint="eastAsia" w:ascii="宋体" w:hAnsi="宋体"/>
          <w:sz w:val="24"/>
        </w:rPr>
        <w:t>注：</w:t>
      </w:r>
    </w:p>
    <w:p>
      <w:pPr>
        <w:tabs>
          <w:tab w:val="left" w:pos="6300"/>
        </w:tabs>
        <w:snapToGrid w:val="0"/>
        <w:spacing w:line="360" w:lineRule="auto"/>
        <w:ind w:right="480" w:firstLine="570"/>
        <w:jc w:val="left"/>
        <w:rPr>
          <w:rFonts w:ascii="宋体" w:hAnsi="宋体"/>
          <w:sz w:val="24"/>
        </w:rPr>
      </w:pPr>
      <w:r>
        <w:rPr>
          <w:rFonts w:hint="eastAsia" w:ascii="宋体" w:hAnsi="宋体"/>
          <w:sz w:val="24"/>
        </w:rPr>
        <w:t>1.若为法定代表人办理并签署响应文件的，不提供此文件。</w:t>
      </w:r>
    </w:p>
    <w:p>
      <w:pPr>
        <w:tabs>
          <w:tab w:val="left" w:pos="6300"/>
        </w:tabs>
        <w:snapToGrid w:val="0"/>
        <w:spacing w:line="360" w:lineRule="auto"/>
        <w:ind w:firstLine="560" w:firstLineChars="200"/>
        <w:rPr>
          <w:rFonts w:ascii="宋体" w:hAnsi="宋体"/>
          <w:sz w:val="24"/>
        </w:rPr>
      </w:pPr>
      <w:r>
        <w:rPr>
          <w:rFonts w:ascii="宋体" w:hAnsi="宋体"/>
        </w:rPr>
        <w:br w:type="column"/>
      </w:r>
      <w:r>
        <w:rPr>
          <w:rFonts w:hint="eastAsia" w:ascii="宋体" w:hAnsi="宋体"/>
          <w:sz w:val="24"/>
        </w:rPr>
        <w:t>（四）基本资格条件承诺函（格式）</w:t>
      </w:r>
    </w:p>
    <w:p>
      <w:pPr>
        <w:tabs>
          <w:tab w:val="left" w:pos="6300"/>
        </w:tabs>
        <w:snapToGrid w:val="0"/>
        <w:spacing w:line="360" w:lineRule="auto"/>
        <w:ind w:firstLine="643" w:firstLineChars="200"/>
        <w:jc w:val="center"/>
        <w:rPr>
          <w:rFonts w:ascii="宋体" w:hAnsi="宋体" w:cs="方正仿宋_GBK"/>
          <w:b/>
          <w:bCs/>
          <w:sz w:val="32"/>
          <w:szCs w:val="32"/>
        </w:rPr>
      </w:pPr>
      <w:r>
        <w:rPr>
          <w:rFonts w:hint="eastAsia" w:ascii="宋体" w:hAnsi="宋体" w:cs="方正仿宋_GBK"/>
          <w:b/>
          <w:bCs/>
          <w:sz w:val="32"/>
          <w:szCs w:val="32"/>
        </w:rPr>
        <w:t>基本资格条件承诺函</w:t>
      </w:r>
    </w:p>
    <w:p>
      <w:pPr>
        <w:tabs>
          <w:tab w:val="left" w:pos="6300"/>
        </w:tabs>
        <w:snapToGrid w:val="0"/>
        <w:spacing w:line="360" w:lineRule="auto"/>
        <w:rPr>
          <w:rFonts w:ascii="宋体" w:hAnsi="宋体"/>
          <w:sz w:val="24"/>
        </w:rPr>
      </w:pPr>
    </w:p>
    <w:p>
      <w:pPr>
        <w:tabs>
          <w:tab w:val="left" w:pos="6300"/>
        </w:tabs>
        <w:snapToGrid w:val="0"/>
        <w:spacing w:line="360" w:lineRule="auto"/>
        <w:ind w:firstLine="480" w:firstLineChars="200"/>
        <w:rPr>
          <w:rFonts w:ascii="宋体" w:hAnsi="宋体"/>
          <w:sz w:val="24"/>
        </w:rPr>
      </w:pPr>
      <w:r>
        <w:rPr>
          <w:rFonts w:hint="eastAsia" w:ascii="宋体" w:hAnsi="宋体"/>
          <w:sz w:val="24"/>
        </w:rPr>
        <w:t>致</w:t>
      </w:r>
      <w:r>
        <w:rPr>
          <w:rFonts w:hint="eastAsia" w:ascii="宋体" w:hAnsi="宋体"/>
          <w:sz w:val="24"/>
          <w:u w:val="single"/>
        </w:rPr>
        <w:t xml:space="preserve">                   </w:t>
      </w:r>
      <w:r>
        <w:rPr>
          <w:rFonts w:hint="eastAsia" w:ascii="宋体" w:hAnsi="宋体"/>
          <w:sz w:val="24"/>
        </w:rPr>
        <w:t>（采购代理机构名称）：</w:t>
      </w:r>
    </w:p>
    <w:p>
      <w:pPr>
        <w:tabs>
          <w:tab w:val="left" w:pos="6300"/>
        </w:tabs>
        <w:snapToGrid w:val="0"/>
        <w:spacing w:line="360" w:lineRule="auto"/>
        <w:ind w:firstLine="480" w:firstLineChars="200"/>
        <w:rPr>
          <w:rFonts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（供应商名称）郑重承诺：</w:t>
      </w:r>
    </w:p>
    <w:p>
      <w:pPr>
        <w:tabs>
          <w:tab w:val="left" w:pos="6300"/>
        </w:tabs>
        <w:snapToGrid w:val="0"/>
        <w:spacing w:line="360" w:lineRule="auto"/>
        <w:ind w:firstLine="480" w:firstLineChars="200"/>
        <w:rPr>
          <w:rFonts w:ascii="宋体" w:hAnsi="宋体"/>
          <w:sz w:val="24"/>
        </w:rPr>
      </w:pPr>
      <w:r>
        <w:rPr>
          <w:rFonts w:hint="eastAsia" w:ascii="宋体" w:hAnsi="宋体"/>
          <w:sz w:val="24"/>
        </w:rPr>
        <w:t>1.我方具有良好的商业信誉和健全的财务会计制度，具有履行合同所必需的设备和专业技术能力，具</w:t>
      </w:r>
      <w:r>
        <w:rPr>
          <w:rFonts w:hint="eastAsia" w:ascii="宋体" w:hAnsi="宋体"/>
          <w:sz w:val="24"/>
          <w:lang w:val="zh-CN"/>
        </w:rPr>
        <w:t>有依法缴纳税收和社会保障金的良好记录</w:t>
      </w:r>
      <w:r>
        <w:rPr>
          <w:rFonts w:hint="eastAsia" w:ascii="宋体" w:hAnsi="宋体"/>
          <w:sz w:val="24"/>
        </w:rPr>
        <w:t>，参加本项目采购活动前三年内无重大违法活动记录。</w:t>
      </w:r>
    </w:p>
    <w:p>
      <w:pPr>
        <w:tabs>
          <w:tab w:val="left" w:pos="6300"/>
        </w:tabs>
        <w:snapToGrid w:val="0"/>
        <w:spacing w:line="360" w:lineRule="auto"/>
        <w:ind w:firstLine="480" w:firstLineChars="200"/>
        <w:rPr>
          <w:rFonts w:ascii="宋体" w:hAnsi="宋体"/>
          <w:sz w:val="24"/>
        </w:rPr>
      </w:pPr>
      <w:r>
        <w:rPr>
          <w:rFonts w:hint="eastAsia" w:ascii="宋体" w:hAnsi="宋体"/>
          <w:sz w:val="24"/>
        </w:rPr>
        <w:t>2.我方未列入在信用中国网站（www.creditchina.gov.cn）“失信被执行人”、“重大税收违法案件当事人名单”中，也未列入中国政府采购网（www.ccgp.gov.cn）“政府采购严重违法失信行为记录名单”中。</w:t>
      </w:r>
    </w:p>
    <w:p>
      <w:pPr>
        <w:tabs>
          <w:tab w:val="left" w:pos="6300"/>
        </w:tabs>
        <w:snapToGrid w:val="0"/>
        <w:spacing w:line="360" w:lineRule="auto"/>
        <w:ind w:firstLine="480" w:firstLineChars="200"/>
        <w:rPr>
          <w:rFonts w:ascii="宋体" w:hAnsi="宋体"/>
          <w:sz w:val="24"/>
        </w:rPr>
      </w:pPr>
      <w:r>
        <w:rPr>
          <w:rFonts w:hint="eastAsia" w:ascii="宋体" w:hAnsi="宋体"/>
          <w:sz w:val="24"/>
        </w:rPr>
        <w:t>3.我方在采购项目评审（评标）环节结束后，随时接受采购人、采购代理机构的检查验证，配合提供相关证明材料，证明符合《中华人民共和国政府采购法》规定的供应商基本资格条件。</w:t>
      </w:r>
    </w:p>
    <w:p>
      <w:pPr>
        <w:tabs>
          <w:tab w:val="left" w:pos="6300"/>
        </w:tabs>
        <w:snapToGrid w:val="0"/>
        <w:spacing w:line="360" w:lineRule="auto"/>
        <w:ind w:firstLine="480" w:firstLineChars="200"/>
        <w:rPr>
          <w:rFonts w:ascii="宋体" w:hAnsi="宋体"/>
          <w:sz w:val="24"/>
        </w:rPr>
      </w:pPr>
      <w:r>
        <w:rPr>
          <w:rFonts w:hint="eastAsia" w:ascii="宋体" w:hAnsi="宋体"/>
          <w:sz w:val="24"/>
        </w:rPr>
        <w:t>我方对以上承诺负全部法律责任。</w:t>
      </w:r>
    </w:p>
    <w:p>
      <w:pPr>
        <w:tabs>
          <w:tab w:val="left" w:pos="6300"/>
        </w:tabs>
        <w:snapToGrid w:val="0"/>
        <w:spacing w:line="360" w:lineRule="auto"/>
        <w:ind w:firstLine="480" w:firstLineChars="200"/>
        <w:rPr>
          <w:rFonts w:ascii="宋体" w:hAnsi="宋体"/>
          <w:sz w:val="24"/>
        </w:rPr>
      </w:pPr>
      <w:r>
        <w:rPr>
          <w:rFonts w:hint="eastAsia" w:ascii="宋体" w:hAnsi="宋体"/>
          <w:sz w:val="24"/>
        </w:rPr>
        <w:t>特此承诺。</w:t>
      </w:r>
    </w:p>
    <w:p>
      <w:pPr>
        <w:tabs>
          <w:tab w:val="left" w:pos="6300"/>
        </w:tabs>
        <w:snapToGrid w:val="0"/>
        <w:spacing w:line="360" w:lineRule="auto"/>
        <w:ind w:firstLine="480" w:firstLineChars="200"/>
        <w:rPr>
          <w:rFonts w:ascii="宋体" w:hAnsi="宋体"/>
          <w:sz w:val="24"/>
        </w:rPr>
      </w:pPr>
    </w:p>
    <w:p>
      <w:pPr>
        <w:tabs>
          <w:tab w:val="left" w:pos="6300"/>
        </w:tabs>
        <w:snapToGrid w:val="0"/>
        <w:spacing w:line="360" w:lineRule="auto"/>
        <w:ind w:firstLine="480" w:firstLineChars="200"/>
        <w:jc w:val="right"/>
        <w:rPr>
          <w:rFonts w:ascii="宋体" w:hAnsi="宋体"/>
          <w:sz w:val="24"/>
        </w:rPr>
      </w:pPr>
      <w:r>
        <w:rPr>
          <w:rFonts w:hint="eastAsia" w:ascii="宋体" w:hAnsi="宋体"/>
          <w:sz w:val="24"/>
        </w:rPr>
        <w:t>（供应商公章）</w:t>
      </w:r>
    </w:p>
    <w:p>
      <w:pPr>
        <w:tabs>
          <w:tab w:val="left" w:pos="6300"/>
        </w:tabs>
        <w:snapToGrid w:val="0"/>
        <w:spacing w:line="360" w:lineRule="auto"/>
        <w:ind w:firstLine="7920" w:firstLineChars="3300"/>
        <w:rPr>
          <w:rFonts w:ascii="宋体" w:hAnsi="宋体"/>
          <w:sz w:val="24"/>
        </w:rPr>
      </w:pPr>
      <w:r>
        <w:rPr>
          <w:rFonts w:hint="eastAsia" w:ascii="宋体" w:hAnsi="宋体"/>
          <w:sz w:val="24"/>
        </w:rPr>
        <w:t>年   月   日</w:t>
      </w:r>
    </w:p>
    <w:p>
      <w:pPr>
        <w:snapToGrid w:val="0"/>
        <w:spacing w:line="360" w:lineRule="auto"/>
        <w:ind w:firstLine="480" w:firstLineChars="200"/>
        <w:rPr>
          <w:rFonts w:ascii="宋体" w:hAnsi="宋体"/>
          <w:sz w:val="24"/>
          <w:szCs w:val="24"/>
        </w:rPr>
      </w:pPr>
    </w:p>
    <w:p>
      <w:pPr>
        <w:snapToGrid w:val="0"/>
        <w:spacing w:line="360" w:lineRule="auto"/>
        <w:ind w:firstLine="480" w:firstLineChars="200"/>
        <w:rPr>
          <w:rFonts w:ascii="宋体" w:hAnsi="宋体"/>
          <w:sz w:val="24"/>
          <w:szCs w:val="24"/>
        </w:rPr>
      </w:pPr>
      <w:r>
        <w:rPr>
          <w:rFonts w:hint="eastAsia" w:ascii="宋体" w:hAnsi="宋体"/>
          <w:sz w:val="24"/>
          <w:szCs w:val="24"/>
        </w:rPr>
        <w:t>（五）特定资格条件证明文件（如有）</w:t>
      </w:r>
    </w:p>
    <w:p>
      <w:pPr>
        <w:tabs>
          <w:tab w:val="left" w:pos="6300"/>
        </w:tabs>
        <w:snapToGrid w:val="0"/>
        <w:spacing w:line="360" w:lineRule="auto"/>
        <w:ind w:firstLine="480" w:firstLineChars="200"/>
        <w:rPr>
          <w:rFonts w:ascii="宋体" w:hAnsi="宋体"/>
          <w:sz w:val="24"/>
          <w:szCs w:val="24"/>
        </w:rPr>
      </w:pPr>
    </w:p>
    <w:p>
      <w:pPr>
        <w:snapToGrid w:val="0"/>
        <w:spacing w:line="360" w:lineRule="auto"/>
        <w:ind w:firstLine="480" w:firstLineChars="200"/>
        <w:rPr>
          <w:rFonts w:ascii="宋体" w:hAnsi="宋体"/>
          <w:sz w:val="24"/>
          <w:szCs w:val="24"/>
        </w:rPr>
      </w:pPr>
      <w:r>
        <w:rPr>
          <w:rFonts w:hint="eastAsia" w:ascii="宋体" w:hAnsi="宋体"/>
          <w:sz w:val="24"/>
          <w:szCs w:val="24"/>
        </w:rPr>
        <w:t>（六）落实政府采购政策需满足的资格要求（如有）</w:t>
      </w:r>
    </w:p>
    <w:p>
      <w:pPr>
        <w:widowControl/>
        <w:ind w:firstLine="480" w:firstLineChars="200"/>
        <w:jc w:val="left"/>
        <w:rPr>
          <w:rFonts w:ascii="宋体" w:hAnsi="宋体"/>
          <w:sz w:val="24"/>
          <w:szCs w:val="24"/>
        </w:rPr>
      </w:pPr>
      <w:r>
        <w:rPr>
          <w:rFonts w:ascii="宋体" w:hAnsi="宋体"/>
          <w:sz w:val="24"/>
          <w:szCs w:val="24"/>
        </w:rPr>
        <w:br w:type="page"/>
      </w:r>
      <w:r>
        <w:rPr>
          <w:rFonts w:ascii="宋体" w:hAnsi="宋体"/>
          <w:sz w:val="24"/>
          <w:szCs w:val="24"/>
        </w:rPr>
        <w:t>（</w:t>
      </w:r>
      <w:r>
        <w:rPr>
          <w:rFonts w:hint="eastAsia" w:ascii="宋体" w:hAnsi="宋体"/>
          <w:sz w:val="24"/>
          <w:szCs w:val="24"/>
        </w:rPr>
        <w:t>七</w:t>
      </w:r>
      <w:r>
        <w:rPr>
          <w:rFonts w:ascii="宋体" w:hAnsi="宋体"/>
          <w:sz w:val="24"/>
          <w:szCs w:val="24"/>
        </w:rPr>
        <w:t>）其他应提供的资料</w:t>
      </w:r>
    </w:p>
    <w:p>
      <w:pPr>
        <w:tabs>
          <w:tab w:val="left" w:pos="6300"/>
        </w:tabs>
        <w:snapToGrid w:val="0"/>
        <w:spacing w:line="360" w:lineRule="auto"/>
        <w:ind w:firstLine="480" w:firstLineChars="200"/>
        <w:rPr>
          <w:rFonts w:ascii="宋体" w:hAnsi="宋体"/>
          <w:sz w:val="24"/>
          <w:szCs w:val="24"/>
        </w:rPr>
      </w:pPr>
      <w:r>
        <w:rPr>
          <w:rFonts w:hint="eastAsia" w:ascii="宋体" w:hAnsi="宋体"/>
          <w:sz w:val="24"/>
          <w:szCs w:val="24"/>
        </w:rPr>
        <w:t xml:space="preserve">   （一）中小企业声明函、监狱企业证明文件、残疾人福利性单位声明函</w:t>
      </w:r>
    </w:p>
    <w:p>
      <w:pPr>
        <w:tabs>
          <w:tab w:val="left" w:pos="6300"/>
        </w:tabs>
        <w:snapToGrid w:val="0"/>
        <w:spacing w:line="360" w:lineRule="auto"/>
        <w:ind w:firstLine="560" w:firstLineChars="200"/>
        <w:jc w:val="center"/>
        <w:rPr>
          <w:rFonts w:ascii="宋体" w:hAnsi="宋体"/>
        </w:rPr>
      </w:pPr>
      <w:r>
        <w:rPr>
          <w:rFonts w:hint="eastAsia" w:ascii="宋体" w:hAnsi="宋体"/>
        </w:rPr>
        <w:t>中小企业声明函</w:t>
      </w:r>
    </w:p>
    <w:p>
      <w:pPr>
        <w:tabs>
          <w:tab w:val="left" w:pos="6300"/>
        </w:tabs>
        <w:snapToGrid w:val="0"/>
        <w:spacing w:line="360" w:lineRule="auto"/>
        <w:ind w:firstLine="480" w:firstLineChars="200"/>
        <w:rPr>
          <w:rFonts w:ascii="宋体" w:hAnsi="宋体"/>
          <w:sz w:val="24"/>
          <w:szCs w:val="28"/>
        </w:rPr>
      </w:pPr>
      <w:r>
        <w:rPr>
          <w:rFonts w:hint="eastAsia" w:ascii="宋体" w:hAnsi="宋体"/>
          <w:sz w:val="24"/>
          <w:szCs w:val="28"/>
        </w:rPr>
        <w:t>本公司（联合体）郑重声明，根据《政府采购促进中小企业发展管理办法》（</w:t>
      </w:r>
      <w:r>
        <w:rPr>
          <w:rFonts w:hint="eastAsia" w:ascii="宋体" w:hAnsi="宋体"/>
          <w:sz w:val="24"/>
          <w:szCs w:val="24"/>
        </w:rPr>
        <w:t>财库〔2020〕46号</w:t>
      </w:r>
      <w:r>
        <w:rPr>
          <w:rFonts w:hint="eastAsia" w:ascii="宋体" w:hAnsi="宋体"/>
          <w:sz w:val="24"/>
          <w:szCs w:val="28"/>
        </w:rPr>
        <w:t>）的规定，本公司（联合体）参加</w:t>
      </w:r>
      <w:r>
        <w:rPr>
          <w:rFonts w:hint="eastAsia" w:ascii="宋体" w:hAnsi="宋体"/>
          <w:i/>
          <w:sz w:val="24"/>
          <w:szCs w:val="28"/>
          <w:u w:val="single"/>
        </w:rPr>
        <w:t>（单位名称）</w:t>
      </w:r>
      <w:r>
        <w:rPr>
          <w:rFonts w:hint="eastAsia" w:ascii="宋体" w:hAnsi="宋体"/>
          <w:sz w:val="24"/>
          <w:szCs w:val="28"/>
        </w:rPr>
        <w:t>的</w:t>
      </w:r>
      <w:r>
        <w:rPr>
          <w:rFonts w:hint="eastAsia" w:ascii="宋体" w:hAnsi="宋体"/>
          <w:i/>
          <w:sz w:val="24"/>
          <w:szCs w:val="28"/>
          <w:u w:val="single"/>
        </w:rPr>
        <w:t>（项目名称）</w:t>
      </w:r>
      <w:r>
        <w:rPr>
          <w:rFonts w:hint="eastAsia" w:ascii="宋体" w:hAnsi="宋体"/>
          <w:sz w:val="24"/>
          <w:szCs w:val="28"/>
        </w:rPr>
        <w:t>采购活动，服务全部由符合政策要求的中小企业承接。相关企业（含联合体中的中小企业、签订分包意向协议的中小企业）的具体情况如下：</w:t>
      </w:r>
    </w:p>
    <w:p>
      <w:pPr>
        <w:tabs>
          <w:tab w:val="left" w:pos="6300"/>
        </w:tabs>
        <w:snapToGrid w:val="0"/>
        <w:spacing w:line="360" w:lineRule="auto"/>
        <w:ind w:firstLine="480" w:firstLineChars="200"/>
        <w:rPr>
          <w:rFonts w:ascii="宋体" w:hAnsi="宋体"/>
          <w:sz w:val="24"/>
          <w:szCs w:val="28"/>
        </w:rPr>
      </w:pPr>
      <w:r>
        <w:rPr>
          <w:rFonts w:hint="eastAsia" w:ascii="宋体" w:hAnsi="宋体"/>
          <w:i/>
          <w:sz w:val="24"/>
          <w:szCs w:val="28"/>
          <w:u w:val="single"/>
        </w:rPr>
        <w:t>（标的名称）</w:t>
      </w:r>
      <w:r>
        <w:rPr>
          <w:rFonts w:hint="eastAsia" w:ascii="宋体" w:hAnsi="宋体"/>
          <w:sz w:val="24"/>
          <w:szCs w:val="28"/>
        </w:rPr>
        <w:t>，属于</w:t>
      </w:r>
      <w:r>
        <w:rPr>
          <w:rFonts w:hint="eastAsia" w:ascii="宋体" w:hAnsi="宋体"/>
          <w:i/>
          <w:sz w:val="24"/>
          <w:szCs w:val="28"/>
          <w:u w:val="single"/>
        </w:rPr>
        <w:t>（采购文件中明确的所属行业）</w:t>
      </w:r>
      <w:r>
        <w:rPr>
          <w:rFonts w:hint="eastAsia" w:ascii="宋体" w:hAnsi="宋体"/>
          <w:sz w:val="24"/>
          <w:szCs w:val="28"/>
        </w:rPr>
        <w:t>；承接企业为</w:t>
      </w:r>
      <w:r>
        <w:rPr>
          <w:rFonts w:hint="eastAsia" w:ascii="宋体" w:hAnsi="宋体"/>
          <w:i/>
          <w:sz w:val="24"/>
          <w:szCs w:val="28"/>
          <w:u w:val="single"/>
        </w:rPr>
        <w:t>（企业名称）</w:t>
      </w:r>
      <w:r>
        <w:rPr>
          <w:rFonts w:hint="eastAsia" w:ascii="宋体" w:hAnsi="宋体"/>
          <w:sz w:val="24"/>
          <w:szCs w:val="28"/>
        </w:rPr>
        <w:t>，从业人员</w:t>
      </w:r>
      <w:r>
        <w:rPr>
          <w:rFonts w:hint="eastAsia" w:ascii="宋体" w:hAnsi="宋体"/>
          <w:sz w:val="24"/>
          <w:szCs w:val="28"/>
          <w:u w:val="single"/>
        </w:rPr>
        <w:t xml:space="preserve">      </w:t>
      </w:r>
      <w:r>
        <w:rPr>
          <w:rFonts w:hint="eastAsia" w:ascii="宋体" w:hAnsi="宋体"/>
          <w:sz w:val="24"/>
          <w:szCs w:val="28"/>
        </w:rPr>
        <w:t>人，营业收入为</w:t>
      </w:r>
      <w:r>
        <w:rPr>
          <w:rFonts w:hint="eastAsia" w:ascii="宋体" w:hAnsi="宋体"/>
          <w:sz w:val="24"/>
          <w:szCs w:val="28"/>
          <w:u w:val="single"/>
        </w:rPr>
        <w:t xml:space="preserve">    </w:t>
      </w:r>
      <w:r>
        <w:rPr>
          <w:rFonts w:hint="eastAsia" w:ascii="宋体" w:hAnsi="宋体"/>
          <w:sz w:val="24"/>
          <w:szCs w:val="28"/>
        </w:rPr>
        <w:t>万元，资产总额为</w:t>
      </w:r>
      <w:r>
        <w:rPr>
          <w:rFonts w:hint="eastAsia" w:ascii="宋体" w:hAnsi="宋体"/>
          <w:sz w:val="24"/>
          <w:szCs w:val="28"/>
          <w:u w:val="single"/>
        </w:rPr>
        <w:t xml:space="preserve">    </w:t>
      </w:r>
      <w:r>
        <w:rPr>
          <w:rFonts w:hint="eastAsia" w:ascii="宋体" w:hAnsi="宋体"/>
          <w:sz w:val="24"/>
          <w:szCs w:val="28"/>
        </w:rPr>
        <w:t>万元，属于</w:t>
      </w:r>
      <w:r>
        <w:rPr>
          <w:rFonts w:hint="eastAsia" w:ascii="宋体" w:hAnsi="宋体"/>
          <w:i/>
          <w:sz w:val="24"/>
          <w:szCs w:val="28"/>
          <w:u w:val="single"/>
        </w:rPr>
        <w:t>（中型企业、小型企业、微型企业）</w:t>
      </w:r>
      <w:r>
        <w:rPr>
          <w:rFonts w:hint="eastAsia" w:ascii="宋体" w:hAnsi="宋体"/>
          <w:sz w:val="24"/>
          <w:szCs w:val="28"/>
        </w:rPr>
        <w:t>；</w:t>
      </w:r>
    </w:p>
    <w:p>
      <w:pPr>
        <w:tabs>
          <w:tab w:val="left" w:pos="6300"/>
        </w:tabs>
        <w:snapToGrid w:val="0"/>
        <w:spacing w:line="360" w:lineRule="auto"/>
        <w:ind w:firstLine="480" w:firstLineChars="200"/>
        <w:rPr>
          <w:rFonts w:ascii="宋体" w:hAnsi="宋体"/>
          <w:sz w:val="24"/>
          <w:szCs w:val="28"/>
        </w:rPr>
      </w:pPr>
      <w:r>
        <w:rPr>
          <w:rFonts w:hint="eastAsia" w:ascii="宋体" w:hAnsi="宋体"/>
          <w:sz w:val="24"/>
          <w:szCs w:val="28"/>
        </w:rPr>
        <w:t>为本标的提供的服务人员</w:t>
      </w:r>
      <w:r>
        <w:rPr>
          <w:rFonts w:hint="eastAsia" w:ascii="宋体" w:hAnsi="宋体"/>
          <w:sz w:val="24"/>
          <w:szCs w:val="28"/>
          <w:u w:val="single"/>
        </w:rPr>
        <w:t xml:space="preserve">   </w:t>
      </w:r>
      <w:r>
        <w:rPr>
          <w:rFonts w:hint="eastAsia" w:ascii="宋体" w:hAnsi="宋体"/>
          <w:sz w:val="24"/>
          <w:szCs w:val="28"/>
        </w:rPr>
        <w:t>人，其中与本企业签订劳动合同</w:t>
      </w:r>
      <w:r>
        <w:rPr>
          <w:rFonts w:hint="eastAsia" w:ascii="宋体" w:hAnsi="宋体"/>
          <w:sz w:val="24"/>
          <w:szCs w:val="28"/>
          <w:u w:val="single"/>
        </w:rPr>
        <w:t xml:space="preserve">   </w:t>
      </w:r>
      <w:r>
        <w:rPr>
          <w:rFonts w:hint="eastAsia" w:ascii="宋体" w:hAnsi="宋体"/>
          <w:sz w:val="24"/>
          <w:szCs w:val="28"/>
        </w:rPr>
        <w:t>人，其他人员</w:t>
      </w:r>
      <w:r>
        <w:rPr>
          <w:rFonts w:hint="eastAsia" w:ascii="宋体" w:hAnsi="宋体"/>
          <w:sz w:val="24"/>
          <w:szCs w:val="28"/>
          <w:u w:val="single"/>
        </w:rPr>
        <w:t xml:space="preserve">   </w:t>
      </w:r>
      <w:r>
        <w:rPr>
          <w:rFonts w:hint="eastAsia" w:ascii="宋体" w:hAnsi="宋体"/>
          <w:sz w:val="24"/>
          <w:szCs w:val="28"/>
        </w:rPr>
        <w:t>人。</w:t>
      </w:r>
      <w:r>
        <w:rPr>
          <w:rFonts w:hint="eastAsia" w:ascii="宋体" w:hAnsi="宋体"/>
          <w:b/>
          <w:bCs/>
          <w:sz w:val="24"/>
          <w:szCs w:val="28"/>
        </w:rPr>
        <w:t>有其他人员的不符合中小企业扶持政策</w:t>
      </w:r>
      <w:r>
        <w:rPr>
          <w:rFonts w:hint="eastAsia" w:ascii="宋体" w:hAnsi="宋体"/>
          <w:sz w:val="24"/>
          <w:szCs w:val="28"/>
        </w:rPr>
        <w:t>（适用于服务采购项目）;</w:t>
      </w:r>
    </w:p>
    <w:p>
      <w:pPr>
        <w:tabs>
          <w:tab w:val="left" w:pos="6300"/>
        </w:tabs>
        <w:snapToGrid w:val="0"/>
        <w:spacing w:line="360" w:lineRule="auto"/>
        <w:ind w:firstLine="480" w:firstLineChars="200"/>
        <w:rPr>
          <w:rFonts w:ascii="宋体" w:hAnsi="宋体"/>
          <w:sz w:val="24"/>
          <w:szCs w:val="28"/>
        </w:rPr>
      </w:pPr>
      <w:r>
        <w:rPr>
          <w:rFonts w:hint="eastAsia" w:ascii="宋体" w:hAnsi="宋体"/>
          <w:sz w:val="24"/>
          <w:szCs w:val="28"/>
        </w:rPr>
        <w:t>以上企业，不属于大企业的分支机构，不存在控股股东为大企业的情形，也不存在与大企业的负责人为同一人的情形。</w:t>
      </w:r>
    </w:p>
    <w:p>
      <w:pPr>
        <w:tabs>
          <w:tab w:val="left" w:pos="6300"/>
        </w:tabs>
        <w:snapToGrid w:val="0"/>
        <w:spacing w:line="360" w:lineRule="auto"/>
        <w:ind w:firstLine="480" w:firstLineChars="200"/>
        <w:rPr>
          <w:rFonts w:ascii="宋体" w:hAnsi="宋体"/>
          <w:sz w:val="24"/>
          <w:szCs w:val="28"/>
        </w:rPr>
      </w:pPr>
      <w:r>
        <w:rPr>
          <w:rFonts w:hint="eastAsia" w:ascii="宋体" w:hAnsi="宋体"/>
          <w:sz w:val="24"/>
          <w:szCs w:val="28"/>
        </w:rPr>
        <w:t>本企业对上述声明内容的真实性负责。如有虚假，将依法承担相应责任。</w:t>
      </w:r>
    </w:p>
    <w:p>
      <w:pPr>
        <w:tabs>
          <w:tab w:val="left" w:pos="6300"/>
        </w:tabs>
        <w:snapToGrid w:val="0"/>
        <w:spacing w:line="360" w:lineRule="auto"/>
        <w:ind w:firstLine="480" w:firstLineChars="200"/>
        <w:rPr>
          <w:rFonts w:ascii="宋体" w:hAnsi="宋体"/>
          <w:sz w:val="24"/>
          <w:szCs w:val="28"/>
        </w:rPr>
      </w:pPr>
      <w:r>
        <w:rPr>
          <w:rFonts w:hint="eastAsia" w:ascii="宋体" w:hAnsi="宋体"/>
          <w:sz w:val="24"/>
          <w:szCs w:val="28"/>
        </w:rPr>
        <w:t xml:space="preserve">                                                    </w:t>
      </w:r>
    </w:p>
    <w:p>
      <w:pPr>
        <w:tabs>
          <w:tab w:val="left" w:pos="6300"/>
        </w:tabs>
        <w:snapToGrid w:val="0"/>
        <w:spacing w:line="360" w:lineRule="auto"/>
        <w:ind w:firstLine="6120" w:firstLineChars="2550"/>
        <w:rPr>
          <w:rFonts w:ascii="宋体" w:hAnsi="宋体"/>
          <w:sz w:val="24"/>
          <w:szCs w:val="28"/>
        </w:rPr>
      </w:pPr>
      <w:r>
        <w:rPr>
          <w:rFonts w:hint="eastAsia" w:ascii="宋体" w:hAnsi="宋体"/>
          <w:sz w:val="24"/>
          <w:szCs w:val="28"/>
        </w:rPr>
        <w:t xml:space="preserve">企业名称（盖章）： </w:t>
      </w:r>
    </w:p>
    <w:p>
      <w:pPr>
        <w:tabs>
          <w:tab w:val="left" w:pos="6300"/>
        </w:tabs>
        <w:snapToGrid w:val="0"/>
        <w:spacing w:line="360" w:lineRule="auto"/>
        <w:ind w:right="784" w:firstLine="6120" w:firstLineChars="2550"/>
        <w:rPr>
          <w:rFonts w:ascii="宋体" w:hAnsi="宋体"/>
          <w:sz w:val="24"/>
        </w:rPr>
      </w:pPr>
      <w:r>
        <w:rPr>
          <w:rFonts w:hint="eastAsia" w:ascii="宋体" w:hAnsi="宋体"/>
          <w:sz w:val="24"/>
          <w:szCs w:val="28"/>
        </w:rPr>
        <w:t>日期：</w:t>
      </w:r>
    </w:p>
    <w:p>
      <w:pPr>
        <w:tabs>
          <w:tab w:val="left" w:pos="6300"/>
        </w:tabs>
        <w:snapToGrid w:val="0"/>
        <w:spacing w:line="360" w:lineRule="auto"/>
        <w:rPr>
          <w:rFonts w:ascii="宋体" w:hAnsi="宋体" w:cs="宋体"/>
          <w:kern w:val="0"/>
          <w:sz w:val="21"/>
          <w:szCs w:val="21"/>
        </w:rPr>
      </w:pPr>
      <w:r>
        <w:rPr>
          <w:rFonts w:hint="eastAsia" w:ascii="宋体" w:hAnsi="宋体" w:cs="宋体"/>
          <w:kern w:val="0"/>
          <w:sz w:val="21"/>
          <w:szCs w:val="21"/>
        </w:rPr>
        <w:t>填写时应注意以下事项：</w:t>
      </w:r>
    </w:p>
    <w:p>
      <w:pPr>
        <w:tabs>
          <w:tab w:val="left" w:pos="6300"/>
        </w:tabs>
        <w:snapToGrid w:val="0"/>
        <w:spacing w:line="360" w:lineRule="auto"/>
        <w:ind w:firstLine="420" w:firstLineChars="200"/>
        <w:rPr>
          <w:rFonts w:ascii="宋体" w:hAnsi="宋体" w:cs="宋体"/>
          <w:kern w:val="0"/>
          <w:sz w:val="21"/>
          <w:szCs w:val="21"/>
        </w:rPr>
      </w:pPr>
      <w:r>
        <w:rPr>
          <w:rFonts w:hint="eastAsia" w:ascii="宋体" w:hAnsi="宋体" w:cs="宋体"/>
          <w:kern w:val="0"/>
          <w:sz w:val="21"/>
          <w:szCs w:val="21"/>
        </w:rPr>
        <w:t>1.从业人员、营业收入、资产总额填报上一年度数据，无上一年度数据的新成立企业可不填报。</w:t>
      </w:r>
    </w:p>
    <w:p>
      <w:pPr>
        <w:tabs>
          <w:tab w:val="left" w:pos="6300"/>
        </w:tabs>
        <w:snapToGrid w:val="0"/>
        <w:spacing w:line="360" w:lineRule="auto"/>
        <w:ind w:firstLine="422" w:firstLineChars="200"/>
        <w:rPr>
          <w:rFonts w:ascii="宋体" w:hAnsi="宋体" w:cs="宋体"/>
          <w:b/>
          <w:kern w:val="0"/>
          <w:sz w:val="21"/>
          <w:szCs w:val="21"/>
        </w:rPr>
      </w:pPr>
      <w:r>
        <w:rPr>
          <w:rFonts w:hint="eastAsia" w:ascii="宋体" w:hAnsi="宋体" w:cs="宋体"/>
          <w:b/>
          <w:kern w:val="0"/>
          <w:sz w:val="21"/>
          <w:szCs w:val="21"/>
        </w:rPr>
        <w:t>2.中小企业应当按照《中小企业划型标准规定》（工信部联企业〔2011〕300号），如实填写并提交《中小企业声明函》。</w:t>
      </w:r>
    </w:p>
    <w:p>
      <w:pPr>
        <w:tabs>
          <w:tab w:val="left" w:pos="6300"/>
        </w:tabs>
        <w:snapToGrid w:val="0"/>
        <w:spacing w:line="360" w:lineRule="auto"/>
        <w:ind w:firstLine="422" w:firstLineChars="200"/>
        <w:rPr>
          <w:rFonts w:ascii="宋体" w:hAnsi="宋体" w:cs="宋体"/>
          <w:b/>
          <w:kern w:val="0"/>
          <w:sz w:val="21"/>
          <w:szCs w:val="21"/>
        </w:rPr>
      </w:pPr>
      <w:r>
        <w:rPr>
          <w:rFonts w:hint="eastAsia" w:ascii="宋体" w:hAnsi="宋体" w:cs="宋体"/>
          <w:b/>
          <w:kern w:val="0"/>
          <w:sz w:val="21"/>
          <w:szCs w:val="21"/>
        </w:rPr>
        <w:t>3.供应商填写《中小企业声明函》中所属行业时，应与采购文件第一篇“采购标的对应的中小企业划分标准所属行业”中填写的所属行业一致。</w:t>
      </w:r>
    </w:p>
    <w:p>
      <w:pPr>
        <w:tabs>
          <w:tab w:val="left" w:pos="6300"/>
        </w:tabs>
        <w:snapToGrid w:val="0"/>
        <w:spacing w:line="360" w:lineRule="auto"/>
        <w:ind w:firstLine="422" w:firstLineChars="200"/>
        <w:rPr>
          <w:rFonts w:ascii="宋体" w:hAnsi="宋体" w:cs="宋体"/>
          <w:b/>
          <w:kern w:val="0"/>
          <w:sz w:val="21"/>
          <w:szCs w:val="21"/>
        </w:rPr>
      </w:pPr>
      <w:r>
        <w:rPr>
          <w:rFonts w:hint="eastAsia" w:ascii="宋体" w:hAnsi="宋体" w:cs="宋体"/>
          <w:b/>
          <w:kern w:val="0"/>
          <w:sz w:val="21"/>
          <w:szCs w:val="21"/>
        </w:rPr>
        <w:t>4.本声明函“企业名称（盖章）”处为供应商盖章。</w:t>
      </w:r>
    </w:p>
    <w:p>
      <w:pPr>
        <w:tabs>
          <w:tab w:val="left" w:pos="6300"/>
        </w:tabs>
        <w:snapToGrid w:val="0"/>
        <w:spacing w:line="360" w:lineRule="auto"/>
        <w:ind w:firstLine="420" w:firstLineChars="200"/>
        <w:rPr>
          <w:rFonts w:ascii="宋体" w:hAnsi="宋体" w:cs="宋体"/>
          <w:kern w:val="0"/>
          <w:sz w:val="21"/>
          <w:szCs w:val="21"/>
        </w:rPr>
      </w:pPr>
      <w:r>
        <w:rPr>
          <w:rFonts w:hint="eastAsia" w:ascii="宋体" w:hAnsi="宋体" w:cs="宋体"/>
          <w:kern w:val="0"/>
          <w:sz w:val="21"/>
          <w:szCs w:val="21"/>
        </w:rPr>
        <w:t>注：各行业划型标准：</w:t>
      </w:r>
    </w:p>
    <w:p>
      <w:pPr>
        <w:tabs>
          <w:tab w:val="left" w:pos="6300"/>
        </w:tabs>
        <w:snapToGrid w:val="0"/>
        <w:spacing w:line="360" w:lineRule="auto"/>
        <w:ind w:firstLine="420" w:firstLineChars="200"/>
        <w:rPr>
          <w:rFonts w:ascii="宋体" w:hAnsi="宋体" w:cs="宋体"/>
          <w:kern w:val="0"/>
          <w:sz w:val="21"/>
          <w:szCs w:val="21"/>
        </w:rPr>
      </w:pPr>
      <w:r>
        <w:rPr>
          <w:rFonts w:hint="eastAsia" w:ascii="宋体" w:hAnsi="宋体" w:cs="宋体"/>
          <w:kern w:val="0"/>
          <w:sz w:val="21"/>
          <w:szCs w:val="21"/>
        </w:rPr>
        <w:t>（一）农、林、牧、渔业。营业收入20000万元以下的为中小微型企业。其中，营业收入500万元及以上的为中型企业，营业收入50万元及以上的为小型企业，营业收入50万元以下的为微型企业。</w:t>
      </w:r>
    </w:p>
    <w:p>
      <w:pPr>
        <w:tabs>
          <w:tab w:val="left" w:pos="6300"/>
        </w:tabs>
        <w:snapToGrid w:val="0"/>
        <w:spacing w:line="360" w:lineRule="auto"/>
        <w:ind w:firstLine="420" w:firstLineChars="200"/>
        <w:rPr>
          <w:rFonts w:ascii="宋体" w:hAnsi="宋体" w:cs="宋体"/>
          <w:kern w:val="0"/>
          <w:sz w:val="21"/>
          <w:szCs w:val="21"/>
        </w:rPr>
      </w:pPr>
      <w:r>
        <w:rPr>
          <w:rFonts w:hint="eastAsia" w:ascii="宋体" w:hAnsi="宋体" w:cs="宋体"/>
          <w:kern w:val="0"/>
          <w:sz w:val="21"/>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tabs>
          <w:tab w:val="left" w:pos="6300"/>
        </w:tabs>
        <w:snapToGrid w:val="0"/>
        <w:spacing w:line="360" w:lineRule="auto"/>
        <w:ind w:firstLine="420" w:firstLineChars="200"/>
        <w:rPr>
          <w:rFonts w:ascii="宋体" w:hAnsi="宋体" w:cs="宋体"/>
          <w:kern w:val="0"/>
          <w:sz w:val="21"/>
          <w:szCs w:val="21"/>
        </w:rPr>
      </w:pPr>
      <w:r>
        <w:rPr>
          <w:rFonts w:hint="eastAsia" w:ascii="宋体" w:hAnsi="宋体" w:cs="宋体"/>
          <w:kern w:val="0"/>
          <w:sz w:val="21"/>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tabs>
          <w:tab w:val="left" w:pos="6300"/>
        </w:tabs>
        <w:snapToGrid w:val="0"/>
        <w:spacing w:line="360" w:lineRule="auto"/>
        <w:ind w:firstLine="420" w:firstLineChars="200"/>
        <w:rPr>
          <w:rFonts w:ascii="宋体" w:hAnsi="宋体" w:cs="宋体"/>
          <w:kern w:val="0"/>
          <w:sz w:val="21"/>
          <w:szCs w:val="21"/>
        </w:rPr>
      </w:pPr>
      <w:r>
        <w:rPr>
          <w:rFonts w:hint="eastAsia" w:ascii="宋体" w:hAnsi="宋体" w:cs="宋体"/>
          <w:kern w:val="0"/>
          <w:sz w:val="21"/>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tabs>
          <w:tab w:val="left" w:pos="6300"/>
        </w:tabs>
        <w:snapToGrid w:val="0"/>
        <w:spacing w:line="360" w:lineRule="auto"/>
        <w:ind w:firstLine="420" w:firstLineChars="200"/>
        <w:rPr>
          <w:rFonts w:ascii="宋体" w:hAnsi="宋体" w:cs="宋体"/>
          <w:kern w:val="0"/>
          <w:sz w:val="21"/>
          <w:szCs w:val="21"/>
        </w:rPr>
      </w:pPr>
      <w:r>
        <w:rPr>
          <w:rFonts w:hint="eastAsia" w:ascii="宋体" w:hAnsi="宋体" w:cs="宋体"/>
          <w:kern w:val="0"/>
          <w:sz w:val="21"/>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tabs>
          <w:tab w:val="left" w:pos="6300"/>
        </w:tabs>
        <w:snapToGrid w:val="0"/>
        <w:spacing w:line="360" w:lineRule="auto"/>
        <w:ind w:firstLine="420" w:firstLineChars="200"/>
        <w:rPr>
          <w:rFonts w:ascii="宋体" w:hAnsi="宋体" w:cs="宋体"/>
          <w:kern w:val="0"/>
          <w:sz w:val="21"/>
          <w:szCs w:val="21"/>
        </w:rPr>
      </w:pPr>
      <w:r>
        <w:rPr>
          <w:rFonts w:hint="eastAsia" w:ascii="宋体" w:hAnsi="宋体" w:cs="宋体"/>
          <w:kern w:val="0"/>
          <w:sz w:val="21"/>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tabs>
          <w:tab w:val="left" w:pos="6300"/>
        </w:tabs>
        <w:snapToGrid w:val="0"/>
        <w:spacing w:line="360" w:lineRule="auto"/>
        <w:ind w:firstLine="420" w:firstLineChars="200"/>
        <w:rPr>
          <w:rFonts w:ascii="宋体" w:hAnsi="宋体" w:cs="宋体"/>
          <w:kern w:val="0"/>
          <w:sz w:val="21"/>
          <w:szCs w:val="21"/>
        </w:rPr>
      </w:pPr>
      <w:r>
        <w:rPr>
          <w:rFonts w:hint="eastAsia" w:ascii="宋体" w:hAnsi="宋体" w:cs="宋体"/>
          <w:kern w:val="0"/>
          <w:sz w:val="21"/>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tabs>
          <w:tab w:val="left" w:pos="6300"/>
        </w:tabs>
        <w:snapToGrid w:val="0"/>
        <w:spacing w:line="360" w:lineRule="auto"/>
        <w:ind w:firstLine="420" w:firstLineChars="200"/>
        <w:rPr>
          <w:rFonts w:ascii="宋体" w:hAnsi="宋体" w:cs="宋体"/>
          <w:kern w:val="0"/>
          <w:sz w:val="21"/>
          <w:szCs w:val="21"/>
        </w:rPr>
      </w:pPr>
      <w:r>
        <w:rPr>
          <w:rFonts w:hint="eastAsia" w:ascii="宋体" w:hAnsi="宋体" w:cs="宋体"/>
          <w:kern w:val="0"/>
          <w:sz w:val="21"/>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tabs>
          <w:tab w:val="left" w:pos="6300"/>
        </w:tabs>
        <w:snapToGrid w:val="0"/>
        <w:spacing w:line="360" w:lineRule="auto"/>
        <w:ind w:firstLine="420" w:firstLineChars="200"/>
        <w:rPr>
          <w:rFonts w:ascii="宋体" w:hAnsi="宋体" w:cs="宋体"/>
          <w:kern w:val="0"/>
          <w:sz w:val="21"/>
          <w:szCs w:val="21"/>
        </w:rPr>
      </w:pPr>
      <w:r>
        <w:rPr>
          <w:rFonts w:hint="eastAsia" w:ascii="宋体" w:hAnsi="宋体" w:cs="宋体"/>
          <w:kern w:val="0"/>
          <w:sz w:val="21"/>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tabs>
          <w:tab w:val="left" w:pos="6300"/>
        </w:tabs>
        <w:snapToGrid w:val="0"/>
        <w:spacing w:line="360" w:lineRule="auto"/>
        <w:ind w:firstLine="420" w:firstLineChars="200"/>
        <w:rPr>
          <w:rFonts w:ascii="宋体" w:hAnsi="宋体" w:cs="宋体"/>
          <w:kern w:val="0"/>
          <w:sz w:val="21"/>
          <w:szCs w:val="21"/>
        </w:rPr>
      </w:pPr>
      <w:r>
        <w:rPr>
          <w:rFonts w:hint="eastAsia" w:ascii="宋体" w:hAnsi="宋体" w:cs="宋体"/>
          <w:kern w:val="0"/>
          <w:sz w:val="21"/>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tabs>
          <w:tab w:val="left" w:pos="6300"/>
        </w:tabs>
        <w:snapToGrid w:val="0"/>
        <w:spacing w:line="360" w:lineRule="auto"/>
        <w:ind w:firstLine="420" w:firstLineChars="200"/>
        <w:rPr>
          <w:rFonts w:ascii="宋体" w:hAnsi="宋体" w:cs="宋体"/>
          <w:kern w:val="0"/>
          <w:sz w:val="21"/>
          <w:szCs w:val="21"/>
        </w:rPr>
      </w:pPr>
      <w:r>
        <w:rPr>
          <w:rFonts w:hint="eastAsia" w:ascii="宋体" w:hAnsi="宋体" w:cs="宋体"/>
          <w:kern w:val="0"/>
          <w:sz w:val="21"/>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tabs>
          <w:tab w:val="left" w:pos="6300"/>
        </w:tabs>
        <w:snapToGrid w:val="0"/>
        <w:spacing w:line="360" w:lineRule="auto"/>
        <w:ind w:firstLine="420" w:firstLineChars="200"/>
        <w:rPr>
          <w:rFonts w:ascii="宋体" w:hAnsi="宋体" w:cs="宋体"/>
          <w:kern w:val="0"/>
          <w:sz w:val="21"/>
          <w:szCs w:val="21"/>
        </w:rPr>
      </w:pPr>
      <w:r>
        <w:rPr>
          <w:rFonts w:hint="eastAsia" w:ascii="宋体" w:hAnsi="宋体" w:cs="宋体"/>
          <w:kern w:val="0"/>
          <w:sz w:val="21"/>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tabs>
          <w:tab w:val="left" w:pos="6300"/>
        </w:tabs>
        <w:snapToGrid w:val="0"/>
        <w:spacing w:line="360" w:lineRule="auto"/>
        <w:ind w:firstLine="420" w:firstLineChars="200"/>
        <w:rPr>
          <w:rFonts w:ascii="宋体" w:hAnsi="宋体" w:cs="宋体"/>
          <w:kern w:val="0"/>
          <w:sz w:val="21"/>
          <w:szCs w:val="21"/>
        </w:rPr>
      </w:pPr>
      <w:r>
        <w:rPr>
          <w:rFonts w:hint="eastAsia" w:ascii="宋体" w:hAnsi="宋体" w:cs="宋体"/>
          <w:kern w:val="0"/>
          <w:sz w:val="21"/>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tabs>
          <w:tab w:val="left" w:pos="6300"/>
        </w:tabs>
        <w:snapToGrid w:val="0"/>
        <w:spacing w:line="360" w:lineRule="auto"/>
        <w:ind w:firstLine="420" w:firstLineChars="200"/>
        <w:rPr>
          <w:rFonts w:ascii="宋体" w:hAnsi="宋体" w:cs="宋体"/>
          <w:kern w:val="0"/>
          <w:sz w:val="21"/>
          <w:szCs w:val="21"/>
        </w:rPr>
      </w:pPr>
      <w:r>
        <w:rPr>
          <w:rFonts w:hint="eastAsia" w:ascii="宋体" w:hAnsi="宋体" w:cs="宋体"/>
          <w:kern w:val="0"/>
          <w:sz w:val="21"/>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tabs>
          <w:tab w:val="left" w:pos="6300"/>
        </w:tabs>
        <w:snapToGrid w:val="0"/>
        <w:spacing w:line="360" w:lineRule="auto"/>
        <w:ind w:firstLine="420" w:firstLineChars="200"/>
        <w:rPr>
          <w:rFonts w:ascii="宋体" w:hAnsi="宋体" w:cs="宋体"/>
          <w:kern w:val="0"/>
          <w:sz w:val="21"/>
          <w:szCs w:val="21"/>
        </w:rPr>
      </w:pPr>
      <w:r>
        <w:rPr>
          <w:rFonts w:hint="eastAsia" w:ascii="宋体" w:hAnsi="宋体" w:cs="宋体"/>
          <w:kern w:val="0"/>
          <w:sz w:val="21"/>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tabs>
          <w:tab w:val="left" w:pos="6300"/>
        </w:tabs>
        <w:snapToGrid w:val="0"/>
        <w:spacing w:line="360" w:lineRule="auto"/>
        <w:rPr>
          <w:rFonts w:ascii="宋体" w:hAnsi="宋体"/>
          <w:szCs w:val="21"/>
        </w:rPr>
      </w:pPr>
      <w:r>
        <w:rPr>
          <w:rFonts w:hint="eastAsia" w:ascii="宋体" w:hAnsi="宋体" w:cs="宋体"/>
          <w:kern w:val="0"/>
          <w:sz w:val="21"/>
          <w:szCs w:val="21"/>
        </w:rPr>
        <w:t>（十六）其他未列明行业。从业人员300人以下的为中小微型企业。其中，从业人员100人及以上的为中型企业；从业人员10人及以上的为小型企业；从业人员10人以下的为微型企业。</w:t>
      </w:r>
    </w:p>
    <w:p>
      <w:pPr>
        <w:tabs>
          <w:tab w:val="left" w:pos="6300"/>
        </w:tabs>
        <w:snapToGrid w:val="0"/>
        <w:spacing w:line="360" w:lineRule="auto"/>
        <w:ind w:firstLine="480" w:firstLineChars="200"/>
        <w:rPr>
          <w:rFonts w:ascii="宋体" w:hAnsi="宋体"/>
          <w:sz w:val="24"/>
          <w:szCs w:val="24"/>
        </w:rPr>
      </w:pPr>
      <w:r>
        <w:rPr>
          <w:rFonts w:ascii="宋体" w:hAnsi="宋体"/>
          <w:sz w:val="24"/>
          <w:szCs w:val="24"/>
        </w:rPr>
        <w:br w:type="page"/>
      </w:r>
      <w:r>
        <w:rPr>
          <w:rFonts w:hint="eastAsia" w:ascii="宋体" w:hAnsi="宋体"/>
          <w:sz w:val="24"/>
          <w:szCs w:val="24"/>
        </w:rPr>
        <w:t>（2）监狱企业证明文件</w:t>
      </w:r>
    </w:p>
    <w:p>
      <w:pPr>
        <w:tabs>
          <w:tab w:val="left" w:pos="6300"/>
        </w:tabs>
        <w:snapToGrid w:val="0"/>
        <w:spacing w:line="360" w:lineRule="auto"/>
        <w:ind w:firstLine="480" w:firstLineChars="200"/>
        <w:rPr>
          <w:rFonts w:ascii="宋体" w:hAnsi="宋体"/>
          <w:sz w:val="29"/>
          <w:szCs w:val="29"/>
        </w:rPr>
      </w:pPr>
      <w:r>
        <w:rPr>
          <w:rFonts w:hint="eastAsia" w:ascii="宋体" w:hAnsi="宋体"/>
          <w:sz w:val="24"/>
          <w:szCs w:val="24"/>
        </w:rPr>
        <w:t>以省级以上监狱管理局、戒毒管理局（含新疆生产建设兵团）出具的属于监狱企业的证明文件为准</w:t>
      </w:r>
      <w:r>
        <w:rPr>
          <w:rFonts w:hint="eastAsia" w:ascii="宋体" w:hAnsi="宋体"/>
          <w:sz w:val="29"/>
          <w:szCs w:val="29"/>
        </w:rPr>
        <w:t>。</w:t>
      </w:r>
    </w:p>
    <w:p>
      <w:pPr>
        <w:tabs>
          <w:tab w:val="left" w:pos="6300"/>
        </w:tabs>
        <w:snapToGrid w:val="0"/>
        <w:spacing w:line="360" w:lineRule="auto"/>
        <w:ind w:firstLine="580" w:firstLineChars="200"/>
        <w:rPr>
          <w:rFonts w:ascii="宋体" w:hAnsi="宋体"/>
          <w:sz w:val="29"/>
          <w:szCs w:val="29"/>
        </w:rPr>
      </w:pPr>
    </w:p>
    <w:p>
      <w:pPr>
        <w:tabs>
          <w:tab w:val="left" w:pos="6300"/>
        </w:tabs>
        <w:snapToGrid w:val="0"/>
        <w:spacing w:line="360" w:lineRule="auto"/>
        <w:ind w:firstLine="580" w:firstLineChars="200"/>
        <w:rPr>
          <w:rFonts w:ascii="宋体" w:hAnsi="宋体"/>
          <w:sz w:val="29"/>
          <w:szCs w:val="29"/>
        </w:rPr>
      </w:pPr>
    </w:p>
    <w:p>
      <w:pPr>
        <w:tabs>
          <w:tab w:val="left" w:pos="6300"/>
        </w:tabs>
        <w:snapToGrid w:val="0"/>
        <w:spacing w:line="360" w:lineRule="auto"/>
        <w:ind w:firstLine="480" w:firstLineChars="200"/>
        <w:rPr>
          <w:rFonts w:ascii="宋体" w:hAnsi="宋体"/>
          <w:sz w:val="24"/>
          <w:szCs w:val="24"/>
        </w:rPr>
      </w:pPr>
      <w:r>
        <w:rPr>
          <w:rFonts w:hint="eastAsia" w:ascii="宋体" w:hAnsi="宋体"/>
          <w:sz w:val="24"/>
          <w:szCs w:val="24"/>
        </w:rPr>
        <w:t>（3）残疾人福利性单位声明函（格式）</w:t>
      </w:r>
    </w:p>
    <w:p>
      <w:pPr>
        <w:tabs>
          <w:tab w:val="left" w:pos="6300"/>
        </w:tabs>
        <w:snapToGrid w:val="0"/>
        <w:spacing w:line="360" w:lineRule="auto"/>
        <w:ind w:firstLine="560" w:firstLineChars="200"/>
        <w:jc w:val="center"/>
        <w:rPr>
          <w:rFonts w:ascii="宋体" w:hAnsi="宋体"/>
          <w:szCs w:val="28"/>
        </w:rPr>
      </w:pPr>
      <w:r>
        <w:rPr>
          <w:rFonts w:hint="eastAsia" w:ascii="宋体" w:hAnsi="宋体"/>
          <w:szCs w:val="28"/>
        </w:rPr>
        <w:t>残疾人福利性单位声明函</w:t>
      </w:r>
    </w:p>
    <w:p>
      <w:pPr>
        <w:tabs>
          <w:tab w:val="left" w:pos="6300"/>
        </w:tabs>
        <w:snapToGrid w:val="0"/>
        <w:spacing w:line="360" w:lineRule="auto"/>
        <w:ind w:firstLine="480" w:firstLineChars="200"/>
        <w:rPr>
          <w:rFonts w:ascii="宋体" w:hAnsi="宋体"/>
          <w:sz w:val="24"/>
        </w:rPr>
      </w:pPr>
      <w:r>
        <w:rPr>
          <w:rFonts w:hint="eastAsia" w:ascii="宋体" w:hAnsi="宋体"/>
          <w:sz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tabs>
          <w:tab w:val="left" w:pos="6300"/>
        </w:tabs>
        <w:snapToGrid w:val="0"/>
        <w:spacing w:line="360" w:lineRule="auto"/>
        <w:ind w:firstLine="480" w:firstLineChars="200"/>
        <w:rPr>
          <w:rFonts w:ascii="宋体" w:hAnsi="宋体"/>
          <w:sz w:val="24"/>
        </w:rPr>
      </w:pPr>
      <w:r>
        <w:rPr>
          <w:rFonts w:hint="eastAsia" w:ascii="宋体" w:hAnsi="宋体"/>
          <w:sz w:val="24"/>
        </w:rPr>
        <w:t>本单位对上述声明的真实性负责。如有虚假，将依法承担相应责任。</w:t>
      </w:r>
    </w:p>
    <w:p>
      <w:pPr>
        <w:tabs>
          <w:tab w:val="left" w:pos="6300"/>
        </w:tabs>
        <w:snapToGrid w:val="0"/>
        <w:spacing w:line="360" w:lineRule="auto"/>
        <w:ind w:firstLine="480" w:firstLineChars="200"/>
        <w:rPr>
          <w:rFonts w:ascii="宋体" w:hAnsi="宋体"/>
          <w:sz w:val="24"/>
        </w:rPr>
      </w:pPr>
    </w:p>
    <w:p>
      <w:pPr>
        <w:tabs>
          <w:tab w:val="left" w:pos="6300"/>
        </w:tabs>
        <w:snapToGrid w:val="0"/>
        <w:spacing w:line="360" w:lineRule="auto"/>
        <w:ind w:firstLine="480" w:firstLineChars="200"/>
        <w:rPr>
          <w:rFonts w:ascii="宋体" w:hAnsi="宋体"/>
          <w:sz w:val="24"/>
        </w:rPr>
      </w:pPr>
    </w:p>
    <w:p>
      <w:pPr>
        <w:tabs>
          <w:tab w:val="left" w:pos="6300"/>
        </w:tabs>
        <w:snapToGrid w:val="0"/>
        <w:spacing w:line="360" w:lineRule="auto"/>
        <w:ind w:firstLine="480" w:firstLineChars="200"/>
        <w:rPr>
          <w:rFonts w:ascii="宋体" w:hAnsi="宋体"/>
          <w:sz w:val="24"/>
        </w:rPr>
      </w:pPr>
      <w:r>
        <w:rPr>
          <w:rFonts w:hint="eastAsia" w:ascii="宋体" w:hAnsi="宋体"/>
          <w:sz w:val="24"/>
        </w:rPr>
        <w:t xml:space="preserve">                                                  供应商名称（盖章）：</w:t>
      </w:r>
    </w:p>
    <w:p>
      <w:pPr>
        <w:tabs>
          <w:tab w:val="left" w:pos="6300"/>
        </w:tabs>
        <w:snapToGrid w:val="0"/>
        <w:spacing w:line="360" w:lineRule="auto"/>
        <w:ind w:firstLine="570"/>
        <w:jc w:val="left"/>
        <w:rPr>
          <w:rFonts w:ascii="宋体" w:hAnsi="宋体"/>
        </w:rPr>
      </w:pPr>
      <w:r>
        <w:rPr>
          <w:rFonts w:hint="eastAsia" w:ascii="宋体" w:hAnsi="宋体"/>
          <w:sz w:val="24"/>
        </w:rPr>
        <w:t xml:space="preserve">                                                  日  期：</w:t>
      </w:r>
    </w:p>
    <w:p>
      <w:pPr>
        <w:tabs>
          <w:tab w:val="left" w:pos="6300"/>
        </w:tabs>
        <w:snapToGrid w:val="0"/>
        <w:spacing w:line="500" w:lineRule="exact"/>
        <w:jc w:val="left"/>
        <w:rPr>
          <w:rFonts w:ascii="宋体" w:hAnsi="宋体"/>
        </w:rPr>
      </w:pPr>
    </w:p>
    <w:p>
      <w:pPr>
        <w:tabs>
          <w:tab w:val="left" w:pos="6300"/>
        </w:tabs>
        <w:snapToGrid w:val="0"/>
        <w:spacing w:line="500" w:lineRule="exact"/>
        <w:ind w:firstLine="570"/>
        <w:jc w:val="left"/>
        <w:rPr>
          <w:rFonts w:ascii="宋体" w:hAnsi="宋体"/>
          <w:sz w:val="24"/>
          <w:szCs w:val="24"/>
        </w:rPr>
      </w:pPr>
      <w:r>
        <w:rPr>
          <w:rFonts w:hint="eastAsia" w:ascii="宋体" w:hAnsi="宋体"/>
          <w:sz w:val="24"/>
          <w:szCs w:val="24"/>
        </w:rPr>
        <w:t>若成交供应商为残疾人福利性单位的，将在结果公告时公告其《残疾人福利性单位声明函》。</w:t>
      </w:r>
    </w:p>
    <w:p>
      <w:pPr>
        <w:tabs>
          <w:tab w:val="left" w:pos="6300"/>
        </w:tabs>
        <w:snapToGrid w:val="0"/>
        <w:spacing w:line="500" w:lineRule="exact"/>
        <w:jc w:val="left"/>
        <w:rPr>
          <w:rFonts w:ascii="宋体" w:hAnsi="宋体"/>
        </w:rPr>
      </w:pPr>
    </w:p>
    <w:p>
      <w:pPr>
        <w:tabs>
          <w:tab w:val="left" w:pos="6300"/>
        </w:tabs>
        <w:snapToGrid w:val="0"/>
        <w:spacing w:line="500" w:lineRule="exact"/>
        <w:jc w:val="left"/>
        <w:rPr>
          <w:rFonts w:ascii="宋体" w:hAnsi="宋体"/>
        </w:rPr>
      </w:pPr>
    </w:p>
    <w:p>
      <w:pPr>
        <w:ind w:firstLine="480" w:firstLineChars="200"/>
        <w:jc w:val="left"/>
        <w:rPr>
          <w:rFonts w:ascii="宋体" w:hAnsi="宋体"/>
          <w:sz w:val="24"/>
          <w:szCs w:val="24"/>
        </w:rPr>
      </w:pPr>
      <w:r>
        <w:rPr>
          <w:rFonts w:hint="eastAsia" w:ascii="宋体" w:hAnsi="宋体"/>
          <w:sz w:val="24"/>
          <w:szCs w:val="24"/>
        </w:rPr>
        <w:t>2.其他与项目有关的资料（自附）</w:t>
      </w:r>
    </w:p>
    <w:p>
      <w:pPr>
        <w:ind w:firstLine="480" w:firstLineChars="200"/>
        <w:jc w:val="left"/>
        <w:rPr>
          <w:rFonts w:ascii="宋体" w:hAnsi="宋体"/>
          <w:sz w:val="24"/>
          <w:szCs w:val="24"/>
        </w:rPr>
      </w:pPr>
    </w:p>
    <w:p>
      <w:pPr>
        <w:tabs>
          <w:tab w:val="left" w:pos="6300"/>
        </w:tabs>
        <w:snapToGrid w:val="0"/>
        <w:spacing w:line="500" w:lineRule="exact"/>
        <w:rPr>
          <w:rFonts w:ascii="宋体" w:hAnsi="宋体"/>
          <w:sz w:val="24"/>
          <w:szCs w:val="24"/>
        </w:rPr>
      </w:pPr>
    </w:p>
    <w:p>
      <w:pPr>
        <w:tabs>
          <w:tab w:val="left" w:pos="6300"/>
        </w:tabs>
        <w:snapToGrid w:val="0"/>
        <w:spacing w:line="500" w:lineRule="exact"/>
        <w:rPr>
          <w:rFonts w:ascii="宋体" w:hAnsi="宋体"/>
          <w:sz w:val="24"/>
          <w:szCs w:val="24"/>
        </w:rPr>
      </w:pPr>
    </w:p>
    <w:p>
      <w:pPr>
        <w:pStyle w:val="2"/>
      </w:pPr>
    </w:p>
    <w:p>
      <w:pPr>
        <w:pStyle w:val="3"/>
      </w:pPr>
    </w:p>
    <w:p>
      <w:pPr>
        <w:tabs>
          <w:tab w:val="left" w:pos="6300"/>
        </w:tabs>
        <w:snapToGrid w:val="0"/>
        <w:spacing w:line="500" w:lineRule="exact"/>
        <w:jc w:val="center"/>
      </w:pPr>
      <w:r>
        <w:rPr>
          <w:rFonts w:ascii="宋体" w:hAnsi="宋体"/>
          <w:sz w:val="24"/>
          <w:szCs w:val="24"/>
        </w:rPr>
        <w:t>（结束）</w:t>
      </w:r>
    </w:p>
    <w:sectPr>
      <w:headerReference r:id="rId12" w:type="default"/>
      <w:pgSz w:w="11907" w:h="16840"/>
      <w:pgMar w:top="1134" w:right="1191" w:bottom="1134" w:left="1191" w:header="851" w:footer="992" w:gutter="0"/>
      <w:pgNumType w:fmt="numberInDash"/>
      <w:cols w:space="720" w:num="1"/>
      <w:docGrid w:linePitch="381" w:charSpace="-573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Cambria">
    <w:panose1 w:val="02040503050406030204"/>
    <w:charset w:val="00"/>
    <w:family w:val="roman"/>
    <w:pitch w:val="default"/>
    <w:sig w:usb0="E00006FF" w:usb1="420024FF" w:usb2="02000000" w:usb3="00000000" w:csb0="2000019F" w:csb1="00000000"/>
  </w:font>
  <w:font w:name="_x000B__x000C_">
    <w:altName w:val="Times New Roman"/>
    <w:panose1 w:val="00000000000000000000"/>
    <w:charset w:val="00"/>
    <w:family w:val="roman"/>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昆仑楷体">
    <w:altName w:val="宋体"/>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文鼎粗黑">
    <w:altName w:val="新宋体"/>
    <w:panose1 w:val="00000000000000000000"/>
    <w:charset w:val="86"/>
    <w:family w:val="modern"/>
    <w:pitch w:val="default"/>
    <w:sig w:usb0="00000000" w:usb1="00000000" w:usb2="00000010" w:usb3="00000000" w:csb0="00040000" w:csb1="00000000"/>
  </w:font>
  <w:font w:name="Arial Narrow">
    <w:panose1 w:val="020B0606020202030204"/>
    <w:charset w:val="00"/>
    <w:family w:val="swiss"/>
    <w:pitch w:val="default"/>
    <w:sig w:usb0="00000287" w:usb1="00000800" w:usb2="00000000" w:usb3="00000000" w:csb0="2000009F" w:csb1="DFD70000"/>
  </w:font>
  <w:font w:name="仿宋">
    <w:panose1 w:val="02010609060101010101"/>
    <w:charset w:val="86"/>
    <w:family w:val="modern"/>
    <w:pitch w:val="default"/>
    <w:sig w:usb0="800002BF" w:usb1="38CF7CFA" w:usb2="00000016" w:usb3="00000000" w:csb0="00040001" w:csb1="00000000"/>
  </w:font>
  <w:font w:name="FrutigerNextLT-Light">
    <w:altName w:val="Times New Roman"/>
    <w:panose1 w:val="00000000000000000000"/>
    <w:charset w:val="00"/>
    <w:family w:val="roman"/>
    <w:pitch w:val="default"/>
    <w:sig w:usb0="00000000" w:usb1="00000000" w:usb2="00000000" w:usb3="00000000" w:csb0="00040001"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framePr w:wrap="around" w:vAnchor="text" w:hAnchor="margin" w:xAlign="center" w:y="1"/>
      <w:rPr>
        <w:rStyle w:val="62"/>
      </w:rPr>
    </w:pPr>
    <w:r>
      <w:rPr>
        <w:rStyle w:val="62"/>
      </w:rPr>
      <w:fldChar w:fldCharType="begin"/>
    </w:r>
    <w:r>
      <w:rPr>
        <w:rStyle w:val="62"/>
      </w:rPr>
      <w:instrText xml:space="preserve">PAGE  </w:instrText>
    </w:r>
    <w:r>
      <w:fldChar w:fldCharType="end"/>
    </w:r>
  </w:p>
  <w:p>
    <w:pPr>
      <w:pStyle w:val="3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framePr w:wrap="around" w:vAnchor="text" w:hAnchor="margin" w:xAlign="center" w:y="1"/>
      <w:rPr>
        <w:rStyle w:val="62"/>
      </w:rPr>
    </w:pPr>
  </w:p>
  <w:p>
    <w:pPr>
      <w:pStyle w:val="39"/>
      <w:jc w:val="center"/>
      <w:rPr>
        <w:rFonts w:ascii="宋体"/>
        <w:sz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framePr w:wrap="around" w:vAnchor="text" w:hAnchor="margin" w:xAlign="center" w:y="1"/>
      <w:jc w:val="center"/>
      <w:rPr>
        <w:rStyle w:val="62"/>
        <w:rFonts w:ascii="宋体"/>
        <w:sz w:val="21"/>
        <w:szCs w:val="21"/>
      </w:rPr>
    </w:pPr>
    <w:r>
      <w:rPr>
        <w:rStyle w:val="62"/>
      </w:rPr>
      <w:fldChar w:fldCharType="begin"/>
    </w:r>
    <w:r>
      <w:rPr>
        <w:rStyle w:val="62"/>
        <w:rFonts w:ascii="宋体"/>
        <w:sz w:val="21"/>
        <w:szCs w:val="21"/>
      </w:rPr>
      <w:instrText xml:space="preserve">PAGE  </w:instrText>
    </w:r>
    <w:r>
      <w:rPr>
        <w:rFonts w:ascii="宋体"/>
        <w:sz w:val="21"/>
        <w:szCs w:val="21"/>
      </w:rPr>
      <w:fldChar w:fldCharType="separate"/>
    </w:r>
    <w:r>
      <w:rPr>
        <w:rStyle w:val="62"/>
        <w:rFonts w:ascii="宋体"/>
        <w:sz w:val="21"/>
        <w:szCs w:val="21"/>
      </w:rPr>
      <w:t>- 2 -</w:t>
    </w:r>
    <w:r>
      <w:rPr>
        <w:rFonts w:ascii="宋体"/>
        <w:sz w:val="21"/>
        <w:szCs w:val="21"/>
      </w:rPr>
      <w:fldChar w:fldCharType="end"/>
    </w:r>
  </w:p>
  <w:p>
    <w:pPr>
      <w:pStyle w:val="3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jc w:val="center"/>
      <w:rPr>
        <w:rFonts w:ascii="宋体"/>
        <w:sz w:val="21"/>
        <w:szCs w:val="21"/>
      </w:rPr>
    </w:pPr>
    <w:r>
      <w:rPr>
        <w:rStyle w:val="62"/>
      </w:rPr>
      <w:fldChar w:fldCharType="begin"/>
    </w:r>
    <w:r>
      <w:rPr>
        <w:rStyle w:val="62"/>
        <w:rFonts w:ascii="宋体"/>
        <w:sz w:val="21"/>
        <w:szCs w:val="21"/>
      </w:rPr>
      <w:instrText xml:space="preserve"> PAGE </w:instrText>
    </w:r>
    <w:r>
      <w:rPr>
        <w:rFonts w:ascii="宋体"/>
        <w:sz w:val="21"/>
        <w:szCs w:val="21"/>
      </w:rPr>
      <w:fldChar w:fldCharType="separate"/>
    </w:r>
    <w:r>
      <w:rPr>
        <w:rStyle w:val="62"/>
        <w:rFonts w:ascii="宋体"/>
        <w:sz w:val="21"/>
        <w:szCs w:val="21"/>
      </w:rPr>
      <w:t>- 25 -</w:t>
    </w:r>
    <w:r>
      <w:rPr>
        <w:rFonts w:ascii="宋体"/>
        <w:sz w:val="21"/>
        <w:szCs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framePr w:wrap="around" w:vAnchor="text" w:hAnchor="margin" w:xAlign="center" w:y="1"/>
      <w:rPr>
        <w:rStyle w:val="62"/>
      </w:rPr>
    </w:pPr>
    <w:r>
      <w:rPr>
        <w:rStyle w:val="62"/>
      </w:rPr>
      <w:fldChar w:fldCharType="begin"/>
    </w:r>
    <w:r>
      <w:rPr>
        <w:rStyle w:val="62"/>
      </w:rPr>
      <w:instrText xml:space="preserve">PAGE  </w:instrText>
    </w:r>
    <w:r>
      <w:fldChar w:fldCharType="end"/>
    </w:r>
  </w:p>
  <w:p>
    <w:pPr>
      <w:pStyle w:val="3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jc w:val="both"/>
      <w:rPr>
        <w:rFonts w:ascii="宋体"/>
        <w:sz w:val="21"/>
        <w:szCs w:val="21"/>
      </w:rPr>
    </w:pPr>
    <w:r>
      <w:rPr>
        <w:rFonts w:hint="eastAsia" w:ascii="宋体"/>
        <w:sz w:val="21"/>
        <w:szCs w:val="21"/>
      </w:rPr>
      <w:t>重庆中基                                                               竞争性磋商文件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jc w:val="left"/>
      <w:rPr>
        <w:rFonts w:ascii="宋体"/>
        <w:sz w:val="21"/>
        <w:szCs w:val="21"/>
      </w:rPr>
    </w:pPr>
    <w:r>
      <w:rPr>
        <w:rFonts w:hint="eastAsia" w:ascii="宋体"/>
        <w:sz w:val="21"/>
        <w:szCs w:val="21"/>
      </w:rPr>
      <w:t>重庆中基                     竞争性磋商文件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jc w:val="both"/>
      <w:rPr>
        <w:rFonts w:ascii="宋体" w:hAnsi="宋体"/>
        <w:sz w:val="21"/>
        <w:szCs w:val="21"/>
      </w:rPr>
    </w:pPr>
    <w:r>
      <w:rPr>
        <w:rFonts w:hint="eastAsia" w:ascii="宋体" w:hAnsi="宋体"/>
        <w:sz w:val="21"/>
        <w:szCs w:val="21"/>
      </w:rPr>
      <w:t xml:space="preserve">重庆中基                                                               </w:t>
    </w:r>
    <w:r>
      <w:rPr>
        <w:rFonts w:ascii="宋体" w:hAnsi="宋体"/>
        <w:sz w:val="21"/>
        <w:szCs w:val="21"/>
      </w:rPr>
      <w:t xml:space="preserve"> </w:t>
    </w:r>
    <w:r>
      <w:rPr>
        <w:rFonts w:hint="eastAsia" w:ascii="宋体" w:hAnsi="宋体"/>
        <w:sz w:val="21"/>
        <w:szCs w:val="21"/>
      </w:rPr>
      <w:t xml:space="preserve">    竞争性磋商文件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jc w:val="both"/>
      <w:rPr>
        <w:rFonts w:ascii="宋体"/>
        <w:sz w:val="21"/>
        <w:szCs w:val="21"/>
      </w:rPr>
    </w:pPr>
    <w:r>
      <w:rPr>
        <w:rFonts w:hint="eastAsia" w:ascii="宋体"/>
        <w:sz w:val="21"/>
        <w:szCs w:val="21"/>
      </w:rPr>
      <w:t>重庆中基                                                                   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9"/>
    <w:lvl w:ilvl="0" w:tentative="0">
      <w:start w:val="1"/>
      <w:numFmt w:val="upperLetter"/>
      <w:pStyle w:val="274"/>
      <w:suff w:val="nothing"/>
      <w:lvlText w:val="附　录　%1"/>
      <w:lvlJc w:val="left"/>
      <w:pPr>
        <w:tabs>
          <w:tab w:val="left" w:pos="0"/>
        </w:tabs>
        <w:ind w:left="0" w:firstLine="0"/>
      </w:pPr>
      <w:rPr>
        <w:rFonts w:hint="eastAsia" w:ascii="黑体" w:hAnsi="黑体" w:eastAsia="黑体"/>
        <w:b w:val="0"/>
        <w:i w:val="0"/>
        <w:sz w:val="21"/>
      </w:rPr>
    </w:lvl>
    <w:lvl w:ilvl="1" w:tentative="0">
      <w:start w:val="1"/>
      <w:numFmt w:val="decimal"/>
      <w:pStyle w:val="139"/>
      <w:suff w:val="nothing"/>
      <w:lvlText w:val="%1.%2　"/>
      <w:lvlJc w:val="left"/>
      <w:pPr>
        <w:tabs>
          <w:tab w:val="left" w:pos="0"/>
        </w:tabs>
        <w:ind w:left="210" w:firstLine="0"/>
      </w:pPr>
      <w:rPr>
        <w:rFonts w:hint="eastAsia" w:ascii="黑体" w:hAnsi="黑体" w:eastAsia="黑体"/>
        <w:b w:val="0"/>
        <w:i w:val="0"/>
        <w:snapToGrid/>
        <w:spacing w:val="0"/>
        <w:w w:val="100"/>
        <w:kern w:val="21"/>
        <w:sz w:val="21"/>
      </w:rPr>
    </w:lvl>
    <w:lvl w:ilvl="2" w:tentative="0">
      <w:start w:val="1"/>
      <w:numFmt w:val="decimal"/>
      <w:suff w:val="nothing"/>
      <w:lvlText w:val="%1.%2.%3　"/>
      <w:lvlJc w:val="left"/>
      <w:pPr>
        <w:tabs>
          <w:tab w:val="left" w:pos="0"/>
        </w:tabs>
        <w:ind w:left="0" w:firstLine="0"/>
      </w:pPr>
      <w:rPr>
        <w:rFonts w:hint="eastAsia" w:ascii="黑体" w:hAnsi="黑体" w:eastAsia="黑体"/>
        <w:b w:val="0"/>
        <w:i w:val="0"/>
        <w:sz w:val="21"/>
      </w:rPr>
    </w:lvl>
    <w:lvl w:ilvl="3" w:tentative="0">
      <w:start w:val="1"/>
      <w:numFmt w:val="decimal"/>
      <w:suff w:val="nothing"/>
      <w:lvlText w:val="%1.%2.%3.%4　"/>
      <w:lvlJc w:val="left"/>
      <w:pPr>
        <w:tabs>
          <w:tab w:val="left" w:pos="0"/>
        </w:tabs>
        <w:ind w:left="0" w:firstLine="0"/>
      </w:pPr>
      <w:rPr>
        <w:rFonts w:hint="eastAsia" w:ascii="黑体" w:hAnsi="黑体" w:eastAsia="黑体"/>
        <w:b w:val="0"/>
        <w:i w:val="0"/>
        <w:sz w:val="21"/>
      </w:rPr>
    </w:lvl>
    <w:lvl w:ilvl="4" w:tentative="0">
      <w:start w:val="1"/>
      <w:numFmt w:val="decimal"/>
      <w:suff w:val="nothing"/>
      <w:lvlText w:val="%1.%2.%3.%4.%5　"/>
      <w:lvlJc w:val="left"/>
      <w:pPr>
        <w:tabs>
          <w:tab w:val="left" w:pos="0"/>
        </w:tabs>
        <w:ind w:left="0" w:firstLine="0"/>
      </w:pPr>
      <w:rPr>
        <w:rFonts w:hint="eastAsia" w:ascii="黑体" w:hAnsi="黑体" w:eastAsia="黑体"/>
        <w:b w:val="0"/>
        <w:i w:val="0"/>
        <w:sz w:val="21"/>
      </w:rPr>
    </w:lvl>
    <w:lvl w:ilvl="5" w:tentative="0">
      <w:start w:val="1"/>
      <w:numFmt w:val="decimal"/>
      <w:suff w:val="nothing"/>
      <w:lvlText w:val="%1.%2.%3.%4.%5.%6　"/>
      <w:lvlJc w:val="left"/>
      <w:pPr>
        <w:tabs>
          <w:tab w:val="left" w:pos="0"/>
        </w:tabs>
        <w:ind w:left="0" w:firstLine="0"/>
      </w:pPr>
      <w:rPr>
        <w:rFonts w:hint="eastAsia" w:ascii="黑体" w:hAnsi="黑体" w:eastAsia="黑体"/>
        <w:b w:val="0"/>
        <w:i w:val="0"/>
        <w:sz w:val="21"/>
      </w:rPr>
    </w:lvl>
    <w:lvl w:ilvl="6" w:tentative="0">
      <w:start w:val="1"/>
      <w:numFmt w:val="decimal"/>
      <w:suff w:val="nothing"/>
      <w:lvlText w:val="%1.%2.%3.%4.%5.%6.%7　"/>
      <w:lvlJc w:val="left"/>
      <w:pPr>
        <w:tabs>
          <w:tab w:val="left" w:pos="0"/>
        </w:tabs>
        <w:ind w:left="0" w:firstLine="0"/>
      </w:pPr>
      <w:rPr>
        <w:rFonts w:hint="eastAsia" w:ascii="黑体" w:hAnsi="黑体" w:eastAsia="黑体"/>
        <w:b w:val="0"/>
        <w:i w:val="0"/>
        <w:sz w:val="21"/>
      </w:rPr>
    </w:lvl>
    <w:lvl w:ilvl="7" w:tentative="0">
      <w:start w:val="1"/>
      <w:numFmt w:val="decimal"/>
      <w:lvlText w:val="%1.%2.%3.%4.%5.%6.%7.%8"/>
      <w:lvlJc w:val="left"/>
      <w:pPr>
        <w:tabs>
          <w:tab w:val="left" w:pos="0"/>
        </w:tabs>
        <w:ind w:left="4394" w:hanging="1418"/>
      </w:pPr>
      <w:rPr>
        <w:rFonts w:hint="eastAsia"/>
      </w:rPr>
    </w:lvl>
    <w:lvl w:ilvl="8" w:tentative="0">
      <w:start w:val="1"/>
      <w:numFmt w:val="decimal"/>
      <w:lvlText w:val="%1.%2.%3.%4.%5.%6.%7.%8.%9"/>
      <w:lvlJc w:val="left"/>
      <w:pPr>
        <w:tabs>
          <w:tab w:val="left" w:pos="0"/>
        </w:tabs>
        <w:ind w:left="5102" w:hanging="1700"/>
      </w:pPr>
      <w:rPr>
        <w:rFonts w:hint="eastAsia"/>
      </w:rPr>
    </w:lvl>
  </w:abstractNum>
  <w:abstractNum w:abstractNumId="1">
    <w:nsid w:val="0000000A"/>
    <w:multiLevelType w:val="multilevel"/>
    <w:tmpl w:val="0000000A"/>
    <w:lvl w:ilvl="0" w:tentative="0">
      <w:start w:val="1"/>
      <w:numFmt w:val="bullet"/>
      <w:pStyle w:val="200"/>
      <w:lvlText w:val=""/>
      <w:lvlJc w:val="left"/>
      <w:pPr>
        <w:tabs>
          <w:tab w:val="left" w:pos="0"/>
        </w:tabs>
        <w:ind w:left="987" w:hanging="420"/>
      </w:pPr>
      <w:rPr>
        <w:rFonts w:hint="default" w:ascii="Wingdings" w:hAnsi="Wingdings"/>
      </w:rPr>
    </w:lvl>
    <w:lvl w:ilvl="1" w:tentative="0">
      <w:start w:val="1"/>
      <w:numFmt w:val="lowerLetter"/>
      <w:lvlText w:val="%2)"/>
      <w:lvlJc w:val="left"/>
      <w:pPr>
        <w:tabs>
          <w:tab w:val="left" w:pos="0"/>
        </w:tabs>
        <w:ind w:left="840" w:hanging="420"/>
      </w:pPr>
    </w:lvl>
    <w:lvl w:ilvl="2" w:tentative="0">
      <w:start w:val="1"/>
      <w:numFmt w:val="decimal"/>
      <w:lvlText w:val="%3、"/>
      <w:lvlJc w:val="left"/>
      <w:pPr>
        <w:tabs>
          <w:tab w:val="left" w:pos="0"/>
        </w:tabs>
        <w:ind w:left="1200" w:hanging="360"/>
      </w:pPr>
      <w:rPr>
        <w:rFonts w:hint="eastAsia"/>
      </w:rPr>
    </w:lvl>
    <w:lvl w:ilvl="3" w:tentative="0">
      <w:start w:val="1"/>
      <w:numFmt w:val="bullet"/>
      <w:lvlText w:val=""/>
      <w:lvlJc w:val="left"/>
      <w:pPr>
        <w:tabs>
          <w:tab w:val="left" w:pos="0"/>
        </w:tabs>
        <w:ind w:left="1680" w:hanging="420"/>
      </w:pPr>
      <w:rPr>
        <w:rFonts w:hint="default" w:ascii="Wingdings" w:hAnsi="Wingdings"/>
      </w:r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abstractNum w:abstractNumId="2">
    <w:nsid w:val="0000000B"/>
    <w:multiLevelType w:val="singleLevel"/>
    <w:tmpl w:val="0000000B"/>
    <w:lvl w:ilvl="0" w:tentative="0">
      <w:start w:val="1"/>
      <w:numFmt w:val="bullet"/>
      <w:pStyle w:val="220"/>
      <w:lvlText w:val=""/>
      <w:lvlJc w:val="left"/>
      <w:pPr>
        <w:tabs>
          <w:tab w:val="left" w:pos="0"/>
        </w:tabs>
        <w:ind w:left="360" w:hanging="360"/>
      </w:pPr>
      <w:rPr>
        <w:rFonts w:hint="default" w:ascii="Wingdings" w:hAnsi="Wingdings"/>
      </w:rPr>
    </w:lvl>
  </w:abstractNum>
  <w:abstractNum w:abstractNumId="3">
    <w:nsid w:val="0000000C"/>
    <w:multiLevelType w:val="multilevel"/>
    <w:tmpl w:val="0000000C"/>
    <w:lvl w:ilvl="0" w:tentative="0">
      <w:start w:val="5"/>
      <w:numFmt w:val="japaneseCounting"/>
      <w:pStyle w:val="129"/>
      <w:lvlText w:val="%1、"/>
      <w:lvlJc w:val="left"/>
      <w:pPr>
        <w:tabs>
          <w:tab w:val="left" w:pos="0"/>
        </w:tabs>
        <w:ind w:left="480" w:hanging="480"/>
      </w:pPr>
      <w:rPr>
        <w:rFonts w:hint="eastAsia"/>
      </w:r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abstractNum w:abstractNumId="4">
    <w:nsid w:val="0000000D"/>
    <w:multiLevelType w:val="singleLevel"/>
    <w:tmpl w:val="0000000D"/>
    <w:lvl w:ilvl="0" w:tentative="0">
      <w:start w:val="1"/>
      <w:numFmt w:val="bullet"/>
      <w:pStyle w:val="136"/>
      <w:lvlText w:val=""/>
      <w:lvlJc w:val="left"/>
      <w:pPr>
        <w:tabs>
          <w:tab w:val="left" w:pos="0"/>
        </w:tabs>
        <w:ind w:left="1200" w:hanging="360"/>
      </w:pPr>
      <w:rPr>
        <w:rFonts w:hint="default" w:ascii="Wingdings" w:hAnsi="Wingdings"/>
      </w:rPr>
    </w:lvl>
  </w:abstractNum>
  <w:abstractNum w:abstractNumId="5">
    <w:nsid w:val="0000000E"/>
    <w:multiLevelType w:val="multilevel"/>
    <w:tmpl w:val="0000000E"/>
    <w:lvl w:ilvl="0" w:tentative="0">
      <w:start w:val="1"/>
      <w:numFmt w:val="bullet"/>
      <w:pStyle w:val="209"/>
      <w:lvlText w:val=""/>
      <w:lvlJc w:val="left"/>
      <w:pPr>
        <w:tabs>
          <w:tab w:val="left" w:pos="0"/>
        </w:tabs>
        <w:ind w:left="540" w:firstLine="0"/>
      </w:pPr>
      <w:rPr>
        <w:rFonts w:hint="default" w:ascii="Wingdings" w:hAnsi="Wingdings"/>
        <w:sz w:val="16"/>
      </w:rPr>
    </w:lvl>
    <w:lvl w:ilvl="1" w:tentative="0">
      <w:start w:val="1"/>
      <w:numFmt w:val="bullet"/>
      <w:lvlText w:val=""/>
      <w:lvlJc w:val="left"/>
      <w:pPr>
        <w:tabs>
          <w:tab w:val="left" w:pos="0"/>
        </w:tabs>
        <w:ind w:left="1940" w:hanging="420"/>
      </w:pPr>
      <w:rPr>
        <w:rFonts w:hint="default" w:ascii="Wingdings" w:hAnsi="Wingdings"/>
      </w:rPr>
    </w:lvl>
    <w:lvl w:ilvl="2" w:tentative="0">
      <w:start w:val="1"/>
      <w:numFmt w:val="bullet"/>
      <w:lvlText w:val=""/>
      <w:lvlJc w:val="left"/>
      <w:pPr>
        <w:tabs>
          <w:tab w:val="left" w:pos="0"/>
        </w:tabs>
        <w:ind w:left="2360" w:hanging="420"/>
      </w:pPr>
      <w:rPr>
        <w:rFonts w:hint="default" w:ascii="Wingdings" w:hAnsi="Wingdings"/>
      </w:rPr>
    </w:lvl>
    <w:lvl w:ilvl="3" w:tentative="0">
      <w:start w:val="1"/>
      <w:numFmt w:val="bullet"/>
      <w:lvlText w:val=""/>
      <w:lvlJc w:val="left"/>
      <w:pPr>
        <w:tabs>
          <w:tab w:val="left" w:pos="0"/>
        </w:tabs>
        <w:ind w:left="2780" w:hanging="420"/>
      </w:pPr>
      <w:rPr>
        <w:rFonts w:hint="default" w:ascii="Wingdings" w:hAnsi="Wingdings"/>
      </w:rPr>
    </w:lvl>
    <w:lvl w:ilvl="4" w:tentative="0">
      <w:start w:val="1"/>
      <w:numFmt w:val="bullet"/>
      <w:lvlText w:val=""/>
      <w:lvlJc w:val="left"/>
      <w:pPr>
        <w:tabs>
          <w:tab w:val="left" w:pos="0"/>
        </w:tabs>
        <w:ind w:left="3200" w:hanging="420"/>
      </w:pPr>
      <w:rPr>
        <w:rFonts w:hint="default" w:ascii="Wingdings" w:hAnsi="Wingdings"/>
      </w:rPr>
    </w:lvl>
    <w:lvl w:ilvl="5" w:tentative="0">
      <w:start w:val="1"/>
      <w:numFmt w:val="bullet"/>
      <w:lvlText w:val=""/>
      <w:lvlJc w:val="left"/>
      <w:pPr>
        <w:tabs>
          <w:tab w:val="left" w:pos="0"/>
        </w:tabs>
        <w:ind w:left="3620" w:hanging="420"/>
      </w:pPr>
      <w:rPr>
        <w:rFonts w:hint="default" w:ascii="Wingdings" w:hAnsi="Wingdings"/>
      </w:rPr>
    </w:lvl>
    <w:lvl w:ilvl="6" w:tentative="0">
      <w:start w:val="1"/>
      <w:numFmt w:val="bullet"/>
      <w:lvlText w:val=""/>
      <w:lvlJc w:val="left"/>
      <w:pPr>
        <w:tabs>
          <w:tab w:val="left" w:pos="0"/>
        </w:tabs>
        <w:ind w:left="4040" w:hanging="420"/>
      </w:pPr>
      <w:rPr>
        <w:rFonts w:hint="default" w:ascii="Wingdings" w:hAnsi="Wingdings"/>
      </w:rPr>
    </w:lvl>
    <w:lvl w:ilvl="7" w:tentative="0">
      <w:start w:val="1"/>
      <w:numFmt w:val="bullet"/>
      <w:lvlText w:val=""/>
      <w:lvlJc w:val="left"/>
      <w:pPr>
        <w:tabs>
          <w:tab w:val="left" w:pos="0"/>
        </w:tabs>
        <w:ind w:left="4460" w:hanging="420"/>
      </w:pPr>
      <w:rPr>
        <w:rFonts w:hint="default" w:ascii="Wingdings" w:hAnsi="Wingdings"/>
      </w:rPr>
    </w:lvl>
    <w:lvl w:ilvl="8" w:tentative="0">
      <w:start w:val="1"/>
      <w:numFmt w:val="bullet"/>
      <w:lvlText w:val=""/>
      <w:lvlJc w:val="left"/>
      <w:pPr>
        <w:tabs>
          <w:tab w:val="left" w:pos="0"/>
        </w:tabs>
        <w:ind w:left="4880" w:hanging="420"/>
      </w:pPr>
      <w:rPr>
        <w:rFonts w:hint="default" w:ascii="Wingdings" w:hAnsi="Wingdings"/>
      </w:rPr>
    </w:lvl>
  </w:abstractNum>
  <w:abstractNum w:abstractNumId="6">
    <w:nsid w:val="00000011"/>
    <w:multiLevelType w:val="multilevel"/>
    <w:tmpl w:val="00000011"/>
    <w:lvl w:ilvl="0" w:tentative="0">
      <w:start w:val="1"/>
      <w:numFmt w:val="decimal"/>
      <w:pStyle w:val="196"/>
      <w:lvlText w:val="（%1）"/>
      <w:lvlJc w:val="left"/>
      <w:pPr>
        <w:tabs>
          <w:tab w:val="left" w:pos="0"/>
        </w:tabs>
        <w:ind w:left="0" w:firstLine="510"/>
      </w:pPr>
      <w:rPr>
        <w:rFonts w:hint="default" w:ascii="Arial" w:hAnsi="Arial"/>
        <w:b w:val="0"/>
        <w:i w:val="0"/>
        <w:sz w:val="24"/>
      </w:r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abstractNum w:abstractNumId="7">
    <w:nsid w:val="00000012"/>
    <w:multiLevelType w:val="multilevel"/>
    <w:tmpl w:val="00000012"/>
    <w:lvl w:ilvl="0" w:tentative="0">
      <w:start w:val="1"/>
      <w:numFmt w:val="bullet"/>
      <w:pStyle w:val="171"/>
      <w:lvlText w:val=""/>
      <w:lvlJc w:val="left"/>
      <w:pPr>
        <w:tabs>
          <w:tab w:val="left" w:pos="0"/>
        </w:tabs>
        <w:ind w:left="1644" w:hanging="510"/>
      </w:pPr>
      <w:rPr>
        <w:rFonts w:hint="default" w:ascii="Wingdings" w:hAnsi="Wingdings"/>
        <w:color w:val="auto"/>
        <w:sz w:val="13"/>
        <w:u w:val="none"/>
      </w:rPr>
    </w:lvl>
    <w:lvl w:ilvl="1" w:tentative="0">
      <w:start w:val="1"/>
      <w:numFmt w:val="bullet"/>
      <w:lvlText w:val=""/>
      <w:lvlJc w:val="left"/>
      <w:pPr>
        <w:tabs>
          <w:tab w:val="left" w:pos="0"/>
        </w:tabs>
        <w:ind w:left="840" w:hanging="420"/>
      </w:pPr>
      <w:rPr>
        <w:rFonts w:hint="default" w:ascii="Wingdings" w:hAnsi="Wingdings"/>
        <w:color w:val="auto"/>
        <w:sz w:val="13"/>
        <w:u w:val="none"/>
      </w:rPr>
    </w:lvl>
    <w:lvl w:ilvl="2" w:tentative="0">
      <w:start w:val="1"/>
      <w:numFmt w:val="bullet"/>
      <w:lvlText w:val=""/>
      <w:lvlJc w:val="left"/>
      <w:pPr>
        <w:tabs>
          <w:tab w:val="left" w:pos="0"/>
        </w:tabs>
        <w:ind w:left="1260" w:hanging="420"/>
      </w:pPr>
      <w:rPr>
        <w:rFonts w:hint="default" w:ascii="Wingdings" w:hAnsi="Wingdings"/>
      </w:rPr>
    </w:lvl>
    <w:lvl w:ilvl="3" w:tentative="0">
      <w:start w:val="1"/>
      <w:numFmt w:val="bullet"/>
      <w:lvlText w:val=""/>
      <w:lvlJc w:val="left"/>
      <w:pPr>
        <w:tabs>
          <w:tab w:val="left" w:pos="0"/>
        </w:tabs>
        <w:ind w:left="1680" w:hanging="420"/>
      </w:pPr>
      <w:rPr>
        <w:rFonts w:hint="default" w:ascii="Wingdings" w:hAnsi="Wingdings"/>
      </w:rPr>
    </w:lvl>
    <w:lvl w:ilvl="4" w:tentative="0">
      <w:start w:val="1"/>
      <w:numFmt w:val="bullet"/>
      <w:lvlText w:val=""/>
      <w:lvlJc w:val="left"/>
      <w:pPr>
        <w:tabs>
          <w:tab w:val="left" w:pos="0"/>
        </w:tabs>
        <w:ind w:left="2100" w:hanging="420"/>
      </w:pPr>
      <w:rPr>
        <w:rFonts w:hint="default" w:ascii="Wingdings" w:hAnsi="Wingdings"/>
      </w:rPr>
    </w:lvl>
    <w:lvl w:ilvl="5" w:tentative="0">
      <w:start w:val="1"/>
      <w:numFmt w:val="bullet"/>
      <w:lvlText w:val=""/>
      <w:lvlJc w:val="left"/>
      <w:pPr>
        <w:tabs>
          <w:tab w:val="left" w:pos="0"/>
        </w:tabs>
        <w:ind w:left="2520" w:hanging="420"/>
      </w:pPr>
      <w:rPr>
        <w:rFonts w:hint="default" w:ascii="Wingdings" w:hAnsi="Wingdings"/>
      </w:rPr>
    </w:lvl>
    <w:lvl w:ilvl="6" w:tentative="0">
      <w:start w:val="1"/>
      <w:numFmt w:val="bullet"/>
      <w:lvlText w:val=""/>
      <w:lvlJc w:val="left"/>
      <w:pPr>
        <w:tabs>
          <w:tab w:val="left" w:pos="0"/>
        </w:tabs>
        <w:ind w:left="2940" w:hanging="420"/>
      </w:pPr>
      <w:rPr>
        <w:rFonts w:hint="default" w:ascii="Wingdings" w:hAnsi="Wingdings"/>
      </w:rPr>
    </w:lvl>
    <w:lvl w:ilvl="7" w:tentative="0">
      <w:start w:val="1"/>
      <w:numFmt w:val="bullet"/>
      <w:lvlText w:val=""/>
      <w:lvlJc w:val="left"/>
      <w:pPr>
        <w:tabs>
          <w:tab w:val="left" w:pos="0"/>
        </w:tabs>
        <w:ind w:left="3360" w:hanging="420"/>
      </w:pPr>
      <w:rPr>
        <w:rFonts w:hint="default" w:ascii="Wingdings" w:hAnsi="Wingdings"/>
      </w:rPr>
    </w:lvl>
    <w:lvl w:ilvl="8" w:tentative="0">
      <w:start w:val="1"/>
      <w:numFmt w:val="bullet"/>
      <w:lvlText w:val=""/>
      <w:lvlJc w:val="left"/>
      <w:pPr>
        <w:tabs>
          <w:tab w:val="left" w:pos="0"/>
        </w:tabs>
        <w:ind w:left="3780" w:hanging="420"/>
      </w:pPr>
      <w:rPr>
        <w:rFonts w:hint="default" w:ascii="Wingdings" w:hAnsi="Wingdings"/>
      </w:rPr>
    </w:lvl>
  </w:abstractNum>
  <w:abstractNum w:abstractNumId="8">
    <w:nsid w:val="00000013"/>
    <w:multiLevelType w:val="singleLevel"/>
    <w:tmpl w:val="00000013"/>
    <w:lvl w:ilvl="0" w:tentative="0">
      <w:start w:val="1"/>
      <w:numFmt w:val="decimal"/>
      <w:pStyle w:val="18"/>
      <w:lvlText w:val="%1."/>
      <w:lvlJc w:val="left"/>
      <w:pPr>
        <w:tabs>
          <w:tab w:val="left" w:pos="0"/>
        </w:tabs>
        <w:ind w:left="425" w:hanging="425"/>
      </w:pPr>
      <w:rPr>
        <w:rFonts w:hint="default"/>
      </w:rPr>
    </w:lvl>
  </w:abstractNum>
  <w:abstractNum w:abstractNumId="9">
    <w:nsid w:val="00000014"/>
    <w:multiLevelType w:val="singleLevel"/>
    <w:tmpl w:val="00000014"/>
    <w:lvl w:ilvl="0" w:tentative="0">
      <w:start w:val="1"/>
      <w:numFmt w:val="bullet"/>
      <w:pStyle w:val="31"/>
      <w:lvlText w:val=""/>
      <w:lvlJc w:val="left"/>
      <w:pPr>
        <w:tabs>
          <w:tab w:val="left" w:pos="0"/>
        </w:tabs>
        <w:ind w:left="780" w:hanging="360"/>
      </w:pPr>
      <w:rPr>
        <w:rFonts w:hint="default" w:ascii="Wingdings" w:hAnsi="Wingdings"/>
      </w:rPr>
    </w:lvl>
  </w:abstractNum>
  <w:abstractNum w:abstractNumId="10">
    <w:nsid w:val="00000016"/>
    <w:multiLevelType w:val="singleLevel"/>
    <w:tmpl w:val="00000016"/>
    <w:lvl w:ilvl="0" w:tentative="0">
      <w:start w:val="1"/>
      <w:numFmt w:val="decimal"/>
      <w:pStyle w:val="174"/>
      <w:lvlText w:val="%1)"/>
      <w:lvlJc w:val="left"/>
      <w:pPr>
        <w:tabs>
          <w:tab w:val="left" w:pos="0"/>
        </w:tabs>
        <w:ind w:left="425" w:hanging="425"/>
      </w:pPr>
      <w:rPr>
        <w:rFonts w:hint="eastAsia"/>
      </w:rPr>
    </w:lvl>
  </w:abstractNum>
  <w:abstractNum w:abstractNumId="11">
    <w:nsid w:val="00000017"/>
    <w:multiLevelType w:val="multilevel"/>
    <w:tmpl w:val="00000017"/>
    <w:lvl w:ilvl="0" w:tentative="0">
      <w:start w:val="1"/>
      <w:numFmt w:val="chineseCountingThousand"/>
      <w:pStyle w:val="178"/>
      <w:lvlText w:val="%1、"/>
      <w:lvlJc w:val="left"/>
      <w:pPr>
        <w:tabs>
          <w:tab w:val="left" w:pos="0"/>
        </w:tabs>
        <w:ind w:left="420" w:hanging="420"/>
      </w:pPr>
      <w:rPr>
        <w:rFonts w:hint="eastAsia"/>
      </w:r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abstractNum w:abstractNumId="12">
    <w:nsid w:val="5E7A3C32"/>
    <w:multiLevelType w:val="multilevel"/>
    <w:tmpl w:val="5E7A3C32"/>
    <w:lvl w:ilvl="0" w:tentative="0">
      <w:start w:val="1"/>
      <w:numFmt w:val="bullet"/>
      <w:lvlText w:val=""/>
      <w:lvlJc w:val="left"/>
      <w:pPr>
        <w:tabs>
          <w:tab w:val="left" w:pos="0"/>
        </w:tabs>
        <w:ind w:left="420" w:hanging="420"/>
      </w:pPr>
      <w:rPr>
        <w:rFonts w:hint="default" w:ascii="Wingdings" w:hAnsi="Wingdings"/>
      </w:rPr>
    </w:lvl>
    <w:lvl w:ilvl="1" w:tentative="0">
      <w:start w:val="1"/>
      <w:numFmt w:val="bullet"/>
      <w:lvlText w:val=""/>
      <w:lvlJc w:val="left"/>
      <w:pPr>
        <w:tabs>
          <w:tab w:val="left" w:pos="0"/>
        </w:tabs>
        <w:ind w:left="840" w:hanging="420"/>
      </w:pPr>
      <w:rPr>
        <w:rFonts w:hint="default" w:ascii="Wingdings" w:hAnsi="Wingdings"/>
      </w:rPr>
    </w:lvl>
    <w:lvl w:ilvl="2" w:tentative="0">
      <w:start w:val="1"/>
      <w:numFmt w:val="bullet"/>
      <w:pStyle w:val="76"/>
      <w:lvlText w:val=""/>
      <w:lvlJc w:val="left"/>
      <w:pPr>
        <w:tabs>
          <w:tab w:val="left" w:pos="0"/>
        </w:tabs>
        <w:ind w:left="1260" w:hanging="420"/>
      </w:pPr>
      <w:rPr>
        <w:rFonts w:hint="default" w:ascii="Wingdings" w:hAnsi="Wingdings"/>
      </w:rPr>
    </w:lvl>
    <w:lvl w:ilvl="3" w:tentative="0">
      <w:start w:val="1"/>
      <w:numFmt w:val="bullet"/>
      <w:lvlText w:val=""/>
      <w:lvlJc w:val="left"/>
      <w:pPr>
        <w:tabs>
          <w:tab w:val="left" w:pos="0"/>
        </w:tabs>
        <w:ind w:left="1680" w:hanging="420"/>
      </w:pPr>
      <w:rPr>
        <w:rFonts w:hint="default" w:ascii="Wingdings" w:hAnsi="Wingdings"/>
      </w:rPr>
    </w:lvl>
    <w:lvl w:ilvl="4" w:tentative="0">
      <w:start w:val="1"/>
      <w:numFmt w:val="bullet"/>
      <w:lvlText w:val=""/>
      <w:lvlJc w:val="left"/>
      <w:pPr>
        <w:tabs>
          <w:tab w:val="left" w:pos="0"/>
        </w:tabs>
        <w:ind w:left="2100" w:hanging="420"/>
      </w:pPr>
      <w:rPr>
        <w:rFonts w:hint="default" w:ascii="Wingdings" w:hAnsi="Wingdings"/>
      </w:rPr>
    </w:lvl>
    <w:lvl w:ilvl="5" w:tentative="0">
      <w:start w:val="1"/>
      <w:numFmt w:val="bullet"/>
      <w:lvlText w:val=""/>
      <w:lvlJc w:val="left"/>
      <w:pPr>
        <w:tabs>
          <w:tab w:val="left" w:pos="0"/>
        </w:tabs>
        <w:ind w:left="2520" w:hanging="420"/>
      </w:pPr>
      <w:rPr>
        <w:rFonts w:hint="default" w:ascii="Wingdings" w:hAnsi="Wingdings"/>
      </w:rPr>
    </w:lvl>
    <w:lvl w:ilvl="6" w:tentative="0">
      <w:start w:val="1"/>
      <w:numFmt w:val="bullet"/>
      <w:lvlText w:val=""/>
      <w:lvlJc w:val="left"/>
      <w:pPr>
        <w:tabs>
          <w:tab w:val="left" w:pos="0"/>
        </w:tabs>
        <w:ind w:left="2940" w:hanging="420"/>
      </w:pPr>
      <w:rPr>
        <w:rFonts w:hint="default" w:ascii="Wingdings" w:hAnsi="Wingdings"/>
      </w:rPr>
    </w:lvl>
    <w:lvl w:ilvl="7" w:tentative="0">
      <w:start w:val="1"/>
      <w:numFmt w:val="bullet"/>
      <w:lvlText w:val=""/>
      <w:lvlJc w:val="left"/>
      <w:pPr>
        <w:tabs>
          <w:tab w:val="left" w:pos="0"/>
        </w:tabs>
        <w:ind w:left="3360" w:hanging="420"/>
      </w:pPr>
      <w:rPr>
        <w:rFonts w:hint="default" w:ascii="Wingdings" w:hAnsi="Wingdings"/>
      </w:rPr>
    </w:lvl>
    <w:lvl w:ilvl="8" w:tentative="0">
      <w:start w:val="1"/>
      <w:numFmt w:val="bullet"/>
      <w:lvlText w:val=""/>
      <w:lvlJc w:val="left"/>
      <w:pPr>
        <w:tabs>
          <w:tab w:val="left" w:pos="0"/>
        </w:tabs>
        <w:ind w:left="3780" w:hanging="420"/>
      </w:pPr>
      <w:rPr>
        <w:rFonts w:hint="default" w:ascii="Wingdings" w:hAnsi="Wingdings"/>
      </w:rPr>
    </w:lvl>
  </w:abstractNum>
  <w:num w:numId="1">
    <w:abstractNumId w:val="8"/>
  </w:num>
  <w:num w:numId="2">
    <w:abstractNumId w:val="9"/>
  </w:num>
  <w:num w:numId="3">
    <w:abstractNumId w:val="12"/>
  </w:num>
  <w:num w:numId="4">
    <w:abstractNumId w:val="3"/>
  </w:num>
  <w:num w:numId="5">
    <w:abstractNumId w:val="4"/>
  </w:num>
  <w:num w:numId="6">
    <w:abstractNumId w:val="0"/>
  </w:num>
  <w:num w:numId="7">
    <w:abstractNumId w:val="7"/>
  </w:num>
  <w:num w:numId="8">
    <w:abstractNumId w:val="10"/>
  </w:num>
  <w:num w:numId="9">
    <w:abstractNumId w:val="11"/>
  </w:num>
  <w:num w:numId="10">
    <w:abstractNumId w:val="6"/>
  </w:num>
  <w:num w:numId="11">
    <w:abstractNumId w:val="1"/>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26"/>
  <w:drawingGridVerticalSpacing w:val="156"/>
  <w:displayHorizontalDrawingGridEvery w:val="0"/>
  <w:noPunctuationKerning w:val="1"/>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11D"/>
    <w:rsid w:val="000108DE"/>
    <w:rsid w:val="00034929"/>
    <w:rsid w:val="00054EF5"/>
    <w:rsid w:val="00062E11"/>
    <w:rsid w:val="00084D4B"/>
    <w:rsid w:val="000C3F62"/>
    <w:rsid w:val="000D42EF"/>
    <w:rsid w:val="000F3295"/>
    <w:rsid w:val="00101DB4"/>
    <w:rsid w:val="001A191A"/>
    <w:rsid w:val="00277829"/>
    <w:rsid w:val="00294BB4"/>
    <w:rsid w:val="002F3517"/>
    <w:rsid w:val="00344AA5"/>
    <w:rsid w:val="0039025E"/>
    <w:rsid w:val="003D5133"/>
    <w:rsid w:val="00441CBC"/>
    <w:rsid w:val="00447EA7"/>
    <w:rsid w:val="004836D7"/>
    <w:rsid w:val="004A1A32"/>
    <w:rsid w:val="004A324A"/>
    <w:rsid w:val="004B273F"/>
    <w:rsid w:val="00554A0B"/>
    <w:rsid w:val="005736AE"/>
    <w:rsid w:val="005E4A50"/>
    <w:rsid w:val="006333A7"/>
    <w:rsid w:val="006604D3"/>
    <w:rsid w:val="006A0C7A"/>
    <w:rsid w:val="006D7141"/>
    <w:rsid w:val="00716980"/>
    <w:rsid w:val="00742BD7"/>
    <w:rsid w:val="00757475"/>
    <w:rsid w:val="00786E48"/>
    <w:rsid w:val="00795CF2"/>
    <w:rsid w:val="00816D09"/>
    <w:rsid w:val="008253E3"/>
    <w:rsid w:val="00833DB3"/>
    <w:rsid w:val="00853014"/>
    <w:rsid w:val="00882AB5"/>
    <w:rsid w:val="008931F6"/>
    <w:rsid w:val="0089453D"/>
    <w:rsid w:val="008B528C"/>
    <w:rsid w:val="009041AF"/>
    <w:rsid w:val="009070ED"/>
    <w:rsid w:val="00913A85"/>
    <w:rsid w:val="009669EE"/>
    <w:rsid w:val="00974E4D"/>
    <w:rsid w:val="00994564"/>
    <w:rsid w:val="009B3A7F"/>
    <w:rsid w:val="009C4919"/>
    <w:rsid w:val="009C608A"/>
    <w:rsid w:val="009D1EE6"/>
    <w:rsid w:val="009D6D89"/>
    <w:rsid w:val="009E3970"/>
    <w:rsid w:val="00A06BA6"/>
    <w:rsid w:val="00A4389B"/>
    <w:rsid w:val="00A804D7"/>
    <w:rsid w:val="00AD0C16"/>
    <w:rsid w:val="00AD7BFE"/>
    <w:rsid w:val="00AE035A"/>
    <w:rsid w:val="00B07D65"/>
    <w:rsid w:val="00B421B9"/>
    <w:rsid w:val="00B46A4F"/>
    <w:rsid w:val="00B47708"/>
    <w:rsid w:val="00B51D7C"/>
    <w:rsid w:val="00B81A19"/>
    <w:rsid w:val="00B84D50"/>
    <w:rsid w:val="00BA0E0A"/>
    <w:rsid w:val="00BD50C6"/>
    <w:rsid w:val="00C00677"/>
    <w:rsid w:val="00C0322D"/>
    <w:rsid w:val="00C45969"/>
    <w:rsid w:val="00C5265E"/>
    <w:rsid w:val="00C94049"/>
    <w:rsid w:val="00CA52BA"/>
    <w:rsid w:val="00D462B6"/>
    <w:rsid w:val="00D51519"/>
    <w:rsid w:val="00E33900"/>
    <w:rsid w:val="00E41D23"/>
    <w:rsid w:val="00EB17C6"/>
    <w:rsid w:val="00EC4C8E"/>
    <w:rsid w:val="00ED5F76"/>
    <w:rsid w:val="00F53E99"/>
    <w:rsid w:val="00F8011D"/>
    <w:rsid w:val="00FE13B7"/>
    <w:rsid w:val="00FF185F"/>
    <w:rsid w:val="01BD6429"/>
    <w:rsid w:val="19EB00D8"/>
    <w:rsid w:val="30DC38C3"/>
    <w:rsid w:val="44D373DA"/>
    <w:rsid w:val="480C1C24"/>
    <w:rsid w:val="4ECC2160"/>
    <w:rsid w:val="62B45691"/>
    <w:rsid w:val="69957EAE"/>
    <w:rsid w:val="73BA22F0"/>
    <w:rsid w:val="7A885852"/>
    <w:rsid w:val="7B2310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qFormat="1" w:unhideWhenUsed="0" w:uiPriority="0" w:semiHidden="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nhideWhenUsed="0" w:uiPriority="0" w:semiHidden="0" w:name="caption"/>
    <w:lsdException w:qFormat="1" w:unhideWhenUsed="0" w:uiPriority="0" w:semiHidden="0" w:name="table of figures"/>
    <w:lsdException w:uiPriority="0" w:name="envelope address"/>
    <w:lsdException w:uiPriority="0" w:name="envelope return"/>
    <w:lsdException w:qFormat="1" w:unhideWhenUsed="0" w:uiPriority="0" w:semiHidden="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qFormat="1" w:unhideWhenUsed="0" w:uiPriority="0" w:semiHidden="0" w:name="toa heading"/>
    <w:lsdException w:unhideWhenUsed="0" w:uiPriority="0" w:semiHidden="0" w:name="List"/>
    <w:lsdException w:unhideWhenUsed="0" w:uiPriority="0" w:semiHidden="0" w:name="List Bullet"/>
    <w:lsdException w:uiPriority="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uiPriority="0" w:name="List Bullet 5"/>
    <w:lsdException w:qFormat="1" w:unhideWhenUsed="0" w:uiPriority="0" w:semiHidden="0" w:name="List Number 2"/>
    <w:lsdException w:qFormat="1" w:unhideWhenUsed="0" w:uiPriority="0" w:semiHidden="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Times New Roman"/>
      <w:kern w:val="2"/>
      <w:sz w:val="28"/>
      <w:lang w:val="en-US" w:eastAsia="zh-CN" w:bidi="ar-SA"/>
    </w:rPr>
  </w:style>
  <w:style w:type="paragraph" w:styleId="4">
    <w:name w:val="heading 1"/>
    <w:basedOn w:val="1"/>
    <w:next w:val="1"/>
    <w:link w:val="296"/>
    <w:qFormat/>
    <w:uiPriority w:val="0"/>
    <w:pPr>
      <w:keepNext/>
      <w:snapToGrid w:val="0"/>
      <w:spacing w:line="360" w:lineRule="atLeast"/>
      <w:outlineLvl w:val="0"/>
    </w:pPr>
    <w:rPr>
      <w:rFonts w:ascii="宋体"/>
    </w:rPr>
  </w:style>
  <w:style w:type="paragraph" w:styleId="5">
    <w:name w:val="heading 2"/>
    <w:basedOn w:val="1"/>
    <w:next w:val="1"/>
    <w:link w:val="297"/>
    <w:qFormat/>
    <w:uiPriority w:val="0"/>
    <w:pPr>
      <w:keepNext/>
      <w:keepLines/>
      <w:spacing w:before="260" w:after="260" w:line="413" w:lineRule="auto"/>
      <w:outlineLvl w:val="1"/>
    </w:pPr>
    <w:rPr>
      <w:rFonts w:ascii="Arial" w:hAnsi="Arial" w:eastAsia="黑体"/>
      <w:b/>
      <w:sz w:val="32"/>
    </w:rPr>
  </w:style>
  <w:style w:type="paragraph" w:styleId="6">
    <w:name w:val="heading 3"/>
    <w:basedOn w:val="1"/>
    <w:next w:val="1"/>
    <w:link w:val="298"/>
    <w:qFormat/>
    <w:uiPriority w:val="0"/>
    <w:pPr>
      <w:keepNext/>
      <w:keepLines/>
      <w:spacing w:before="260" w:after="260" w:line="413" w:lineRule="auto"/>
      <w:outlineLvl w:val="2"/>
    </w:pPr>
    <w:rPr>
      <w:b/>
      <w:sz w:val="32"/>
    </w:rPr>
  </w:style>
  <w:style w:type="paragraph" w:styleId="7">
    <w:name w:val="heading 4"/>
    <w:basedOn w:val="1"/>
    <w:next w:val="1"/>
    <w:link w:val="299"/>
    <w:qFormat/>
    <w:uiPriority w:val="0"/>
    <w:pPr>
      <w:keepNext/>
      <w:keepLines/>
      <w:spacing w:before="280" w:after="290" w:line="372" w:lineRule="auto"/>
      <w:outlineLvl w:val="3"/>
    </w:pPr>
    <w:rPr>
      <w:rFonts w:ascii="Arial" w:hAnsi="Arial" w:eastAsia="黑体"/>
      <w:b/>
    </w:rPr>
  </w:style>
  <w:style w:type="paragraph" w:styleId="8">
    <w:name w:val="heading 5"/>
    <w:basedOn w:val="1"/>
    <w:next w:val="1"/>
    <w:link w:val="300"/>
    <w:qFormat/>
    <w:uiPriority w:val="0"/>
    <w:pPr>
      <w:keepNext/>
      <w:keepLines/>
      <w:tabs>
        <w:tab w:val="left" w:pos="2551"/>
      </w:tabs>
      <w:spacing w:before="280" w:after="290" w:line="372" w:lineRule="auto"/>
      <w:ind w:left="2551" w:hanging="850"/>
      <w:outlineLvl w:val="4"/>
    </w:pPr>
    <w:rPr>
      <w:b/>
    </w:rPr>
  </w:style>
  <w:style w:type="paragraph" w:styleId="9">
    <w:name w:val="heading 6"/>
    <w:basedOn w:val="1"/>
    <w:next w:val="1"/>
    <w:link w:val="301"/>
    <w:qFormat/>
    <w:uiPriority w:val="0"/>
    <w:pPr>
      <w:keepNext/>
      <w:keepLines/>
      <w:tabs>
        <w:tab w:val="left" w:pos="1152"/>
      </w:tabs>
      <w:adjustRightInd w:val="0"/>
      <w:snapToGrid w:val="0"/>
      <w:spacing w:before="240" w:after="64" w:line="317" w:lineRule="auto"/>
      <w:ind w:left="1152" w:hanging="1152"/>
      <w:outlineLvl w:val="5"/>
    </w:pPr>
    <w:rPr>
      <w:rFonts w:ascii="Arial" w:hAnsi="Arial" w:eastAsia="黑体"/>
      <w:b/>
      <w:sz w:val="24"/>
    </w:rPr>
  </w:style>
  <w:style w:type="paragraph" w:styleId="10">
    <w:name w:val="heading 7"/>
    <w:basedOn w:val="1"/>
    <w:next w:val="1"/>
    <w:link w:val="302"/>
    <w:qFormat/>
    <w:uiPriority w:val="0"/>
    <w:pPr>
      <w:keepNext/>
      <w:keepLines/>
      <w:tabs>
        <w:tab w:val="left" w:pos="1296"/>
      </w:tabs>
      <w:adjustRightInd w:val="0"/>
      <w:snapToGrid w:val="0"/>
      <w:spacing w:before="240" w:after="64" w:line="317" w:lineRule="auto"/>
      <w:ind w:left="1296" w:hanging="1296"/>
      <w:outlineLvl w:val="6"/>
    </w:pPr>
    <w:rPr>
      <w:rFonts w:ascii="Arial" w:hAnsi="Arial" w:eastAsia="黑体"/>
      <w:b/>
      <w:sz w:val="24"/>
    </w:rPr>
  </w:style>
  <w:style w:type="paragraph" w:styleId="11">
    <w:name w:val="heading 8"/>
    <w:basedOn w:val="1"/>
    <w:next w:val="1"/>
    <w:link w:val="303"/>
    <w:qFormat/>
    <w:uiPriority w:val="0"/>
    <w:pPr>
      <w:keepNext/>
      <w:keepLines/>
      <w:tabs>
        <w:tab w:val="left" w:pos="1440"/>
      </w:tabs>
      <w:adjustRightInd w:val="0"/>
      <w:snapToGrid w:val="0"/>
      <w:spacing w:before="240" w:after="64" w:line="317" w:lineRule="auto"/>
      <w:ind w:left="1440" w:hanging="1440"/>
      <w:outlineLvl w:val="7"/>
    </w:pPr>
    <w:rPr>
      <w:rFonts w:ascii="Arial" w:hAnsi="Arial" w:eastAsia="黑体"/>
      <w:b/>
      <w:sz w:val="24"/>
    </w:rPr>
  </w:style>
  <w:style w:type="paragraph" w:styleId="12">
    <w:name w:val="heading 9"/>
    <w:basedOn w:val="1"/>
    <w:next w:val="1"/>
    <w:link w:val="304"/>
    <w:qFormat/>
    <w:uiPriority w:val="0"/>
    <w:pPr>
      <w:keepNext/>
      <w:keepLines/>
      <w:tabs>
        <w:tab w:val="left" w:pos="1584"/>
      </w:tabs>
      <w:adjustRightInd w:val="0"/>
      <w:snapToGrid w:val="0"/>
      <w:spacing w:before="240" w:after="64" w:line="317" w:lineRule="auto"/>
      <w:ind w:left="1584" w:hanging="1584"/>
      <w:outlineLvl w:val="8"/>
    </w:pPr>
    <w:rPr>
      <w:rFonts w:ascii="Arial" w:hAnsi="Arial" w:eastAsia="黑体"/>
      <w:b/>
      <w:sz w:val="24"/>
    </w:rPr>
  </w:style>
  <w:style w:type="character" w:default="1" w:styleId="60">
    <w:name w:val="Default Paragraph Font"/>
    <w:semiHidden/>
    <w:unhideWhenUsed/>
    <w:uiPriority w:val="1"/>
  </w:style>
  <w:style w:type="table" w:default="1" w:styleId="68">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next w:val="3"/>
    <w:link w:val="295"/>
    <w:qFormat/>
    <w:uiPriority w:val="0"/>
    <w:rPr>
      <w:rFonts w:ascii="仿宋_GB2312" w:eastAsia="仿宋_GB2312"/>
      <w:sz w:val="32"/>
    </w:rPr>
  </w:style>
  <w:style w:type="paragraph" w:styleId="3">
    <w:name w:val="index 7"/>
    <w:basedOn w:val="1"/>
    <w:next w:val="1"/>
    <w:qFormat/>
    <w:uiPriority w:val="0"/>
    <w:pPr>
      <w:ind w:left="2520"/>
    </w:pPr>
  </w:style>
  <w:style w:type="paragraph" w:styleId="13">
    <w:name w:val="List 3"/>
    <w:basedOn w:val="1"/>
    <w:qFormat/>
    <w:uiPriority w:val="0"/>
    <w:pPr>
      <w:adjustRightInd w:val="0"/>
      <w:snapToGrid w:val="0"/>
      <w:spacing w:line="360" w:lineRule="auto"/>
      <w:ind w:left="600" w:leftChars="400" w:hanging="200" w:hangingChars="200"/>
    </w:pPr>
    <w:rPr>
      <w:sz w:val="24"/>
    </w:rPr>
  </w:style>
  <w:style w:type="paragraph" w:styleId="14">
    <w:name w:val="annotation subject"/>
    <w:basedOn w:val="15"/>
    <w:next w:val="15"/>
    <w:link w:val="318"/>
    <w:qFormat/>
    <w:uiPriority w:val="0"/>
    <w:pPr>
      <w:adjustRightInd/>
      <w:spacing w:line="240" w:lineRule="auto"/>
      <w:textAlignment w:val="auto"/>
    </w:pPr>
  </w:style>
  <w:style w:type="paragraph" w:styleId="15">
    <w:name w:val="annotation text"/>
    <w:basedOn w:val="1"/>
    <w:link w:val="306"/>
    <w:qFormat/>
    <w:uiPriority w:val="0"/>
    <w:pPr>
      <w:adjustRightInd w:val="0"/>
      <w:spacing w:line="360" w:lineRule="atLeast"/>
      <w:jc w:val="left"/>
      <w:textAlignment w:val="baseline"/>
    </w:pPr>
    <w:rPr>
      <w:kern w:val="0"/>
      <w:sz w:val="24"/>
    </w:rPr>
  </w:style>
  <w:style w:type="paragraph" w:styleId="16">
    <w:name w:val="toc 7"/>
    <w:basedOn w:val="1"/>
    <w:next w:val="1"/>
    <w:qFormat/>
    <w:uiPriority w:val="0"/>
    <w:pPr>
      <w:ind w:left="1200" w:leftChars="1200"/>
    </w:pPr>
  </w:style>
  <w:style w:type="paragraph" w:styleId="17">
    <w:name w:val="Body Text First Indent"/>
    <w:basedOn w:val="1"/>
    <w:qFormat/>
    <w:uiPriority w:val="0"/>
    <w:pPr>
      <w:spacing w:line="360" w:lineRule="auto"/>
      <w:ind w:firstLine="420"/>
    </w:pPr>
    <w:rPr>
      <w:rFonts w:ascii="宋体"/>
      <w:sz w:val="24"/>
    </w:rPr>
  </w:style>
  <w:style w:type="paragraph" w:styleId="18">
    <w:name w:val="List Number 2"/>
    <w:basedOn w:val="1"/>
    <w:qFormat/>
    <w:uiPriority w:val="0"/>
    <w:pPr>
      <w:numPr>
        <w:ilvl w:val="0"/>
        <w:numId w:val="1"/>
      </w:numPr>
      <w:tabs>
        <w:tab w:val="left" w:pos="780"/>
      </w:tabs>
      <w:spacing w:line="360" w:lineRule="auto"/>
    </w:pPr>
    <w:rPr>
      <w:sz w:val="24"/>
    </w:rPr>
  </w:style>
  <w:style w:type="paragraph" w:styleId="19">
    <w:name w:val="List Bullet 4"/>
    <w:basedOn w:val="1"/>
    <w:qFormat/>
    <w:uiPriority w:val="0"/>
    <w:pPr>
      <w:widowControl/>
      <w:tabs>
        <w:tab w:val="left" w:pos="1134"/>
      </w:tabs>
      <w:adjustRightInd w:val="0"/>
      <w:snapToGrid w:val="0"/>
      <w:spacing w:before="120" w:line="280" w:lineRule="atLeast"/>
      <w:ind w:left="1418" w:hanging="284"/>
      <w:jc w:val="left"/>
    </w:pPr>
    <w:rPr>
      <w:rFonts w:ascii="宋体"/>
      <w:kern w:val="0"/>
      <w:sz w:val="22"/>
    </w:rPr>
  </w:style>
  <w:style w:type="paragraph" w:styleId="20">
    <w:name w:val="Normal Indent"/>
    <w:basedOn w:val="1"/>
    <w:link w:val="305"/>
    <w:qFormat/>
    <w:uiPriority w:val="0"/>
    <w:pPr>
      <w:adjustRightInd w:val="0"/>
      <w:snapToGrid w:val="0"/>
      <w:spacing w:line="360" w:lineRule="auto"/>
      <w:ind w:firstLine="420"/>
    </w:pPr>
    <w:rPr>
      <w:sz w:val="24"/>
    </w:rPr>
  </w:style>
  <w:style w:type="paragraph" w:styleId="21">
    <w:name w:val="caption"/>
    <w:basedOn w:val="1"/>
    <w:next w:val="1"/>
    <w:qFormat/>
    <w:uiPriority w:val="0"/>
    <w:pPr>
      <w:widowControl/>
      <w:tabs>
        <w:tab w:val="left" w:pos="1134"/>
      </w:tabs>
      <w:adjustRightInd w:val="0"/>
      <w:snapToGrid w:val="0"/>
      <w:spacing w:line="280" w:lineRule="atLeast"/>
      <w:jc w:val="left"/>
    </w:pPr>
    <w:rPr>
      <w:rFonts w:eastAsia="PMingLiU"/>
      <w:b/>
      <w:kern w:val="0"/>
      <w:sz w:val="24"/>
      <w:lang w:eastAsia="zh-TW"/>
    </w:rPr>
  </w:style>
  <w:style w:type="paragraph" w:styleId="22">
    <w:name w:val="Document Map"/>
    <w:basedOn w:val="1"/>
    <w:qFormat/>
    <w:uiPriority w:val="0"/>
    <w:pPr>
      <w:shd w:val="clear" w:color="auto" w:fill="000080"/>
    </w:pPr>
  </w:style>
  <w:style w:type="paragraph" w:styleId="23">
    <w:name w:val="toa heading"/>
    <w:basedOn w:val="1"/>
    <w:next w:val="1"/>
    <w:qFormat/>
    <w:uiPriority w:val="0"/>
    <w:pPr>
      <w:spacing w:before="120"/>
    </w:pPr>
    <w:rPr>
      <w:rFonts w:ascii="Arial" w:hAnsi="Arial"/>
      <w:sz w:val="24"/>
    </w:rPr>
  </w:style>
  <w:style w:type="paragraph" w:styleId="24">
    <w:name w:val="Salutation"/>
    <w:basedOn w:val="1"/>
    <w:next w:val="1"/>
    <w:link w:val="307"/>
    <w:qFormat/>
    <w:uiPriority w:val="0"/>
    <w:rPr>
      <w:kern w:val="0"/>
      <w:sz w:val="18"/>
    </w:rPr>
  </w:style>
  <w:style w:type="paragraph" w:styleId="25">
    <w:name w:val="Body Text 3"/>
    <w:basedOn w:val="1"/>
    <w:qFormat/>
    <w:uiPriority w:val="0"/>
    <w:pPr>
      <w:adjustRightInd w:val="0"/>
      <w:snapToGrid w:val="0"/>
      <w:spacing w:after="120" w:line="360" w:lineRule="auto"/>
    </w:pPr>
    <w:rPr>
      <w:sz w:val="16"/>
    </w:rPr>
  </w:style>
  <w:style w:type="paragraph" w:styleId="26">
    <w:name w:val="List Bullet 3"/>
    <w:basedOn w:val="1"/>
    <w:qFormat/>
    <w:uiPriority w:val="0"/>
    <w:pPr>
      <w:tabs>
        <w:tab w:val="left" w:pos="1200"/>
      </w:tabs>
      <w:adjustRightInd w:val="0"/>
      <w:snapToGrid w:val="0"/>
      <w:spacing w:line="360" w:lineRule="auto"/>
      <w:ind w:left="1200" w:hanging="360"/>
    </w:pPr>
    <w:rPr>
      <w:sz w:val="24"/>
    </w:rPr>
  </w:style>
  <w:style w:type="paragraph" w:styleId="27">
    <w:name w:val="Body Text Indent"/>
    <w:basedOn w:val="1"/>
    <w:link w:val="308"/>
    <w:qFormat/>
    <w:uiPriority w:val="0"/>
    <w:pPr>
      <w:spacing w:line="700" w:lineRule="exact"/>
      <w:ind w:left="960"/>
    </w:pPr>
    <w:rPr>
      <w:sz w:val="44"/>
    </w:rPr>
  </w:style>
  <w:style w:type="paragraph" w:styleId="28">
    <w:name w:val="List Number 3"/>
    <w:basedOn w:val="1"/>
    <w:qFormat/>
    <w:uiPriority w:val="0"/>
    <w:pPr>
      <w:tabs>
        <w:tab w:val="left" w:pos="2120"/>
      </w:tabs>
      <w:adjustRightInd w:val="0"/>
      <w:snapToGrid w:val="0"/>
      <w:spacing w:line="360" w:lineRule="auto"/>
      <w:ind w:left="2120" w:hanging="720"/>
    </w:pPr>
    <w:rPr>
      <w:sz w:val="24"/>
    </w:rPr>
  </w:style>
  <w:style w:type="paragraph" w:styleId="29">
    <w:name w:val="List 2"/>
    <w:basedOn w:val="1"/>
    <w:qFormat/>
    <w:uiPriority w:val="0"/>
    <w:pPr>
      <w:adjustRightInd w:val="0"/>
      <w:snapToGrid w:val="0"/>
      <w:spacing w:line="360" w:lineRule="auto"/>
      <w:ind w:left="400" w:leftChars="200" w:hanging="200" w:hangingChars="200"/>
    </w:pPr>
    <w:rPr>
      <w:sz w:val="24"/>
    </w:rPr>
  </w:style>
  <w:style w:type="paragraph" w:styleId="30">
    <w:name w:val="List Continue"/>
    <w:basedOn w:val="1"/>
    <w:qFormat/>
    <w:uiPriority w:val="0"/>
    <w:pPr>
      <w:adjustRightInd w:val="0"/>
      <w:snapToGrid w:val="0"/>
      <w:spacing w:after="120" w:line="360" w:lineRule="auto"/>
      <w:ind w:left="200" w:leftChars="200"/>
    </w:pPr>
    <w:rPr>
      <w:sz w:val="24"/>
    </w:rPr>
  </w:style>
  <w:style w:type="paragraph" w:styleId="31">
    <w:name w:val="List Bullet 2"/>
    <w:basedOn w:val="1"/>
    <w:qFormat/>
    <w:uiPriority w:val="0"/>
    <w:pPr>
      <w:numPr>
        <w:ilvl w:val="0"/>
        <w:numId w:val="2"/>
      </w:numPr>
      <w:adjustRightInd w:val="0"/>
      <w:snapToGrid w:val="0"/>
      <w:spacing w:line="360" w:lineRule="auto"/>
    </w:pPr>
    <w:rPr>
      <w:sz w:val="24"/>
    </w:rPr>
  </w:style>
  <w:style w:type="paragraph" w:styleId="32">
    <w:name w:val="toc 5"/>
    <w:basedOn w:val="1"/>
    <w:next w:val="1"/>
    <w:qFormat/>
    <w:uiPriority w:val="0"/>
    <w:pPr>
      <w:ind w:left="800" w:leftChars="800"/>
    </w:pPr>
  </w:style>
  <w:style w:type="paragraph" w:styleId="33">
    <w:name w:val="toc 3"/>
    <w:basedOn w:val="1"/>
    <w:next w:val="1"/>
    <w:qFormat/>
    <w:uiPriority w:val="39"/>
    <w:pPr>
      <w:ind w:left="400" w:leftChars="400"/>
    </w:pPr>
  </w:style>
  <w:style w:type="paragraph" w:styleId="34">
    <w:name w:val="Plain Text"/>
    <w:basedOn w:val="1"/>
    <w:link w:val="309"/>
    <w:qFormat/>
    <w:uiPriority w:val="0"/>
    <w:rPr>
      <w:rFonts w:ascii="宋体"/>
      <w:sz w:val="21"/>
    </w:rPr>
  </w:style>
  <w:style w:type="paragraph" w:styleId="35">
    <w:name w:val="toc 8"/>
    <w:basedOn w:val="1"/>
    <w:next w:val="1"/>
    <w:qFormat/>
    <w:uiPriority w:val="0"/>
    <w:pPr>
      <w:ind w:left="1400" w:leftChars="1400"/>
    </w:pPr>
  </w:style>
  <w:style w:type="paragraph" w:styleId="36">
    <w:name w:val="Date"/>
    <w:basedOn w:val="1"/>
    <w:next w:val="1"/>
    <w:link w:val="310"/>
    <w:qFormat/>
    <w:uiPriority w:val="0"/>
  </w:style>
  <w:style w:type="paragraph" w:styleId="37">
    <w:name w:val="Body Text Indent 2"/>
    <w:basedOn w:val="1"/>
    <w:link w:val="311"/>
    <w:qFormat/>
    <w:uiPriority w:val="0"/>
    <w:pPr>
      <w:snapToGrid w:val="0"/>
      <w:spacing w:line="560" w:lineRule="atLeast"/>
      <w:ind w:firstLine="540"/>
    </w:pPr>
  </w:style>
  <w:style w:type="paragraph" w:styleId="38">
    <w:name w:val="Balloon Text"/>
    <w:basedOn w:val="1"/>
    <w:link w:val="312"/>
    <w:qFormat/>
    <w:uiPriority w:val="0"/>
    <w:rPr>
      <w:sz w:val="18"/>
    </w:rPr>
  </w:style>
  <w:style w:type="paragraph" w:styleId="39">
    <w:name w:val="footer"/>
    <w:basedOn w:val="1"/>
    <w:link w:val="313"/>
    <w:qFormat/>
    <w:uiPriority w:val="99"/>
    <w:pPr>
      <w:tabs>
        <w:tab w:val="center" w:pos="4153"/>
        <w:tab w:val="right" w:pos="8306"/>
      </w:tabs>
      <w:snapToGrid w:val="0"/>
      <w:jc w:val="left"/>
    </w:pPr>
    <w:rPr>
      <w:sz w:val="18"/>
    </w:rPr>
  </w:style>
  <w:style w:type="paragraph" w:styleId="40">
    <w:name w:val="Body Text First Indent 2"/>
    <w:basedOn w:val="27"/>
    <w:link w:val="319"/>
    <w:qFormat/>
    <w:uiPriority w:val="0"/>
    <w:pPr>
      <w:spacing w:after="120" w:line="240" w:lineRule="auto"/>
      <w:ind w:left="200" w:leftChars="200" w:firstLine="200" w:firstLineChars="200"/>
    </w:pPr>
  </w:style>
  <w:style w:type="paragraph" w:styleId="41">
    <w:name w:val="header"/>
    <w:basedOn w:val="1"/>
    <w:link w:val="314"/>
    <w:qFormat/>
    <w:uiPriority w:val="99"/>
    <w:pPr>
      <w:pBdr>
        <w:bottom w:val="single" w:color="auto" w:sz="6" w:space="1"/>
      </w:pBdr>
      <w:tabs>
        <w:tab w:val="center" w:pos="4153"/>
        <w:tab w:val="right" w:pos="8306"/>
      </w:tabs>
      <w:snapToGrid w:val="0"/>
      <w:jc w:val="center"/>
    </w:pPr>
    <w:rPr>
      <w:sz w:val="18"/>
    </w:rPr>
  </w:style>
  <w:style w:type="paragraph" w:styleId="42">
    <w:name w:val="toc 1"/>
    <w:basedOn w:val="1"/>
    <w:next w:val="1"/>
    <w:qFormat/>
    <w:uiPriority w:val="39"/>
    <w:pPr>
      <w:spacing w:line="180" w:lineRule="auto"/>
      <w:jc w:val="center"/>
    </w:pPr>
    <w:rPr>
      <w:sz w:val="30"/>
    </w:rPr>
  </w:style>
  <w:style w:type="paragraph" w:styleId="43">
    <w:name w:val="List Continue 4"/>
    <w:basedOn w:val="1"/>
    <w:qFormat/>
    <w:uiPriority w:val="0"/>
    <w:pPr>
      <w:adjustRightInd w:val="0"/>
      <w:snapToGrid w:val="0"/>
      <w:spacing w:after="120" w:line="360" w:lineRule="auto"/>
      <w:ind w:left="800" w:leftChars="800"/>
    </w:pPr>
    <w:rPr>
      <w:sz w:val="24"/>
    </w:rPr>
  </w:style>
  <w:style w:type="paragraph" w:styleId="44">
    <w:name w:val="toc 4"/>
    <w:basedOn w:val="1"/>
    <w:next w:val="1"/>
    <w:qFormat/>
    <w:uiPriority w:val="0"/>
    <w:pPr>
      <w:ind w:left="600" w:leftChars="600"/>
    </w:pPr>
  </w:style>
  <w:style w:type="paragraph" w:styleId="45">
    <w:name w:val="Subtitle"/>
    <w:basedOn w:val="1"/>
    <w:next w:val="1"/>
    <w:link w:val="315"/>
    <w:qFormat/>
    <w:uiPriority w:val="0"/>
    <w:pPr>
      <w:spacing w:before="240" w:after="60" w:line="312" w:lineRule="auto"/>
      <w:jc w:val="center"/>
      <w:outlineLvl w:val="1"/>
    </w:pPr>
    <w:rPr>
      <w:rFonts w:ascii="Cambria" w:hAnsi="Cambria"/>
      <w:b/>
      <w:bCs/>
      <w:kern w:val="28"/>
      <w:sz w:val="32"/>
      <w:szCs w:val="32"/>
    </w:rPr>
  </w:style>
  <w:style w:type="paragraph" w:styleId="46">
    <w:name w:val="footnote text"/>
    <w:basedOn w:val="1"/>
    <w:link w:val="316"/>
    <w:qFormat/>
    <w:uiPriority w:val="0"/>
    <w:pPr>
      <w:spacing w:line="360" w:lineRule="auto"/>
    </w:pPr>
    <w:rPr>
      <w:sz w:val="18"/>
    </w:rPr>
  </w:style>
  <w:style w:type="paragraph" w:styleId="47">
    <w:name w:val="toc 6"/>
    <w:basedOn w:val="1"/>
    <w:next w:val="1"/>
    <w:qFormat/>
    <w:uiPriority w:val="0"/>
    <w:pPr>
      <w:ind w:left="1000" w:leftChars="1000"/>
    </w:pPr>
  </w:style>
  <w:style w:type="paragraph" w:styleId="48">
    <w:name w:val="List 5"/>
    <w:basedOn w:val="1"/>
    <w:qFormat/>
    <w:uiPriority w:val="0"/>
    <w:pPr>
      <w:adjustRightInd w:val="0"/>
      <w:snapToGrid w:val="0"/>
      <w:spacing w:line="360" w:lineRule="auto"/>
      <w:ind w:left="1000" w:leftChars="800" w:hanging="200" w:hangingChars="200"/>
    </w:pPr>
    <w:rPr>
      <w:sz w:val="24"/>
    </w:rPr>
  </w:style>
  <w:style w:type="paragraph" w:styleId="49">
    <w:name w:val="Body Text Indent 3"/>
    <w:basedOn w:val="1"/>
    <w:qFormat/>
    <w:uiPriority w:val="0"/>
    <w:pPr>
      <w:spacing w:line="360" w:lineRule="auto"/>
      <w:ind w:firstLine="632"/>
    </w:pPr>
    <w:rPr>
      <w:rFonts w:ascii="黑体" w:eastAsia="黑体"/>
    </w:rPr>
  </w:style>
  <w:style w:type="paragraph" w:styleId="50">
    <w:name w:val="table of figures"/>
    <w:basedOn w:val="1"/>
    <w:next w:val="1"/>
    <w:qFormat/>
    <w:uiPriority w:val="0"/>
    <w:pPr>
      <w:tabs>
        <w:tab w:val="right" w:leader="dot" w:pos="8640"/>
      </w:tabs>
      <w:spacing w:line="360" w:lineRule="auto"/>
      <w:ind w:left="400" w:hanging="400"/>
    </w:pPr>
    <w:rPr>
      <w:sz w:val="24"/>
    </w:rPr>
  </w:style>
  <w:style w:type="paragraph" w:styleId="51">
    <w:name w:val="toc 2"/>
    <w:basedOn w:val="1"/>
    <w:next w:val="1"/>
    <w:qFormat/>
    <w:uiPriority w:val="39"/>
    <w:pPr>
      <w:ind w:left="200" w:leftChars="200"/>
    </w:pPr>
  </w:style>
  <w:style w:type="paragraph" w:styleId="52">
    <w:name w:val="toc 9"/>
    <w:basedOn w:val="1"/>
    <w:next w:val="1"/>
    <w:qFormat/>
    <w:uiPriority w:val="0"/>
    <w:pPr>
      <w:ind w:left="1600" w:leftChars="1600"/>
    </w:pPr>
  </w:style>
  <w:style w:type="paragraph" w:styleId="53">
    <w:name w:val="Body Text 2"/>
    <w:basedOn w:val="1"/>
    <w:qFormat/>
    <w:uiPriority w:val="0"/>
    <w:pPr>
      <w:adjustRightInd w:val="0"/>
      <w:snapToGrid w:val="0"/>
      <w:spacing w:after="120" w:line="480" w:lineRule="auto"/>
    </w:pPr>
    <w:rPr>
      <w:sz w:val="24"/>
    </w:rPr>
  </w:style>
  <w:style w:type="paragraph" w:styleId="54">
    <w:name w:val="List 4"/>
    <w:basedOn w:val="1"/>
    <w:qFormat/>
    <w:uiPriority w:val="0"/>
    <w:pPr>
      <w:adjustRightInd w:val="0"/>
      <w:snapToGrid w:val="0"/>
      <w:spacing w:line="360" w:lineRule="auto"/>
      <w:ind w:left="800" w:leftChars="600" w:hanging="200" w:hangingChars="200"/>
    </w:pPr>
    <w:rPr>
      <w:sz w:val="24"/>
    </w:rPr>
  </w:style>
  <w:style w:type="paragraph" w:styleId="55">
    <w:name w:val="List Continue 2"/>
    <w:basedOn w:val="1"/>
    <w:qFormat/>
    <w:uiPriority w:val="0"/>
    <w:pPr>
      <w:adjustRightInd w:val="0"/>
      <w:snapToGrid w:val="0"/>
      <w:spacing w:after="120" w:line="360" w:lineRule="auto"/>
      <w:ind w:left="400" w:leftChars="400"/>
    </w:pPr>
    <w:rPr>
      <w:sz w:val="24"/>
    </w:rPr>
  </w:style>
  <w:style w:type="paragraph" w:styleId="56">
    <w:name w:val="Normal (Web)"/>
    <w:basedOn w:val="1"/>
    <w:qFormat/>
    <w:uiPriority w:val="0"/>
    <w:pPr>
      <w:widowControl/>
      <w:spacing w:before="100" w:beforeAutospacing="1" w:after="100" w:afterAutospacing="1"/>
      <w:jc w:val="left"/>
    </w:pPr>
    <w:rPr>
      <w:rFonts w:ascii="宋体"/>
      <w:kern w:val="0"/>
      <w:sz w:val="24"/>
    </w:rPr>
  </w:style>
  <w:style w:type="paragraph" w:styleId="57">
    <w:name w:val="List Continue 3"/>
    <w:basedOn w:val="1"/>
    <w:qFormat/>
    <w:uiPriority w:val="0"/>
    <w:pPr>
      <w:adjustRightInd w:val="0"/>
      <w:snapToGrid w:val="0"/>
      <w:spacing w:after="120" w:line="360" w:lineRule="auto"/>
      <w:ind w:left="600" w:leftChars="600"/>
    </w:pPr>
    <w:rPr>
      <w:sz w:val="24"/>
    </w:rPr>
  </w:style>
  <w:style w:type="paragraph" w:styleId="58">
    <w:name w:val="index 1"/>
    <w:basedOn w:val="1"/>
    <w:next w:val="1"/>
    <w:qFormat/>
    <w:uiPriority w:val="0"/>
    <w:pPr>
      <w:adjustRightInd w:val="0"/>
      <w:spacing w:line="240" w:lineRule="atLeast"/>
      <w:textAlignment w:val="baseline"/>
    </w:pPr>
    <w:rPr>
      <w:rFonts w:ascii="宋体"/>
      <w:kern w:val="0"/>
      <w:sz w:val="21"/>
    </w:rPr>
  </w:style>
  <w:style w:type="paragraph" w:styleId="59">
    <w:name w:val="Title"/>
    <w:basedOn w:val="1"/>
    <w:link w:val="317"/>
    <w:qFormat/>
    <w:uiPriority w:val="0"/>
    <w:pPr>
      <w:widowControl/>
      <w:spacing w:after="240" w:line="360" w:lineRule="auto"/>
      <w:jc w:val="center"/>
    </w:pPr>
    <w:rPr>
      <w:rFonts w:ascii="Arial" w:hAnsi="Arial"/>
      <w:b/>
      <w:smallCaps/>
      <w:kern w:val="28"/>
      <w:sz w:val="36"/>
    </w:rPr>
  </w:style>
  <w:style w:type="character" w:styleId="61">
    <w:name w:val="Strong"/>
    <w:qFormat/>
    <w:uiPriority w:val="22"/>
    <w:rPr>
      <w:b/>
    </w:rPr>
  </w:style>
  <w:style w:type="character" w:styleId="62">
    <w:name w:val="page number"/>
    <w:basedOn w:val="60"/>
    <w:qFormat/>
    <w:uiPriority w:val="0"/>
  </w:style>
  <w:style w:type="character" w:styleId="63">
    <w:name w:val="FollowedHyperlink"/>
    <w:qFormat/>
    <w:uiPriority w:val="0"/>
    <w:rPr>
      <w:color w:val="800080"/>
      <w:u w:val="single"/>
    </w:rPr>
  </w:style>
  <w:style w:type="character" w:styleId="64">
    <w:name w:val="Emphasis"/>
    <w:qFormat/>
    <w:uiPriority w:val="0"/>
    <w:rPr>
      <w:i/>
    </w:rPr>
  </w:style>
  <w:style w:type="character" w:styleId="65">
    <w:name w:val="Hyperlink"/>
    <w:qFormat/>
    <w:uiPriority w:val="99"/>
    <w:rPr>
      <w:color w:val="0000FF"/>
      <w:u w:val="single"/>
    </w:rPr>
  </w:style>
  <w:style w:type="character" w:styleId="66">
    <w:name w:val="annotation reference"/>
    <w:qFormat/>
    <w:uiPriority w:val="0"/>
    <w:rPr>
      <w:sz w:val="21"/>
      <w:szCs w:val="21"/>
    </w:rPr>
  </w:style>
  <w:style w:type="character" w:styleId="67">
    <w:name w:val="footnote reference"/>
    <w:qFormat/>
    <w:uiPriority w:val="0"/>
    <w:rPr>
      <w:position w:val="6"/>
      <w:sz w:val="14"/>
      <w:vertAlign w:val="superscript"/>
    </w:rPr>
  </w:style>
  <w:style w:type="table" w:styleId="69">
    <w:name w:val="Table Grid"/>
    <w:basedOn w:val="68"/>
    <w:qFormat/>
    <w:uiPriority w:val="0"/>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70">
    <w:name w:val="正文 + 三号 Char"/>
    <w:qFormat/>
    <w:uiPriority w:val="0"/>
    <w:rPr>
      <w:rFonts w:eastAsia="宋体"/>
      <w:kern w:val="2"/>
      <w:sz w:val="21"/>
      <w:lang w:val="en-US" w:eastAsia="zh-CN"/>
    </w:rPr>
  </w:style>
  <w:style w:type="character" w:customStyle="1" w:styleId="71">
    <w:name w:val="正文文本缩进 Char"/>
    <w:qFormat/>
    <w:uiPriority w:val="0"/>
    <w:rPr>
      <w:kern w:val="2"/>
      <w:sz w:val="44"/>
    </w:rPr>
  </w:style>
  <w:style w:type="character" w:customStyle="1" w:styleId="72">
    <w:name w:val="日期 字符1"/>
    <w:qFormat/>
    <w:uiPriority w:val="0"/>
    <w:rPr>
      <w:rFonts w:ascii="Times New Roman" w:hAnsi="Times New Roman" w:eastAsia="宋体" w:cs="Times New Roman"/>
      <w:kern w:val="2"/>
      <w:sz w:val="28"/>
    </w:rPr>
  </w:style>
  <w:style w:type="character" w:customStyle="1" w:styleId="73">
    <w:name w:val="H2 Char"/>
    <w:qFormat/>
    <w:uiPriority w:val="0"/>
    <w:rPr>
      <w:rFonts w:ascii="Arial" w:hAnsi="Arial" w:eastAsia="宋体"/>
      <w:kern w:val="2"/>
      <w:sz w:val="28"/>
      <w:lang w:val="en-US" w:eastAsia="zh-CN"/>
    </w:rPr>
  </w:style>
  <w:style w:type="character" w:customStyle="1" w:styleId="74">
    <w:name w:val="无"/>
    <w:qFormat/>
    <w:uiPriority w:val="0"/>
    <w:rPr>
      <w:rFonts w:ascii="Times New Roman" w:hAnsi="Times New Roman" w:eastAsia="宋体" w:cs="Times New Roman"/>
    </w:rPr>
  </w:style>
  <w:style w:type="character" w:customStyle="1" w:styleId="75">
    <w:name w:val="日期 Char"/>
    <w:qFormat/>
    <w:uiPriority w:val="0"/>
    <w:rPr>
      <w:kern w:val="2"/>
      <w:sz w:val="28"/>
    </w:rPr>
  </w:style>
  <w:style w:type="paragraph" w:customStyle="1" w:styleId="76">
    <w:name w:val="(符号)五标题1.1.1"/>
    <w:basedOn w:val="1"/>
    <w:link w:val="334"/>
    <w:qFormat/>
    <w:uiPriority w:val="0"/>
    <w:pPr>
      <w:numPr>
        <w:ilvl w:val="2"/>
        <w:numId w:val="3"/>
      </w:numPr>
      <w:tabs>
        <w:tab w:val="left" w:pos="1000"/>
      </w:tabs>
      <w:spacing w:line="500" w:lineRule="exact"/>
    </w:pPr>
    <w:rPr>
      <w:rFonts w:ascii="宋体"/>
      <w:color w:val="000000"/>
      <w:sz w:val="24"/>
    </w:rPr>
  </w:style>
  <w:style w:type="character" w:customStyle="1" w:styleId="77">
    <w:name w:val="标题 3 Char1"/>
    <w:qFormat/>
    <w:uiPriority w:val="0"/>
    <w:rPr>
      <w:rFonts w:eastAsia="宋体"/>
      <w:b/>
      <w:kern w:val="2"/>
      <w:sz w:val="32"/>
      <w:lang w:val="en-US" w:eastAsia="zh-CN"/>
    </w:rPr>
  </w:style>
  <w:style w:type="character" w:customStyle="1" w:styleId="78">
    <w:name w:val="标题 3 字符1"/>
    <w:qFormat/>
    <w:uiPriority w:val="0"/>
    <w:rPr>
      <w:rFonts w:eastAsia="宋体"/>
      <w:b/>
      <w:kern w:val="2"/>
      <w:sz w:val="32"/>
      <w:lang w:val="en-US" w:eastAsia="zh-CN"/>
    </w:rPr>
  </w:style>
  <w:style w:type="character" w:customStyle="1" w:styleId="79">
    <w:name w:val="未命名11"/>
    <w:qFormat/>
    <w:uiPriority w:val="0"/>
    <w:rPr>
      <w:color w:val="77FFFF"/>
      <w:sz w:val="24"/>
    </w:rPr>
  </w:style>
  <w:style w:type="character" w:customStyle="1" w:styleId="80">
    <w:name w:val="小 Char"/>
    <w:qFormat/>
    <w:uiPriority w:val="0"/>
    <w:rPr>
      <w:rFonts w:ascii="宋体" w:eastAsia="宋体"/>
      <w:kern w:val="2"/>
      <w:sz w:val="21"/>
      <w:lang w:val="en-US" w:eastAsia="zh-CN" w:bidi="ar-SA"/>
    </w:rPr>
  </w:style>
  <w:style w:type="paragraph" w:customStyle="1" w:styleId="81">
    <w:name w:val="Table Text Char Char Char"/>
    <w:link w:val="331"/>
    <w:qFormat/>
    <w:uiPriority w:val="0"/>
    <w:pPr>
      <w:snapToGrid w:val="0"/>
      <w:spacing w:before="80" w:after="80"/>
    </w:pPr>
    <w:rPr>
      <w:rFonts w:ascii="Arial" w:hAnsi="Arial" w:eastAsia="宋体" w:cs="Times New Roman"/>
      <w:kern w:val="2"/>
      <w:sz w:val="18"/>
      <w:lang w:val="en-US" w:eastAsia="zh-CN" w:bidi="ar-SA"/>
    </w:rPr>
  </w:style>
  <w:style w:type="character" w:customStyle="1" w:styleId="82">
    <w:name w:val="标书正文:  0.74 厘米 Char1"/>
    <w:qFormat/>
    <w:uiPriority w:val="0"/>
    <w:rPr>
      <w:rFonts w:eastAsia="宋体"/>
      <w:kern w:val="2"/>
      <w:sz w:val="24"/>
      <w:lang w:val="en-US" w:eastAsia="zh-CN"/>
    </w:rPr>
  </w:style>
  <w:style w:type="character" w:customStyle="1" w:styleId="83">
    <w:name w:val="Char Char4"/>
    <w:qFormat/>
    <w:uiPriority w:val="0"/>
    <w:rPr>
      <w:rFonts w:eastAsia="宋体"/>
      <w:b/>
      <w:kern w:val="2"/>
      <w:sz w:val="21"/>
      <w:lang w:val="en-US" w:eastAsia="zh-CN"/>
    </w:rPr>
  </w:style>
  <w:style w:type="character" w:customStyle="1" w:styleId="84">
    <w:name w:val="title_emph1"/>
    <w:qFormat/>
    <w:uiPriority w:val="0"/>
    <w:rPr>
      <w:rFonts w:ascii="Arial" w:hAnsi="Arial"/>
      <w:b/>
      <w:sz w:val="20"/>
    </w:rPr>
  </w:style>
  <w:style w:type="character" w:customStyle="1" w:styleId="85">
    <w:name w:val="Table Heading Char Char"/>
    <w:qFormat/>
    <w:uiPriority w:val="0"/>
    <w:rPr>
      <w:rFonts w:ascii="Arial" w:hAnsi="Arial" w:eastAsia="黑体"/>
      <w:kern w:val="2"/>
      <w:sz w:val="18"/>
      <w:lang w:val="en-US" w:eastAsia="zh-CN"/>
    </w:rPr>
  </w:style>
  <w:style w:type="character" w:customStyle="1" w:styleId="86">
    <w:name w:val="正文文本缩进 字符1"/>
    <w:qFormat/>
    <w:locked/>
    <w:uiPriority w:val="0"/>
    <w:rPr>
      <w:kern w:val="2"/>
      <w:sz w:val="44"/>
    </w:rPr>
  </w:style>
  <w:style w:type="character" w:customStyle="1" w:styleId="87">
    <w:name w:val="样式 宋体"/>
    <w:qFormat/>
    <w:uiPriority w:val="0"/>
    <w:rPr>
      <w:rFonts w:ascii="宋体" w:eastAsia="宋体"/>
      <w:sz w:val="28"/>
    </w:rPr>
  </w:style>
  <w:style w:type="character" w:customStyle="1" w:styleId="88">
    <w:name w:val="标题 2 字符1"/>
    <w:qFormat/>
    <w:uiPriority w:val="0"/>
    <w:rPr>
      <w:rFonts w:ascii="宋体" w:eastAsia="宋体" w:cs="Times New Roman"/>
      <w:kern w:val="2"/>
      <w:sz w:val="28"/>
    </w:rPr>
  </w:style>
  <w:style w:type="character" w:customStyle="1" w:styleId="89">
    <w:name w:val="Char Char5"/>
    <w:qFormat/>
    <w:uiPriority w:val="0"/>
    <w:rPr>
      <w:rFonts w:ascii="Arial" w:hAnsi="Arial" w:eastAsia="宋体"/>
      <w:b/>
      <w:smallCaps/>
      <w:kern w:val="28"/>
      <w:sz w:val="36"/>
      <w:lang w:val="en-US"/>
    </w:rPr>
  </w:style>
  <w:style w:type="paragraph" w:styleId="90">
    <w:name w:val="List Paragraph"/>
    <w:basedOn w:val="1"/>
    <w:link w:val="330"/>
    <w:qFormat/>
    <w:uiPriority w:val="0"/>
    <w:pPr>
      <w:ind w:firstLine="200" w:firstLineChars="200"/>
    </w:pPr>
    <w:rPr>
      <w:sz w:val="21"/>
      <w:szCs w:val="22"/>
    </w:rPr>
  </w:style>
  <w:style w:type="character" w:customStyle="1" w:styleId="91">
    <w:name w:val="Char Char2"/>
    <w:qFormat/>
    <w:uiPriority w:val="0"/>
    <w:rPr>
      <w:rFonts w:eastAsia="宋体"/>
      <w:kern w:val="2"/>
      <w:sz w:val="18"/>
      <w:lang w:val="en-US" w:eastAsia="zh-CN"/>
    </w:rPr>
  </w:style>
  <w:style w:type="character" w:customStyle="1" w:styleId="92">
    <w:name w:val="标题 2 Char"/>
    <w:qFormat/>
    <w:uiPriority w:val="0"/>
    <w:rPr>
      <w:rFonts w:ascii="Arial" w:hAnsi="Arial" w:eastAsia="黑体"/>
      <w:b/>
      <w:kern w:val="2"/>
      <w:sz w:val="32"/>
    </w:rPr>
  </w:style>
  <w:style w:type="character" w:customStyle="1" w:styleId="93">
    <w:name w:val="Table Text Char1 Char"/>
    <w:qFormat/>
    <w:uiPriority w:val="0"/>
    <w:rPr>
      <w:rFonts w:ascii="Arial" w:hAnsi="Arial"/>
      <w:kern w:val="2"/>
      <w:sz w:val="18"/>
      <w:lang w:val="en-US" w:eastAsia="zh-CN" w:bidi="ar-SA"/>
    </w:rPr>
  </w:style>
  <w:style w:type="character" w:customStyle="1" w:styleId="94">
    <w:name w:val="Char Char6"/>
    <w:qFormat/>
    <w:uiPriority w:val="0"/>
    <w:rPr>
      <w:rFonts w:ascii="仿宋_GB2312" w:eastAsia="仿宋_GB2312"/>
      <w:kern w:val="2"/>
      <w:sz w:val="32"/>
    </w:rPr>
  </w:style>
  <w:style w:type="character" w:customStyle="1" w:styleId="95">
    <w:name w:val="content-white1"/>
    <w:qFormat/>
    <w:uiPriority w:val="0"/>
    <w:rPr>
      <w:rFonts w:ascii="_x000B__x000C_" w:hAnsi="_x000B__x000C_"/>
      <w:color w:val="auto"/>
      <w:sz w:val="18"/>
      <w:u w:val="none"/>
    </w:rPr>
  </w:style>
  <w:style w:type="character" w:customStyle="1" w:styleId="96">
    <w:name w:val="fontstyle01"/>
    <w:qFormat/>
    <w:uiPriority w:val="0"/>
    <w:rPr>
      <w:rFonts w:ascii="宋体" w:eastAsia="宋体"/>
      <w:color w:val="000000"/>
      <w:sz w:val="24"/>
      <w:szCs w:val="24"/>
    </w:rPr>
  </w:style>
  <w:style w:type="character" w:customStyle="1" w:styleId="97">
    <w:name w:val="Char Char7"/>
    <w:qFormat/>
    <w:uiPriority w:val="0"/>
    <w:rPr>
      <w:rFonts w:ascii="宋体" w:eastAsia="宋体"/>
      <w:kern w:val="2"/>
      <w:sz w:val="28"/>
    </w:rPr>
  </w:style>
  <w:style w:type="character" w:customStyle="1" w:styleId="98">
    <w:name w:val="标题 3 Char"/>
    <w:qFormat/>
    <w:uiPriority w:val="0"/>
    <w:rPr>
      <w:rFonts w:eastAsia="宋体"/>
      <w:b/>
      <w:kern w:val="2"/>
      <w:sz w:val="32"/>
      <w:lang w:val="en-US" w:eastAsia="zh-CN"/>
    </w:rPr>
  </w:style>
  <w:style w:type="character" w:customStyle="1" w:styleId="99">
    <w:name w:val="crowed11"/>
    <w:qFormat/>
    <w:uiPriority w:val="0"/>
    <w:rPr>
      <w:rFonts w:ascii="_x000B__x000C_" w:hAnsi="_x000B__x000C_"/>
      <w:sz w:val="24"/>
    </w:rPr>
  </w:style>
  <w:style w:type="paragraph" w:customStyle="1" w:styleId="100">
    <w:name w:val="文字"/>
    <w:basedOn w:val="1"/>
    <w:link w:val="323"/>
    <w:qFormat/>
    <w:uiPriority w:val="0"/>
    <w:pPr>
      <w:tabs>
        <w:tab w:val="left" w:pos="8520"/>
      </w:tabs>
      <w:spacing w:line="312" w:lineRule="auto"/>
      <w:ind w:right="-210" w:firstLine="556"/>
    </w:pPr>
    <w:rPr>
      <w:rFonts w:ascii="宋体"/>
    </w:rPr>
  </w:style>
  <w:style w:type="character" w:customStyle="1" w:styleId="101">
    <w:name w:val="Char Char3"/>
    <w:qFormat/>
    <w:uiPriority w:val="0"/>
    <w:rPr>
      <w:rFonts w:eastAsia="宋体"/>
      <w:kern w:val="2"/>
      <w:sz w:val="18"/>
      <w:lang w:val="en-US" w:eastAsia="zh-CN"/>
    </w:rPr>
  </w:style>
  <w:style w:type="character" w:customStyle="1" w:styleId="102">
    <w:name w:val="font1"/>
    <w:qFormat/>
    <w:uiPriority w:val="0"/>
    <w:rPr>
      <w:color w:val="000000"/>
      <w:sz w:val="18"/>
    </w:rPr>
  </w:style>
  <w:style w:type="character" w:customStyle="1" w:styleId="103">
    <w:name w:val="v151"/>
    <w:qFormat/>
    <w:uiPriority w:val="0"/>
    <w:rPr>
      <w:sz w:val="18"/>
    </w:rPr>
  </w:style>
  <w:style w:type="character" w:customStyle="1" w:styleId="104">
    <w:name w:val="Char Char11"/>
    <w:qFormat/>
    <w:uiPriority w:val="0"/>
    <w:rPr>
      <w:rFonts w:ascii="宋体"/>
      <w:kern w:val="2"/>
      <w:sz w:val="28"/>
    </w:rPr>
  </w:style>
  <w:style w:type="character" w:customStyle="1" w:styleId="105">
    <w:name w:val="Char Char"/>
    <w:qFormat/>
    <w:uiPriority w:val="0"/>
    <w:rPr>
      <w:rFonts w:ascii="宋体" w:eastAsia="宋体"/>
      <w:kern w:val="2"/>
      <w:sz w:val="24"/>
      <w:lang w:val="en-US" w:eastAsia="zh-CN" w:bidi="ar-SA"/>
    </w:rPr>
  </w:style>
  <w:style w:type="paragraph" w:customStyle="1" w:styleId="106">
    <w:name w:val="样式 文档正文 Char + (西文) 宋体 (中文) 宋体 小四 黑色"/>
    <w:basedOn w:val="1"/>
    <w:link w:val="324"/>
    <w:qFormat/>
    <w:uiPriority w:val="0"/>
    <w:pPr>
      <w:adjustRightInd w:val="0"/>
      <w:snapToGrid w:val="0"/>
      <w:spacing w:line="360" w:lineRule="auto"/>
      <w:ind w:firstLine="567"/>
      <w:textAlignment w:val="baseline"/>
    </w:pPr>
    <w:rPr>
      <w:rFonts w:ascii="宋体"/>
      <w:color w:val="000000"/>
      <w:sz w:val="24"/>
      <w:szCs w:val="24"/>
    </w:rPr>
  </w:style>
  <w:style w:type="character" w:customStyle="1" w:styleId="107">
    <w:name w:val="_Style 121"/>
    <w:qFormat/>
    <w:uiPriority w:val="0"/>
    <w:rPr>
      <w:color w:val="605E5C"/>
      <w:shd w:val="clear" w:color="auto" w:fill="E1DFDD"/>
    </w:rPr>
  </w:style>
  <w:style w:type="character" w:customStyle="1" w:styleId="108">
    <w:name w:val="top-det1"/>
    <w:qFormat/>
    <w:uiPriority w:val="0"/>
    <w:rPr>
      <w:b/>
      <w:color w:val="000000"/>
    </w:rPr>
  </w:style>
  <w:style w:type="paragraph" w:customStyle="1" w:styleId="109">
    <w:name w:val="Table Text"/>
    <w:link w:val="326"/>
    <w:qFormat/>
    <w:uiPriority w:val="0"/>
    <w:pPr>
      <w:snapToGrid w:val="0"/>
      <w:spacing w:before="80" w:after="80"/>
    </w:pPr>
    <w:rPr>
      <w:rFonts w:ascii="Arial" w:hAnsi="Arial" w:eastAsia="宋体" w:cs="Times New Roman"/>
      <w:kern w:val="2"/>
      <w:sz w:val="18"/>
      <w:lang w:val="en-US" w:eastAsia="zh-CN" w:bidi="ar-SA"/>
    </w:rPr>
  </w:style>
  <w:style w:type="paragraph" w:customStyle="1" w:styleId="110">
    <w:name w:val="段 Char"/>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11">
    <w:name w:val="首行缩进 1"/>
    <w:basedOn w:val="1"/>
    <w:qFormat/>
    <w:uiPriority w:val="0"/>
    <w:pPr>
      <w:spacing w:after="120" w:line="360" w:lineRule="auto"/>
      <w:ind w:firstLine="200" w:firstLineChars="200"/>
    </w:pPr>
    <w:rPr>
      <w:sz w:val="24"/>
    </w:rPr>
  </w:style>
  <w:style w:type="paragraph" w:customStyle="1" w:styleId="112">
    <w:name w:val="IN Feature"/>
    <w:next w:val="113"/>
    <w:qFormat/>
    <w:uiPriority w:val="0"/>
    <w:pPr>
      <w:keepNext/>
      <w:keepLines/>
      <w:spacing w:before="240" w:after="240"/>
      <w:outlineLvl w:val="7"/>
    </w:pPr>
    <w:rPr>
      <w:rFonts w:ascii="Arial" w:hAnsi="Arial" w:eastAsia="黑体" w:cs="Times New Roman"/>
      <w:sz w:val="21"/>
      <w:lang w:val="en-US" w:eastAsia="zh-CN" w:bidi="ar-SA"/>
    </w:rPr>
  </w:style>
  <w:style w:type="paragraph" w:customStyle="1" w:styleId="113">
    <w:name w:val="IN Step"/>
    <w:basedOn w:val="1"/>
    <w:qFormat/>
    <w:uiPriority w:val="0"/>
    <w:pPr>
      <w:keepLines/>
      <w:widowControl/>
      <w:tabs>
        <w:tab w:val="left" w:pos="1134"/>
      </w:tabs>
      <w:spacing w:before="80" w:after="80" w:line="300" w:lineRule="auto"/>
      <w:ind w:left="1134" w:hanging="907"/>
      <w:outlineLvl w:val="8"/>
    </w:pPr>
    <w:rPr>
      <w:rFonts w:ascii="Arial" w:hAnsi="Arial"/>
      <w:kern w:val="0"/>
      <w:sz w:val="21"/>
    </w:rPr>
  </w:style>
  <w:style w:type="paragraph" w:customStyle="1" w:styleId="114">
    <w:name w:val="Char Char Char Char"/>
    <w:basedOn w:val="1"/>
    <w:qFormat/>
    <w:uiPriority w:val="0"/>
    <w:pPr>
      <w:pageBreakBefore/>
      <w:widowControl/>
      <w:spacing w:after="160" w:line="240" w:lineRule="exact"/>
      <w:jc w:val="left"/>
    </w:pPr>
    <w:rPr>
      <w:rFonts w:ascii="Verdana" w:hAnsi="Verdana"/>
      <w:kern w:val="0"/>
      <w:sz w:val="20"/>
    </w:rPr>
  </w:style>
  <w:style w:type="paragraph" w:customStyle="1" w:styleId="115">
    <w:name w:val="Table Contents"/>
    <w:basedOn w:val="2"/>
    <w:qFormat/>
    <w:uiPriority w:val="0"/>
    <w:pPr>
      <w:suppressAutoHyphens/>
      <w:jc w:val="left"/>
    </w:pPr>
    <w:rPr>
      <w:rFonts w:ascii="Times New Roman" w:hAnsi="Times New Roman" w:eastAsia="Times New Roman"/>
      <w:kern w:val="0"/>
      <w:sz w:val="24"/>
    </w:rPr>
  </w:style>
  <w:style w:type="paragraph" w:customStyle="1" w:styleId="116">
    <w:name w:val="司法正文"/>
    <w:qFormat/>
    <w:uiPriority w:val="0"/>
    <w:pPr>
      <w:widowControl w:val="0"/>
      <w:ind w:firstLine="200" w:firstLineChars="200"/>
      <w:jc w:val="both"/>
    </w:pPr>
    <w:rPr>
      <w:rFonts w:ascii="Calibri" w:hAnsi="Calibri" w:eastAsia="仿宋_GB2312" w:cs="Times New Roman"/>
      <w:sz w:val="32"/>
      <w:lang w:val="en-US" w:eastAsia="zh-CN" w:bidi="ar-SA"/>
    </w:rPr>
  </w:style>
  <w:style w:type="paragraph" w:customStyle="1" w:styleId="117">
    <w:name w:val="1.正文"/>
    <w:basedOn w:val="1"/>
    <w:qFormat/>
    <w:uiPriority w:val="0"/>
    <w:pPr>
      <w:spacing w:line="360" w:lineRule="auto"/>
      <w:ind w:left="225" w:leftChars="225" w:firstLine="225" w:firstLineChars="225"/>
    </w:pPr>
    <w:rPr>
      <w:sz w:val="24"/>
    </w:rPr>
  </w:style>
  <w:style w:type="paragraph" w:customStyle="1" w:styleId="118">
    <w:name w:val="样式 标题 6第五层条 + 三号 段前: 0.5 行"/>
    <w:basedOn w:val="9"/>
    <w:qFormat/>
    <w:uiPriority w:val="0"/>
    <w:pPr>
      <w:widowControl/>
      <w:adjustRightInd/>
      <w:snapToGrid/>
      <w:spacing w:beforeLines="50"/>
      <w:jc w:val="left"/>
    </w:pPr>
    <w:rPr>
      <w:snapToGrid w:val="0"/>
      <w:kern w:val="24"/>
      <w:sz w:val="28"/>
    </w:rPr>
  </w:style>
  <w:style w:type="paragraph" w:customStyle="1" w:styleId="119">
    <w:name w:val="正文文本 21"/>
    <w:basedOn w:val="1"/>
    <w:qFormat/>
    <w:uiPriority w:val="0"/>
    <w:pPr>
      <w:adjustRightInd w:val="0"/>
      <w:spacing w:before="120" w:line="360" w:lineRule="auto"/>
      <w:ind w:firstLine="480"/>
      <w:textAlignment w:val="baseline"/>
    </w:pPr>
    <w:rPr>
      <w:sz w:val="24"/>
    </w:rPr>
  </w:style>
  <w:style w:type="paragraph" w:customStyle="1" w:styleId="120">
    <w:name w:val="Item Step"/>
    <w:qFormat/>
    <w:uiPriority w:val="0"/>
    <w:pPr>
      <w:tabs>
        <w:tab w:val="left" w:pos="1644"/>
      </w:tabs>
      <w:ind w:left="1644" w:hanging="510"/>
      <w:outlineLvl w:val="4"/>
    </w:pPr>
    <w:rPr>
      <w:rFonts w:ascii="Arial" w:hAnsi="Arial" w:eastAsia="宋体" w:cs="Times New Roman"/>
      <w:sz w:val="21"/>
      <w:lang w:val="en-US" w:eastAsia="zh-CN" w:bidi="ar-SA"/>
    </w:rPr>
  </w:style>
  <w:style w:type="paragraph" w:customStyle="1" w:styleId="121">
    <w:name w:val="标准正文"/>
    <w:basedOn w:val="27"/>
    <w:qFormat/>
    <w:uiPriority w:val="0"/>
    <w:pPr>
      <w:spacing w:before="60" w:after="60" w:line="360" w:lineRule="auto"/>
      <w:ind w:left="0" w:firstLine="482"/>
    </w:pPr>
    <w:rPr>
      <w:rFonts w:ascii="Arial" w:hAnsi="Arial"/>
      <w:sz w:val="24"/>
    </w:rPr>
  </w:style>
  <w:style w:type="paragraph" w:customStyle="1" w:styleId="122">
    <w:name w:val="段落正文"/>
    <w:basedOn w:val="1"/>
    <w:qFormat/>
    <w:uiPriority w:val="0"/>
    <w:pPr>
      <w:spacing w:beforeLines="50" w:line="360" w:lineRule="auto"/>
      <w:ind w:firstLine="200" w:firstLineChars="200"/>
    </w:pPr>
    <w:rPr>
      <w:spacing w:val="2"/>
      <w:sz w:val="24"/>
    </w:rPr>
  </w:style>
  <w:style w:type="paragraph" w:customStyle="1" w:styleId="123">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24">
    <w:name w:val="二级列表"/>
    <w:basedOn w:val="122"/>
    <w:next w:val="122"/>
    <w:uiPriority w:val="0"/>
    <w:pPr>
      <w:tabs>
        <w:tab w:val="left" w:pos="2120"/>
      </w:tabs>
      <w:ind w:firstLine="0" w:firstLineChars="0"/>
    </w:pPr>
    <w:rPr>
      <w:b/>
    </w:rPr>
  </w:style>
  <w:style w:type="paragraph" w:customStyle="1" w:styleId="125">
    <w:name w:val="表文字"/>
    <w:uiPriority w:val="0"/>
    <w:rPr>
      <w:rFonts w:ascii="宋体" w:hAnsi="Times New Roman" w:eastAsia="宋体" w:cs="Times New Roman"/>
      <w:kern w:val="2"/>
      <w:lang w:val="en-US" w:eastAsia="zh-CN" w:bidi="ar-SA"/>
    </w:rPr>
  </w:style>
  <w:style w:type="paragraph" w:customStyle="1" w:styleId="126">
    <w:name w:val="Char Char Char1 Char Char Char Char Char Char Char Char Char Char Char Char Char"/>
    <w:basedOn w:val="1"/>
    <w:uiPriority w:val="0"/>
    <w:pPr>
      <w:widowControl/>
      <w:spacing w:after="160" w:line="240" w:lineRule="exact"/>
      <w:jc w:val="left"/>
    </w:pPr>
    <w:rPr>
      <w:rFonts w:ascii="Verdana" w:hAnsi="Verdana"/>
      <w:kern w:val="0"/>
      <w:sz w:val="18"/>
    </w:rPr>
  </w:style>
  <w:style w:type="paragraph" w:customStyle="1" w:styleId="127">
    <w:name w:val="摘要"/>
    <w:basedOn w:val="1"/>
    <w:next w:val="5"/>
    <w:uiPriority w:val="0"/>
    <w:pPr>
      <w:spacing w:line="360" w:lineRule="auto"/>
    </w:pPr>
    <w:rPr>
      <w:rFonts w:eastAsia="黑体"/>
      <w:sz w:val="20"/>
    </w:rPr>
  </w:style>
  <w:style w:type="paragraph" w:customStyle="1" w:styleId="128">
    <w:name w:val="正文文本缩进 21"/>
    <w:basedOn w:val="1"/>
    <w:qFormat/>
    <w:uiPriority w:val="0"/>
    <w:pPr>
      <w:adjustRightInd w:val="0"/>
      <w:spacing w:before="120"/>
      <w:ind w:firstLine="420"/>
      <w:textAlignment w:val="baseline"/>
    </w:pPr>
    <w:rPr>
      <w:sz w:val="24"/>
    </w:rPr>
  </w:style>
  <w:style w:type="paragraph" w:customStyle="1" w:styleId="129">
    <w:name w:val="A项目符号"/>
    <w:basedOn w:val="1"/>
    <w:qFormat/>
    <w:uiPriority w:val="0"/>
    <w:pPr>
      <w:numPr>
        <w:ilvl w:val="0"/>
        <w:numId w:val="4"/>
      </w:numPr>
      <w:tabs>
        <w:tab w:val="left" w:pos="1080"/>
      </w:tabs>
      <w:adjustRightInd w:val="0"/>
      <w:snapToGrid w:val="0"/>
      <w:spacing w:afterLines="50" w:line="360" w:lineRule="auto"/>
    </w:pPr>
    <w:rPr>
      <w:b/>
      <w:bCs/>
      <w:spacing w:val="12"/>
      <w:kern w:val="0"/>
      <w:sz w:val="24"/>
      <w:szCs w:val="24"/>
    </w:rPr>
  </w:style>
  <w:style w:type="paragraph" w:customStyle="1" w:styleId="130">
    <w:name w:val="正文4"/>
    <w:basedOn w:val="1"/>
    <w:qFormat/>
    <w:uiPriority w:val="0"/>
    <w:pPr>
      <w:tabs>
        <w:tab w:val="left" w:pos="1275"/>
      </w:tabs>
      <w:spacing w:before="60" w:after="60" w:line="360" w:lineRule="auto"/>
      <w:ind w:left="1105" w:leftChars="400" w:hanging="705"/>
    </w:pPr>
    <w:rPr>
      <w:sz w:val="24"/>
    </w:rPr>
  </w:style>
  <w:style w:type="paragraph" w:customStyle="1" w:styleId="131">
    <w:name w:val="xl27"/>
    <w:basedOn w:val="1"/>
    <w:uiPriority w:val="0"/>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kern w:val="0"/>
      <w:sz w:val="21"/>
    </w:rPr>
  </w:style>
  <w:style w:type="paragraph" w:customStyle="1" w:styleId="132">
    <w:name w:val="Style Heading 3h3Heading 3 - oldLevel 3 HeadH3level_3PIM 3se..."/>
    <w:basedOn w:val="6"/>
    <w:uiPriority w:val="0"/>
    <w:pPr>
      <w:tabs>
        <w:tab w:val="left" w:pos="0"/>
        <w:tab w:val="left" w:pos="709"/>
      </w:tabs>
      <w:ind w:left="1620" w:hanging="360"/>
    </w:pPr>
  </w:style>
  <w:style w:type="paragraph" w:customStyle="1" w:styleId="133">
    <w:name w:val="Char Char Char Char Char Char Char Char Char Char Char Char Char"/>
    <w:basedOn w:val="1"/>
    <w:uiPriority w:val="0"/>
    <w:pPr>
      <w:widowControl/>
      <w:spacing w:after="160" w:line="240" w:lineRule="exact"/>
      <w:jc w:val="left"/>
    </w:pPr>
    <w:rPr>
      <w:rFonts w:ascii="Verdana" w:hAnsi="Verdana" w:eastAsia="仿宋_GB2312"/>
      <w:kern w:val="0"/>
      <w:sz w:val="24"/>
    </w:rPr>
  </w:style>
  <w:style w:type="paragraph" w:customStyle="1" w:styleId="134">
    <w:name w:val="样式 标题 1 + 居中 段前: 6 磅 段后: 6 磅 行距: 1.5 倍行距"/>
    <w:basedOn w:val="4"/>
    <w:uiPriority w:val="0"/>
    <w:pPr>
      <w:keepLines/>
      <w:adjustRightInd w:val="0"/>
      <w:spacing w:before="120" w:after="120" w:line="360" w:lineRule="auto"/>
      <w:jc w:val="center"/>
    </w:pPr>
    <w:rPr>
      <w:rFonts w:ascii="Times New Roman" w:hAnsi="Times New Roman"/>
      <w:b/>
      <w:kern w:val="44"/>
      <w:sz w:val="32"/>
    </w:rPr>
  </w:style>
  <w:style w:type="paragraph" w:customStyle="1" w:styleId="135">
    <w:name w:val="xl53"/>
    <w:basedOn w:val="1"/>
    <w:uiPriority w:val="0"/>
    <w:pPr>
      <w:widowControl/>
      <w:pBdr>
        <w:left w:val="single" w:color="auto" w:sz="4" w:space="0"/>
        <w:bottom w:val="single" w:color="auto" w:sz="4" w:space="0"/>
      </w:pBdr>
      <w:spacing w:before="100" w:beforeAutospacing="1" w:after="100" w:afterAutospacing="1"/>
      <w:jc w:val="center"/>
      <w:textAlignment w:val="center"/>
    </w:pPr>
    <w:rPr>
      <w:rFonts w:ascii="宋体"/>
      <w:kern w:val="0"/>
      <w:sz w:val="24"/>
    </w:rPr>
  </w:style>
  <w:style w:type="paragraph" w:customStyle="1" w:styleId="136">
    <w:name w:val="列表项目"/>
    <w:basedOn w:val="1"/>
    <w:uiPriority w:val="0"/>
    <w:pPr>
      <w:numPr>
        <w:ilvl w:val="0"/>
        <w:numId w:val="5"/>
      </w:numPr>
      <w:tabs>
        <w:tab w:val="left" w:pos="420"/>
      </w:tabs>
      <w:spacing w:line="288" w:lineRule="auto"/>
      <w:ind w:left="400" w:leftChars="200" w:hanging="200" w:hangingChars="200"/>
    </w:pPr>
    <w:rPr>
      <w:sz w:val="21"/>
    </w:rPr>
  </w:style>
  <w:style w:type="paragraph" w:customStyle="1" w:styleId="137">
    <w:name w:val="00"/>
    <w:basedOn w:val="1"/>
    <w:uiPriority w:val="0"/>
    <w:pPr>
      <w:autoSpaceDE w:val="0"/>
      <w:autoSpaceDN w:val="0"/>
      <w:adjustRightInd w:val="0"/>
      <w:jc w:val="left"/>
    </w:pPr>
    <w:rPr>
      <w:rFonts w:ascii="黑体" w:eastAsia="黑体"/>
      <w:b/>
      <w:kern w:val="0"/>
      <w:sz w:val="20"/>
    </w:rPr>
  </w:style>
  <w:style w:type="paragraph" w:customStyle="1" w:styleId="138">
    <w:name w:val="正文 + 三号"/>
    <w:basedOn w:val="1"/>
    <w:uiPriority w:val="0"/>
    <w:rPr>
      <w:sz w:val="21"/>
    </w:rPr>
  </w:style>
  <w:style w:type="paragraph" w:customStyle="1" w:styleId="139">
    <w:name w:val="章标题"/>
    <w:next w:val="1"/>
    <w:uiPriority w:val="0"/>
    <w:pPr>
      <w:numPr>
        <w:ilvl w:val="1"/>
        <w:numId w:val="6"/>
      </w:numPr>
      <w:spacing w:beforeLines="50" w:afterLines="50"/>
      <w:ind w:left="0"/>
      <w:jc w:val="both"/>
      <w:outlineLvl w:val="1"/>
    </w:pPr>
    <w:rPr>
      <w:rFonts w:ascii="黑体" w:hAnsi="Times New Roman" w:eastAsia="黑体" w:cs="Times New Roman"/>
      <w:sz w:val="24"/>
      <w:lang w:val="en-US" w:eastAsia="zh-CN" w:bidi="ar-SA"/>
    </w:rPr>
  </w:style>
  <w:style w:type="paragraph" w:customStyle="1" w:styleId="140">
    <w:name w:val="一级条标题"/>
    <w:basedOn w:val="139"/>
    <w:next w:val="123"/>
    <w:uiPriority w:val="0"/>
    <w:pPr>
      <w:numPr>
        <w:ilvl w:val="0"/>
        <w:numId w:val="0"/>
      </w:numPr>
      <w:spacing w:beforeLines="0" w:afterLines="0"/>
      <w:ind w:left="525"/>
      <w:outlineLvl w:val="2"/>
    </w:pPr>
    <w:rPr>
      <w:sz w:val="21"/>
    </w:rPr>
  </w:style>
  <w:style w:type="paragraph" w:customStyle="1" w:styleId="141">
    <w:name w:val="二级条标题"/>
    <w:basedOn w:val="140"/>
    <w:next w:val="123"/>
    <w:uiPriority w:val="0"/>
    <w:pPr>
      <w:ind w:left="840"/>
      <w:outlineLvl w:val="3"/>
    </w:pPr>
  </w:style>
  <w:style w:type="paragraph" w:customStyle="1" w:styleId="142">
    <w:name w:val="文本框样式1"/>
    <w:basedOn w:val="1"/>
    <w:uiPriority w:val="0"/>
    <w:pPr>
      <w:adjustRightInd w:val="0"/>
      <w:snapToGrid w:val="0"/>
      <w:spacing w:before="60" w:line="180" w:lineRule="exact"/>
      <w:jc w:val="center"/>
    </w:pPr>
    <w:rPr>
      <w:sz w:val="21"/>
    </w:rPr>
  </w:style>
  <w:style w:type="paragraph" w:customStyle="1" w:styleId="143">
    <w:name w:val="项目"/>
    <w:basedOn w:val="1"/>
    <w:uiPriority w:val="0"/>
    <w:pPr>
      <w:tabs>
        <w:tab w:val="left" w:pos="1280"/>
      </w:tabs>
      <w:spacing w:before="120" w:after="120" w:line="360" w:lineRule="auto"/>
      <w:ind w:left="-7" w:firstLine="567"/>
      <w:jc w:val="left"/>
      <w:textAlignment w:val="baseline"/>
    </w:pPr>
    <w:rPr>
      <w:rFonts w:ascii="宋体"/>
      <w:kern w:val="0"/>
      <w:sz w:val="24"/>
    </w:rPr>
  </w:style>
  <w:style w:type="paragraph" w:customStyle="1" w:styleId="144">
    <w:name w:val="af"/>
    <w:basedOn w:val="1"/>
    <w:uiPriority w:val="0"/>
    <w:pPr>
      <w:widowControl/>
      <w:spacing w:line="300" w:lineRule="atLeast"/>
      <w:jc w:val="left"/>
    </w:pPr>
    <w:rPr>
      <w:rFonts w:ascii="宋体"/>
      <w:kern w:val="0"/>
      <w:sz w:val="18"/>
    </w:rPr>
  </w:style>
  <w:style w:type="paragraph" w:customStyle="1" w:styleId="145">
    <w:name w:val="Char Char1"/>
    <w:basedOn w:val="1"/>
    <w:uiPriority w:val="0"/>
    <w:pPr>
      <w:widowControl/>
      <w:spacing w:after="160" w:line="240" w:lineRule="exact"/>
      <w:jc w:val="left"/>
    </w:pPr>
    <w:rPr>
      <w:rFonts w:ascii="Verdana" w:hAnsi="Verdana"/>
      <w:kern w:val="0"/>
      <w:sz w:val="20"/>
    </w:rPr>
  </w:style>
  <w:style w:type="paragraph" w:customStyle="1" w:styleId="146">
    <w:name w:val="没有缩进（为图形使用）"/>
    <w:basedOn w:val="1"/>
    <w:uiPriority w:val="0"/>
    <w:pPr>
      <w:spacing w:before="120" w:after="120" w:line="360" w:lineRule="auto"/>
    </w:pPr>
    <w:rPr>
      <w:sz w:val="24"/>
    </w:rPr>
  </w:style>
  <w:style w:type="paragraph" w:customStyle="1" w:styleId="147">
    <w:name w:val="样式1"/>
    <w:basedOn w:val="7"/>
    <w:uiPriority w:val="0"/>
    <w:pPr>
      <w:tabs>
        <w:tab w:val="left" w:pos="720"/>
      </w:tabs>
      <w:spacing w:before="500" w:after="260" w:line="560" w:lineRule="atLeast"/>
      <w:ind w:left="420" w:hanging="420"/>
    </w:pPr>
  </w:style>
  <w:style w:type="paragraph" w:customStyle="1" w:styleId="148">
    <w:name w:val="文章正文"/>
    <w:basedOn w:val="1"/>
    <w:qFormat/>
    <w:uiPriority w:val="0"/>
    <w:pPr>
      <w:ind w:firstLine="200" w:firstLineChars="200"/>
    </w:pPr>
    <w:rPr>
      <w:rFonts w:ascii="仿宋_GB2312" w:eastAsia="仿宋_GB2312"/>
      <w:color w:val="000000"/>
    </w:rPr>
  </w:style>
  <w:style w:type="paragraph" w:customStyle="1" w:styleId="149">
    <w:name w:val="Table Text Char1"/>
    <w:qFormat/>
    <w:uiPriority w:val="0"/>
    <w:pPr>
      <w:snapToGrid w:val="0"/>
      <w:spacing w:before="80" w:after="80"/>
    </w:pPr>
    <w:rPr>
      <w:rFonts w:ascii="Arial" w:hAnsi="Arial" w:eastAsia="宋体" w:cs="Times New Roman"/>
      <w:kern w:val="2"/>
      <w:sz w:val="18"/>
      <w:lang w:val="en-US" w:eastAsia="zh-CN" w:bidi="ar-SA"/>
    </w:rPr>
  </w:style>
  <w:style w:type="paragraph" w:customStyle="1" w:styleId="150">
    <w:name w:val="Char Char Char Char Char"/>
    <w:basedOn w:val="1"/>
    <w:uiPriority w:val="0"/>
    <w:pPr>
      <w:tabs>
        <w:tab w:val="left" w:pos="425"/>
      </w:tabs>
      <w:ind w:left="1620" w:hanging="360"/>
    </w:pPr>
    <w:rPr>
      <w:rFonts w:ascii="Tahoma" w:hAnsi="Tahoma"/>
      <w:sz w:val="24"/>
    </w:rPr>
  </w:style>
  <w:style w:type="paragraph" w:customStyle="1" w:styleId="151">
    <w:name w:val="默认段落字体 Para Char Char Char Char Char Char Char"/>
    <w:basedOn w:val="1"/>
    <w:uiPriority w:val="0"/>
    <w:rPr>
      <w:rFonts w:ascii="Tahoma" w:hAnsi="Tahoma"/>
      <w:sz w:val="24"/>
    </w:rPr>
  </w:style>
  <w:style w:type="paragraph" w:customStyle="1" w:styleId="152">
    <w:name w:val="样式3"/>
    <w:basedOn w:val="4"/>
    <w:next w:val="4"/>
    <w:qFormat/>
    <w:uiPriority w:val="0"/>
    <w:pPr>
      <w:keepLines/>
      <w:adjustRightInd w:val="0"/>
      <w:spacing w:before="340" w:after="330" w:line="576" w:lineRule="auto"/>
    </w:pPr>
    <w:rPr>
      <w:rFonts w:ascii="Times New Roman" w:hAnsi="Times New Roman" w:eastAsia="黑体"/>
      <w:b/>
      <w:kern w:val="44"/>
      <w:sz w:val="44"/>
    </w:rPr>
  </w:style>
  <w:style w:type="paragraph" w:customStyle="1" w:styleId="153">
    <w:name w:val="默认段落字体 Para Char Char Char Char Char Char Char Char Char1 Char Char Char Char"/>
    <w:basedOn w:val="1"/>
    <w:uiPriority w:val="0"/>
    <w:rPr>
      <w:rFonts w:ascii="Tahoma" w:hAnsi="Tahoma"/>
      <w:sz w:val="24"/>
    </w:rPr>
  </w:style>
  <w:style w:type="paragraph" w:customStyle="1" w:styleId="154">
    <w:name w:val="Char"/>
    <w:basedOn w:val="1"/>
    <w:uiPriority w:val="0"/>
    <w:pPr>
      <w:spacing w:line="240" w:lineRule="atLeast"/>
      <w:ind w:left="420" w:firstLine="420"/>
    </w:pPr>
    <w:rPr>
      <w:kern w:val="0"/>
      <w:sz w:val="21"/>
    </w:rPr>
  </w:style>
  <w:style w:type="paragraph" w:customStyle="1" w:styleId="155">
    <w:name w:val="图片文字"/>
    <w:basedOn w:val="1"/>
    <w:uiPriority w:val="0"/>
    <w:pPr>
      <w:spacing w:line="240" w:lineRule="atLeast"/>
      <w:jc w:val="center"/>
    </w:pPr>
    <w:rPr>
      <w:sz w:val="21"/>
    </w:rPr>
  </w:style>
  <w:style w:type="paragraph" w:customStyle="1" w:styleId="156">
    <w:name w:val="样式 宋体 五号 两端对齐 行距: 单倍行距"/>
    <w:basedOn w:val="1"/>
    <w:uiPriority w:val="0"/>
    <w:pPr>
      <w:adjustRightInd w:val="0"/>
      <w:textAlignment w:val="baseline"/>
    </w:pPr>
    <w:rPr>
      <w:rFonts w:ascii="宋体"/>
      <w:kern w:val="0"/>
      <w:sz w:val="21"/>
    </w:rPr>
  </w:style>
  <w:style w:type="paragraph" w:customStyle="1" w:styleId="157">
    <w:name w:val="_Style 173"/>
    <w:uiPriority w:val="0"/>
    <w:rPr>
      <w:rFonts w:ascii="Calibri" w:hAnsi="Calibri" w:eastAsia="宋体" w:cs="Times New Roman"/>
      <w:kern w:val="2"/>
      <w:sz w:val="21"/>
      <w:lang w:val="en-US" w:eastAsia="zh-CN" w:bidi="ar-SA"/>
    </w:rPr>
  </w:style>
  <w:style w:type="paragraph" w:customStyle="1" w:styleId="158">
    <w:name w:val="标题5"/>
    <w:basedOn w:val="1"/>
    <w:uiPriority w:val="0"/>
    <w:pPr>
      <w:tabs>
        <w:tab w:val="left" w:pos="0"/>
      </w:tabs>
      <w:autoSpaceDE w:val="0"/>
      <w:autoSpaceDN w:val="0"/>
      <w:adjustRightInd w:val="0"/>
      <w:snapToGrid w:val="0"/>
      <w:spacing w:line="320" w:lineRule="atLeast"/>
    </w:pPr>
    <w:rPr>
      <w:rFonts w:ascii="宋体"/>
      <w:kern w:val="0"/>
      <w:sz w:val="21"/>
    </w:rPr>
  </w:style>
  <w:style w:type="paragraph" w:customStyle="1" w:styleId="159">
    <w:name w:val="Title - Date"/>
    <w:basedOn w:val="59"/>
    <w:next w:val="1"/>
    <w:uiPriority w:val="0"/>
    <w:pPr>
      <w:spacing w:before="240" w:after="720"/>
    </w:pPr>
    <w:rPr>
      <w:sz w:val="28"/>
    </w:rPr>
  </w:style>
  <w:style w:type="paragraph" w:customStyle="1" w:styleId="160">
    <w:name w:val="AA Numbering"/>
    <w:basedOn w:val="1"/>
    <w:uiPriority w:val="0"/>
    <w:pPr>
      <w:widowControl/>
      <w:tabs>
        <w:tab w:val="left" w:pos="1134"/>
        <w:tab w:val="left" w:pos="1280"/>
      </w:tabs>
      <w:adjustRightInd w:val="0"/>
      <w:snapToGrid w:val="0"/>
      <w:spacing w:line="280" w:lineRule="atLeast"/>
      <w:jc w:val="left"/>
    </w:pPr>
    <w:rPr>
      <w:rFonts w:eastAsia="PMingLiU"/>
      <w:kern w:val="0"/>
      <w:sz w:val="24"/>
      <w:lang w:eastAsia="zh-TW"/>
    </w:rPr>
  </w:style>
  <w:style w:type="paragraph" w:customStyle="1" w:styleId="161">
    <w:name w:val="Table Text Char Char"/>
    <w:uiPriority w:val="0"/>
    <w:pPr>
      <w:snapToGrid w:val="0"/>
      <w:spacing w:before="80" w:after="80"/>
    </w:pPr>
    <w:rPr>
      <w:rFonts w:ascii="Arial" w:hAnsi="Arial" w:eastAsia="宋体" w:cs="Times New Roman"/>
      <w:kern w:val="2"/>
      <w:sz w:val="18"/>
      <w:lang w:val="en-US" w:eastAsia="zh-CN" w:bidi="ar-SA"/>
    </w:rPr>
  </w:style>
  <w:style w:type="paragraph" w:customStyle="1" w:styleId="162">
    <w:name w:val="Char Char Char Char Char Char1 Char"/>
    <w:basedOn w:val="1"/>
    <w:uiPriority w:val="0"/>
    <w:pPr>
      <w:widowControl/>
      <w:spacing w:after="160" w:line="240" w:lineRule="exact"/>
      <w:jc w:val="left"/>
    </w:pPr>
    <w:rPr>
      <w:rFonts w:ascii="Verdana" w:hAnsi="Verdana"/>
      <w:kern w:val="0"/>
      <w:sz w:val="21"/>
    </w:rPr>
  </w:style>
  <w:style w:type="paragraph" w:customStyle="1" w:styleId="163">
    <w:name w:val="Note"/>
    <w:basedOn w:val="1"/>
    <w:uiPriority w:val="0"/>
    <w:pPr>
      <w:pBdr>
        <w:top w:val="single" w:color="auto" w:sz="12" w:space="3"/>
        <w:bottom w:val="single" w:color="auto" w:sz="12" w:space="3"/>
      </w:pBdr>
      <w:spacing w:line="360" w:lineRule="auto"/>
    </w:pPr>
    <w:rPr>
      <w:sz w:val="24"/>
    </w:rPr>
  </w:style>
  <w:style w:type="paragraph" w:customStyle="1" w:styleId="164">
    <w:name w:val="Bullets"/>
    <w:basedOn w:val="1"/>
    <w:uiPriority w:val="0"/>
    <w:pPr>
      <w:widowControl/>
      <w:adjustRightInd w:val="0"/>
      <w:snapToGrid w:val="0"/>
      <w:spacing w:before="60" w:after="60"/>
    </w:pPr>
    <w:rPr>
      <w:kern w:val="0"/>
      <w:sz w:val="24"/>
      <w:lang w:val="en-GB"/>
    </w:rPr>
  </w:style>
  <w:style w:type="paragraph" w:customStyle="1" w:styleId="165">
    <w:name w:val="正文格式"/>
    <w:basedOn w:val="1"/>
    <w:uiPriority w:val="0"/>
    <w:pPr>
      <w:widowControl/>
      <w:adjustRightInd w:val="0"/>
      <w:snapToGrid w:val="0"/>
      <w:spacing w:before="60" w:line="360" w:lineRule="auto"/>
      <w:ind w:firstLine="200" w:firstLineChars="200"/>
      <w:jc w:val="left"/>
      <w:textAlignment w:val="baseline"/>
    </w:pPr>
    <w:rPr>
      <w:rFonts w:ascii="宋体"/>
      <w:color w:val="000000"/>
      <w:kern w:val="0"/>
      <w:sz w:val="24"/>
    </w:rPr>
  </w:style>
  <w:style w:type="paragraph" w:customStyle="1" w:styleId="166">
    <w:name w:val="表格内文字"/>
    <w:basedOn w:val="34"/>
    <w:uiPriority w:val="0"/>
    <w:pPr>
      <w:adjustRightInd w:val="0"/>
    </w:pPr>
    <w:rPr>
      <w:color w:val="000000"/>
      <w:lang w:val="en-GB"/>
    </w:rPr>
  </w:style>
  <w:style w:type="paragraph" w:customStyle="1" w:styleId="167">
    <w:name w:val="Char2 Char Char Char Char Char Char"/>
    <w:basedOn w:val="1"/>
    <w:uiPriority w:val="0"/>
    <w:rPr>
      <w:rFonts w:ascii="仿宋_GB2312" w:hAnsi="仿宋_GB2312"/>
      <w:b/>
      <w:sz w:val="30"/>
    </w:rPr>
  </w:style>
  <w:style w:type="paragraph" w:customStyle="1" w:styleId="168">
    <w:name w:val="样式 正文缩进正文（首行缩进两字）表正文正文非缩进特点标题4段1 + 首行缩进:  2 字符"/>
    <w:basedOn w:val="20"/>
    <w:uiPriority w:val="0"/>
    <w:pPr>
      <w:ind w:firstLine="200" w:firstLineChars="200"/>
    </w:pPr>
  </w:style>
  <w:style w:type="paragraph" w:customStyle="1" w:styleId="169">
    <w:name w:val="Item Step in Table"/>
    <w:uiPriority w:val="0"/>
    <w:pPr>
      <w:tabs>
        <w:tab w:val="left" w:pos="397"/>
      </w:tabs>
      <w:spacing w:before="40" w:after="40"/>
      <w:jc w:val="both"/>
    </w:pPr>
    <w:rPr>
      <w:rFonts w:ascii="Arial" w:hAnsi="Arial" w:eastAsia="宋体" w:cs="Times New Roman"/>
      <w:sz w:val="18"/>
      <w:lang w:val="en-US" w:eastAsia="zh-CN" w:bidi="ar-SA"/>
    </w:rPr>
  </w:style>
  <w:style w:type="paragraph" w:customStyle="1" w:styleId="170">
    <w:name w:val="附录4"/>
    <w:basedOn w:val="1"/>
    <w:next w:val="1"/>
    <w:uiPriority w:val="0"/>
    <w:pPr>
      <w:widowControl/>
      <w:tabs>
        <w:tab w:val="left" w:pos="1134"/>
      </w:tabs>
      <w:spacing w:line="300" w:lineRule="auto"/>
      <w:ind w:left="1361" w:hanging="1361"/>
      <w:outlineLvl w:val="3"/>
    </w:pPr>
    <w:rPr>
      <w:rFonts w:ascii="Arial" w:hAnsi="Arial" w:eastAsia="黑体"/>
      <w:kern w:val="0"/>
    </w:rPr>
  </w:style>
  <w:style w:type="paragraph" w:customStyle="1" w:styleId="171">
    <w:name w:val="Item List"/>
    <w:uiPriority w:val="0"/>
    <w:pPr>
      <w:numPr>
        <w:ilvl w:val="0"/>
        <w:numId w:val="7"/>
      </w:numPr>
      <w:spacing w:line="300" w:lineRule="auto"/>
      <w:jc w:val="both"/>
    </w:pPr>
    <w:rPr>
      <w:rFonts w:ascii="Arial" w:hAnsi="Arial" w:eastAsia="宋体" w:cs="Times New Roman"/>
      <w:sz w:val="21"/>
      <w:lang w:val="en-US" w:eastAsia="zh-CN" w:bidi="ar-SA"/>
    </w:rPr>
  </w:style>
  <w:style w:type="paragraph" w:customStyle="1" w:styleId="172">
    <w:name w:val="xl23"/>
    <w:basedOn w:val="1"/>
    <w:uiPriority w:val="0"/>
    <w:pPr>
      <w:widowControl/>
      <w:spacing w:before="100" w:beforeAutospacing="1" w:after="100" w:afterAutospacing="1" w:line="360" w:lineRule="auto"/>
      <w:textAlignment w:val="top"/>
    </w:pPr>
    <w:rPr>
      <w:kern w:val="0"/>
      <w:sz w:val="24"/>
    </w:rPr>
  </w:style>
  <w:style w:type="paragraph" w:customStyle="1" w:styleId="173">
    <w:name w:val="样式 标题 1章标题Heading 0Section HeadPIM 1H1h11st levell11H1..."/>
    <w:basedOn w:val="4"/>
    <w:uiPriority w:val="0"/>
    <w:pPr>
      <w:keepLines/>
      <w:pageBreakBefore/>
      <w:tabs>
        <w:tab w:val="left" w:pos="432"/>
      </w:tabs>
      <w:autoSpaceDE w:val="0"/>
      <w:autoSpaceDN w:val="0"/>
      <w:adjustRightInd w:val="0"/>
      <w:spacing w:before="340" w:after="330" w:line="578" w:lineRule="atLeast"/>
      <w:textAlignment w:val="bottom"/>
    </w:pPr>
    <w:rPr>
      <w:rFonts w:eastAsia="黑体"/>
      <w:b/>
      <w:kern w:val="44"/>
      <w:sz w:val="36"/>
    </w:rPr>
  </w:style>
  <w:style w:type="paragraph" w:customStyle="1" w:styleId="174">
    <w:name w:val="操作步骤"/>
    <w:basedOn w:val="1"/>
    <w:uiPriority w:val="0"/>
    <w:pPr>
      <w:numPr>
        <w:ilvl w:val="0"/>
        <w:numId w:val="8"/>
      </w:numPr>
      <w:autoSpaceDE w:val="0"/>
      <w:autoSpaceDN w:val="0"/>
      <w:adjustRightInd w:val="0"/>
      <w:snapToGrid w:val="0"/>
      <w:spacing w:line="40" w:lineRule="atLeast"/>
      <w:textAlignment w:val="bottom"/>
    </w:pPr>
    <w:rPr>
      <w:rFonts w:ascii="昆仑楷体" w:hAnsi="昆仑楷体" w:eastAsia="楷体_GB2312"/>
      <w:kern w:val="0"/>
      <w:sz w:val="21"/>
    </w:rPr>
  </w:style>
  <w:style w:type="paragraph" w:customStyle="1" w:styleId="175">
    <w:name w:val="Char Char1 Char"/>
    <w:basedOn w:val="1"/>
    <w:uiPriority w:val="0"/>
    <w:rPr>
      <w:rFonts w:ascii="Tahoma" w:hAnsi="Tahoma"/>
      <w:sz w:val="24"/>
      <w:szCs w:val="24"/>
    </w:rPr>
  </w:style>
  <w:style w:type="paragraph" w:customStyle="1" w:styleId="176">
    <w:name w:val="bt"/>
    <w:basedOn w:val="1"/>
    <w:next w:val="2"/>
    <w:uiPriority w:val="0"/>
    <w:pPr>
      <w:overflowPunct w:val="0"/>
      <w:autoSpaceDE w:val="0"/>
      <w:autoSpaceDN w:val="0"/>
      <w:adjustRightInd w:val="0"/>
      <w:snapToGrid w:val="0"/>
      <w:spacing w:before="100" w:after="100" w:line="240" w:lineRule="atLeast"/>
      <w:ind w:left="2880" w:hanging="360"/>
      <w:textAlignment w:val="baseline"/>
    </w:pPr>
    <w:rPr>
      <w:rFonts w:ascii="宋体"/>
      <w:kern w:val="0"/>
      <w:sz w:val="20"/>
    </w:rPr>
  </w:style>
  <w:style w:type="paragraph" w:customStyle="1" w:styleId="177">
    <w:name w:val="附录1"/>
    <w:basedOn w:val="1"/>
    <w:next w:val="1"/>
    <w:qFormat/>
    <w:uiPriority w:val="0"/>
    <w:pPr>
      <w:tabs>
        <w:tab w:val="left" w:pos="1304"/>
      </w:tabs>
      <w:ind w:left="425" w:hanging="425"/>
      <w:outlineLvl w:val="0"/>
    </w:pPr>
    <w:rPr>
      <w:rFonts w:ascii="黑体" w:eastAsia="黑体"/>
      <w:b/>
      <w:sz w:val="44"/>
    </w:rPr>
  </w:style>
  <w:style w:type="paragraph" w:customStyle="1" w:styleId="178">
    <w:name w:val="样式2"/>
    <w:basedOn w:val="7"/>
    <w:qFormat/>
    <w:uiPriority w:val="0"/>
    <w:pPr>
      <w:numPr>
        <w:ilvl w:val="0"/>
        <w:numId w:val="9"/>
      </w:numPr>
      <w:spacing w:before="560" w:line="400" w:lineRule="exact"/>
      <w:jc w:val="center"/>
      <w:outlineLvl w:val="0"/>
    </w:pPr>
    <w:rPr>
      <w:b w:val="0"/>
      <w:sz w:val="44"/>
    </w:rPr>
  </w:style>
  <w:style w:type="paragraph" w:customStyle="1" w:styleId="179">
    <w:name w:val="样式 首行缩进:  0.74 厘米"/>
    <w:basedOn w:val="1"/>
    <w:uiPriority w:val="0"/>
    <w:pPr>
      <w:spacing w:line="360" w:lineRule="auto"/>
      <w:ind w:firstLine="420"/>
    </w:pPr>
    <w:rPr>
      <w:sz w:val="24"/>
    </w:rPr>
  </w:style>
  <w:style w:type="paragraph" w:customStyle="1" w:styleId="180">
    <w:name w:val="简单回函地址"/>
    <w:basedOn w:val="1"/>
    <w:uiPriority w:val="0"/>
    <w:pPr>
      <w:adjustRightInd w:val="0"/>
      <w:snapToGrid w:val="0"/>
      <w:spacing w:line="360" w:lineRule="auto"/>
    </w:pPr>
    <w:rPr>
      <w:sz w:val="24"/>
    </w:rPr>
  </w:style>
  <w:style w:type="paragraph" w:customStyle="1" w:styleId="181">
    <w:name w:val="内容标题"/>
    <w:basedOn w:val="22"/>
    <w:qFormat/>
    <w:uiPriority w:val="0"/>
    <w:rPr>
      <w:rFonts w:ascii="Tahoma" w:hAnsi="Tahoma"/>
      <w:sz w:val="24"/>
    </w:rPr>
  </w:style>
  <w:style w:type="paragraph" w:customStyle="1" w:styleId="182">
    <w:name w:val="1"/>
    <w:basedOn w:val="1"/>
    <w:next w:val="34"/>
    <w:qFormat/>
    <w:uiPriority w:val="0"/>
    <w:rPr>
      <w:rFonts w:ascii="宋体"/>
      <w:sz w:val="21"/>
    </w:rPr>
  </w:style>
  <w:style w:type="paragraph" w:customStyle="1" w:styleId="183">
    <w:name w:val="_Style 3"/>
    <w:basedOn w:val="1"/>
    <w:qFormat/>
    <w:uiPriority w:val="99"/>
    <w:pPr>
      <w:ind w:firstLine="200" w:firstLineChars="200"/>
    </w:pPr>
    <w:rPr>
      <w:sz w:val="21"/>
      <w:szCs w:val="24"/>
    </w:rPr>
  </w:style>
  <w:style w:type="paragraph" w:customStyle="1" w:styleId="184">
    <w:name w:val="关键词"/>
    <w:basedOn w:val="1"/>
    <w:next w:val="1"/>
    <w:uiPriority w:val="0"/>
    <w:pPr>
      <w:spacing w:line="360" w:lineRule="auto"/>
    </w:pPr>
    <w:rPr>
      <w:rFonts w:eastAsia="黑体"/>
      <w:sz w:val="20"/>
    </w:rPr>
  </w:style>
  <w:style w:type="paragraph" w:customStyle="1" w:styleId="185">
    <w:name w:val="style1"/>
    <w:basedOn w:val="1"/>
    <w:uiPriority w:val="0"/>
    <w:pPr>
      <w:widowControl/>
      <w:spacing w:before="100" w:beforeAutospacing="1" w:after="100" w:afterAutospacing="1"/>
      <w:jc w:val="left"/>
    </w:pPr>
    <w:rPr>
      <w:rFonts w:ascii="宋体"/>
      <w:kern w:val="0"/>
      <w:sz w:val="21"/>
    </w:rPr>
  </w:style>
  <w:style w:type="paragraph" w:customStyle="1" w:styleId="186">
    <w:name w:val="普通正文"/>
    <w:basedOn w:val="1"/>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87">
    <w:name w:val="content"/>
    <w:basedOn w:val="1"/>
    <w:uiPriority w:val="0"/>
    <w:pPr>
      <w:widowControl/>
      <w:spacing w:before="100" w:beforeAutospacing="1" w:after="100" w:afterAutospacing="1" w:line="280" w:lineRule="atLeast"/>
      <w:ind w:firstLine="375"/>
      <w:jc w:val="left"/>
    </w:pPr>
    <w:rPr>
      <w:rFonts w:ascii="宋体"/>
      <w:color w:val="000000"/>
      <w:kern w:val="0"/>
      <w:sz w:val="18"/>
    </w:rPr>
  </w:style>
  <w:style w:type="paragraph" w:customStyle="1" w:styleId="188">
    <w:name w:val="小标题 1"/>
    <w:basedOn w:val="1"/>
    <w:uiPriority w:val="0"/>
    <w:pPr>
      <w:autoSpaceDE w:val="0"/>
      <w:autoSpaceDN w:val="0"/>
      <w:adjustRightInd w:val="0"/>
      <w:spacing w:line="360" w:lineRule="atLeast"/>
    </w:pPr>
    <w:rPr>
      <w:rFonts w:ascii="文鼎粗黑" w:eastAsia="文鼎粗黑"/>
      <w:kern w:val="0"/>
      <w:sz w:val="22"/>
    </w:rPr>
  </w:style>
  <w:style w:type="paragraph" w:customStyle="1" w:styleId="189">
    <w:name w:val="Title - Revision"/>
    <w:basedOn w:val="59"/>
    <w:uiPriority w:val="0"/>
    <w:pPr>
      <w:spacing w:before="720"/>
    </w:pPr>
  </w:style>
  <w:style w:type="paragraph" w:customStyle="1" w:styleId="190">
    <w:name w:val="标题3——2"/>
    <w:basedOn w:val="6"/>
    <w:next w:val="17"/>
    <w:uiPriority w:val="0"/>
    <w:pPr>
      <w:tabs>
        <w:tab w:val="left" w:pos="1280"/>
        <w:tab w:val="right" w:leader="dot" w:pos="8777"/>
      </w:tabs>
      <w:spacing w:beforeLines="100" w:after="0" w:line="240" w:lineRule="auto"/>
      <w:ind w:left="851" w:hanging="851"/>
      <w:outlineLvl w:val="9"/>
    </w:pPr>
    <w:rPr>
      <w:rFonts w:ascii="黑体" w:eastAsia="黑体"/>
      <w:sz w:val="30"/>
    </w:rPr>
  </w:style>
  <w:style w:type="paragraph" w:customStyle="1" w:styleId="191">
    <w:name w:val="列出段落1"/>
    <w:basedOn w:val="1"/>
    <w:qFormat/>
    <w:uiPriority w:val="0"/>
    <w:pPr>
      <w:ind w:firstLine="200" w:firstLineChars="200"/>
    </w:pPr>
    <w:rPr>
      <w:sz w:val="21"/>
      <w:szCs w:val="24"/>
    </w:rPr>
  </w:style>
  <w:style w:type="paragraph" w:customStyle="1" w:styleId="192">
    <w:name w:val="Char1 Char Char Char"/>
    <w:basedOn w:val="1"/>
    <w:uiPriority w:val="0"/>
    <w:rPr>
      <w:rFonts w:ascii="Tahoma" w:hAnsi="Tahoma"/>
      <w:sz w:val="30"/>
    </w:rPr>
  </w:style>
  <w:style w:type="paragraph" w:customStyle="1" w:styleId="193">
    <w:name w:val="移动五期"/>
    <w:basedOn w:val="1"/>
    <w:qFormat/>
    <w:uiPriority w:val="0"/>
    <w:pPr>
      <w:spacing w:line="360" w:lineRule="auto"/>
      <w:ind w:firstLine="454"/>
    </w:pPr>
    <w:rPr>
      <w:rFonts w:ascii="宋体"/>
      <w:sz w:val="24"/>
    </w:rPr>
  </w:style>
  <w:style w:type="paragraph" w:customStyle="1" w:styleId="194">
    <w:name w:val="xl40"/>
    <w:basedOn w:val="1"/>
    <w:qFormat/>
    <w:uiPriority w:val="0"/>
    <w:pPr>
      <w:widowControl/>
      <w:pBdr>
        <w:left w:val="single" w:color="auto" w:sz="4" w:space="0"/>
        <w:right w:val="single" w:color="auto" w:sz="4" w:space="0"/>
      </w:pBdr>
      <w:spacing w:before="100" w:beforeAutospacing="1" w:after="100" w:afterAutospacing="1"/>
      <w:jc w:val="center"/>
    </w:pPr>
    <w:rPr>
      <w:rFonts w:ascii="宋体"/>
      <w:kern w:val="0"/>
      <w:sz w:val="24"/>
    </w:rPr>
  </w:style>
  <w:style w:type="paragraph" w:customStyle="1" w:styleId="195">
    <w:name w:val="Char Char Char Char Char Char Char"/>
    <w:basedOn w:val="22"/>
    <w:uiPriority w:val="0"/>
    <w:rPr>
      <w:rFonts w:ascii="宋体"/>
    </w:rPr>
  </w:style>
  <w:style w:type="paragraph" w:customStyle="1" w:styleId="196">
    <w:name w:val="样式 样式 首行缩进:  2 字符 + 首行缩进:  2 字符"/>
    <w:basedOn w:val="1"/>
    <w:uiPriority w:val="0"/>
    <w:pPr>
      <w:numPr>
        <w:ilvl w:val="0"/>
        <w:numId w:val="10"/>
      </w:numPr>
      <w:spacing w:line="360" w:lineRule="auto"/>
      <w:ind w:firstLine="200" w:firstLineChars="200"/>
    </w:pPr>
    <w:rPr>
      <w:sz w:val="24"/>
    </w:rPr>
  </w:style>
  <w:style w:type="paragraph" w:customStyle="1" w:styleId="197">
    <w:name w:val="Char Char Char Char Char Char Char Char Char Char Char Char Char Char Char Char"/>
    <w:basedOn w:val="1"/>
    <w:uiPriority w:val="0"/>
    <w:pPr>
      <w:tabs>
        <w:tab w:val="left" w:pos="360"/>
      </w:tabs>
    </w:pPr>
    <w:rPr>
      <w:sz w:val="24"/>
    </w:rPr>
  </w:style>
  <w:style w:type="paragraph" w:customStyle="1" w:styleId="198">
    <w:name w:val="附录2"/>
    <w:basedOn w:val="1"/>
    <w:next w:val="1"/>
    <w:uiPriority w:val="0"/>
    <w:pPr>
      <w:tabs>
        <w:tab w:val="left" w:pos="420"/>
        <w:tab w:val="left" w:pos="624"/>
      </w:tabs>
      <w:ind w:left="420" w:hanging="420"/>
      <w:outlineLvl w:val="1"/>
    </w:pPr>
    <w:rPr>
      <w:rFonts w:ascii="黑体" w:eastAsia="黑体"/>
      <w:b/>
      <w:sz w:val="32"/>
    </w:rPr>
  </w:style>
  <w:style w:type="paragraph" w:customStyle="1" w:styleId="199">
    <w:name w:val="文档正文"/>
    <w:basedOn w:val="1"/>
    <w:uiPriority w:val="0"/>
    <w:pPr>
      <w:adjustRightInd w:val="0"/>
      <w:snapToGrid w:val="0"/>
      <w:spacing w:line="440" w:lineRule="exact"/>
      <w:ind w:firstLine="567"/>
      <w:textAlignment w:val="baseline"/>
    </w:pPr>
    <w:rPr>
      <w:rFonts w:ascii="Arial Narrow" w:hAnsi="Arial Narrow"/>
      <w:kern w:val="0"/>
      <w:sz w:val="24"/>
    </w:rPr>
  </w:style>
  <w:style w:type="paragraph" w:customStyle="1" w:styleId="200">
    <w:name w:val="样式 正文首行缩进 2 + 首行缩进:  2 字符"/>
    <w:basedOn w:val="1"/>
    <w:uiPriority w:val="0"/>
    <w:pPr>
      <w:numPr>
        <w:ilvl w:val="0"/>
        <w:numId w:val="11"/>
      </w:numPr>
      <w:adjustRightInd w:val="0"/>
      <w:snapToGrid w:val="0"/>
      <w:spacing w:line="360" w:lineRule="auto"/>
    </w:pPr>
    <w:rPr>
      <w:rFonts w:ascii="Arial" w:hAnsi="Arial"/>
      <w:b/>
      <w:sz w:val="24"/>
    </w:rPr>
  </w:style>
  <w:style w:type="paragraph" w:customStyle="1" w:styleId="201">
    <w:name w:val="标题2"/>
    <w:basedOn w:val="5"/>
    <w:uiPriority w:val="0"/>
    <w:pPr>
      <w:keepNext w:val="0"/>
      <w:keepLines w:val="0"/>
      <w:adjustRightInd w:val="0"/>
      <w:snapToGrid w:val="0"/>
      <w:spacing w:before="0" w:after="0" w:line="360" w:lineRule="auto"/>
      <w:ind w:firstLine="196" w:firstLineChars="196"/>
      <w:outlineLvl w:val="9"/>
    </w:pPr>
    <w:rPr>
      <w:rFonts w:ascii="宋体" w:eastAsia="宋体"/>
      <w:spacing w:val="6"/>
      <w:sz w:val="28"/>
      <w:u w:val="single"/>
    </w:rPr>
  </w:style>
  <w:style w:type="paragraph" w:customStyle="1" w:styleId="202">
    <w:name w:val="正文1"/>
    <w:basedOn w:val="1"/>
    <w:uiPriority w:val="0"/>
    <w:pPr>
      <w:spacing w:line="300" w:lineRule="auto"/>
      <w:ind w:firstLine="200" w:firstLineChars="200"/>
    </w:pPr>
    <w:rPr>
      <w:sz w:val="24"/>
    </w:rPr>
  </w:style>
  <w:style w:type="paragraph" w:customStyle="1" w:styleId="203">
    <w:name w:val="tabletext"/>
    <w:basedOn w:val="1"/>
    <w:uiPriority w:val="0"/>
    <w:pPr>
      <w:widowControl/>
      <w:spacing w:before="100" w:beforeAutospacing="1" w:after="100" w:afterAutospacing="1"/>
      <w:jc w:val="left"/>
    </w:pPr>
    <w:rPr>
      <w:rFonts w:ascii="宋体" w:cs="宋体"/>
      <w:kern w:val="0"/>
      <w:sz w:val="24"/>
      <w:szCs w:val="24"/>
    </w:rPr>
  </w:style>
  <w:style w:type="paragraph" w:customStyle="1" w:styleId="204">
    <w:name w:val="标书正文:  0.74 厘米"/>
    <w:basedOn w:val="1"/>
    <w:uiPriority w:val="0"/>
    <w:pPr>
      <w:snapToGrid w:val="0"/>
      <w:spacing w:line="360" w:lineRule="auto"/>
      <w:ind w:firstLine="420"/>
    </w:pPr>
    <w:rPr>
      <w:sz w:val="24"/>
    </w:rPr>
  </w:style>
  <w:style w:type="paragraph" w:customStyle="1" w:styleId="205">
    <w:name w:val="Char1"/>
    <w:basedOn w:val="1"/>
    <w:uiPriority w:val="0"/>
    <w:rPr>
      <w:sz w:val="21"/>
    </w:rPr>
  </w:style>
  <w:style w:type="paragraph" w:customStyle="1" w:styleId="206">
    <w:name w:val="正文（首行不缩进）"/>
    <w:basedOn w:val="1"/>
    <w:uiPriority w:val="0"/>
    <w:pPr>
      <w:autoSpaceDE w:val="0"/>
      <w:autoSpaceDN w:val="0"/>
      <w:adjustRightInd w:val="0"/>
      <w:spacing w:line="360" w:lineRule="auto"/>
      <w:jc w:val="left"/>
    </w:pPr>
    <w:rPr>
      <w:kern w:val="0"/>
      <w:sz w:val="21"/>
    </w:rPr>
  </w:style>
  <w:style w:type="paragraph" w:customStyle="1" w:styleId="207">
    <w:name w:val="Pull Quote"/>
    <w:basedOn w:val="1"/>
    <w:uiPriority w:val="0"/>
    <w:pPr>
      <w:pBdr>
        <w:top w:val="single" w:color="auto" w:sz="18" w:space="12"/>
        <w:left w:val="single" w:color="FFFFFF" w:sz="6" w:space="12"/>
        <w:bottom w:val="single" w:color="auto" w:sz="6" w:space="12"/>
        <w:right w:val="single" w:color="FFFFFF" w:sz="6" w:space="12"/>
      </w:pBdr>
      <w:shd w:val="pct10" w:color="auto" w:fill="auto"/>
      <w:spacing w:before="120" w:after="240" w:line="288" w:lineRule="auto"/>
      <w:ind w:left="144" w:right="144"/>
      <w:jc w:val="center"/>
    </w:pPr>
    <w:rPr>
      <w:b/>
      <w:i/>
      <w:sz w:val="24"/>
    </w:rPr>
  </w:style>
  <w:style w:type="paragraph" w:customStyle="1" w:styleId="208">
    <w:name w:val="标题无"/>
    <w:basedOn w:val="1"/>
    <w:uiPriority w:val="0"/>
    <w:pPr>
      <w:spacing w:line="360" w:lineRule="auto"/>
    </w:pPr>
    <w:rPr>
      <w:sz w:val="24"/>
    </w:rPr>
  </w:style>
  <w:style w:type="paragraph" w:customStyle="1" w:styleId="209">
    <w:name w:val="首行缩进"/>
    <w:basedOn w:val="1"/>
    <w:uiPriority w:val="0"/>
    <w:pPr>
      <w:numPr>
        <w:ilvl w:val="0"/>
        <w:numId w:val="12"/>
      </w:numPr>
      <w:spacing w:line="360" w:lineRule="auto"/>
    </w:pPr>
    <w:rPr>
      <w:rFonts w:eastAsia="仿宋_GB2312"/>
    </w:rPr>
  </w:style>
  <w:style w:type="paragraph" w:customStyle="1" w:styleId="210">
    <w:name w:val="附录3"/>
    <w:basedOn w:val="1"/>
    <w:next w:val="1"/>
    <w:uiPriority w:val="0"/>
    <w:pPr>
      <w:tabs>
        <w:tab w:val="left" w:pos="851"/>
      </w:tabs>
      <w:ind w:left="425" w:hanging="425"/>
      <w:outlineLvl w:val="2"/>
    </w:pPr>
    <w:rPr>
      <w:rFonts w:eastAsia="黑体"/>
      <w:b/>
      <w:sz w:val="32"/>
    </w:rPr>
  </w:style>
  <w:style w:type="paragraph" w:customStyle="1" w:styleId="211">
    <w:name w:val="Char Char14 Char Char"/>
    <w:basedOn w:val="1"/>
    <w:qFormat/>
    <w:uiPriority w:val="0"/>
    <w:rPr>
      <w:sz w:val="21"/>
      <w:szCs w:val="24"/>
    </w:rPr>
  </w:style>
  <w:style w:type="paragraph" w:customStyle="1" w:styleId="212">
    <w:name w:val="样式1xz"/>
    <w:basedOn w:val="1"/>
    <w:uiPriority w:val="0"/>
    <w:pPr>
      <w:tabs>
        <w:tab w:val="left" w:pos="1050"/>
        <w:tab w:val="right" w:leader="dot" w:pos="8296"/>
      </w:tabs>
    </w:pPr>
    <w:rPr>
      <w:caps/>
      <w:spacing w:val="20"/>
      <w:sz w:val="24"/>
    </w:rPr>
  </w:style>
  <w:style w:type="paragraph" w:customStyle="1" w:styleId="213">
    <w:name w:val="表头文本"/>
    <w:uiPriority w:val="0"/>
    <w:pPr>
      <w:jc w:val="center"/>
    </w:pPr>
    <w:rPr>
      <w:rFonts w:ascii="Arial" w:hAnsi="Arial" w:eastAsia="宋体" w:cs="Times New Roman"/>
      <w:b/>
      <w:sz w:val="21"/>
      <w:lang w:val="en-US" w:eastAsia="zh-CN" w:bidi="ar-SA"/>
    </w:rPr>
  </w:style>
  <w:style w:type="paragraph" w:customStyle="1" w:styleId="214">
    <w:name w:val="Char Char Char"/>
    <w:basedOn w:val="1"/>
    <w:uiPriority w:val="0"/>
    <w:rPr>
      <w:rFonts w:ascii="Tahoma" w:hAnsi="Tahoma"/>
      <w:sz w:val="24"/>
    </w:rPr>
  </w:style>
  <w:style w:type="paragraph" w:customStyle="1" w:styleId="215">
    <w:name w:val="Char Char 字元 字元 字元 Char Char Char Char"/>
    <w:basedOn w:val="1"/>
    <w:uiPriority w:val="0"/>
    <w:pPr>
      <w:adjustRightInd w:val="0"/>
      <w:spacing w:line="360" w:lineRule="auto"/>
    </w:pPr>
    <w:rPr>
      <w:kern w:val="0"/>
      <w:sz w:val="24"/>
    </w:rPr>
  </w:style>
  <w:style w:type="paragraph" w:customStyle="1" w:styleId="216">
    <w:name w:val="正文格式 Char"/>
    <w:basedOn w:val="1"/>
    <w:uiPriority w:val="0"/>
    <w:pPr>
      <w:widowControl/>
      <w:adjustRightInd w:val="0"/>
      <w:spacing w:line="440" w:lineRule="atLeast"/>
      <w:ind w:firstLine="510"/>
      <w:textAlignment w:val="baseline"/>
    </w:pPr>
    <w:rPr>
      <w:kern w:val="0"/>
      <w:sz w:val="24"/>
    </w:rPr>
  </w:style>
  <w:style w:type="paragraph" w:customStyle="1" w:styleId="217">
    <w:name w:val="Table Heading"/>
    <w:uiPriority w:val="0"/>
    <w:pPr>
      <w:keepNext/>
      <w:snapToGrid w:val="0"/>
      <w:spacing w:before="80" w:after="80"/>
      <w:jc w:val="center"/>
    </w:pPr>
    <w:rPr>
      <w:rFonts w:ascii="Arial" w:hAnsi="Arial" w:eastAsia="黑体" w:cs="Times New Roman"/>
      <w:sz w:val="18"/>
      <w:lang w:val="en-US" w:eastAsia="zh-CN" w:bidi="ar-SA"/>
    </w:rPr>
  </w:style>
  <w:style w:type="paragraph" w:customStyle="1" w:styleId="218">
    <w:name w:val="缺省文本"/>
    <w:basedOn w:val="1"/>
    <w:uiPriority w:val="0"/>
    <w:pPr>
      <w:tabs>
        <w:tab w:val="left" w:pos="1260"/>
      </w:tabs>
      <w:autoSpaceDE w:val="0"/>
      <w:autoSpaceDN w:val="0"/>
      <w:adjustRightInd w:val="0"/>
      <w:spacing w:line="360" w:lineRule="auto"/>
      <w:jc w:val="left"/>
    </w:pPr>
    <w:rPr>
      <w:kern w:val="0"/>
      <w:sz w:val="24"/>
    </w:rPr>
  </w:style>
  <w:style w:type="paragraph" w:customStyle="1" w:styleId="219">
    <w:name w:val="文档正文 Char Char Char Char"/>
    <w:basedOn w:val="1"/>
    <w:uiPriority w:val="0"/>
    <w:pPr>
      <w:adjustRightInd w:val="0"/>
      <w:spacing w:line="440" w:lineRule="exact"/>
      <w:ind w:firstLine="420"/>
      <w:textAlignment w:val="baseline"/>
    </w:pPr>
    <w:rPr>
      <w:rFonts w:ascii="Arial Narrow" w:hAnsi="Arial Narrow"/>
      <w:kern w:val="0"/>
      <w:sz w:val="24"/>
    </w:rPr>
  </w:style>
  <w:style w:type="paragraph" w:customStyle="1" w:styleId="220">
    <w:name w:val="表号"/>
    <w:basedOn w:val="1"/>
    <w:uiPriority w:val="0"/>
    <w:pPr>
      <w:numPr>
        <w:ilvl w:val="0"/>
        <w:numId w:val="13"/>
      </w:numPr>
      <w:tabs>
        <w:tab w:val="left" w:pos="648"/>
      </w:tabs>
      <w:autoSpaceDE w:val="0"/>
      <w:autoSpaceDN w:val="0"/>
      <w:adjustRightInd w:val="0"/>
      <w:spacing w:before="210" w:after="210"/>
      <w:ind w:left="425" w:hanging="137"/>
      <w:jc w:val="center"/>
    </w:pPr>
    <w:rPr>
      <w:kern w:val="0"/>
      <w:sz w:val="21"/>
    </w:rPr>
  </w:style>
  <w:style w:type="paragraph" w:customStyle="1" w:styleId="221">
    <w:name w:val="表格1"/>
    <w:basedOn w:val="1"/>
    <w:next w:val="1"/>
    <w:uiPriority w:val="0"/>
    <w:pPr>
      <w:kinsoku w:val="0"/>
      <w:wordWrap w:val="0"/>
      <w:overflowPunct w:val="0"/>
      <w:autoSpaceDE w:val="0"/>
      <w:autoSpaceDN w:val="0"/>
      <w:adjustRightInd w:val="0"/>
      <w:spacing w:line="288" w:lineRule="auto"/>
      <w:jc w:val="center"/>
      <w:textAlignment w:val="baseline"/>
    </w:pPr>
    <w:rPr>
      <w:rFonts w:ascii="宋体"/>
      <w:kern w:val="0"/>
      <w:sz w:val="18"/>
    </w:rPr>
  </w:style>
  <w:style w:type="paragraph" w:customStyle="1" w:styleId="222">
    <w:name w:val="Char Char Char Char Char Char Char1"/>
    <w:basedOn w:val="1"/>
    <w:uiPriority w:val="0"/>
    <w:rPr>
      <w:rFonts w:ascii="Tahoma" w:hAnsi="Tahoma"/>
      <w:sz w:val="24"/>
    </w:rPr>
  </w:style>
  <w:style w:type="paragraph" w:customStyle="1" w:styleId="223">
    <w:name w:val="Figure Description"/>
    <w:next w:val="1"/>
    <w:uiPriority w:val="0"/>
    <w:pPr>
      <w:snapToGrid w:val="0"/>
      <w:spacing w:before="80" w:after="320"/>
      <w:ind w:left="1134"/>
      <w:jc w:val="center"/>
    </w:pPr>
    <w:rPr>
      <w:rFonts w:ascii="Arial" w:hAnsi="Arial" w:eastAsia="黑体" w:cs="Times New Roman"/>
      <w:sz w:val="18"/>
      <w:lang w:val="en-US" w:eastAsia="zh-CN" w:bidi="ar-SA"/>
    </w:rPr>
  </w:style>
  <w:style w:type="paragraph" w:customStyle="1" w:styleId="224">
    <w:name w:val="È±Ê¡ÎÄ±¾"/>
    <w:basedOn w:val="1"/>
    <w:uiPriority w:val="0"/>
    <w:pPr>
      <w:widowControl/>
      <w:overflowPunct w:val="0"/>
      <w:autoSpaceDE w:val="0"/>
      <w:autoSpaceDN w:val="0"/>
      <w:adjustRightInd w:val="0"/>
      <w:jc w:val="left"/>
      <w:textAlignment w:val="baseline"/>
    </w:pPr>
    <w:rPr>
      <w:kern w:val="0"/>
      <w:sz w:val="24"/>
    </w:rPr>
  </w:style>
  <w:style w:type="paragraph" w:customStyle="1" w:styleId="225">
    <w:name w:val="图标"/>
    <w:basedOn w:val="1"/>
    <w:next w:val="1"/>
    <w:uiPriority w:val="0"/>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sz w:val="24"/>
    </w:rPr>
  </w:style>
  <w:style w:type="paragraph" w:customStyle="1" w:styleId="226">
    <w:name w:val="表头样式"/>
    <w:basedOn w:val="1"/>
    <w:uiPriority w:val="0"/>
    <w:pPr>
      <w:autoSpaceDE w:val="0"/>
      <w:autoSpaceDN w:val="0"/>
      <w:adjustRightInd w:val="0"/>
      <w:spacing w:line="360" w:lineRule="auto"/>
      <w:jc w:val="left"/>
    </w:pPr>
    <w:rPr>
      <w:b/>
      <w:kern w:val="0"/>
      <w:sz w:val="21"/>
    </w:rPr>
  </w:style>
  <w:style w:type="paragraph" w:customStyle="1" w:styleId="227">
    <w:name w:val="_"/>
    <w:basedOn w:val="1"/>
    <w:uiPriority w:val="0"/>
    <w:pPr>
      <w:adjustRightInd w:val="0"/>
      <w:spacing w:line="360" w:lineRule="auto"/>
      <w:ind w:left="480" w:firstLine="200" w:firstLineChars="200"/>
      <w:textAlignment w:val="baseline"/>
    </w:pPr>
    <w:rPr>
      <w:kern w:val="0"/>
      <w:sz w:val="24"/>
    </w:rPr>
  </w:style>
  <w:style w:type="paragraph" w:customStyle="1" w:styleId="228">
    <w:name w:val="CSS1级正文 Char"/>
    <w:basedOn w:val="2"/>
    <w:uiPriority w:val="0"/>
    <w:pPr>
      <w:adjustRightInd w:val="0"/>
      <w:snapToGrid w:val="0"/>
      <w:spacing w:line="360" w:lineRule="auto"/>
      <w:ind w:firstLine="480"/>
    </w:pPr>
    <w:rPr>
      <w:rFonts w:ascii="Times New Roman" w:hAnsi="Times New Roman" w:eastAsia="宋体"/>
      <w:sz w:val="24"/>
    </w:rPr>
  </w:style>
  <w:style w:type="paragraph" w:customStyle="1" w:styleId="229">
    <w:name w:val="文档正文 Char Char Char Char Char"/>
    <w:basedOn w:val="1"/>
    <w:uiPriority w:val="0"/>
    <w:pPr>
      <w:adjustRightInd w:val="0"/>
      <w:spacing w:line="440" w:lineRule="exact"/>
      <w:ind w:firstLine="420"/>
      <w:textAlignment w:val="baseline"/>
    </w:pPr>
    <w:rPr>
      <w:rFonts w:ascii="Arial Narrow" w:hAnsi="Arial Narrow"/>
      <w:kern w:val="0"/>
      <w:sz w:val="24"/>
    </w:rPr>
  </w:style>
  <w:style w:type="paragraph" w:customStyle="1" w:styleId="230">
    <w:name w:val="样式 样式 正文首行缩进 2 + 左  0 字符 + 首行缩进:  2.57 字符"/>
    <w:basedOn w:val="1"/>
    <w:next w:val="1"/>
    <w:uiPriority w:val="0"/>
    <w:pPr>
      <w:adjustRightInd w:val="0"/>
      <w:snapToGrid w:val="0"/>
      <w:spacing w:after="120"/>
      <w:ind w:firstLine="257" w:firstLineChars="257"/>
    </w:pPr>
    <w:rPr>
      <w:sz w:val="21"/>
    </w:rPr>
  </w:style>
  <w:style w:type="paragraph" w:customStyle="1" w:styleId="231">
    <w:name w:val="文本1"/>
    <w:basedOn w:val="1"/>
    <w:uiPriority w:val="0"/>
    <w:pPr>
      <w:adjustRightInd w:val="0"/>
      <w:spacing w:line="312" w:lineRule="atLeast"/>
      <w:jc w:val="center"/>
      <w:textAlignment w:val="baseline"/>
    </w:pPr>
    <w:rPr>
      <w:kern w:val="0"/>
      <w:sz w:val="18"/>
    </w:rPr>
  </w:style>
  <w:style w:type="paragraph" w:customStyle="1" w:styleId="232">
    <w:name w:val="图例"/>
    <w:basedOn w:val="1"/>
    <w:qFormat/>
    <w:uiPriority w:val="0"/>
    <w:pPr>
      <w:spacing w:before="120" w:after="120" w:line="360" w:lineRule="auto"/>
      <w:jc w:val="center"/>
    </w:pPr>
    <w:rPr>
      <w:rFonts w:eastAsia="仿宋_GB2312"/>
      <w:b/>
      <w:sz w:val="24"/>
    </w:rPr>
  </w:style>
  <w:style w:type="paragraph" w:customStyle="1" w:styleId="233">
    <w:name w:val="Char2"/>
    <w:basedOn w:val="1"/>
    <w:uiPriority w:val="0"/>
    <w:pPr>
      <w:spacing w:line="240" w:lineRule="atLeast"/>
      <w:ind w:left="420" w:firstLine="420"/>
    </w:pPr>
    <w:rPr>
      <w:kern w:val="0"/>
      <w:sz w:val="21"/>
    </w:rPr>
  </w:style>
  <w:style w:type="paragraph" w:customStyle="1" w:styleId="234">
    <w:name w:val="可研正文"/>
    <w:basedOn w:val="2"/>
    <w:uiPriority w:val="0"/>
    <w:pPr>
      <w:adjustRightInd w:val="0"/>
      <w:snapToGrid w:val="0"/>
      <w:spacing w:line="440" w:lineRule="exact"/>
      <w:ind w:firstLine="567"/>
    </w:pPr>
    <w:rPr>
      <w:sz w:val="28"/>
    </w:rPr>
  </w:style>
  <w:style w:type="paragraph" w:customStyle="1" w:styleId="235">
    <w:name w:val="编号正文"/>
    <w:basedOn w:val="199"/>
    <w:uiPriority w:val="0"/>
    <w:pPr>
      <w:snapToGrid/>
      <w:spacing w:line="360" w:lineRule="auto"/>
      <w:ind w:left="1407" w:hanging="1047"/>
      <w:jc w:val="left"/>
    </w:pPr>
    <w:rPr>
      <w:rFonts w:eastAsia="仿宋_GB2312"/>
    </w:rPr>
  </w:style>
  <w:style w:type="paragraph" w:customStyle="1" w:styleId="236">
    <w:name w:val="Defaul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237">
    <w:name w:val="正文表格"/>
    <w:basedOn w:val="1"/>
    <w:uiPriority w:val="0"/>
    <w:pPr>
      <w:adjustRightInd w:val="0"/>
      <w:spacing w:before="40" w:after="40"/>
    </w:pPr>
    <w:rPr>
      <w:sz w:val="24"/>
    </w:rPr>
  </w:style>
  <w:style w:type="paragraph" w:customStyle="1" w:styleId="238">
    <w:name w:val="Table Description"/>
    <w:next w:val="1"/>
    <w:uiPriority w:val="0"/>
    <w:pPr>
      <w:keepNext/>
      <w:snapToGrid w:val="0"/>
      <w:spacing w:before="160" w:after="80"/>
      <w:ind w:left="1134"/>
      <w:jc w:val="center"/>
    </w:pPr>
    <w:rPr>
      <w:rFonts w:ascii="Arial" w:hAnsi="Arial" w:eastAsia="黑体" w:cs="Times New Roman"/>
      <w:sz w:val="18"/>
      <w:lang w:val="en-US" w:eastAsia="zh-CN" w:bidi="ar-SA"/>
    </w:rPr>
  </w:style>
  <w:style w:type="paragraph" w:customStyle="1" w:styleId="239">
    <w:name w:val="正文字缩2字"/>
    <w:basedOn w:val="1"/>
    <w:uiPriority w:val="0"/>
    <w:pPr>
      <w:spacing w:before="60" w:after="60" w:line="360" w:lineRule="auto"/>
      <w:ind w:left="200" w:leftChars="200" w:firstLine="200" w:firstLineChars="200"/>
    </w:pPr>
    <w:rPr>
      <w:sz w:val="24"/>
    </w:rPr>
  </w:style>
  <w:style w:type="paragraph" w:customStyle="1" w:styleId="240">
    <w:name w:val="样式4"/>
    <w:basedOn w:val="7"/>
    <w:uiPriority w:val="0"/>
    <w:pPr>
      <w:adjustRightInd w:val="0"/>
      <w:snapToGrid w:val="0"/>
    </w:pPr>
  </w:style>
  <w:style w:type="paragraph" w:customStyle="1" w:styleId="241">
    <w:name w:val="正文 A"/>
    <w:qFormat/>
    <w:uiPriority w:val="0"/>
    <w:pPr>
      <w:widowControl w:val="0"/>
      <w:jc w:val="both"/>
    </w:pPr>
    <w:rPr>
      <w:rFonts w:ascii="Times New Roman" w:hAnsi="Times New Roman" w:eastAsia="Times New Roman" w:cs="Times New Roman"/>
      <w:color w:val="000000"/>
      <w:kern w:val="2"/>
      <w:sz w:val="28"/>
      <w:szCs w:val="28"/>
      <w:u w:color="000000"/>
      <w:lang w:val="en-US" w:eastAsia="zh-CN" w:bidi="ar-SA"/>
    </w:rPr>
  </w:style>
  <w:style w:type="paragraph" w:customStyle="1" w:styleId="242">
    <w:name w:val="Char Char1 Char Char Char Char Char Char Char Char Char Char Char Char Char Char"/>
    <w:basedOn w:val="1"/>
    <w:uiPriority w:val="0"/>
    <w:pPr>
      <w:widowControl/>
      <w:spacing w:after="160" w:line="240" w:lineRule="exact"/>
      <w:jc w:val="left"/>
    </w:pPr>
    <w:rPr>
      <w:rFonts w:ascii="Verdana" w:hAnsi="Verdana"/>
      <w:kern w:val="0"/>
      <w:sz w:val="20"/>
    </w:rPr>
  </w:style>
  <w:style w:type="paragraph" w:customStyle="1" w:styleId="243">
    <w:name w:val="样式 宋体 五号 行距: 单倍行距"/>
    <w:basedOn w:val="1"/>
    <w:uiPriority w:val="0"/>
    <w:pPr>
      <w:adjustRightInd w:val="0"/>
      <w:jc w:val="left"/>
    </w:pPr>
    <w:rPr>
      <w:rFonts w:ascii="宋体"/>
      <w:kern w:val="0"/>
      <w:sz w:val="21"/>
    </w:rPr>
  </w:style>
  <w:style w:type="paragraph" w:customStyle="1" w:styleId="244">
    <w:name w:val="表格文本"/>
    <w:qFormat/>
    <w:uiPriority w:val="0"/>
    <w:pPr>
      <w:tabs>
        <w:tab w:val="decimal" w:pos="0"/>
      </w:tabs>
    </w:pPr>
    <w:rPr>
      <w:rFonts w:ascii="Arial" w:hAnsi="Arial" w:eastAsia="宋体" w:cs="Times New Roman"/>
      <w:sz w:val="21"/>
      <w:lang w:val="en-US" w:eastAsia="zh-CN" w:bidi="ar-SA"/>
    </w:rPr>
  </w:style>
  <w:style w:type="paragraph" w:customStyle="1" w:styleId="245">
    <w:name w:val="Char1 Char Char Char1"/>
    <w:basedOn w:val="1"/>
    <w:uiPriority w:val="0"/>
    <w:rPr>
      <w:rFonts w:ascii="Tahoma" w:hAnsi="Tahoma"/>
      <w:sz w:val="24"/>
    </w:rPr>
  </w:style>
  <w:style w:type="paragraph" w:customStyle="1" w:styleId="246">
    <w:name w:val="样式 仿宋_GB2312 首行缩进:  2 字符"/>
    <w:basedOn w:val="1"/>
    <w:uiPriority w:val="0"/>
    <w:pPr>
      <w:spacing w:line="600" w:lineRule="exact"/>
      <w:ind w:firstLine="150" w:firstLineChars="150"/>
      <w:jc w:val="left"/>
    </w:pPr>
    <w:rPr>
      <w:rFonts w:ascii="仿宋_GB2312" w:eastAsia="仿宋_GB2312"/>
      <w:color w:val="000000"/>
      <w:kern w:val="0"/>
      <w:lang w:val="zh-CN"/>
    </w:rPr>
  </w:style>
  <w:style w:type="paragraph" w:customStyle="1" w:styleId="247">
    <w:name w:val="样式 行距: 1.5 倍行距1"/>
    <w:basedOn w:val="1"/>
    <w:uiPriority w:val="0"/>
    <w:pPr>
      <w:snapToGrid w:val="0"/>
    </w:pPr>
    <w:rPr>
      <w:sz w:val="21"/>
    </w:rPr>
  </w:style>
  <w:style w:type="paragraph" w:customStyle="1" w:styleId="248">
    <w:name w:val="正文缩进_0"/>
    <w:basedOn w:val="1"/>
    <w:uiPriority w:val="0"/>
    <w:pPr>
      <w:ind w:firstLine="420"/>
    </w:pPr>
    <w:rPr>
      <w:rFonts w:ascii="Times New Roman" w:hAnsi="Times New Roman" w:eastAsia="Times New Roman"/>
      <w:kern w:val="0"/>
      <w:sz w:val="24"/>
      <w:szCs w:val="24"/>
    </w:rPr>
  </w:style>
  <w:style w:type="character" w:customStyle="1" w:styleId="249">
    <w:name w:val="正文缩进 字符"/>
    <w:uiPriority w:val="0"/>
    <w:rPr>
      <w:kern w:val="2"/>
      <w:sz w:val="24"/>
    </w:rPr>
  </w:style>
  <w:style w:type="character" w:customStyle="1" w:styleId="250">
    <w:name w:val="批注文字 字符"/>
    <w:uiPriority w:val="0"/>
    <w:rPr>
      <w:sz w:val="24"/>
    </w:rPr>
  </w:style>
  <w:style w:type="character" w:customStyle="1" w:styleId="251">
    <w:name w:val="正文文本缩进 字符"/>
    <w:uiPriority w:val="0"/>
    <w:rPr>
      <w:kern w:val="2"/>
      <w:sz w:val="44"/>
    </w:rPr>
  </w:style>
  <w:style w:type="character" w:customStyle="1" w:styleId="252">
    <w:name w:val="正文文本缩进 2 字符"/>
    <w:uiPriority w:val="0"/>
    <w:rPr>
      <w:kern w:val="2"/>
      <w:sz w:val="28"/>
    </w:rPr>
  </w:style>
  <w:style w:type="character" w:customStyle="1" w:styleId="253">
    <w:name w:val="脚注文本 字符"/>
    <w:uiPriority w:val="0"/>
    <w:rPr>
      <w:kern w:val="2"/>
      <w:sz w:val="18"/>
    </w:rPr>
  </w:style>
  <w:style w:type="character" w:customStyle="1" w:styleId="254">
    <w:name w:val="批注主题 字符"/>
    <w:uiPriority w:val="0"/>
  </w:style>
  <w:style w:type="character" w:customStyle="1" w:styleId="255">
    <w:name w:val="正文文本首行缩进 2 字符"/>
    <w:uiPriority w:val="0"/>
  </w:style>
  <w:style w:type="character" w:customStyle="1" w:styleId="256">
    <w:name w:val="批注文字 字符1"/>
    <w:qFormat/>
    <w:uiPriority w:val="99"/>
    <w:rPr>
      <w:rFonts w:ascii="Times New Roman" w:hAnsi="Times New Roman" w:eastAsia="宋体" w:cs="Times New Roman"/>
      <w:sz w:val="28"/>
      <w:szCs w:val="20"/>
    </w:rPr>
  </w:style>
  <w:style w:type="character" w:customStyle="1" w:styleId="257">
    <w:name w:val="NormalCharacter"/>
    <w:qFormat/>
    <w:uiPriority w:val="0"/>
  </w:style>
  <w:style w:type="character" w:customStyle="1" w:styleId="258">
    <w:name w:val="日期 字符"/>
    <w:uiPriority w:val="0"/>
    <w:rPr>
      <w:kern w:val="2"/>
      <w:sz w:val="28"/>
    </w:rPr>
  </w:style>
  <w:style w:type="character" w:customStyle="1" w:styleId="259">
    <w:name w:val="标题 2 字符"/>
    <w:qFormat/>
    <w:uiPriority w:val="0"/>
    <w:rPr>
      <w:rFonts w:ascii="Arial" w:hAnsi="Arial" w:eastAsia="黑体"/>
      <w:b/>
      <w:kern w:val="2"/>
      <w:sz w:val="32"/>
    </w:rPr>
  </w:style>
  <w:style w:type="character" w:customStyle="1" w:styleId="260">
    <w:name w:val="列表段落 字符"/>
    <w:qFormat/>
    <w:uiPriority w:val="0"/>
    <w:rPr>
      <w:rFonts w:ascii="Calibri" w:hAnsi="Calibri"/>
      <w:kern w:val="2"/>
      <w:sz w:val="21"/>
      <w:szCs w:val="22"/>
    </w:rPr>
  </w:style>
  <w:style w:type="character" w:customStyle="1" w:styleId="261">
    <w:name w:val="标题 3 字符"/>
    <w:qFormat/>
    <w:uiPriority w:val="0"/>
    <w:rPr>
      <w:b/>
      <w:kern w:val="2"/>
      <w:sz w:val="32"/>
    </w:rPr>
  </w:style>
  <w:style w:type="paragraph" w:customStyle="1" w:styleId="262">
    <w:name w:val="TOC 标题1"/>
    <w:basedOn w:val="4"/>
    <w:next w:val="1"/>
    <w:qFormat/>
    <w:uiPriority w:val="0"/>
    <w:pPr>
      <w:keepNext w:val="0"/>
      <w:widowControl/>
      <w:snapToGrid/>
      <w:spacing w:before="100" w:beforeAutospacing="1" w:after="100" w:afterAutospacing="1" w:line="276" w:lineRule="auto"/>
      <w:jc w:val="left"/>
      <w:outlineLvl w:val="9"/>
    </w:pPr>
    <w:rPr>
      <w:rFonts w:ascii="仿宋" w:hAnsi="仿宋" w:cs="宋体"/>
      <w:b/>
      <w:bCs/>
      <w:color w:val="000000"/>
      <w:kern w:val="0"/>
      <w:sz w:val="48"/>
      <w:szCs w:val="32"/>
    </w:rPr>
  </w:style>
  <w:style w:type="character" w:customStyle="1" w:styleId="263">
    <w:name w:val="正文文本 字符"/>
    <w:uiPriority w:val="0"/>
    <w:rPr>
      <w:rFonts w:ascii="仿宋_GB2312" w:eastAsia="仿宋_GB2312"/>
      <w:kern w:val="2"/>
      <w:sz w:val="32"/>
    </w:rPr>
  </w:style>
  <w:style w:type="character" w:customStyle="1" w:styleId="264">
    <w:name w:val="font01"/>
    <w:qFormat/>
    <w:uiPriority w:val="0"/>
    <w:rPr>
      <w:rFonts w:ascii="Times New Roman" w:hAnsi="Times New Roman" w:cs="Times New Roman"/>
      <w:color w:val="000000"/>
      <w:sz w:val="18"/>
      <w:szCs w:val="18"/>
      <w:u w:val="none"/>
    </w:rPr>
  </w:style>
  <w:style w:type="character" w:customStyle="1" w:styleId="265">
    <w:name w:val="font11"/>
    <w:qFormat/>
    <w:uiPriority w:val="0"/>
    <w:rPr>
      <w:rFonts w:ascii="宋体" w:eastAsia="宋体" w:cs="宋体"/>
      <w:b/>
      <w:color w:val="000000"/>
      <w:sz w:val="18"/>
      <w:szCs w:val="18"/>
      <w:u w:val="none"/>
    </w:rPr>
  </w:style>
  <w:style w:type="character" w:customStyle="1" w:styleId="266">
    <w:name w:val="font61"/>
    <w:qFormat/>
    <w:uiPriority w:val="0"/>
    <w:rPr>
      <w:rFonts w:ascii="宋体" w:eastAsia="宋体" w:cs="宋体"/>
      <w:color w:val="000000"/>
      <w:sz w:val="20"/>
      <w:szCs w:val="20"/>
      <w:u w:val="none"/>
    </w:rPr>
  </w:style>
  <w:style w:type="character" w:customStyle="1" w:styleId="267">
    <w:name w:val="文字 Char Char"/>
    <w:locked/>
    <w:uiPriority w:val="0"/>
    <w:rPr>
      <w:rFonts w:ascii="宋体" w:eastAsia="宋体"/>
      <w:sz w:val="28"/>
    </w:rPr>
  </w:style>
  <w:style w:type="character" w:customStyle="1" w:styleId="268">
    <w:name w:val="font81"/>
    <w:uiPriority w:val="0"/>
    <w:rPr>
      <w:rFonts w:ascii="宋体" w:eastAsia="宋体" w:cs="宋体"/>
      <w:color w:val="000000"/>
      <w:sz w:val="18"/>
      <w:szCs w:val="18"/>
      <w:u w:val="none"/>
    </w:rPr>
  </w:style>
  <w:style w:type="character" w:customStyle="1" w:styleId="269">
    <w:name w:val="Char Char Char Char Char Char Char Char Char"/>
    <w:uiPriority w:val="0"/>
    <w:rPr>
      <w:rFonts w:ascii="宋体" w:eastAsia="宋体"/>
      <w:kern w:val="2"/>
      <w:sz w:val="24"/>
      <w:lang w:val="en-US" w:eastAsia="zh-CN" w:bidi="ar-SA"/>
    </w:rPr>
  </w:style>
  <w:style w:type="character" w:customStyle="1" w:styleId="270">
    <w:name w:val="fontstyle11"/>
    <w:uiPriority w:val="0"/>
    <w:rPr>
      <w:rFonts w:ascii="FrutigerNextLT-Light" w:hAnsi="FrutigerNextLT-Light"/>
      <w:color w:val="000000"/>
      <w:sz w:val="18"/>
      <w:szCs w:val="18"/>
    </w:rPr>
  </w:style>
  <w:style w:type="character" w:customStyle="1" w:styleId="271">
    <w:name w:val="font31"/>
    <w:uiPriority w:val="0"/>
    <w:rPr>
      <w:rFonts w:ascii="宋体" w:eastAsia="宋体" w:cs="宋体"/>
      <w:color w:val="000000"/>
      <w:sz w:val="18"/>
      <w:szCs w:val="18"/>
      <w:u w:val="none"/>
    </w:rPr>
  </w:style>
  <w:style w:type="character" w:customStyle="1" w:styleId="272">
    <w:name w:val="font21"/>
    <w:uiPriority w:val="0"/>
    <w:rPr>
      <w:rFonts w:ascii="宋体" w:eastAsia="宋体" w:cs="宋体"/>
      <w:color w:val="000000"/>
      <w:sz w:val="18"/>
      <w:szCs w:val="18"/>
      <w:u w:val="none"/>
    </w:rPr>
  </w:style>
  <w:style w:type="character" w:customStyle="1" w:styleId="273">
    <w:name w:val="副标题 Char"/>
    <w:uiPriority w:val="0"/>
    <w:rPr>
      <w:rFonts w:ascii="Cambria" w:hAnsi="Cambria" w:eastAsia="宋体" w:cs="Times New Roman"/>
      <w:b/>
      <w:bCs/>
      <w:kern w:val="28"/>
      <w:sz w:val="32"/>
      <w:szCs w:val="32"/>
    </w:rPr>
  </w:style>
  <w:style w:type="paragraph" w:customStyle="1" w:styleId="274">
    <w:name w:val="标题1级"/>
    <w:basedOn w:val="4"/>
    <w:qFormat/>
    <w:uiPriority w:val="0"/>
    <w:pPr>
      <w:keepLines/>
      <w:numPr>
        <w:ilvl w:val="0"/>
        <w:numId w:val="6"/>
      </w:numPr>
      <w:snapToGrid/>
      <w:spacing w:line="360" w:lineRule="auto"/>
      <w:ind w:left="835" w:hanging="835"/>
      <w:jc w:val="center"/>
    </w:pPr>
    <w:rPr>
      <w:rFonts w:cs="黑体"/>
      <w:b/>
      <w:bCs/>
      <w:kern w:val="44"/>
      <w:sz w:val="44"/>
      <w:szCs w:val="48"/>
    </w:rPr>
  </w:style>
  <w:style w:type="paragraph" w:customStyle="1" w:styleId="275">
    <w:name w:val="样式6"/>
    <w:basedOn w:val="274"/>
    <w:qFormat/>
    <w:uiPriority w:val="0"/>
    <w:pPr>
      <w:ind w:left="2524" w:hanging="397"/>
    </w:pPr>
    <w:rPr>
      <w:sz w:val="36"/>
      <w:szCs w:val="36"/>
    </w:rPr>
  </w:style>
  <w:style w:type="paragraph" w:customStyle="1" w:styleId="276">
    <w:name w:val="样式5"/>
    <w:basedOn w:val="1"/>
    <w:qFormat/>
    <w:uiPriority w:val="99"/>
    <w:pPr>
      <w:widowControl/>
      <w:spacing w:line="360" w:lineRule="auto"/>
      <w:ind w:firstLine="311" w:firstLineChars="311"/>
      <w:jc w:val="left"/>
    </w:pPr>
    <w:rPr>
      <w:rFonts w:ascii="宋体" w:cs="宋体"/>
      <w:color w:val="000000"/>
      <w:kern w:val="0"/>
      <w:sz w:val="24"/>
      <w:szCs w:val="22"/>
    </w:rPr>
  </w:style>
  <w:style w:type="paragraph" w:customStyle="1" w:styleId="277">
    <w:name w:val="正文缩进(ALT+Z)"/>
    <w:basedOn w:val="1"/>
    <w:qFormat/>
    <w:uiPriority w:val="0"/>
    <w:pPr>
      <w:spacing w:line="360" w:lineRule="auto"/>
      <w:ind w:firstLine="200" w:firstLineChars="200"/>
    </w:pPr>
    <w:rPr>
      <w:rFonts w:ascii="Times New Roman" w:hAnsi="Times New Roman"/>
      <w:sz w:val="24"/>
      <w:szCs w:val="24"/>
    </w:rPr>
  </w:style>
  <w:style w:type="paragraph" w:customStyle="1" w:styleId="278">
    <w:name w:val="三级标题"/>
    <w:basedOn w:val="1"/>
    <w:qFormat/>
    <w:uiPriority w:val="0"/>
    <w:pPr>
      <w:keepNext/>
      <w:widowControl/>
      <w:spacing w:line="300" w:lineRule="auto"/>
      <w:ind w:firstLine="196" w:firstLineChars="196"/>
      <w:jc w:val="left"/>
      <w:outlineLvl w:val="2"/>
    </w:pPr>
    <w:rPr>
      <w:rFonts w:eastAsia="楷体_GB2312" w:cs="黑体"/>
      <w:b/>
      <w:bCs/>
      <w:kern w:val="24"/>
      <w:szCs w:val="24"/>
    </w:rPr>
  </w:style>
  <w:style w:type="paragraph" w:customStyle="1" w:styleId="279">
    <w:name w:val="纯文本1"/>
    <w:basedOn w:val="1"/>
    <w:uiPriority w:val="0"/>
    <w:pPr>
      <w:spacing w:beforeLines="50" w:afterLines="50" w:line="400" w:lineRule="atLeast"/>
    </w:pPr>
    <w:rPr>
      <w:rFonts w:ascii="宋体"/>
      <w:sz w:val="24"/>
    </w:rPr>
  </w:style>
  <w:style w:type="paragraph" w:customStyle="1" w:styleId="280">
    <w:name w:val="WPSOffice手动目录 2"/>
    <w:uiPriority w:val="0"/>
    <w:pPr>
      <w:ind w:left="200" w:leftChars="200"/>
    </w:pPr>
    <w:rPr>
      <w:rFonts w:ascii="Times New Roman" w:hAnsi="Times New Roman" w:eastAsia="宋体" w:cs="Times New Roman"/>
      <w:lang w:val="en-US" w:eastAsia="zh-CN" w:bidi="ar-SA"/>
    </w:rPr>
  </w:style>
  <w:style w:type="paragraph" w:customStyle="1" w:styleId="281">
    <w:name w:val="标题2级"/>
    <w:basedOn w:val="5"/>
    <w:qFormat/>
    <w:uiPriority w:val="0"/>
    <w:pPr>
      <w:keepNext w:val="0"/>
      <w:keepLines w:val="0"/>
      <w:widowControl/>
      <w:pBdr>
        <w:bottom w:val="single" w:color="4F81BD" w:sz="8" w:space="1"/>
      </w:pBdr>
      <w:tabs>
        <w:tab w:val="left" w:pos="567"/>
      </w:tabs>
      <w:spacing w:before="200" w:after="80" w:line="240" w:lineRule="auto"/>
      <w:ind w:left="397" w:hanging="397"/>
      <w:jc w:val="left"/>
    </w:pPr>
    <w:rPr>
      <w:rFonts w:ascii="宋体" w:eastAsia="宋体"/>
      <w:b w:val="0"/>
      <w:color w:val="365F91"/>
      <w:kern w:val="0"/>
      <w:sz w:val="30"/>
      <w:szCs w:val="30"/>
    </w:rPr>
  </w:style>
  <w:style w:type="paragraph" w:customStyle="1" w:styleId="282">
    <w:name w:val="_Style 16"/>
    <w:basedOn w:val="1"/>
    <w:qFormat/>
    <w:uiPriority w:val="0"/>
    <w:rPr>
      <w:rFonts w:ascii="Times New Roman" w:hAnsi="Times New Roman"/>
    </w:rPr>
  </w:style>
  <w:style w:type="paragraph" w:customStyle="1" w:styleId="283">
    <w:name w:val="List Paragraph1"/>
    <w:basedOn w:val="1"/>
    <w:uiPriority w:val="99"/>
    <w:pPr>
      <w:ind w:firstLine="200" w:firstLineChars="200"/>
    </w:pPr>
    <w:rPr>
      <w:sz w:val="21"/>
      <w:szCs w:val="22"/>
    </w:rPr>
  </w:style>
  <w:style w:type="paragraph" w:customStyle="1" w:styleId="284">
    <w:name w:val="标题4级"/>
    <w:basedOn w:val="7"/>
    <w:qFormat/>
    <w:uiPriority w:val="0"/>
    <w:pPr>
      <w:keepNext w:val="0"/>
      <w:keepLines w:val="0"/>
      <w:widowControl/>
      <w:pBdr>
        <w:bottom w:val="single" w:color="B8CCE4" w:sz="4" w:space="2"/>
      </w:pBdr>
      <w:tabs>
        <w:tab w:val="left" w:pos="720"/>
        <w:tab w:val="left" w:pos="851"/>
        <w:tab w:val="left" w:pos="993"/>
      </w:tabs>
      <w:spacing w:before="0" w:after="0" w:line="360" w:lineRule="auto"/>
      <w:ind w:left="397" w:hanging="397"/>
      <w:jc w:val="left"/>
    </w:pPr>
    <w:rPr>
      <w:rFonts w:ascii="宋体" w:eastAsia="宋体"/>
      <w:iCs/>
      <w:color w:val="4F81BD"/>
      <w:kern w:val="0"/>
      <w:szCs w:val="28"/>
    </w:rPr>
  </w:style>
  <w:style w:type="paragraph" w:customStyle="1" w:styleId="285">
    <w:name w:val="正文new"/>
    <w:basedOn w:val="1"/>
    <w:qFormat/>
    <w:uiPriority w:val="0"/>
    <w:pPr>
      <w:widowControl/>
      <w:spacing w:line="300" w:lineRule="auto"/>
      <w:ind w:firstLine="202" w:firstLineChars="202"/>
      <w:jc w:val="left"/>
    </w:pPr>
    <w:rPr>
      <w:rFonts w:ascii="宋体" w:cs="宋体"/>
      <w:kern w:val="24"/>
      <w:szCs w:val="28"/>
    </w:rPr>
  </w:style>
  <w:style w:type="paragraph" w:customStyle="1" w:styleId="286">
    <w:name w:val="正文newnewnew"/>
    <w:basedOn w:val="285"/>
    <w:qFormat/>
    <w:uiPriority w:val="0"/>
    <w:rPr>
      <w:rFonts w:ascii="Times New Roman" w:hAnsi="Times New Roman" w:cs="Times New Roman"/>
      <w:sz w:val="24"/>
      <w:szCs w:val="24"/>
    </w:rPr>
  </w:style>
  <w:style w:type="paragraph" w:customStyle="1" w:styleId="287">
    <w:name w:val="列出段落2"/>
    <w:basedOn w:val="1"/>
    <w:qFormat/>
    <w:uiPriority w:val="0"/>
    <w:pPr>
      <w:ind w:firstLine="200" w:firstLineChars="200"/>
    </w:pPr>
    <w:rPr>
      <w:sz w:val="21"/>
      <w:szCs w:val="22"/>
    </w:rPr>
  </w:style>
  <w:style w:type="paragraph" w:styleId="288">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289">
    <w:name w:val="WPSOffice手动目录 1"/>
    <w:uiPriority w:val="0"/>
    <w:rPr>
      <w:rFonts w:ascii="Times New Roman" w:hAnsi="Times New Roman" w:eastAsia="宋体" w:cs="Times New Roman"/>
      <w:lang w:val="en-US" w:eastAsia="zh-CN" w:bidi="ar-SA"/>
    </w:rPr>
  </w:style>
  <w:style w:type="paragraph" w:customStyle="1" w:styleId="290">
    <w:name w:val="二级标题"/>
    <w:basedOn w:val="5"/>
    <w:qFormat/>
    <w:uiPriority w:val="0"/>
    <w:pPr>
      <w:keepNext w:val="0"/>
      <w:keepLines w:val="0"/>
      <w:widowControl/>
      <w:pBdr>
        <w:bottom w:val="single" w:color="4F81BD" w:sz="8" w:space="1"/>
      </w:pBdr>
      <w:spacing w:before="240" w:after="80" w:line="300" w:lineRule="auto"/>
    </w:pPr>
    <w:rPr>
      <w:rFonts w:ascii="楷体_GB2312" w:eastAsia="楷体_GB2312" w:cs="黑体"/>
      <w:bCs/>
      <w:color w:val="365F91"/>
      <w:kern w:val="28"/>
      <w:sz w:val="24"/>
      <w:szCs w:val="24"/>
    </w:rPr>
  </w:style>
  <w:style w:type="paragraph" w:customStyle="1" w:styleId="291">
    <w:name w:val="Char Char Char Char Char1"/>
    <w:basedOn w:val="1"/>
    <w:uiPriority w:val="0"/>
    <w:pPr>
      <w:tabs>
        <w:tab w:val="left" w:pos="425"/>
      </w:tabs>
      <w:ind w:left="425" w:hanging="425"/>
    </w:pPr>
    <w:rPr>
      <w:rFonts w:ascii="Tahoma" w:hAnsi="Tahoma"/>
      <w:sz w:val="24"/>
    </w:rPr>
  </w:style>
  <w:style w:type="paragraph" w:customStyle="1" w:styleId="292">
    <w:name w:val="Char Char1 Char Char Char Char Char Char Char Char"/>
    <w:basedOn w:val="1"/>
    <w:uiPriority w:val="0"/>
    <w:pPr>
      <w:widowControl/>
      <w:spacing w:after="160" w:line="240" w:lineRule="exact"/>
      <w:jc w:val="left"/>
    </w:pPr>
    <w:rPr>
      <w:rFonts w:ascii="Verdana" w:hAnsi="Verdana"/>
      <w:kern w:val="0"/>
      <w:sz w:val="20"/>
    </w:rPr>
  </w:style>
  <w:style w:type="character" w:customStyle="1" w:styleId="293">
    <w:name w:val="页眉 Char"/>
    <w:qFormat/>
    <w:locked/>
    <w:uiPriority w:val="99"/>
    <w:rPr>
      <w:rFonts w:eastAsia="宋体"/>
      <w:kern w:val="2"/>
      <w:sz w:val="18"/>
      <w:lang w:val="en-US" w:eastAsia="zh-CN" w:bidi="ar-SA"/>
    </w:rPr>
  </w:style>
  <w:style w:type="paragraph" w:customStyle="1" w:styleId="294">
    <w:name w:val="修订1"/>
    <w:uiPriority w:val="0"/>
    <w:rPr>
      <w:rFonts w:ascii="Calibri" w:hAnsi="Calibri" w:eastAsia="宋体" w:cs="Times New Roman"/>
      <w:kern w:val="2"/>
      <w:sz w:val="28"/>
      <w:lang w:val="en-US" w:eastAsia="zh-CN" w:bidi="ar-SA"/>
    </w:rPr>
  </w:style>
  <w:style w:type="character" w:customStyle="1" w:styleId="295">
    <w:name w:val="正文文本 字符1"/>
    <w:link w:val="2"/>
    <w:uiPriority w:val="0"/>
    <w:rPr>
      <w:rFonts w:ascii="仿宋_GB2312" w:hAnsi="Calibri" w:eastAsia="仿宋_GB2312"/>
      <w:kern w:val="2"/>
      <w:sz w:val="32"/>
    </w:rPr>
  </w:style>
  <w:style w:type="character" w:customStyle="1" w:styleId="296">
    <w:name w:val="标题 1 字符"/>
    <w:link w:val="4"/>
    <w:uiPriority w:val="0"/>
    <w:rPr>
      <w:rFonts w:ascii="宋体" w:hAnsi="Calibri"/>
      <w:kern w:val="2"/>
      <w:sz w:val="28"/>
    </w:rPr>
  </w:style>
  <w:style w:type="character" w:customStyle="1" w:styleId="297">
    <w:name w:val="标题 2 字符2"/>
    <w:link w:val="5"/>
    <w:uiPriority w:val="0"/>
    <w:rPr>
      <w:rFonts w:ascii="Arial" w:hAnsi="Arial" w:eastAsia="黑体"/>
      <w:b/>
      <w:kern w:val="2"/>
      <w:sz w:val="32"/>
    </w:rPr>
  </w:style>
  <w:style w:type="character" w:customStyle="1" w:styleId="298">
    <w:name w:val="标题 3 字符2"/>
    <w:link w:val="6"/>
    <w:uiPriority w:val="0"/>
    <w:rPr>
      <w:rFonts w:ascii="Calibri" w:hAnsi="Calibri"/>
      <w:b/>
      <w:kern w:val="2"/>
      <w:sz w:val="32"/>
    </w:rPr>
  </w:style>
  <w:style w:type="character" w:customStyle="1" w:styleId="299">
    <w:name w:val="标题 4 字符"/>
    <w:link w:val="7"/>
    <w:uiPriority w:val="0"/>
    <w:rPr>
      <w:rFonts w:ascii="Arial" w:hAnsi="Arial" w:eastAsia="黑体"/>
      <w:b/>
      <w:kern w:val="2"/>
      <w:sz w:val="28"/>
    </w:rPr>
  </w:style>
  <w:style w:type="character" w:customStyle="1" w:styleId="300">
    <w:name w:val="标题 5 字符"/>
    <w:link w:val="8"/>
    <w:uiPriority w:val="0"/>
    <w:rPr>
      <w:rFonts w:ascii="Calibri" w:hAnsi="Calibri"/>
      <w:b/>
      <w:kern w:val="2"/>
      <w:sz w:val="28"/>
    </w:rPr>
  </w:style>
  <w:style w:type="character" w:customStyle="1" w:styleId="301">
    <w:name w:val="标题 6 字符"/>
    <w:link w:val="9"/>
    <w:uiPriority w:val="0"/>
    <w:rPr>
      <w:rFonts w:ascii="Arial" w:hAnsi="Arial" w:eastAsia="黑体"/>
      <w:b/>
      <w:kern w:val="2"/>
      <w:sz w:val="24"/>
    </w:rPr>
  </w:style>
  <w:style w:type="character" w:customStyle="1" w:styleId="302">
    <w:name w:val="标题 7 字符"/>
    <w:link w:val="10"/>
    <w:uiPriority w:val="0"/>
    <w:rPr>
      <w:rFonts w:ascii="Arial" w:hAnsi="Arial" w:eastAsia="黑体"/>
      <w:b/>
      <w:kern w:val="2"/>
      <w:sz w:val="24"/>
    </w:rPr>
  </w:style>
  <w:style w:type="character" w:customStyle="1" w:styleId="303">
    <w:name w:val="标题 8 字符"/>
    <w:link w:val="11"/>
    <w:uiPriority w:val="0"/>
    <w:rPr>
      <w:rFonts w:ascii="Arial" w:hAnsi="Arial" w:eastAsia="黑体"/>
      <w:b/>
      <w:kern w:val="2"/>
      <w:sz w:val="24"/>
    </w:rPr>
  </w:style>
  <w:style w:type="character" w:customStyle="1" w:styleId="304">
    <w:name w:val="标题 9 字符"/>
    <w:link w:val="12"/>
    <w:uiPriority w:val="0"/>
    <w:rPr>
      <w:rFonts w:ascii="Arial" w:hAnsi="Arial" w:eastAsia="黑体"/>
      <w:b/>
      <w:kern w:val="2"/>
      <w:sz w:val="24"/>
    </w:rPr>
  </w:style>
  <w:style w:type="character" w:customStyle="1" w:styleId="305">
    <w:name w:val="正文缩进 字符1"/>
    <w:link w:val="20"/>
    <w:uiPriority w:val="0"/>
    <w:rPr>
      <w:rFonts w:ascii="Calibri" w:hAnsi="Calibri"/>
      <w:kern w:val="2"/>
      <w:sz w:val="24"/>
    </w:rPr>
  </w:style>
  <w:style w:type="character" w:customStyle="1" w:styleId="306">
    <w:name w:val="批注文字 字符2"/>
    <w:link w:val="15"/>
    <w:uiPriority w:val="0"/>
    <w:rPr>
      <w:rFonts w:ascii="Calibri" w:hAnsi="Calibri"/>
      <w:sz w:val="24"/>
    </w:rPr>
  </w:style>
  <w:style w:type="character" w:customStyle="1" w:styleId="307">
    <w:name w:val="称呼 字符"/>
    <w:link w:val="24"/>
    <w:uiPriority w:val="0"/>
    <w:rPr>
      <w:rFonts w:ascii="Calibri" w:hAnsi="Calibri"/>
      <w:sz w:val="18"/>
    </w:rPr>
  </w:style>
  <w:style w:type="character" w:customStyle="1" w:styleId="308">
    <w:name w:val="正文文本缩进 字符2"/>
    <w:link w:val="27"/>
    <w:uiPriority w:val="0"/>
    <w:rPr>
      <w:rFonts w:ascii="Calibri" w:hAnsi="Calibri"/>
      <w:kern w:val="2"/>
      <w:sz w:val="44"/>
    </w:rPr>
  </w:style>
  <w:style w:type="character" w:customStyle="1" w:styleId="309">
    <w:name w:val="纯文本 字符"/>
    <w:link w:val="34"/>
    <w:qFormat/>
    <w:uiPriority w:val="0"/>
    <w:rPr>
      <w:rFonts w:ascii="宋体" w:hAnsi="Calibri"/>
      <w:kern w:val="2"/>
      <w:sz w:val="21"/>
    </w:rPr>
  </w:style>
  <w:style w:type="character" w:customStyle="1" w:styleId="310">
    <w:name w:val="日期 字符2"/>
    <w:link w:val="36"/>
    <w:uiPriority w:val="0"/>
    <w:rPr>
      <w:rFonts w:ascii="Calibri" w:hAnsi="Calibri"/>
      <w:kern w:val="2"/>
      <w:sz w:val="28"/>
    </w:rPr>
  </w:style>
  <w:style w:type="character" w:customStyle="1" w:styleId="311">
    <w:name w:val="正文文本缩进 2 字符1"/>
    <w:link w:val="37"/>
    <w:uiPriority w:val="0"/>
    <w:rPr>
      <w:rFonts w:ascii="Calibri" w:hAnsi="Calibri"/>
      <w:kern w:val="2"/>
      <w:sz w:val="28"/>
    </w:rPr>
  </w:style>
  <w:style w:type="character" w:customStyle="1" w:styleId="312">
    <w:name w:val="批注框文本 字符"/>
    <w:link w:val="38"/>
    <w:uiPriority w:val="0"/>
    <w:rPr>
      <w:rFonts w:ascii="Calibri" w:hAnsi="Calibri"/>
      <w:kern w:val="2"/>
      <w:sz w:val="18"/>
    </w:rPr>
  </w:style>
  <w:style w:type="character" w:customStyle="1" w:styleId="313">
    <w:name w:val="页脚 字符"/>
    <w:link w:val="39"/>
    <w:qFormat/>
    <w:locked/>
    <w:uiPriority w:val="99"/>
    <w:rPr>
      <w:rFonts w:ascii="Calibri" w:hAnsi="Calibri"/>
      <w:kern w:val="2"/>
      <w:sz w:val="18"/>
    </w:rPr>
  </w:style>
  <w:style w:type="character" w:customStyle="1" w:styleId="314">
    <w:name w:val="页眉 字符"/>
    <w:link w:val="41"/>
    <w:qFormat/>
    <w:locked/>
    <w:uiPriority w:val="99"/>
    <w:rPr>
      <w:rFonts w:ascii="Calibri" w:hAnsi="Calibri"/>
      <w:kern w:val="2"/>
      <w:sz w:val="18"/>
    </w:rPr>
  </w:style>
  <w:style w:type="character" w:customStyle="1" w:styleId="315">
    <w:name w:val="副标题 字符"/>
    <w:link w:val="45"/>
    <w:uiPriority w:val="0"/>
    <w:rPr>
      <w:rFonts w:ascii="Cambria" w:hAnsi="Cambria"/>
      <w:b/>
      <w:bCs/>
      <w:kern w:val="28"/>
      <w:sz w:val="32"/>
      <w:szCs w:val="32"/>
    </w:rPr>
  </w:style>
  <w:style w:type="character" w:customStyle="1" w:styleId="316">
    <w:name w:val="脚注文本 字符1"/>
    <w:link w:val="46"/>
    <w:uiPriority w:val="0"/>
    <w:rPr>
      <w:rFonts w:ascii="Calibri" w:hAnsi="Calibri"/>
      <w:kern w:val="2"/>
      <w:sz w:val="18"/>
    </w:rPr>
  </w:style>
  <w:style w:type="character" w:customStyle="1" w:styleId="317">
    <w:name w:val="标题 字符"/>
    <w:link w:val="59"/>
    <w:uiPriority w:val="0"/>
    <w:rPr>
      <w:rFonts w:ascii="Arial" w:hAnsi="Arial"/>
      <w:b/>
      <w:smallCaps/>
      <w:kern w:val="28"/>
      <w:sz w:val="36"/>
    </w:rPr>
  </w:style>
  <w:style w:type="character" w:customStyle="1" w:styleId="318">
    <w:name w:val="批注主题 字符1"/>
    <w:basedOn w:val="306"/>
    <w:link w:val="14"/>
    <w:uiPriority w:val="0"/>
    <w:rPr>
      <w:rFonts w:ascii="Calibri" w:hAnsi="Calibri"/>
      <w:sz w:val="24"/>
    </w:rPr>
  </w:style>
  <w:style w:type="character" w:customStyle="1" w:styleId="319">
    <w:name w:val="正文文本首行缩进 2 字符1"/>
    <w:basedOn w:val="308"/>
    <w:link w:val="40"/>
    <w:uiPriority w:val="0"/>
    <w:rPr>
      <w:rFonts w:ascii="Calibri" w:hAnsi="Calibri"/>
      <w:kern w:val="2"/>
      <w:sz w:val="44"/>
    </w:rPr>
  </w:style>
  <w:style w:type="character" w:customStyle="1" w:styleId="320">
    <w:name w:val="Char Char31"/>
    <w:uiPriority w:val="0"/>
    <w:rPr>
      <w:rFonts w:eastAsia="宋体"/>
      <w:kern w:val="2"/>
      <w:sz w:val="18"/>
      <w:lang w:val="en-US" w:eastAsia="zh-CN"/>
    </w:rPr>
  </w:style>
  <w:style w:type="character" w:customStyle="1" w:styleId="321">
    <w:name w:val="Char Char51"/>
    <w:uiPriority w:val="0"/>
    <w:rPr>
      <w:rFonts w:ascii="Arial" w:hAnsi="Arial" w:eastAsia="宋体"/>
      <w:b/>
      <w:smallCaps/>
      <w:kern w:val="28"/>
      <w:sz w:val="36"/>
      <w:lang w:val="en-US" w:eastAsia="en-US"/>
    </w:rPr>
  </w:style>
  <w:style w:type="character" w:customStyle="1" w:styleId="322">
    <w:name w:val="Char Char111"/>
    <w:uiPriority w:val="0"/>
    <w:rPr>
      <w:rFonts w:ascii="宋体"/>
      <w:kern w:val="2"/>
      <w:sz w:val="28"/>
    </w:rPr>
  </w:style>
  <w:style w:type="character" w:customStyle="1" w:styleId="323">
    <w:name w:val="文字 Char"/>
    <w:link w:val="100"/>
    <w:uiPriority w:val="0"/>
    <w:rPr>
      <w:rFonts w:ascii="宋体" w:hAnsi="Calibri"/>
      <w:kern w:val="2"/>
      <w:sz w:val="28"/>
    </w:rPr>
  </w:style>
  <w:style w:type="character" w:customStyle="1" w:styleId="324">
    <w:name w:val="样式 文档正文 Char + (西文) 宋体 (中文) 宋体 小四 黑色 Char"/>
    <w:link w:val="106"/>
    <w:qFormat/>
    <w:uiPriority w:val="0"/>
    <w:rPr>
      <w:rFonts w:ascii="宋体" w:hAnsi="Calibri"/>
      <w:color w:val="000000"/>
      <w:kern w:val="2"/>
      <w:sz w:val="24"/>
      <w:szCs w:val="24"/>
    </w:rPr>
  </w:style>
  <w:style w:type="character" w:customStyle="1" w:styleId="325">
    <w:name w:val="Char Char21"/>
    <w:uiPriority w:val="0"/>
    <w:rPr>
      <w:rFonts w:eastAsia="宋体"/>
      <w:kern w:val="2"/>
      <w:sz w:val="18"/>
      <w:lang w:val="en-US" w:eastAsia="zh-CN"/>
    </w:rPr>
  </w:style>
  <w:style w:type="character" w:customStyle="1" w:styleId="326">
    <w:name w:val="Table Text Char"/>
    <w:link w:val="109"/>
    <w:uiPriority w:val="0"/>
    <w:rPr>
      <w:rFonts w:ascii="Arial" w:hAnsi="Arial"/>
      <w:kern w:val="2"/>
      <w:sz w:val="18"/>
    </w:rPr>
  </w:style>
  <w:style w:type="character" w:customStyle="1" w:styleId="327">
    <w:name w:val="Char Char61"/>
    <w:uiPriority w:val="0"/>
    <w:rPr>
      <w:rFonts w:ascii="仿宋_GB2312" w:eastAsia="仿宋_GB2312"/>
      <w:kern w:val="2"/>
      <w:sz w:val="32"/>
    </w:rPr>
  </w:style>
  <w:style w:type="character" w:customStyle="1" w:styleId="328">
    <w:name w:val="Char Char41"/>
    <w:uiPriority w:val="0"/>
    <w:rPr>
      <w:rFonts w:eastAsia="宋体"/>
      <w:b/>
      <w:kern w:val="2"/>
      <w:sz w:val="21"/>
      <w:lang w:val="en-US" w:eastAsia="zh-CN"/>
    </w:rPr>
  </w:style>
  <w:style w:type="character" w:customStyle="1" w:styleId="329">
    <w:name w:val="Char Char71"/>
    <w:uiPriority w:val="0"/>
    <w:rPr>
      <w:rFonts w:ascii="宋体" w:hAnsi="宋体" w:eastAsia="宋体"/>
      <w:kern w:val="2"/>
      <w:sz w:val="28"/>
    </w:rPr>
  </w:style>
  <w:style w:type="character" w:customStyle="1" w:styleId="330">
    <w:name w:val="列表段落 字符1"/>
    <w:link w:val="90"/>
    <w:qFormat/>
    <w:uiPriority w:val="0"/>
    <w:rPr>
      <w:rFonts w:ascii="Calibri" w:hAnsi="Calibri"/>
      <w:kern w:val="2"/>
      <w:sz w:val="21"/>
      <w:szCs w:val="22"/>
    </w:rPr>
  </w:style>
  <w:style w:type="character" w:customStyle="1" w:styleId="331">
    <w:name w:val="Table Text Char Char Char Char"/>
    <w:link w:val="81"/>
    <w:uiPriority w:val="0"/>
    <w:rPr>
      <w:rFonts w:ascii="Arial" w:hAnsi="Arial"/>
      <w:kern w:val="2"/>
      <w:sz w:val="18"/>
    </w:rPr>
  </w:style>
  <w:style w:type="character" w:customStyle="1" w:styleId="332">
    <w:name w:val="Unresolved Mention"/>
    <w:unhideWhenUsed/>
    <w:uiPriority w:val="99"/>
    <w:rPr>
      <w:color w:val="605E5C"/>
      <w:shd w:val="clear" w:color="auto" w:fill="E1DFDD"/>
    </w:rPr>
  </w:style>
  <w:style w:type="character" w:customStyle="1" w:styleId="333">
    <w:name w:val="Char Char8"/>
    <w:uiPriority w:val="0"/>
    <w:rPr>
      <w:rFonts w:ascii="宋体" w:hAnsi="宋体" w:eastAsia="宋体"/>
      <w:kern w:val="2"/>
      <w:sz w:val="24"/>
      <w:lang w:val="en-US" w:eastAsia="zh-CN" w:bidi="ar-SA"/>
    </w:rPr>
  </w:style>
  <w:style w:type="character" w:customStyle="1" w:styleId="334">
    <w:name w:val="(符号)五标题1.1.1 Char"/>
    <w:link w:val="76"/>
    <w:uiPriority w:val="0"/>
    <w:rPr>
      <w:rFonts w:ascii="宋体" w:hAnsi="Calibri"/>
      <w:color w:val="000000"/>
      <w:kern w:val="2"/>
      <w:sz w:val="24"/>
    </w:rPr>
  </w:style>
  <w:style w:type="paragraph" w:customStyle="1" w:styleId="335">
    <w:name w:val="Char Char12"/>
    <w:basedOn w:val="1"/>
    <w:uiPriority w:val="0"/>
    <w:pPr>
      <w:widowControl/>
      <w:spacing w:after="160" w:line="240" w:lineRule="exact"/>
      <w:jc w:val="left"/>
    </w:pPr>
    <w:rPr>
      <w:rFonts w:ascii="Verdana" w:hAnsi="Verdana"/>
      <w:kern w:val="0"/>
      <w:sz w:val="20"/>
      <w:lang w:eastAsia="en-US"/>
    </w:rPr>
  </w:style>
  <w:style w:type="paragraph" w:customStyle="1" w:styleId="336">
    <w:name w:val="Char Char Char Char Char Char Char Char Char Char Char Char Char1"/>
    <w:basedOn w:val="1"/>
    <w:uiPriority w:val="0"/>
    <w:pPr>
      <w:widowControl/>
      <w:spacing w:after="160" w:line="240" w:lineRule="exact"/>
      <w:jc w:val="left"/>
    </w:pPr>
    <w:rPr>
      <w:rFonts w:ascii="Verdana" w:hAnsi="Verdana" w:eastAsia="仿宋_GB2312"/>
      <w:kern w:val="0"/>
      <w:sz w:val="24"/>
      <w:lang w:eastAsia="en-US"/>
    </w:rPr>
  </w:style>
  <w:style w:type="paragraph" w:customStyle="1" w:styleId="337">
    <w:name w:val="Char Char1 Char1"/>
    <w:basedOn w:val="1"/>
    <w:uiPriority w:val="0"/>
    <w:rPr>
      <w:rFonts w:ascii="Tahoma" w:hAnsi="Tahoma"/>
      <w:sz w:val="24"/>
      <w:szCs w:val="24"/>
    </w:rPr>
  </w:style>
  <w:style w:type="paragraph" w:customStyle="1" w:styleId="338">
    <w:name w:val="Char Char Char Char Char Char Char Char Char Char Char Char Char Char Char Char1"/>
    <w:basedOn w:val="1"/>
    <w:uiPriority w:val="0"/>
    <w:pPr>
      <w:tabs>
        <w:tab w:val="left" w:pos="360"/>
      </w:tabs>
    </w:pPr>
    <w:rPr>
      <w:rFonts w:ascii="Times New Roman" w:hAnsi="Times New Roman"/>
      <w:sz w:val="24"/>
    </w:rPr>
  </w:style>
  <w:style w:type="paragraph" w:customStyle="1" w:styleId="339">
    <w:name w:val="Char Char1 Char Char Char Char Char Char Char Char Char Char Char Char Char Char1"/>
    <w:basedOn w:val="1"/>
    <w:uiPriority w:val="0"/>
    <w:pPr>
      <w:widowControl/>
      <w:spacing w:after="160" w:line="240" w:lineRule="exact"/>
      <w:jc w:val="left"/>
    </w:pPr>
    <w:rPr>
      <w:rFonts w:ascii="Verdana" w:hAnsi="Verdana"/>
      <w:kern w:val="0"/>
      <w:sz w:val="20"/>
      <w:lang w:eastAsia="en-US"/>
    </w:rPr>
  </w:style>
  <w:style w:type="paragraph" w:customStyle="1" w:styleId="340">
    <w:name w:val="Char3"/>
    <w:basedOn w:val="1"/>
    <w:uiPriority w:val="0"/>
    <w:pPr>
      <w:spacing w:line="240" w:lineRule="atLeast"/>
      <w:ind w:left="420" w:firstLine="420"/>
    </w:pPr>
    <w:rPr>
      <w:rFonts w:ascii="Times New Roman" w:hAnsi="Times New Roman"/>
      <w:kern w:val="0"/>
      <w:sz w:val="21"/>
    </w:rPr>
  </w:style>
  <w:style w:type="paragraph" w:customStyle="1" w:styleId="341">
    <w:name w:val="Char Char 字元 字元 字元 Char Char Char Char1"/>
    <w:basedOn w:val="1"/>
    <w:uiPriority w:val="0"/>
    <w:pPr>
      <w:adjustRightInd w:val="0"/>
      <w:spacing w:line="360" w:lineRule="auto"/>
    </w:pPr>
    <w:rPr>
      <w:rFonts w:ascii="Times New Roman" w:hAnsi="Times New Roman"/>
      <w:kern w:val="0"/>
      <w:sz w:val="24"/>
    </w:rPr>
  </w:style>
  <w:style w:type="paragraph" w:customStyle="1" w:styleId="342">
    <w:name w:val="Revision"/>
    <w:uiPriority w:val="0"/>
    <w:rPr>
      <w:rFonts w:ascii="Times New Roman" w:hAnsi="Times New Roman" w:eastAsia="宋体" w:cs="Times New Roman"/>
      <w:kern w:val="2"/>
      <w:sz w:val="21"/>
      <w:lang w:val="en-US" w:eastAsia="zh-CN" w:bidi="ar-SA"/>
    </w:rPr>
  </w:style>
  <w:style w:type="paragraph" w:customStyle="1" w:styleId="343">
    <w:name w:val="Char Char Char Char Char Char Char2"/>
    <w:basedOn w:val="1"/>
    <w:uiPriority w:val="0"/>
    <w:rPr>
      <w:rFonts w:ascii="Tahoma" w:hAnsi="Tahoma"/>
      <w:sz w:val="24"/>
    </w:rPr>
  </w:style>
  <w:style w:type="paragraph" w:customStyle="1" w:styleId="344">
    <w:name w:val="Char11"/>
    <w:basedOn w:val="1"/>
    <w:uiPriority w:val="0"/>
    <w:rPr>
      <w:rFonts w:ascii="Times New Roman" w:hAnsi="Times New Roman"/>
      <w:sz w:val="21"/>
    </w:rPr>
  </w:style>
  <w:style w:type="paragraph" w:customStyle="1" w:styleId="345">
    <w:name w:val="正文文本缩进 22"/>
    <w:basedOn w:val="1"/>
    <w:uiPriority w:val="0"/>
    <w:pPr>
      <w:adjustRightInd w:val="0"/>
      <w:spacing w:before="120"/>
      <w:ind w:firstLine="420"/>
      <w:textAlignment w:val="baseline"/>
    </w:pPr>
    <w:rPr>
      <w:rFonts w:ascii="Times New Roman" w:hAnsi="Times New Roman"/>
      <w:sz w:val="24"/>
    </w:rPr>
  </w:style>
  <w:style w:type="paragraph" w:customStyle="1" w:styleId="346">
    <w:name w:val="Char2 Char Char Char Char Char Char1"/>
    <w:basedOn w:val="1"/>
    <w:uiPriority w:val="0"/>
    <w:rPr>
      <w:rFonts w:ascii="仿宋_GB2312" w:hAnsi="Times New Roman"/>
      <w:b/>
      <w:sz w:val="30"/>
    </w:rPr>
  </w:style>
  <w:style w:type="paragraph" w:customStyle="1" w:styleId="347">
    <w:name w:val="Char Char14 Char Char1"/>
    <w:basedOn w:val="1"/>
    <w:uiPriority w:val="0"/>
    <w:rPr>
      <w:rFonts w:ascii="Times New Roman" w:hAnsi="Times New Roman"/>
      <w:sz w:val="21"/>
      <w:szCs w:val="24"/>
    </w:rPr>
  </w:style>
  <w:style w:type="paragraph" w:customStyle="1" w:styleId="348">
    <w:name w:val="正文文本 22"/>
    <w:basedOn w:val="1"/>
    <w:uiPriority w:val="0"/>
    <w:pPr>
      <w:adjustRightInd w:val="0"/>
      <w:spacing w:before="120" w:line="360" w:lineRule="auto"/>
      <w:ind w:firstLine="480"/>
      <w:textAlignment w:val="baseline"/>
    </w:pPr>
    <w:rPr>
      <w:rFonts w:ascii="Times New Roman" w:hAnsi="Times New Roman"/>
      <w:sz w:val="24"/>
    </w:rPr>
  </w:style>
  <w:style w:type="paragraph" w:customStyle="1" w:styleId="349">
    <w:name w:val="Char Char Char Char Char Char1 Char1"/>
    <w:basedOn w:val="1"/>
    <w:uiPriority w:val="0"/>
    <w:pPr>
      <w:widowControl/>
      <w:spacing w:after="160" w:line="240" w:lineRule="exact"/>
      <w:jc w:val="left"/>
    </w:pPr>
    <w:rPr>
      <w:rFonts w:ascii="Verdana" w:hAnsi="Verdana"/>
      <w:kern w:val="0"/>
      <w:sz w:val="21"/>
      <w:lang w:eastAsia="en-US"/>
    </w:rPr>
  </w:style>
  <w:style w:type="paragraph" w:customStyle="1" w:styleId="350">
    <w:name w:val="Char Char Char Char Char2"/>
    <w:basedOn w:val="1"/>
    <w:uiPriority w:val="0"/>
    <w:pPr>
      <w:tabs>
        <w:tab w:val="left" w:pos="425"/>
      </w:tabs>
      <w:ind w:left="1620" w:hanging="360"/>
    </w:pPr>
    <w:rPr>
      <w:rFonts w:ascii="Tahoma" w:hAnsi="Tahoma"/>
      <w:sz w:val="24"/>
    </w:rPr>
  </w:style>
  <w:style w:type="paragraph" w:customStyle="1" w:styleId="351">
    <w:name w:val="Char Char Char1 Char Char Char Char Char Char Char Char Char Char Char Char Char1"/>
    <w:basedOn w:val="1"/>
    <w:uiPriority w:val="0"/>
    <w:pPr>
      <w:widowControl/>
      <w:spacing w:after="160" w:line="240" w:lineRule="exact"/>
      <w:jc w:val="left"/>
    </w:pPr>
    <w:rPr>
      <w:rFonts w:ascii="Verdana" w:hAnsi="Verdana"/>
      <w:kern w:val="0"/>
      <w:sz w:val="18"/>
      <w:lang w:eastAsia="en-US"/>
    </w:rPr>
  </w:style>
  <w:style w:type="paragraph" w:customStyle="1" w:styleId="352">
    <w:name w:val="Char Char Char1"/>
    <w:basedOn w:val="1"/>
    <w:uiPriority w:val="0"/>
    <w:rPr>
      <w:rFonts w:ascii="Tahoma" w:hAnsi="Tahoma"/>
      <w:sz w:val="24"/>
    </w:rPr>
  </w:style>
  <w:style w:type="paragraph" w:customStyle="1" w:styleId="353">
    <w:name w:val="Char1 Char Char Char2"/>
    <w:basedOn w:val="1"/>
    <w:uiPriority w:val="0"/>
    <w:rPr>
      <w:rFonts w:ascii="Tahoma" w:hAnsi="Tahoma"/>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47</Pages>
  <Words>4830</Words>
  <Characters>27531</Characters>
  <Lines>229</Lines>
  <Paragraphs>64</Paragraphs>
  <TotalTime>8</TotalTime>
  <ScaleCrop>false</ScaleCrop>
  <LinksUpToDate>false</LinksUpToDate>
  <CharactersWithSpaces>32297</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2023-06-09T13:20:00Z</dcterms:created>
  <dc:creator>罗成</dc:creator>
  <cp:lastModifiedBy>hp</cp:lastModifiedBy>
  <cp:lastPrinted>2020-09-18T07:14:00Z</cp:lastPrinted>
  <dcterms:modified xsi:type="dcterms:W3CDTF">2024-12-13T07:18:09Z</dcterms:modified>
  <dc:title>竞争性谈判文件</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7CCECF5840EA438F9E3C9E8629D2C536</vt:lpwstr>
  </property>
</Properties>
</file>