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p>
    <w:p>
      <w:pPr>
        <w:jc w:val="center"/>
      </w:pPr>
    </w:p>
    <w:p>
      <w:pPr>
        <w:jc w:val="center"/>
        <w:outlineLvl w:val="0"/>
        <w:rPr>
          <w:sz w:val="44"/>
          <w:szCs w:val="44"/>
        </w:rPr>
      </w:pPr>
    </w:p>
    <w:p>
      <w:pPr>
        <w:jc w:val="center"/>
        <w:outlineLvl w:val="0"/>
        <w:rPr>
          <w:rFonts w:ascii="宋体"/>
          <w:b/>
          <w:sz w:val="52"/>
          <w:szCs w:val="52"/>
        </w:rPr>
      </w:pPr>
      <w:r>
        <w:rPr>
          <w:rFonts w:hint="eastAsia" w:ascii="宋体"/>
          <w:b/>
          <w:sz w:val="52"/>
          <w:szCs w:val="52"/>
        </w:rPr>
        <w:t>重庆市2024年无线电频率占用费</w:t>
      </w:r>
    </w:p>
    <w:p>
      <w:pPr>
        <w:jc w:val="center"/>
        <w:outlineLvl w:val="0"/>
        <w:rPr>
          <w:rFonts w:ascii="宋体"/>
          <w:b/>
          <w:sz w:val="52"/>
          <w:szCs w:val="52"/>
        </w:rPr>
      </w:pPr>
      <w:r>
        <w:rPr>
          <w:rFonts w:hint="eastAsia" w:ascii="宋体"/>
          <w:b/>
          <w:sz w:val="52"/>
          <w:szCs w:val="52"/>
        </w:rPr>
        <w:t>转移支付资金申报服务</w:t>
      </w:r>
    </w:p>
    <w:p>
      <w:pPr>
        <w:jc w:val="center"/>
        <w:outlineLvl w:val="0"/>
        <w:rPr>
          <w:rFonts w:ascii="宋体"/>
          <w:b/>
          <w:sz w:val="52"/>
          <w:szCs w:val="52"/>
        </w:rPr>
      </w:pPr>
      <w:r>
        <w:rPr>
          <w:rFonts w:hint="eastAsia" w:ascii="宋体"/>
          <w:b/>
          <w:sz w:val="52"/>
          <w:szCs w:val="52"/>
        </w:rPr>
        <w:t>政府采购项目</w:t>
      </w:r>
    </w:p>
    <w:p>
      <w:pPr>
        <w:outlineLvl w:val="0"/>
        <w:rPr>
          <w:rFonts w:ascii="宋体"/>
          <w:spacing w:val="80"/>
          <w:sz w:val="72"/>
          <w:szCs w:val="72"/>
        </w:rPr>
      </w:pPr>
    </w:p>
    <w:p>
      <w:pPr>
        <w:pStyle w:val="2"/>
      </w:pPr>
    </w:p>
    <w:p>
      <w:pPr>
        <w:jc w:val="center"/>
        <w:outlineLvl w:val="0"/>
        <w:rPr>
          <w:rFonts w:ascii="宋体"/>
          <w:spacing w:val="80"/>
          <w:sz w:val="72"/>
          <w:szCs w:val="72"/>
        </w:rPr>
      </w:pPr>
    </w:p>
    <w:p>
      <w:pPr>
        <w:jc w:val="center"/>
        <w:outlineLvl w:val="0"/>
        <w:rPr>
          <w:spacing w:val="80"/>
          <w:sz w:val="72"/>
          <w:szCs w:val="72"/>
        </w:rPr>
      </w:pPr>
      <w:r>
        <w:rPr>
          <w:spacing w:val="80"/>
          <w:sz w:val="72"/>
          <w:szCs w:val="72"/>
        </w:rPr>
        <w:t>竞争性磋商文件</w:t>
      </w:r>
    </w:p>
    <w:p>
      <w:pPr>
        <w:spacing w:line="700" w:lineRule="exact"/>
        <w:jc w:val="center"/>
        <w:rPr>
          <w:sz w:val="36"/>
          <w:szCs w:val="30"/>
        </w:rPr>
      </w:pPr>
      <w:r>
        <w:rPr>
          <w:sz w:val="36"/>
          <w:szCs w:val="30"/>
        </w:rPr>
        <w:t>项目号</w:t>
      </w:r>
      <w:r>
        <w:rPr>
          <w:rFonts w:hint="eastAsia"/>
          <w:sz w:val="36"/>
          <w:szCs w:val="30"/>
        </w:rPr>
        <w:t>：C</w:t>
      </w:r>
      <w:r>
        <w:rPr>
          <w:sz w:val="36"/>
          <w:szCs w:val="30"/>
        </w:rPr>
        <w:t>QCBJQ2304-086</w:t>
      </w:r>
    </w:p>
    <w:p>
      <w:pPr>
        <w:spacing w:line="700" w:lineRule="exact"/>
        <w:ind w:firstLine="2700" w:firstLineChars="750"/>
        <w:rPr>
          <w:rFonts w:ascii="宋体"/>
          <w:sz w:val="36"/>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spacing w:line="700" w:lineRule="exact"/>
        <w:jc w:val="center"/>
        <w:rPr>
          <w:rFonts w:ascii="宋体"/>
          <w:b/>
          <w:sz w:val="30"/>
          <w:szCs w:val="30"/>
        </w:rPr>
      </w:pPr>
    </w:p>
    <w:p>
      <w:pPr>
        <w:spacing w:line="700" w:lineRule="exact"/>
        <w:rPr>
          <w:rFonts w:ascii="宋体"/>
          <w:b/>
          <w:sz w:val="30"/>
          <w:szCs w:val="30"/>
        </w:rPr>
      </w:pPr>
    </w:p>
    <w:p>
      <w:pPr>
        <w:spacing w:line="700" w:lineRule="exact"/>
        <w:rPr>
          <w:rFonts w:ascii="宋体"/>
          <w:b/>
          <w:sz w:val="30"/>
          <w:szCs w:val="30"/>
        </w:rPr>
      </w:pPr>
    </w:p>
    <w:p>
      <w:pPr>
        <w:spacing w:line="700" w:lineRule="exact"/>
        <w:ind w:firstLine="1440" w:firstLineChars="400"/>
        <w:jc w:val="left"/>
        <w:rPr>
          <w:sz w:val="36"/>
          <w:szCs w:val="30"/>
        </w:rPr>
      </w:pPr>
      <w:r>
        <w:rPr>
          <w:sz w:val="36"/>
          <w:szCs w:val="30"/>
        </w:rPr>
        <w:t>采</w:t>
      </w:r>
      <w:r>
        <w:rPr>
          <w:rFonts w:hint="eastAsia"/>
          <w:sz w:val="36"/>
          <w:szCs w:val="30"/>
        </w:rPr>
        <w:t xml:space="preserve"> </w:t>
      </w:r>
      <w:r>
        <w:rPr>
          <w:sz w:val="36"/>
          <w:szCs w:val="30"/>
        </w:rPr>
        <w:t xml:space="preserve">  购</w:t>
      </w:r>
      <w:r>
        <w:rPr>
          <w:rFonts w:hint="eastAsia"/>
          <w:sz w:val="36"/>
          <w:szCs w:val="30"/>
        </w:rPr>
        <w:t xml:space="preserve"> </w:t>
      </w:r>
      <w:r>
        <w:rPr>
          <w:sz w:val="36"/>
          <w:szCs w:val="30"/>
        </w:rPr>
        <w:t xml:space="preserve">  人：</w:t>
      </w:r>
      <w:r>
        <w:rPr>
          <w:rFonts w:hint="eastAsia"/>
          <w:sz w:val="36"/>
          <w:szCs w:val="30"/>
        </w:rPr>
        <w:t>重庆市无线电监测站</w:t>
      </w:r>
    </w:p>
    <w:p>
      <w:pPr>
        <w:spacing w:line="700" w:lineRule="exact"/>
        <w:ind w:firstLine="1440" w:firstLineChars="400"/>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sz w:val="36"/>
          <w:szCs w:val="30"/>
        </w:rPr>
        <w:t>二</w:t>
      </w:r>
      <w:r>
        <w:rPr>
          <w:rFonts w:hint="eastAsia"/>
          <w:sz w:val="36"/>
          <w:szCs w:val="30"/>
        </w:rPr>
        <w:t>〇</w:t>
      </w:r>
      <w:r>
        <w:rPr>
          <w:sz w:val="36"/>
          <w:szCs w:val="30"/>
        </w:rPr>
        <w:t>二</w:t>
      </w:r>
      <w:r>
        <w:rPr>
          <w:rFonts w:hint="eastAsia"/>
          <w:sz w:val="36"/>
          <w:szCs w:val="30"/>
        </w:rPr>
        <w:t>三</w:t>
      </w:r>
      <w:r>
        <w:rPr>
          <w:sz w:val="36"/>
          <w:szCs w:val="30"/>
        </w:rPr>
        <w:t>年</w:t>
      </w:r>
      <w:r>
        <w:rPr>
          <w:rFonts w:hint="eastAsia"/>
          <w:sz w:val="36"/>
          <w:szCs w:val="30"/>
        </w:rPr>
        <w:t>四</w:t>
      </w:r>
      <w:r>
        <w:rPr>
          <w:sz w:val="36"/>
          <w:szCs w:val="30"/>
        </w:rPr>
        <w:t>月</w:t>
      </w:r>
    </w:p>
    <w:p>
      <w:pPr>
        <w:pageBreakBefore/>
        <w:spacing w:line="480" w:lineRule="exact"/>
        <w:jc w:val="center"/>
        <w:outlineLvl w:val="0"/>
        <w:rPr>
          <w:rFonts w:ascii="宋体"/>
          <w:sz w:val="44"/>
          <w:szCs w:val="28"/>
        </w:rPr>
      </w:pPr>
      <w:r>
        <w:rPr>
          <w:rFonts w:hint="eastAsia" w:ascii="宋体"/>
          <w:sz w:val="44"/>
          <w:szCs w:val="28"/>
        </w:rPr>
        <w:t>目   录</w:t>
      </w:r>
    </w:p>
    <w:p>
      <w:pPr>
        <w:pStyle w:val="51"/>
        <w:tabs>
          <w:tab w:val="right" w:leader="dot" w:pos="9515"/>
        </w:tabs>
        <w:ind w:left="560"/>
        <w:rPr>
          <w:rFonts w:asciiTheme="minorHAnsi" w:hAnsiTheme="minorHAnsi" w:eastAsiaTheme="minorEastAsia" w:cstheme="minorBidi"/>
          <w:sz w:val="21"/>
          <w:szCs w:val="22"/>
        </w:rPr>
      </w:pPr>
      <w:r>
        <w:rPr>
          <w:rFonts w:hint="eastAsia" w:ascii="宋体"/>
          <w:sz w:val="24"/>
          <w:szCs w:val="24"/>
        </w:rPr>
        <w:fldChar w:fldCharType="begin"/>
      </w:r>
      <w:r>
        <w:rPr>
          <w:rFonts w:hint="eastAsia" w:ascii="宋体"/>
          <w:sz w:val="24"/>
          <w:szCs w:val="24"/>
        </w:rPr>
        <w:instrText xml:space="preserve"> TOC \o "1-3" \h \z </w:instrText>
      </w:r>
      <w:r>
        <w:rPr>
          <w:rFonts w:hint="eastAsia" w:ascii="宋体"/>
          <w:sz w:val="24"/>
          <w:szCs w:val="24"/>
        </w:rPr>
        <w:fldChar w:fldCharType="separate"/>
      </w:r>
      <w:r>
        <w:fldChar w:fldCharType="begin"/>
      </w:r>
      <w:r>
        <w:instrText xml:space="preserve"> HYPERLINK \l "_Toc131429854" </w:instrText>
      </w:r>
      <w:r>
        <w:fldChar w:fldCharType="separate"/>
      </w:r>
      <w:r>
        <w:rPr>
          <w:rStyle w:val="65"/>
          <w:rFonts w:ascii="宋体"/>
        </w:rPr>
        <w:t>第一篇  采购邀请书</w:t>
      </w:r>
      <w:r>
        <w:tab/>
      </w:r>
      <w:r>
        <w:fldChar w:fldCharType="begin"/>
      </w:r>
      <w:r>
        <w:instrText xml:space="preserve"> PAGEREF _Toc131429854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"_Toc131429855" </w:instrText>
      </w:r>
      <w:r>
        <w:fldChar w:fldCharType="separate"/>
      </w:r>
      <w:r>
        <w:rPr>
          <w:rStyle w:val="65"/>
          <w:rFonts w:ascii="宋体"/>
        </w:rPr>
        <w:t>一、竞争性磋商内容</w:t>
      </w:r>
      <w:r>
        <w:tab/>
      </w:r>
      <w:r>
        <w:fldChar w:fldCharType="begin"/>
      </w:r>
      <w:r>
        <w:instrText xml:space="preserve"> PAGEREF _Toc131429855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"_Toc131429856" </w:instrText>
      </w:r>
      <w:r>
        <w:fldChar w:fldCharType="separate"/>
      </w:r>
      <w:r>
        <w:rPr>
          <w:rStyle w:val="65"/>
          <w:rFonts w:ascii="宋体"/>
        </w:rPr>
        <w:t>二、资金来源</w:t>
      </w:r>
      <w:r>
        <w:tab/>
      </w:r>
      <w:r>
        <w:fldChar w:fldCharType="begin"/>
      </w:r>
      <w:r>
        <w:instrText xml:space="preserve"> PAGEREF _Toc131429856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"_Toc131429857" </w:instrText>
      </w:r>
      <w:r>
        <w:fldChar w:fldCharType="separate"/>
      </w:r>
      <w:r>
        <w:rPr>
          <w:rStyle w:val="65"/>
          <w:rFonts w:ascii="宋体"/>
        </w:rPr>
        <w:t>三、供应商资格条件</w:t>
      </w:r>
      <w:r>
        <w:tab/>
      </w:r>
      <w:r>
        <w:fldChar w:fldCharType="begin"/>
      </w:r>
      <w:r>
        <w:instrText xml:space="preserve"> PAGEREF _Toc131429857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"_Toc131429858" </w:instrText>
      </w:r>
      <w:r>
        <w:fldChar w:fldCharType="separate"/>
      </w:r>
      <w:r>
        <w:rPr>
          <w:rStyle w:val="65"/>
          <w:rFonts w:ascii="宋体"/>
        </w:rPr>
        <w:t>四、磋商有关说明</w:t>
      </w:r>
      <w:r>
        <w:tab/>
      </w:r>
      <w:r>
        <w:fldChar w:fldCharType="begin"/>
      </w:r>
      <w:r>
        <w:instrText xml:space="preserve"> PAGEREF _Toc131429858 \h </w:instrText>
      </w:r>
      <w:r>
        <w:fldChar w:fldCharType="separate"/>
      </w:r>
      <w:r>
        <w:t>- 3 -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"_Toc131429859" </w:instrText>
      </w:r>
      <w:r>
        <w:fldChar w:fldCharType="separate"/>
      </w:r>
      <w:r>
        <w:rPr>
          <w:rStyle w:val="65"/>
          <w:rFonts w:ascii="宋体"/>
        </w:rPr>
        <w:t>五、磋商保证金</w:t>
      </w:r>
      <w:r>
        <w:tab/>
      </w:r>
      <w:r>
        <w:fldChar w:fldCharType="begin"/>
      </w:r>
      <w:r>
        <w:instrText xml:space="preserve"> PAGEREF _Toc131429859 \h </w:instrText>
      </w:r>
      <w:r>
        <w:fldChar w:fldCharType="separate"/>
      </w:r>
      <w:r>
        <w:t>- 4 -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"_Toc131429860" </w:instrText>
      </w:r>
      <w:r>
        <w:fldChar w:fldCharType="separate"/>
      </w:r>
      <w:r>
        <w:rPr>
          <w:rStyle w:val="65"/>
          <w:rFonts w:ascii="宋体"/>
        </w:rPr>
        <w:t>六、采购项目需落实的政府采购政策</w:t>
      </w:r>
      <w:r>
        <w:tab/>
      </w:r>
      <w:r>
        <w:fldChar w:fldCharType="begin"/>
      </w:r>
      <w:r>
        <w:instrText xml:space="preserve"> PAGEREF _Toc131429860 \h </w:instrText>
      </w:r>
      <w:r>
        <w:fldChar w:fldCharType="separate"/>
      </w:r>
      <w:r>
        <w:t>- 5 -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"_Toc131429861" </w:instrText>
      </w:r>
      <w:r>
        <w:fldChar w:fldCharType="separate"/>
      </w:r>
      <w:r>
        <w:rPr>
          <w:rStyle w:val="65"/>
          <w:rFonts w:ascii="宋体"/>
        </w:rPr>
        <w:t>七、其它有关规定</w:t>
      </w:r>
      <w:r>
        <w:tab/>
      </w:r>
      <w:r>
        <w:fldChar w:fldCharType="begin"/>
      </w:r>
      <w:r>
        <w:instrText xml:space="preserve"> PAGEREF _Toc131429861 \h </w:instrText>
      </w:r>
      <w:r>
        <w:fldChar w:fldCharType="separate"/>
      </w:r>
      <w:r>
        <w:t>- 5 -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"_Toc131429862" </w:instrText>
      </w:r>
      <w:r>
        <w:fldChar w:fldCharType="separate"/>
      </w:r>
      <w:r>
        <w:rPr>
          <w:rStyle w:val="65"/>
          <w:rFonts w:ascii="宋体"/>
        </w:rPr>
        <w:t>八、联系方式</w:t>
      </w:r>
      <w:r>
        <w:tab/>
      </w:r>
      <w:r>
        <w:fldChar w:fldCharType="begin"/>
      </w:r>
      <w:r>
        <w:instrText xml:space="preserve"> PAGEREF _Toc131429862 \h </w:instrText>
      </w:r>
      <w:r>
        <w:fldChar w:fldCharType="separate"/>
      </w:r>
      <w:r>
        <w:t>- 6 -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"_Toc131429863" </w:instrText>
      </w:r>
      <w:r>
        <w:fldChar w:fldCharType="separate"/>
      </w:r>
      <w:r>
        <w:rPr>
          <w:rStyle w:val="65"/>
          <w:rFonts w:ascii="宋体"/>
        </w:rPr>
        <w:t>第二篇  项目服务需求</w:t>
      </w:r>
      <w:r>
        <w:tab/>
      </w:r>
      <w:r>
        <w:fldChar w:fldCharType="begin"/>
      </w:r>
      <w:r>
        <w:instrText xml:space="preserve"> PAGEREF _Toc131429863 \h </w:instrText>
      </w:r>
      <w:r>
        <w:fldChar w:fldCharType="separate"/>
      </w:r>
      <w:r>
        <w:t>- 7 -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"_Toc131429864" </w:instrText>
      </w:r>
      <w:r>
        <w:fldChar w:fldCharType="separate"/>
      </w:r>
      <w:r>
        <w:rPr>
          <w:rStyle w:val="65"/>
          <w:rFonts w:ascii="宋体"/>
        </w:rPr>
        <w:t>一、项目技术要求</w:t>
      </w:r>
      <w:r>
        <w:tab/>
      </w:r>
      <w:r>
        <w:fldChar w:fldCharType="begin"/>
      </w:r>
      <w:r>
        <w:instrText xml:space="preserve"> PAGEREF _Toc131429864 \h </w:instrText>
      </w:r>
      <w:r>
        <w:fldChar w:fldCharType="separate"/>
      </w:r>
      <w:r>
        <w:t>- 7 -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"_Toc131429865" </w:instrText>
      </w:r>
      <w:r>
        <w:fldChar w:fldCharType="separate"/>
      </w:r>
      <w:r>
        <w:rPr>
          <w:rStyle w:val="65"/>
          <w:rFonts w:ascii="宋体"/>
        </w:rPr>
        <w:t>第三篇  项目商务需求</w:t>
      </w:r>
      <w:r>
        <w:tab/>
      </w:r>
      <w:r>
        <w:fldChar w:fldCharType="begin"/>
      </w:r>
      <w:r>
        <w:instrText xml:space="preserve"> PAGEREF _Toc131429865 \h </w:instrText>
      </w:r>
      <w:r>
        <w:fldChar w:fldCharType="separate"/>
      </w:r>
      <w:r>
        <w:t>- 9 -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"_Toc131429866" </w:instrText>
      </w:r>
      <w:r>
        <w:fldChar w:fldCharType="separate"/>
      </w:r>
      <w:r>
        <w:rPr>
          <w:rStyle w:val="65"/>
          <w:rFonts w:hint="eastAsia" w:ascii="宋体" w:hAnsi="宋体" w:cs="宋体"/>
        </w:rPr>
        <w:t>※</w:t>
      </w:r>
      <w:r>
        <w:rPr>
          <w:rStyle w:val="65"/>
        </w:rPr>
        <w:t>一、服务时间、地点及验收方式</w:t>
      </w:r>
      <w:r>
        <w:tab/>
      </w:r>
      <w:r>
        <w:fldChar w:fldCharType="begin"/>
      </w:r>
      <w:r>
        <w:instrText xml:space="preserve"> PAGEREF _Toc131429866 \h </w:instrText>
      </w:r>
      <w:r>
        <w:fldChar w:fldCharType="separate"/>
      </w:r>
      <w:r>
        <w:t>- 9 -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"_Toc131429867"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_Toc131429867 \h </w:instrText>
      </w:r>
      <w:r>
        <w:fldChar w:fldCharType="separate"/>
      </w:r>
      <w:r>
        <w:t>- 9 -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"_Toc131429868"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_Toc131429868 \h </w:instrText>
      </w:r>
      <w:r>
        <w:fldChar w:fldCharType="separate"/>
      </w:r>
      <w:r>
        <w:t>- 9 -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"_Toc131429869" </w:instrText>
      </w:r>
      <w:r>
        <w:fldChar w:fldCharType="separate"/>
      </w:r>
      <w:r>
        <w:rPr>
          <w:rStyle w:val="65"/>
        </w:rPr>
        <w:t>四、知识产权</w:t>
      </w:r>
      <w:r>
        <w:tab/>
      </w:r>
      <w:r>
        <w:fldChar w:fldCharType="begin"/>
      </w:r>
      <w:r>
        <w:instrText xml:space="preserve"> PAGEREF _Toc131429869 \h </w:instrText>
      </w:r>
      <w:r>
        <w:fldChar w:fldCharType="separate"/>
      </w:r>
      <w:r>
        <w:t>- 9 -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"_Toc131429870" </w:instrText>
      </w:r>
      <w:r>
        <w:fldChar w:fldCharType="separate"/>
      </w:r>
      <w:r>
        <w:rPr>
          <w:rStyle w:val="65"/>
        </w:rPr>
        <w:t>五、其他</w:t>
      </w:r>
      <w:r>
        <w:tab/>
      </w:r>
      <w:r>
        <w:fldChar w:fldCharType="begin"/>
      </w:r>
      <w:r>
        <w:instrText xml:space="preserve"> PAGEREF _Toc131429870 \h </w:instrText>
      </w:r>
      <w:r>
        <w:fldChar w:fldCharType="separate"/>
      </w:r>
      <w:r>
        <w:t>- 9 -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"_Toc131429871" </w:instrText>
      </w:r>
      <w:r>
        <w:fldChar w:fldCharType="separate"/>
      </w:r>
      <w:r>
        <w:rPr>
          <w:rStyle w:val="65"/>
          <w:rFonts w:ascii="宋体"/>
        </w:rPr>
        <w:t>第四篇  磋商程序及方法、评审标准、无效响应和采购终止</w:t>
      </w:r>
      <w:r>
        <w:tab/>
      </w:r>
      <w:r>
        <w:fldChar w:fldCharType="begin"/>
      </w:r>
      <w:r>
        <w:instrText xml:space="preserve"> PAGEREF _Toc131429871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"_Toc131429872" </w:instrText>
      </w:r>
      <w:r>
        <w:fldChar w:fldCharType="separate"/>
      </w:r>
      <w:r>
        <w:rPr>
          <w:rStyle w:val="65"/>
          <w:rFonts w:ascii="宋体" w:hAnsi="宋体"/>
        </w:rPr>
        <w:t>一、磋商程序及方法</w:t>
      </w:r>
      <w:r>
        <w:tab/>
      </w:r>
      <w:r>
        <w:fldChar w:fldCharType="begin"/>
      </w:r>
      <w:r>
        <w:instrText xml:space="preserve"> PAGEREF _Toc131429872 \h </w:instrText>
      </w:r>
      <w:r>
        <w:fldChar w:fldCharType="separate"/>
      </w:r>
      <w:r>
        <w:t>- 10 -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"_Toc131429873" </w:instrText>
      </w:r>
      <w:r>
        <w:fldChar w:fldCharType="separate"/>
      </w:r>
      <w:r>
        <w:rPr>
          <w:rStyle w:val="65"/>
          <w:rFonts w:ascii="宋体"/>
        </w:rPr>
        <w:t>二、评审标准</w:t>
      </w:r>
      <w:r>
        <w:tab/>
      </w:r>
      <w:r>
        <w:fldChar w:fldCharType="begin"/>
      </w:r>
      <w:r>
        <w:instrText xml:space="preserve"> PAGEREF _Toc131429873 \h </w:instrText>
      </w:r>
      <w:r>
        <w:fldChar w:fldCharType="separate"/>
      </w:r>
      <w:r>
        <w:t>- 12 -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"_Toc131429874" </w:instrText>
      </w:r>
      <w:r>
        <w:fldChar w:fldCharType="separate"/>
      </w:r>
      <w:r>
        <w:rPr>
          <w:rStyle w:val="65"/>
          <w:rFonts w:ascii="宋体"/>
        </w:rPr>
        <w:t>三、无效响应</w:t>
      </w:r>
      <w:r>
        <w:tab/>
      </w:r>
      <w:r>
        <w:fldChar w:fldCharType="begin"/>
      </w:r>
      <w:r>
        <w:instrText xml:space="preserve"> PAGEREF _Toc131429874 \h </w:instrText>
      </w:r>
      <w:r>
        <w:fldChar w:fldCharType="separate"/>
      </w:r>
      <w:r>
        <w:t>- 14 -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"_Toc131429875" </w:instrText>
      </w:r>
      <w:r>
        <w:fldChar w:fldCharType="separate"/>
      </w:r>
      <w:r>
        <w:rPr>
          <w:rStyle w:val="65"/>
          <w:rFonts w:ascii="宋体"/>
        </w:rPr>
        <w:t>四、采购终止</w:t>
      </w:r>
      <w:r>
        <w:tab/>
      </w:r>
      <w:r>
        <w:fldChar w:fldCharType="begin"/>
      </w:r>
      <w:r>
        <w:instrText xml:space="preserve"> PAGEREF _Toc131429875 \h </w:instrText>
      </w:r>
      <w:r>
        <w:fldChar w:fldCharType="separate"/>
      </w:r>
      <w:r>
        <w:t>- 14 -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"_Toc131429876" </w:instrText>
      </w:r>
      <w:r>
        <w:fldChar w:fldCharType="separate"/>
      </w:r>
      <w:r>
        <w:rPr>
          <w:rStyle w:val="65"/>
          <w:rFonts w:ascii="宋体"/>
        </w:rPr>
        <w:t>第五篇  供应商须知</w:t>
      </w:r>
      <w:r>
        <w:tab/>
      </w:r>
      <w:r>
        <w:fldChar w:fldCharType="begin"/>
      </w:r>
      <w:r>
        <w:instrText xml:space="preserve"> PAGEREF _Toc131429876 \h </w:instrText>
      </w:r>
      <w:r>
        <w:fldChar w:fldCharType="separate"/>
      </w:r>
      <w:r>
        <w:t>- 15 -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"_Toc131429877" </w:instrText>
      </w:r>
      <w:r>
        <w:fldChar w:fldCharType="separate"/>
      </w:r>
      <w:r>
        <w:rPr>
          <w:rStyle w:val="65"/>
          <w:rFonts w:ascii="宋体"/>
        </w:rPr>
        <w:t>一、磋商费用</w:t>
      </w:r>
      <w:r>
        <w:tab/>
      </w:r>
      <w:r>
        <w:fldChar w:fldCharType="begin"/>
      </w:r>
      <w:r>
        <w:instrText xml:space="preserve"> PAGEREF _Toc131429877 \h </w:instrText>
      </w:r>
      <w:r>
        <w:fldChar w:fldCharType="separate"/>
      </w:r>
      <w:r>
        <w:t>- 15 -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"_Toc131429878" </w:instrText>
      </w:r>
      <w:r>
        <w:fldChar w:fldCharType="separate"/>
      </w:r>
      <w:r>
        <w:rPr>
          <w:rStyle w:val="65"/>
          <w:rFonts w:ascii="宋体"/>
        </w:rPr>
        <w:t>二、竞争性磋商文件</w:t>
      </w:r>
      <w:r>
        <w:tab/>
      </w:r>
      <w:r>
        <w:fldChar w:fldCharType="begin"/>
      </w:r>
      <w:r>
        <w:instrText xml:space="preserve"> PAGEREF _Toc131429878 \h </w:instrText>
      </w:r>
      <w:r>
        <w:fldChar w:fldCharType="separate"/>
      </w:r>
      <w:r>
        <w:t>- 15 -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"_Toc131429879" </w:instrText>
      </w:r>
      <w:r>
        <w:fldChar w:fldCharType="separate"/>
      </w:r>
      <w:r>
        <w:rPr>
          <w:rStyle w:val="65"/>
          <w:rFonts w:ascii="宋体"/>
        </w:rPr>
        <w:t>三、磋商要求</w:t>
      </w:r>
      <w:r>
        <w:tab/>
      </w:r>
      <w:r>
        <w:fldChar w:fldCharType="begin"/>
      </w:r>
      <w:r>
        <w:instrText xml:space="preserve"> PAGEREF _Toc131429879 \h </w:instrText>
      </w:r>
      <w:r>
        <w:fldChar w:fldCharType="separate"/>
      </w:r>
      <w:r>
        <w:t>- 15 -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"_Toc131429880" </w:instrText>
      </w:r>
      <w:r>
        <w:fldChar w:fldCharType="separate"/>
      </w:r>
      <w:r>
        <w:rPr>
          <w:rStyle w:val="65"/>
          <w:rFonts w:ascii="宋体"/>
        </w:rPr>
        <w:t>四、成交供应商的确认和变更</w:t>
      </w:r>
      <w:r>
        <w:tab/>
      </w:r>
      <w:r>
        <w:fldChar w:fldCharType="begin"/>
      </w:r>
      <w:r>
        <w:instrText xml:space="preserve"> PAGEREF _Toc131429880 \h </w:instrText>
      </w:r>
      <w:r>
        <w:fldChar w:fldCharType="separate"/>
      </w:r>
      <w:r>
        <w:t>- 17 -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"_Toc131429881" </w:instrText>
      </w:r>
      <w:r>
        <w:fldChar w:fldCharType="separate"/>
      </w:r>
      <w:r>
        <w:rPr>
          <w:rStyle w:val="65"/>
          <w:rFonts w:ascii="宋体"/>
        </w:rPr>
        <w:t>五、成交通知</w:t>
      </w:r>
      <w:r>
        <w:tab/>
      </w:r>
      <w:r>
        <w:fldChar w:fldCharType="begin"/>
      </w:r>
      <w:r>
        <w:instrText xml:space="preserve"> PAGEREF _Toc131429881 \h </w:instrText>
      </w:r>
      <w:r>
        <w:fldChar w:fldCharType="separate"/>
      </w:r>
      <w:r>
        <w:t>- 17 -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"_Toc131429882" </w:instrText>
      </w:r>
      <w:r>
        <w:fldChar w:fldCharType="separate"/>
      </w:r>
      <w:r>
        <w:rPr>
          <w:rStyle w:val="65"/>
          <w:rFonts w:ascii="宋体"/>
        </w:rPr>
        <w:t>六、关于质疑和投诉</w:t>
      </w:r>
      <w:r>
        <w:tab/>
      </w:r>
      <w:r>
        <w:fldChar w:fldCharType="begin"/>
      </w:r>
      <w:r>
        <w:instrText xml:space="preserve"> PAGEREF _Toc131429882 \h </w:instrText>
      </w:r>
      <w:r>
        <w:fldChar w:fldCharType="separate"/>
      </w:r>
      <w:r>
        <w:t>- 17 -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"_Toc131429883" </w:instrText>
      </w:r>
      <w:r>
        <w:fldChar w:fldCharType="separate"/>
      </w:r>
      <w:r>
        <w:rPr>
          <w:rStyle w:val="65"/>
          <w:rFonts w:ascii="宋体"/>
        </w:rPr>
        <w:t>七、采购代理服务费</w:t>
      </w:r>
      <w:r>
        <w:tab/>
      </w:r>
      <w:r>
        <w:fldChar w:fldCharType="begin"/>
      </w:r>
      <w:r>
        <w:instrText xml:space="preserve"> PAGEREF _Toc131429883 \h </w:instrText>
      </w:r>
      <w:r>
        <w:fldChar w:fldCharType="separate"/>
      </w:r>
      <w:r>
        <w:t>- 19 -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"_Toc131429884" </w:instrText>
      </w:r>
      <w:r>
        <w:fldChar w:fldCharType="separate"/>
      </w:r>
      <w:r>
        <w:rPr>
          <w:rStyle w:val="65"/>
          <w:rFonts w:ascii="宋体"/>
        </w:rPr>
        <w:t>八、签订合同</w:t>
      </w:r>
      <w:r>
        <w:tab/>
      </w:r>
      <w:r>
        <w:fldChar w:fldCharType="begin"/>
      </w:r>
      <w:r>
        <w:instrText xml:space="preserve"> PAGEREF _Toc131429884 \h </w:instrText>
      </w:r>
      <w:r>
        <w:fldChar w:fldCharType="separate"/>
      </w:r>
      <w:r>
        <w:t>- 19 -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"_Toc131429885" </w:instrText>
      </w:r>
      <w:r>
        <w:fldChar w:fldCharType="separate"/>
      </w:r>
      <w:r>
        <w:rPr>
          <w:rStyle w:val="65"/>
          <w:rFonts w:ascii="宋体"/>
        </w:rPr>
        <w:t>第六篇  合同草案条款</w:t>
      </w:r>
      <w:r>
        <w:tab/>
      </w:r>
      <w:r>
        <w:fldChar w:fldCharType="begin"/>
      </w:r>
      <w:r>
        <w:instrText xml:space="preserve"> PAGEREF _Toc131429885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"_Toc131429886" </w:instrText>
      </w:r>
      <w:r>
        <w:fldChar w:fldCharType="separate"/>
      </w:r>
      <w:r>
        <w:rPr>
          <w:rStyle w:val="65"/>
          <w:rFonts w:ascii="宋体"/>
        </w:rPr>
        <w:t>一、合同主要条款</w:t>
      </w:r>
      <w:r>
        <w:tab/>
      </w:r>
      <w:r>
        <w:fldChar w:fldCharType="begin"/>
      </w:r>
      <w:r>
        <w:instrText xml:space="preserve"> PAGEREF _Toc131429886 \h </w:instrText>
      </w:r>
      <w:r>
        <w:fldChar w:fldCharType="separate"/>
      </w:r>
      <w:r>
        <w:t>- 20 -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"_Toc131429887" </w:instrText>
      </w:r>
      <w:r>
        <w:fldChar w:fldCharType="separate"/>
      </w:r>
      <w:r>
        <w:rPr>
          <w:rStyle w:val="65"/>
          <w:rFonts w:ascii="宋体"/>
        </w:rPr>
        <w:t>二、政府采购合同（格式）</w:t>
      </w:r>
      <w:r>
        <w:tab/>
      </w:r>
      <w:r>
        <w:fldChar w:fldCharType="begin"/>
      </w:r>
      <w:r>
        <w:instrText xml:space="preserve"> PAGEREF _Toc131429887 \h </w:instrText>
      </w:r>
      <w:r>
        <w:fldChar w:fldCharType="separate"/>
      </w:r>
      <w:r>
        <w:t>- 22 -</w:t>
      </w:r>
      <w:r>
        <w:fldChar w:fldCharType="end"/>
      </w:r>
      <w:r>
        <w:fldChar w:fldCharType="end"/>
      </w:r>
    </w:p>
    <w:p>
      <w:pPr>
        <w:pStyle w:val="51"/>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"_Toc131429888" </w:instrText>
      </w:r>
      <w:r>
        <w:fldChar w:fldCharType="separate"/>
      </w:r>
      <w:r>
        <w:rPr>
          <w:rStyle w:val="65"/>
          <w:rFonts w:ascii="宋体"/>
        </w:rPr>
        <w:t>第七篇  响应文件编制要求</w:t>
      </w:r>
      <w:r>
        <w:tab/>
      </w:r>
      <w:r>
        <w:fldChar w:fldCharType="begin"/>
      </w:r>
      <w:r>
        <w:instrText xml:space="preserve"> PAGEREF _Toc131429888 \h </w:instrText>
      </w:r>
      <w:r>
        <w:fldChar w:fldCharType="separate"/>
      </w:r>
      <w:r>
        <w:t>- 24 -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"_Toc131429889" </w:instrText>
      </w:r>
      <w:r>
        <w:fldChar w:fldCharType="separate"/>
      </w:r>
      <w:r>
        <w:rPr>
          <w:rStyle w:val="65"/>
          <w:rFonts w:ascii="宋体" w:hAnsi="宋体"/>
        </w:rPr>
        <w:t>一、经济部分</w:t>
      </w:r>
      <w:r>
        <w:tab/>
      </w:r>
      <w:r>
        <w:fldChar w:fldCharType="begin"/>
      </w:r>
      <w:r>
        <w:instrText xml:space="preserve"> PAGEREF _Toc131429889 \h </w:instrText>
      </w:r>
      <w:r>
        <w:fldChar w:fldCharType="separate"/>
      </w:r>
      <w:r>
        <w:t>- 24 -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"_Toc131429890" </w:instrText>
      </w:r>
      <w:r>
        <w:fldChar w:fldCharType="separate"/>
      </w:r>
      <w:r>
        <w:rPr>
          <w:rStyle w:val="65"/>
          <w:rFonts w:ascii="宋体" w:hAnsi="宋体"/>
        </w:rPr>
        <w:t>二、服务部分</w:t>
      </w:r>
      <w:r>
        <w:tab/>
      </w:r>
      <w:r>
        <w:fldChar w:fldCharType="begin"/>
      </w:r>
      <w:r>
        <w:instrText xml:space="preserve"> PAGEREF _Toc131429890 \h </w:instrText>
      </w:r>
      <w:r>
        <w:fldChar w:fldCharType="separate"/>
      </w:r>
      <w:r>
        <w:t>- 24 -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"_Toc131429891" </w:instrText>
      </w:r>
      <w:r>
        <w:fldChar w:fldCharType="separate"/>
      </w:r>
      <w:r>
        <w:rPr>
          <w:rStyle w:val="65"/>
          <w:rFonts w:ascii="宋体" w:hAnsi="宋体"/>
        </w:rPr>
        <w:t>三、商务部分</w:t>
      </w:r>
      <w:r>
        <w:tab/>
      </w:r>
      <w:r>
        <w:fldChar w:fldCharType="begin"/>
      </w:r>
      <w:r>
        <w:instrText xml:space="preserve"> PAGEREF _Toc131429891 \h </w:instrText>
      </w:r>
      <w:r>
        <w:fldChar w:fldCharType="separate"/>
      </w:r>
      <w:r>
        <w:t>- 24 -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"_Toc131429892" </w:instrText>
      </w:r>
      <w:r>
        <w:fldChar w:fldCharType="separate"/>
      </w:r>
      <w:r>
        <w:rPr>
          <w:rStyle w:val="65"/>
          <w:rFonts w:ascii="宋体" w:hAnsi="宋体"/>
        </w:rPr>
        <w:t>四、资格条件及其他</w:t>
      </w:r>
      <w:r>
        <w:tab/>
      </w:r>
      <w:r>
        <w:fldChar w:fldCharType="begin"/>
      </w:r>
      <w:r>
        <w:instrText xml:space="preserve"> PAGEREF _Toc131429892 \h </w:instrText>
      </w:r>
      <w:r>
        <w:fldChar w:fldCharType="separate"/>
      </w:r>
      <w:r>
        <w:t>- 24 -</w:t>
      </w:r>
      <w:r>
        <w:fldChar w:fldCharType="end"/>
      </w:r>
      <w:r>
        <w:fldChar w:fldCharType="end"/>
      </w:r>
    </w:p>
    <w:p>
      <w:pPr>
        <w:pStyle w:val="33"/>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"_Toc131429893" </w:instrText>
      </w:r>
      <w:r>
        <w:fldChar w:fldCharType="separate"/>
      </w:r>
      <w:r>
        <w:rPr>
          <w:rStyle w:val="65"/>
        </w:rPr>
        <w:t>五、其他资料</w:t>
      </w:r>
      <w:r>
        <w:tab/>
      </w:r>
      <w:r>
        <w:fldChar w:fldCharType="begin"/>
      </w:r>
      <w:r>
        <w:instrText xml:space="preserve"> PAGEREF _Toc131429893 \h </w:instrText>
      </w:r>
      <w:r>
        <w:fldChar w:fldCharType="separate"/>
      </w:r>
      <w:r>
        <w:t>- 32 -</w:t>
      </w:r>
      <w:r>
        <w:fldChar w:fldCharType="end"/>
      </w:r>
      <w:r>
        <w:fldChar w:fldCharType="end"/>
      </w:r>
    </w:p>
    <w:p>
      <w:pPr>
        <w:pStyle w:val="51"/>
        <w:tabs>
          <w:tab w:val="right" w:leader="dot" w:pos="9402"/>
        </w:tabs>
        <w:spacing w:line="480" w:lineRule="exact"/>
        <w:ind w:left="560"/>
        <w:jc w:val="center"/>
        <w:rPr>
          <w:rFonts w:asci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szCs w:val="24"/>
        </w:rPr>
        <w:fldChar w:fldCharType="end"/>
      </w:r>
    </w:p>
    <w:p>
      <w:pPr>
        <w:pStyle w:val="5"/>
        <w:spacing w:line="360" w:lineRule="auto"/>
        <w:jc w:val="center"/>
        <w:rPr>
          <w:rFonts w:ascii="宋体" w:eastAsia="宋体"/>
          <w:sz w:val="36"/>
          <w:szCs w:val="30"/>
        </w:rPr>
      </w:pPr>
      <w:bookmarkStart w:id="0" w:name="_Toc12789052"/>
      <w:bookmarkStart w:id="1" w:name="_Toc131429854"/>
      <w:bookmarkStart w:id="2" w:name="_Toc11641050"/>
      <w:r>
        <w:rPr>
          <w:rFonts w:hint="eastAsia" w:ascii="宋体" w:eastAsia="宋体"/>
          <w:sz w:val="36"/>
          <w:szCs w:val="30"/>
        </w:rPr>
        <w:t>第一篇  采购邀请书</w:t>
      </w:r>
      <w:bookmarkEnd w:id="0"/>
      <w:bookmarkEnd w:id="1"/>
      <w:bookmarkEnd w:id="2"/>
    </w:p>
    <w:p>
      <w:pPr>
        <w:spacing w:line="360" w:lineRule="auto"/>
        <w:ind w:firstLine="480" w:firstLineChars="200"/>
        <w:rPr>
          <w:rFonts w:ascii="宋体"/>
          <w:sz w:val="24"/>
          <w:szCs w:val="24"/>
        </w:rPr>
      </w:pPr>
      <w:r>
        <w:rPr>
          <w:rFonts w:hint="eastAsia" w:ascii="宋体"/>
          <w:sz w:val="24"/>
          <w:szCs w:val="24"/>
        </w:rPr>
        <w:t>重庆市中基致信招标代理有限公司（以下简称：采购代理机构）接</w:t>
      </w:r>
      <w:r>
        <w:rPr>
          <w:rFonts w:ascii="宋体"/>
          <w:sz w:val="24"/>
          <w:szCs w:val="24"/>
        </w:rPr>
        <w:t>受</w:t>
      </w:r>
      <w:r>
        <w:rPr>
          <w:rFonts w:hint="eastAsia" w:ascii="宋体"/>
          <w:sz w:val="24"/>
          <w:szCs w:val="24"/>
        </w:rPr>
        <w:t>重庆市无线电监测站的委托，对重庆市2024年无线电频率占用费转移支付资金申报服务政府采购项目（项目号：</w:t>
      </w:r>
      <w:r>
        <w:rPr>
          <w:rFonts w:ascii="宋体"/>
          <w:sz w:val="24"/>
          <w:szCs w:val="24"/>
        </w:rPr>
        <w:t>CQCBJQ2304-086</w:t>
      </w:r>
      <w:r>
        <w:rPr>
          <w:rFonts w:hint="eastAsia" w:ascii="宋体"/>
          <w:sz w:val="24"/>
          <w:szCs w:val="24"/>
        </w:rPr>
        <w:t>）进行竞争性磋商采购。欢迎有资格的供应商前来参与磋商。</w:t>
      </w:r>
    </w:p>
    <w:p>
      <w:pPr>
        <w:pStyle w:val="6"/>
        <w:spacing w:before="0" w:after="0" w:line="360" w:lineRule="auto"/>
        <w:ind w:firstLine="482" w:firstLineChars="200"/>
        <w:rPr>
          <w:rFonts w:ascii="宋体"/>
          <w:sz w:val="24"/>
          <w:szCs w:val="24"/>
        </w:rPr>
      </w:pPr>
      <w:bookmarkStart w:id="3" w:name="_Toc313893526"/>
      <w:bookmarkStart w:id="4" w:name="_Toc317775175"/>
      <w:bookmarkStart w:id="5" w:name="_Toc131429855"/>
      <w:r>
        <w:rPr>
          <w:rFonts w:hint="eastAsia" w:ascii="宋体"/>
          <w:sz w:val="24"/>
          <w:szCs w:val="24"/>
        </w:rPr>
        <w:t>一、竞争性磋商内容</w:t>
      </w:r>
      <w:bookmarkEnd w:id="3"/>
      <w:bookmarkEnd w:id="4"/>
      <w:bookmarkEnd w:id="5"/>
    </w:p>
    <w:tbl>
      <w:tblPr>
        <w:tblStyle w:val="6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47"/>
        <w:gridCol w:w="1347"/>
        <w:gridCol w:w="170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835"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bookmarkStart w:id="6" w:name="_Toc317775178"/>
            <w:bookmarkStart w:id="7" w:name="_Toc373860293"/>
            <w:r>
              <w:rPr>
                <w:rFonts w:hint="eastAsia" w:ascii="宋体" w:cs="宋体"/>
                <w:b/>
                <w:bCs/>
                <w:kern w:val="0"/>
                <w:sz w:val="21"/>
                <w:szCs w:val="24"/>
              </w:rPr>
              <w:t>项目内容</w:t>
            </w:r>
          </w:p>
        </w:tc>
        <w:tc>
          <w:tcPr>
            <w:tcW w:w="1347"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4"/>
              </w:rPr>
              <w:t>最高限价</w:t>
            </w:r>
          </w:p>
          <w:p>
            <w:pPr>
              <w:widowControl/>
              <w:jc w:val="center"/>
              <w:rPr>
                <w:rFonts w:ascii="宋体" w:cs="宋体"/>
                <w:b/>
                <w:bCs/>
                <w:kern w:val="0"/>
                <w:sz w:val="21"/>
                <w:szCs w:val="24"/>
              </w:rPr>
            </w:pPr>
            <w:r>
              <w:rPr>
                <w:rFonts w:hint="eastAsia" w:ascii="宋体" w:cs="宋体"/>
                <w:b/>
                <w:bCs/>
                <w:kern w:val="0"/>
                <w:sz w:val="21"/>
                <w:szCs w:val="24"/>
              </w:rPr>
              <w:t>（万元）</w:t>
            </w:r>
          </w:p>
        </w:tc>
        <w:tc>
          <w:tcPr>
            <w:tcW w:w="1347"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4"/>
              </w:rPr>
              <w:t>磋商保证金</w:t>
            </w:r>
          </w:p>
          <w:p>
            <w:pPr>
              <w:widowControl/>
              <w:jc w:val="center"/>
              <w:rPr>
                <w:rFonts w:ascii="宋体" w:cs="宋体"/>
                <w:b/>
                <w:bCs/>
                <w:kern w:val="0"/>
                <w:sz w:val="21"/>
                <w:szCs w:val="24"/>
              </w:rPr>
            </w:pPr>
            <w:r>
              <w:rPr>
                <w:rFonts w:hint="eastAsia" w:ascii="宋体" w:cs="宋体"/>
                <w:b/>
                <w:bCs/>
                <w:kern w:val="0"/>
                <w:sz w:val="21"/>
                <w:szCs w:val="24"/>
              </w:rPr>
              <w:t>（万元）</w:t>
            </w:r>
          </w:p>
        </w:tc>
        <w:tc>
          <w:tcPr>
            <w:tcW w:w="1701"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4"/>
              </w:rPr>
              <w:t>成交供应商数量（名）</w:t>
            </w:r>
          </w:p>
        </w:tc>
        <w:tc>
          <w:tcPr>
            <w:tcW w:w="2409" w:type="dxa"/>
            <w:tcBorders>
              <w:top w:val="single" w:color="auto" w:sz="4" w:space="0"/>
              <w:left w:val="single" w:color="auto" w:sz="4" w:space="0"/>
              <w:right w:val="single" w:color="auto" w:sz="4" w:space="0"/>
            </w:tcBorders>
            <w:vAlign w:val="center"/>
          </w:tcPr>
          <w:p>
            <w:pPr>
              <w:widowControl/>
              <w:jc w:val="center"/>
              <w:rPr>
                <w:rFonts w:ascii="宋体" w:cs="宋体"/>
                <w:b/>
                <w:bCs/>
                <w:kern w:val="0"/>
                <w:sz w:val="21"/>
                <w:szCs w:val="24"/>
              </w:rPr>
            </w:pPr>
            <w:r>
              <w:rPr>
                <w:rFonts w:hint="eastAsia" w:asci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35" w:type="dxa"/>
            <w:tcBorders>
              <w:top w:val="single" w:color="auto" w:sz="4" w:space="0"/>
              <w:left w:val="single" w:color="auto" w:sz="4" w:space="0"/>
              <w:right w:val="single" w:color="auto" w:sz="4" w:space="0"/>
            </w:tcBorders>
            <w:vAlign w:val="center"/>
          </w:tcPr>
          <w:p>
            <w:pPr>
              <w:jc w:val="center"/>
              <w:outlineLvl w:val="0"/>
              <w:rPr>
                <w:rFonts w:ascii="宋体"/>
                <w:sz w:val="21"/>
                <w:szCs w:val="21"/>
              </w:rPr>
            </w:pPr>
            <w:bookmarkStart w:id="8" w:name="_Hlk344477914"/>
            <w:r>
              <w:rPr>
                <w:rFonts w:hint="eastAsia" w:ascii="宋体"/>
                <w:sz w:val="21"/>
                <w:szCs w:val="21"/>
              </w:rPr>
              <w:t>重庆市2024年无线电频率占用费转移支付资金申报服务</w:t>
            </w:r>
          </w:p>
        </w:tc>
        <w:tc>
          <w:tcPr>
            <w:tcW w:w="1347"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hint="eastAsia" w:ascii="宋体"/>
                <w:sz w:val="21"/>
                <w:szCs w:val="21"/>
              </w:rPr>
              <w:t>20.3</w:t>
            </w:r>
          </w:p>
        </w:tc>
        <w:tc>
          <w:tcPr>
            <w:tcW w:w="1347"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ascii="宋体"/>
                <w:sz w:val="21"/>
                <w:szCs w:val="21"/>
              </w:rPr>
              <w:t>0.4</w:t>
            </w:r>
          </w:p>
        </w:tc>
        <w:tc>
          <w:tcPr>
            <w:tcW w:w="1701"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ascii="宋体"/>
                <w:sz w:val="21"/>
                <w:szCs w:val="21"/>
              </w:rPr>
              <w:t>1</w:t>
            </w:r>
          </w:p>
        </w:tc>
        <w:tc>
          <w:tcPr>
            <w:tcW w:w="2409" w:type="dxa"/>
            <w:tcBorders>
              <w:top w:val="single" w:color="auto" w:sz="4" w:space="0"/>
              <w:left w:val="single" w:color="auto" w:sz="4" w:space="0"/>
              <w:right w:val="single" w:color="auto" w:sz="4" w:space="0"/>
            </w:tcBorders>
            <w:vAlign w:val="center"/>
          </w:tcPr>
          <w:p>
            <w:pPr>
              <w:pStyle w:val="27"/>
              <w:spacing w:line="240" w:lineRule="atLeast"/>
              <w:ind w:left="0"/>
              <w:jc w:val="center"/>
              <w:outlineLvl w:val="0"/>
              <w:rPr>
                <w:rFonts w:ascii="宋体"/>
                <w:sz w:val="21"/>
                <w:szCs w:val="21"/>
              </w:rPr>
            </w:pPr>
            <w:r>
              <w:rPr>
                <w:rFonts w:hint="eastAsia" w:ascii="宋体"/>
                <w:sz w:val="21"/>
                <w:szCs w:val="21"/>
              </w:rPr>
              <w:t>其他未列明行业</w:t>
            </w:r>
          </w:p>
        </w:tc>
      </w:tr>
      <w:bookmarkEnd w:id="8"/>
    </w:tbl>
    <w:p>
      <w:pPr>
        <w:pStyle w:val="6"/>
        <w:spacing w:before="0" w:after="0" w:line="360" w:lineRule="auto"/>
        <w:ind w:firstLine="482" w:firstLineChars="200"/>
        <w:rPr>
          <w:rFonts w:ascii="宋体"/>
          <w:sz w:val="24"/>
          <w:szCs w:val="24"/>
        </w:rPr>
      </w:pPr>
      <w:bookmarkStart w:id="9" w:name="_Toc131429856"/>
      <w:r>
        <w:rPr>
          <w:rFonts w:hint="eastAsia" w:ascii="宋体"/>
          <w:sz w:val="24"/>
          <w:szCs w:val="24"/>
        </w:rPr>
        <w:t>二、资金来源</w:t>
      </w:r>
      <w:bookmarkEnd w:id="9"/>
    </w:p>
    <w:p>
      <w:pPr>
        <w:spacing w:line="360" w:lineRule="auto"/>
        <w:ind w:firstLine="480" w:firstLineChars="200"/>
        <w:rPr>
          <w:rFonts w:ascii="宋体"/>
          <w:sz w:val="24"/>
          <w:szCs w:val="24"/>
        </w:rPr>
      </w:pPr>
      <w:r>
        <w:rPr>
          <w:rFonts w:hint="eastAsia" w:ascii="宋体"/>
          <w:sz w:val="24"/>
          <w:szCs w:val="24"/>
        </w:rPr>
        <w:t>财政预算资金,预算金额为20.3万元。</w:t>
      </w:r>
    </w:p>
    <w:bookmarkEnd w:id="6"/>
    <w:bookmarkEnd w:id="7"/>
    <w:p>
      <w:pPr>
        <w:pStyle w:val="6"/>
        <w:spacing w:before="0" w:after="0" w:line="360" w:lineRule="auto"/>
        <w:ind w:firstLine="482" w:firstLineChars="200"/>
        <w:rPr>
          <w:rFonts w:ascii="宋体"/>
          <w:sz w:val="24"/>
          <w:szCs w:val="24"/>
        </w:rPr>
      </w:pPr>
      <w:bookmarkStart w:id="10" w:name="_Toc75258773"/>
      <w:bookmarkStart w:id="11" w:name="_Toc131429857"/>
      <w:r>
        <w:rPr>
          <w:rFonts w:hint="eastAsia" w:ascii="宋体"/>
          <w:sz w:val="24"/>
          <w:szCs w:val="24"/>
        </w:rPr>
        <w:t>三、供应商资格条件</w:t>
      </w:r>
      <w:bookmarkEnd w:id="10"/>
      <w:bookmarkEnd w:id="11"/>
    </w:p>
    <w:p>
      <w:pPr>
        <w:spacing w:line="360" w:lineRule="auto"/>
        <w:ind w:firstLine="480" w:firstLineChars="200"/>
        <w:rPr>
          <w:rFonts w:ascii="宋体"/>
          <w:sz w:val="24"/>
          <w:szCs w:val="24"/>
        </w:rPr>
      </w:pPr>
      <w:bookmarkStart w:id="12" w:name="_Toc75258774"/>
      <w:r>
        <w:rPr>
          <w:rFonts w:hint="eastAsia" w:ascii="宋体"/>
          <w:sz w:val="24"/>
          <w:szCs w:val="24"/>
        </w:rPr>
        <w:t>（一）合格供应商应满足《中华人民共和国政府采购法》第二十二条规定；</w:t>
      </w:r>
    </w:p>
    <w:p>
      <w:pPr>
        <w:spacing w:line="360" w:lineRule="auto"/>
        <w:ind w:firstLine="480" w:firstLineChars="200"/>
        <w:rPr>
          <w:rFonts w:ascii="宋体"/>
          <w:sz w:val="24"/>
          <w:szCs w:val="24"/>
        </w:rPr>
      </w:pPr>
      <w:r>
        <w:rPr>
          <w:rFonts w:hint="eastAsia" w:ascii="宋体"/>
          <w:sz w:val="24"/>
          <w:szCs w:val="24"/>
        </w:rPr>
        <w:t>（二）本项目的特定资格条件：无；</w:t>
      </w:r>
    </w:p>
    <w:p>
      <w:pPr>
        <w:spacing w:line="360" w:lineRule="auto"/>
        <w:ind w:firstLine="480" w:firstLineChars="200"/>
        <w:rPr>
          <w:rFonts w:ascii="宋体"/>
          <w:sz w:val="24"/>
          <w:szCs w:val="24"/>
        </w:rPr>
      </w:pPr>
      <w:r>
        <w:rPr>
          <w:rFonts w:hint="eastAsia" w:ascii="宋体"/>
          <w:sz w:val="24"/>
          <w:szCs w:val="24"/>
        </w:rPr>
        <w:t>（三）落实政府采购政策需满足的资格要求：无。</w:t>
      </w:r>
    </w:p>
    <w:p>
      <w:pPr>
        <w:pStyle w:val="6"/>
        <w:spacing w:before="0" w:after="0" w:line="360" w:lineRule="auto"/>
        <w:ind w:firstLine="482" w:firstLineChars="200"/>
        <w:rPr>
          <w:rFonts w:ascii="宋体"/>
          <w:sz w:val="24"/>
          <w:szCs w:val="24"/>
        </w:rPr>
      </w:pPr>
      <w:bookmarkStart w:id="13" w:name="_Toc131429858"/>
      <w:r>
        <w:rPr>
          <w:rFonts w:hint="eastAsia" w:ascii="宋体"/>
          <w:sz w:val="24"/>
          <w:szCs w:val="24"/>
        </w:rPr>
        <w:t>四、磋商有关说明</w:t>
      </w:r>
      <w:bookmarkEnd w:id="12"/>
      <w:bookmarkEnd w:id="13"/>
    </w:p>
    <w:p>
      <w:pPr>
        <w:spacing w:line="360" w:lineRule="auto"/>
        <w:ind w:firstLine="480" w:firstLineChars="200"/>
        <w:rPr>
          <w:rFonts w:ascii="宋体"/>
          <w:sz w:val="24"/>
          <w:szCs w:val="24"/>
        </w:rPr>
      </w:pPr>
      <w:r>
        <w:rPr>
          <w:rFonts w:hint="eastAsia" w:ascii="宋体"/>
          <w:sz w:val="24"/>
          <w:szCs w:val="24"/>
        </w:rPr>
        <w:t>（一）凡有意参加磋商的供应商，</w:t>
      </w:r>
      <w:r>
        <w:rPr>
          <w:rFonts w:hint="eastAsia" w:ascii="宋体" w:cs="宋体"/>
          <w:sz w:val="24"/>
          <w:szCs w:val="24"/>
        </w:rPr>
        <w:t>请到重庆市经济和信息化委员会网上（https://jjxxw.cq.gov.cn/）下载本项目磋商文件以及图纸、澄清等开标前公布的所有项目资料，无论供应商领取或下载与否，均视为已知晓所有招标内容。</w:t>
      </w:r>
    </w:p>
    <w:p>
      <w:pPr>
        <w:spacing w:line="360" w:lineRule="auto"/>
        <w:ind w:firstLine="480" w:firstLineChars="200"/>
        <w:rPr>
          <w:rFonts w:ascii="宋体"/>
          <w:sz w:val="24"/>
          <w:szCs w:val="24"/>
        </w:rPr>
      </w:pPr>
      <w:r>
        <w:rPr>
          <w:rFonts w:hint="eastAsia" w:ascii="宋体"/>
          <w:sz w:val="24"/>
          <w:szCs w:val="24"/>
        </w:rPr>
        <w:t>（二）竞争性磋商文件报名期限：</w:t>
      </w:r>
      <w:r>
        <w:rPr>
          <w:rFonts w:ascii="宋体"/>
          <w:sz w:val="24"/>
          <w:szCs w:val="24"/>
        </w:rPr>
        <w:t>202</w:t>
      </w:r>
      <w:r>
        <w:rPr>
          <w:rFonts w:hint="eastAsia" w:ascii="宋体"/>
          <w:sz w:val="24"/>
          <w:szCs w:val="24"/>
        </w:rPr>
        <w:t>3年</w:t>
      </w:r>
      <w:r>
        <w:rPr>
          <w:rFonts w:ascii="宋体"/>
          <w:sz w:val="24"/>
          <w:szCs w:val="24"/>
        </w:rPr>
        <w:t>4</w:t>
      </w:r>
      <w:r>
        <w:rPr>
          <w:rFonts w:hint="eastAsia" w:ascii="宋体"/>
          <w:sz w:val="24"/>
          <w:szCs w:val="24"/>
        </w:rPr>
        <w:t>月</w:t>
      </w:r>
      <w:r>
        <w:rPr>
          <w:rFonts w:ascii="宋体"/>
          <w:sz w:val="24"/>
          <w:szCs w:val="24"/>
        </w:rPr>
        <w:t>3</w:t>
      </w:r>
      <w:r>
        <w:rPr>
          <w:rFonts w:hint="eastAsia" w:ascii="宋体"/>
          <w:sz w:val="24"/>
          <w:szCs w:val="24"/>
        </w:rPr>
        <w:t>日</w:t>
      </w:r>
      <w:r>
        <w:rPr>
          <w:rFonts w:ascii="宋体"/>
          <w:sz w:val="24"/>
          <w:szCs w:val="24"/>
        </w:rPr>
        <w:t>-202</w:t>
      </w:r>
      <w:r>
        <w:rPr>
          <w:rFonts w:hint="eastAsia" w:ascii="宋体"/>
          <w:sz w:val="24"/>
          <w:szCs w:val="24"/>
        </w:rPr>
        <w:t>3年</w:t>
      </w:r>
      <w:r>
        <w:rPr>
          <w:rFonts w:ascii="宋体"/>
          <w:sz w:val="24"/>
          <w:szCs w:val="24"/>
        </w:rPr>
        <w:t>4</w:t>
      </w:r>
      <w:r>
        <w:rPr>
          <w:rFonts w:hint="eastAsia" w:ascii="宋体"/>
          <w:sz w:val="24"/>
          <w:szCs w:val="24"/>
        </w:rPr>
        <w:t>月</w:t>
      </w:r>
      <w:r>
        <w:rPr>
          <w:rFonts w:ascii="宋体"/>
          <w:sz w:val="24"/>
          <w:szCs w:val="24"/>
        </w:rPr>
        <w:t>11</w:t>
      </w:r>
      <w:r>
        <w:rPr>
          <w:rFonts w:hint="eastAsia" w:ascii="宋体"/>
          <w:sz w:val="24"/>
          <w:szCs w:val="24"/>
        </w:rPr>
        <w:t>日（9:</w:t>
      </w:r>
      <w:r>
        <w:rPr>
          <w:rFonts w:ascii="宋体"/>
          <w:sz w:val="24"/>
          <w:szCs w:val="24"/>
        </w:rPr>
        <w:t>00</w:t>
      </w:r>
      <w:r>
        <w:rPr>
          <w:rFonts w:hint="eastAsia" w:ascii="宋体"/>
          <w:sz w:val="24"/>
          <w:szCs w:val="24"/>
        </w:rPr>
        <w:t>-</w:t>
      </w:r>
      <w:r>
        <w:rPr>
          <w:rFonts w:ascii="宋体"/>
          <w:sz w:val="24"/>
          <w:szCs w:val="24"/>
        </w:rPr>
        <w:t>17</w:t>
      </w:r>
      <w:r>
        <w:rPr>
          <w:rFonts w:hint="eastAsia" w:ascii="宋体"/>
          <w:sz w:val="24"/>
          <w:szCs w:val="24"/>
        </w:rPr>
        <w:t>:0</w:t>
      </w:r>
      <w:r>
        <w:rPr>
          <w:rFonts w:ascii="宋体"/>
          <w:sz w:val="24"/>
          <w:szCs w:val="24"/>
        </w:rPr>
        <w:t>0</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（三）竞争性磋商文件发售</w:t>
      </w:r>
    </w:p>
    <w:p>
      <w:pPr>
        <w:spacing w:line="360" w:lineRule="auto"/>
        <w:ind w:firstLine="480" w:firstLineChars="200"/>
        <w:rPr>
          <w:rFonts w:ascii="宋体"/>
          <w:sz w:val="24"/>
          <w:szCs w:val="24"/>
        </w:rPr>
      </w:pPr>
      <w:r>
        <w:rPr>
          <w:rFonts w:hint="eastAsia" w:ascii="宋体"/>
          <w:sz w:val="24"/>
          <w:szCs w:val="24"/>
        </w:rPr>
        <w:t>1.竞争性磋商文件报名期限内，供应商</w:t>
      </w:r>
      <w:r>
        <w:rPr>
          <w:rFonts w:hint="eastAsia" w:ascii="宋体" w:cs="宋体"/>
          <w:sz w:val="24"/>
          <w:szCs w:val="24"/>
        </w:rPr>
        <w:t>将《采购文件发售登记表》（加盖供应商公章）</w:t>
      </w:r>
      <w:r>
        <w:fldChar w:fldCharType="begin"/>
      </w:r>
      <w:r>
        <w:instrText xml:space="preserve"> HYPERLINK "mailto:及标书费转账凭证扫描后发送至hulin@cqchinabase.com" </w:instrText>
      </w:r>
      <w:r>
        <w:fldChar w:fldCharType="separate"/>
      </w:r>
      <w:r>
        <w:rPr>
          <w:rFonts w:hint="eastAsia" w:ascii="宋体" w:cs="宋体"/>
          <w:sz w:val="24"/>
          <w:szCs w:val="24"/>
        </w:rPr>
        <w:t>及标书费转账凭证扫描后发送至hulin@cqchinabase.com</w:t>
      </w:r>
      <w:r>
        <w:rPr>
          <w:rFonts w:hint="eastAsia" w:ascii="宋体" w:cs="宋体"/>
          <w:sz w:val="24"/>
          <w:szCs w:val="24"/>
        </w:rPr>
        <w:fldChar w:fldCharType="end"/>
      </w:r>
      <w:r>
        <w:rPr>
          <w:rFonts w:hint="eastAsia" w:ascii="宋体" w:cs="宋体"/>
          <w:sz w:val="24"/>
          <w:szCs w:val="24"/>
        </w:rPr>
        <w:t>。</w:t>
      </w:r>
    </w:p>
    <w:p>
      <w:pPr>
        <w:spacing w:line="360" w:lineRule="auto"/>
        <w:ind w:firstLine="480" w:firstLineChars="200"/>
        <w:rPr>
          <w:rFonts w:ascii="宋体"/>
          <w:sz w:val="24"/>
          <w:szCs w:val="24"/>
        </w:rPr>
      </w:pPr>
      <w:r>
        <w:rPr>
          <w:rFonts w:hint="eastAsia" w:ascii="宋体"/>
          <w:sz w:val="24"/>
          <w:szCs w:val="24"/>
        </w:rPr>
        <w:t>2.售价：人民币</w:t>
      </w:r>
      <w:r>
        <w:rPr>
          <w:rFonts w:hint="eastAsia" w:ascii="宋体"/>
          <w:sz w:val="24"/>
          <w:szCs w:val="24"/>
          <w:u w:val="single"/>
        </w:rPr>
        <w:t xml:space="preserve"> 300 </w:t>
      </w:r>
      <w:r>
        <w:rPr>
          <w:rFonts w:hint="eastAsia" w:ascii="宋体"/>
          <w:sz w:val="24"/>
          <w:szCs w:val="24"/>
        </w:rPr>
        <w:t>元/分包（售后不退）</w:t>
      </w:r>
    </w:p>
    <w:p>
      <w:pPr>
        <w:spacing w:line="360" w:lineRule="auto"/>
        <w:ind w:firstLine="480" w:firstLineChars="200"/>
        <w:rPr>
          <w:rFonts w:ascii="宋体" w:cs="宋体"/>
          <w:sz w:val="24"/>
          <w:szCs w:val="24"/>
        </w:rPr>
      </w:pPr>
      <w:r>
        <w:rPr>
          <w:rFonts w:hint="eastAsia" w:ascii="宋体" w:cs="宋体"/>
          <w:sz w:val="24"/>
          <w:szCs w:val="24"/>
        </w:rPr>
        <w:t>3.收款账户：</w:t>
      </w:r>
    </w:p>
    <w:p>
      <w:pPr>
        <w:spacing w:line="360" w:lineRule="auto"/>
        <w:ind w:firstLine="720" w:firstLineChars="300"/>
        <w:rPr>
          <w:rFonts w:ascii="宋体" w:cs="宋体"/>
          <w:sz w:val="24"/>
          <w:szCs w:val="24"/>
        </w:rPr>
      </w:pPr>
      <w:r>
        <w:rPr>
          <w:rFonts w:hint="eastAsia" w:ascii="宋体" w:cs="宋体"/>
          <w:sz w:val="24"/>
          <w:szCs w:val="24"/>
        </w:rPr>
        <w:t>户  名：重庆市中基致信招标代理有限公司</w:t>
      </w:r>
    </w:p>
    <w:p>
      <w:pPr>
        <w:spacing w:line="360" w:lineRule="auto"/>
        <w:ind w:firstLine="720" w:firstLineChars="300"/>
        <w:rPr>
          <w:rFonts w:ascii="宋体" w:cs="宋体"/>
          <w:sz w:val="24"/>
          <w:szCs w:val="24"/>
        </w:rPr>
      </w:pPr>
      <w:r>
        <w:rPr>
          <w:rFonts w:hint="eastAsia" w:ascii="宋体" w:cs="宋体"/>
          <w:sz w:val="24"/>
          <w:szCs w:val="24"/>
        </w:rPr>
        <w:t>开户 行：中国银行重庆江北支行</w:t>
      </w:r>
    </w:p>
    <w:p>
      <w:pPr>
        <w:spacing w:line="360" w:lineRule="auto"/>
        <w:ind w:firstLine="720" w:firstLineChars="300"/>
        <w:rPr>
          <w:rFonts w:ascii="宋体" w:cs="宋体"/>
          <w:sz w:val="24"/>
          <w:szCs w:val="24"/>
        </w:rPr>
      </w:pPr>
      <w:r>
        <w:rPr>
          <w:rFonts w:hint="eastAsia" w:ascii="宋体" w:cs="宋体"/>
          <w:sz w:val="24"/>
          <w:szCs w:val="24"/>
        </w:rPr>
        <w:t>账  号：1144 6718 4234</w:t>
      </w:r>
    </w:p>
    <w:p>
      <w:pPr>
        <w:spacing w:line="360" w:lineRule="auto"/>
        <w:ind w:firstLine="480" w:firstLineChars="200"/>
        <w:rPr>
          <w:rFonts w:ascii="宋体"/>
          <w:sz w:val="24"/>
          <w:szCs w:val="24"/>
        </w:rPr>
      </w:pPr>
      <w:r>
        <w:rPr>
          <w:rFonts w:hint="eastAsia" w:ascii="宋体"/>
          <w:sz w:val="24"/>
          <w:szCs w:val="24"/>
        </w:rPr>
        <w:t>4.未进行报名的潜在供应商将不得参与磋商。</w:t>
      </w:r>
    </w:p>
    <w:p>
      <w:pPr>
        <w:spacing w:line="360" w:lineRule="auto"/>
        <w:ind w:firstLine="480" w:firstLineChars="200"/>
        <w:rPr>
          <w:rFonts w:ascii="宋体"/>
          <w:sz w:val="24"/>
          <w:szCs w:val="24"/>
        </w:rPr>
      </w:pPr>
      <w:r>
        <w:rPr>
          <w:rFonts w:hint="eastAsia" w:ascii="宋体"/>
          <w:sz w:val="24"/>
          <w:szCs w:val="24"/>
        </w:rPr>
        <w:t>（四）供应商须满足以下三种要件，其响应文件才被接受：</w:t>
      </w:r>
    </w:p>
    <w:p>
      <w:pPr>
        <w:spacing w:line="360" w:lineRule="auto"/>
        <w:ind w:firstLine="480" w:firstLineChars="200"/>
        <w:rPr>
          <w:rFonts w:ascii="宋体"/>
          <w:sz w:val="24"/>
          <w:szCs w:val="24"/>
        </w:rPr>
      </w:pPr>
      <w:r>
        <w:rPr>
          <w:rFonts w:ascii="宋体"/>
          <w:sz w:val="24"/>
          <w:szCs w:val="24"/>
        </w:rPr>
        <w:t>1.</w:t>
      </w:r>
      <w:r>
        <w:rPr>
          <w:rFonts w:hint="eastAsia" w:ascii="宋体"/>
          <w:sz w:val="24"/>
          <w:szCs w:val="24"/>
        </w:rPr>
        <w:t>完成报名；</w:t>
      </w:r>
    </w:p>
    <w:p>
      <w:pPr>
        <w:spacing w:line="360" w:lineRule="auto"/>
        <w:ind w:firstLine="480" w:firstLineChars="200"/>
        <w:rPr>
          <w:rFonts w:ascii="宋体"/>
          <w:sz w:val="24"/>
          <w:szCs w:val="24"/>
        </w:rPr>
      </w:pPr>
      <w:r>
        <w:rPr>
          <w:rFonts w:ascii="宋体"/>
          <w:sz w:val="24"/>
          <w:szCs w:val="24"/>
        </w:rPr>
        <w:t>2.</w:t>
      </w:r>
      <w:r>
        <w:rPr>
          <w:rFonts w:hint="eastAsia" w:ascii="宋体"/>
          <w:sz w:val="24"/>
          <w:szCs w:val="24"/>
        </w:rPr>
        <w:t>按时递交了响应文件；</w:t>
      </w:r>
    </w:p>
    <w:p>
      <w:pPr>
        <w:spacing w:line="360" w:lineRule="auto"/>
        <w:ind w:firstLine="480" w:firstLineChars="200"/>
        <w:rPr>
          <w:rFonts w:ascii="宋体"/>
          <w:sz w:val="24"/>
          <w:szCs w:val="24"/>
        </w:rPr>
      </w:pPr>
      <w:r>
        <w:rPr>
          <w:rFonts w:ascii="宋体"/>
          <w:sz w:val="24"/>
          <w:szCs w:val="24"/>
        </w:rPr>
        <w:t>3.</w:t>
      </w:r>
      <w:r>
        <w:rPr>
          <w:rFonts w:hint="eastAsia" w:ascii="宋体"/>
          <w:sz w:val="24"/>
          <w:szCs w:val="24"/>
        </w:rPr>
        <w:t>按时签到。</w:t>
      </w:r>
    </w:p>
    <w:p>
      <w:pPr>
        <w:spacing w:line="360" w:lineRule="auto"/>
        <w:ind w:firstLine="480" w:firstLineChars="200"/>
        <w:rPr>
          <w:rFonts w:ascii="宋体"/>
          <w:sz w:val="24"/>
          <w:szCs w:val="24"/>
        </w:rPr>
      </w:pPr>
      <w:r>
        <w:rPr>
          <w:rFonts w:hint="eastAsia" w:ascii="宋体"/>
          <w:sz w:val="24"/>
          <w:szCs w:val="24"/>
        </w:rPr>
        <w:t>（五）递交响应文件地点：重庆市中基致信招标代理有限公司会议室</w:t>
      </w:r>
    </w:p>
    <w:p>
      <w:pPr>
        <w:spacing w:line="360" w:lineRule="auto"/>
        <w:ind w:firstLine="480" w:firstLineChars="200"/>
        <w:rPr>
          <w:rFonts w:ascii="宋体"/>
          <w:sz w:val="24"/>
          <w:szCs w:val="24"/>
        </w:rPr>
      </w:pPr>
      <w:r>
        <w:rPr>
          <w:rFonts w:hint="eastAsia" w:ascii="宋体"/>
          <w:sz w:val="24"/>
          <w:szCs w:val="24"/>
        </w:rPr>
        <w:t>（六）响应文件递交开始和截止时间：</w:t>
      </w:r>
      <w:r>
        <w:rPr>
          <w:rFonts w:ascii="宋体"/>
          <w:sz w:val="24"/>
          <w:szCs w:val="24"/>
        </w:rPr>
        <w:t>2023</w:t>
      </w:r>
      <w:r>
        <w:rPr>
          <w:rFonts w:hint="eastAsia" w:ascii="宋体"/>
          <w:sz w:val="24"/>
          <w:szCs w:val="24"/>
        </w:rPr>
        <w:t>年</w:t>
      </w:r>
      <w:r>
        <w:rPr>
          <w:rFonts w:ascii="宋体"/>
          <w:sz w:val="24"/>
          <w:szCs w:val="24"/>
        </w:rPr>
        <w:t>4</w:t>
      </w:r>
      <w:r>
        <w:rPr>
          <w:rFonts w:hint="eastAsia" w:ascii="宋体"/>
          <w:sz w:val="24"/>
          <w:szCs w:val="24"/>
        </w:rPr>
        <w:t>月</w:t>
      </w:r>
      <w:r>
        <w:rPr>
          <w:rFonts w:ascii="宋体"/>
          <w:sz w:val="24"/>
          <w:szCs w:val="24"/>
        </w:rPr>
        <w:t>14</w:t>
      </w:r>
      <w:r>
        <w:rPr>
          <w:rFonts w:hint="eastAsia" w:ascii="宋体"/>
          <w:sz w:val="24"/>
          <w:szCs w:val="24"/>
        </w:rPr>
        <w:t>日北京时间</w:t>
      </w:r>
      <w:r>
        <w:rPr>
          <w:rFonts w:ascii="宋体"/>
          <w:sz w:val="24"/>
          <w:szCs w:val="24"/>
        </w:rPr>
        <w:t>15</w:t>
      </w:r>
      <w:r>
        <w:rPr>
          <w:rFonts w:hint="eastAsia" w:ascii="宋体"/>
          <w:sz w:val="24"/>
          <w:szCs w:val="24"/>
        </w:rPr>
        <w:t>:</w:t>
      </w:r>
      <w:r>
        <w:rPr>
          <w:rFonts w:ascii="宋体"/>
          <w:sz w:val="24"/>
          <w:szCs w:val="24"/>
        </w:rPr>
        <w:t>00</w:t>
      </w:r>
      <w:r>
        <w:rPr>
          <w:rFonts w:hint="eastAsia" w:ascii="宋体"/>
          <w:sz w:val="24"/>
          <w:szCs w:val="24"/>
        </w:rPr>
        <w:t>-</w:t>
      </w:r>
      <w:r>
        <w:rPr>
          <w:rFonts w:ascii="宋体"/>
          <w:sz w:val="24"/>
          <w:szCs w:val="24"/>
        </w:rPr>
        <w:t>15</w:t>
      </w:r>
      <w:r>
        <w:rPr>
          <w:rFonts w:hint="eastAsia" w:ascii="宋体"/>
          <w:sz w:val="24"/>
          <w:szCs w:val="24"/>
        </w:rPr>
        <w:t>:</w:t>
      </w:r>
      <w:r>
        <w:rPr>
          <w:rFonts w:ascii="宋体"/>
          <w:sz w:val="24"/>
          <w:szCs w:val="24"/>
        </w:rPr>
        <w:t>3</w:t>
      </w:r>
      <w:r>
        <w:rPr>
          <w:rFonts w:hint="eastAsia" w:ascii="宋体"/>
          <w:sz w:val="24"/>
          <w:szCs w:val="24"/>
        </w:rPr>
        <w:t>0</w:t>
      </w:r>
    </w:p>
    <w:p>
      <w:pPr>
        <w:spacing w:line="360" w:lineRule="auto"/>
        <w:ind w:firstLine="480" w:firstLineChars="200"/>
        <w:rPr>
          <w:rFonts w:ascii="宋体"/>
          <w:sz w:val="24"/>
          <w:szCs w:val="24"/>
        </w:rPr>
      </w:pPr>
      <w:r>
        <w:rPr>
          <w:rFonts w:hint="eastAsia" w:ascii="宋体"/>
          <w:sz w:val="24"/>
          <w:szCs w:val="24"/>
        </w:rPr>
        <w:t>（七）响应文件开启时间：</w:t>
      </w:r>
      <w:r>
        <w:rPr>
          <w:rFonts w:ascii="宋体"/>
          <w:sz w:val="24"/>
          <w:szCs w:val="24"/>
        </w:rPr>
        <w:t>2023</w:t>
      </w:r>
      <w:r>
        <w:rPr>
          <w:rFonts w:hint="eastAsia" w:ascii="宋体"/>
          <w:sz w:val="24"/>
          <w:szCs w:val="24"/>
        </w:rPr>
        <w:t>年</w:t>
      </w:r>
      <w:r>
        <w:rPr>
          <w:rFonts w:ascii="宋体"/>
          <w:sz w:val="24"/>
          <w:szCs w:val="24"/>
        </w:rPr>
        <w:t>4</w:t>
      </w:r>
      <w:r>
        <w:rPr>
          <w:rFonts w:hint="eastAsia" w:ascii="宋体"/>
          <w:sz w:val="24"/>
          <w:szCs w:val="24"/>
        </w:rPr>
        <w:t>月</w:t>
      </w:r>
      <w:r>
        <w:rPr>
          <w:rFonts w:ascii="宋体"/>
          <w:sz w:val="24"/>
          <w:szCs w:val="24"/>
        </w:rPr>
        <w:t>14</w:t>
      </w:r>
      <w:r>
        <w:rPr>
          <w:rFonts w:hint="eastAsia" w:ascii="宋体"/>
          <w:sz w:val="24"/>
          <w:szCs w:val="24"/>
        </w:rPr>
        <w:t>日北京时间</w:t>
      </w:r>
      <w:r>
        <w:rPr>
          <w:rFonts w:ascii="宋体"/>
          <w:sz w:val="24"/>
          <w:szCs w:val="24"/>
        </w:rPr>
        <w:t>15</w:t>
      </w:r>
      <w:r>
        <w:rPr>
          <w:rFonts w:hint="eastAsia" w:ascii="宋体"/>
          <w:sz w:val="24"/>
          <w:szCs w:val="24"/>
        </w:rPr>
        <w:t>:</w:t>
      </w:r>
      <w:r>
        <w:rPr>
          <w:rFonts w:ascii="宋体"/>
          <w:sz w:val="24"/>
          <w:szCs w:val="24"/>
        </w:rPr>
        <w:t>3</w:t>
      </w:r>
      <w:r>
        <w:rPr>
          <w:rFonts w:hint="eastAsia" w:ascii="宋体"/>
          <w:sz w:val="24"/>
          <w:szCs w:val="24"/>
        </w:rPr>
        <w:t>0</w:t>
      </w:r>
    </w:p>
    <w:p>
      <w:pPr>
        <w:pStyle w:val="6"/>
        <w:spacing w:before="0" w:after="0" w:line="360" w:lineRule="auto"/>
        <w:ind w:firstLine="482" w:firstLineChars="200"/>
        <w:rPr>
          <w:rFonts w:ascii="宋体"/>
          <w:sz w:val="24"/>
          <w:szCs w:val="24"/>
        </w:rPr>
      </w:pPr>
      <w:bookmarkStart w:id="14" w:name="_Toc373860294"/>
      <w:bookmarkStart w:id="15" w:name="_Toc75258775"/>
      <w:bookmarkStart w:id="16" w:name="_Toc131429859"/>
      <w:r>
        <w:rPr>
          <w:rFonts w:hint="eastAsia" w:ascii="宋体"/>
          <w:sz w:val="24"/>
          <w:szCs w:val="24"/>
        </w:rPr>
        <w:t>五、磋商保证金</w:t>
      </w:r>
      <w:bookmarkEnd w:id="14"/>
      <w:bookmarkEnd w:id="15"/>
      <w:bookmarkEnd w:id="16"/>
    </w:p>
    <w:p>
      <w:pPr>
        <w:snapToGrid w:val="0"/>
        <w:spacing w:line="360" w:lineRule="auto"/>
        <w:ind w:firstLine="480" w:firstLineChars="200"/>
        <w:rPr>
          <w:rFonts w:ascii="宋体"/>
          <w:sz w:val="24"/>
          <w:szCs w:val="24"/>
        </w:rPr>
      </w:pPr>
      <w:bookmarkStart w:id="17" w:name="_Toc530038692"/>
      <w:r>
        <w:rPr>
          <w:rFonts w:hint="eastAsia" w:ascii="宋体"/>
          <w:sz w:val="24"/>
          <w:szCs w:val="24"/>
        </w:rPr>
        <w:t>（一）磋商保证金递交</w:t>
      </w:r>
    </w:p>
    <w:p>
      <w:pPr>
        <w:snapToGrid w:val="0"/>
        <w:spacing w:line="360" w:lineRule="auto"/>
        <w:ind w:firstLine="480" w:firstLineChars="200"/>
        <w:rPr>
          <w:rFonts w:ascii="宋体"/>
          <w:sz w:val="24"/>
          <w:szCs w:val="24"/>
        </w:rPr>
      </w:pPr>
      <w:r>
        <w:rPr>
          <w:rFonts w:hint="eastAsia" w:ascii="宋体"/>
          <w:sz w:val="24"/>
          <w:szCs w:val="24"/>
        </w:rPr>
        <w:t>供应商须按本项目规定的磋商保证金金额进行缴纳（</w:t>
      </w:r>
      <w:r>
        <w:rPr>
          <w:rFonts w:hint="eastAsia" w:ascii="宋体"/>
          <w:b/>
          <w:bCs/>
          <w:sz w:val="24"/>
          <w:szCs w:val="24"/>
        </w:rPr>
        <w:t>保证金金额详见本篇，一、竞争性磋商内容</w:t>
      </w:r>
      <w:r>
        <w:rPr>
          <w:rFonts w:hint="eastAsia" w:ascii="宋体"/>
          <w:sz w:val="24"/>
          <w:szCs w:val="24"/>
        </w:rPr>
        <w:t>），由供应商从其单位账户将磋商保证金汇至以下任一账户，磋商保证金的到账截止时间为</w:t>
      </w:r>
      <w:r>
        <w:rPr>
          <w:rFonts w:ascii="宋体"/>
          <w:sz w:val="24"/>
          <w:szCs w:val="24"/>
        </w:rPr>
        <w:t>2023</w:t>
      </w:r>
      <w:r>
        <w:rPr>
          <w:rFonts w:hint="eastAsia" w:ascii="宋体"/>
          <w:sz w:val="24"/>
          <w:szCs w:val="24"/>
        </w:rPr>
        <w:t>年</w:t>
      </w:r>
      <w:r>
        <w:rPr>
          <w:rFonts w:ascii="宋体"/>
          <w:sz w:val="24"/>
          <w:szCs w:val="24"/>
        </w:rPr>
        <w:t>4</w:t>
      </w:r>
      <w:r>
        <w:rPr>
          <w:rFonts w:hint="eastAsia" w:ascii="宋体"/>
          <w:sz w:val="24"/>
          <w:szCs w:val="24"/>
        </w:rPr>
        <w:t>月</w:t>
      </w:r>
      <w:r>
        <w:rPr>
          <w:rFonts w:ascii="宋体"/>
          <w:sz w:val="24"/>
          <w:szCs w:val="24"/>
        </w:rPr>
        <w:t>13</w:t>
      </w:r>
      <w:r>
        <w:rPr>
          <w:rFonts w:hint="eastAsia" w:ascii="宋体"/>
          <w:sz w:val="24"/>
          <w:szCs w:val="24"/>
        </w:rPr>
        <w:t>日17:00。缴纳保证金时必须备注项目号。</w:t>
      </w:r>
    </w:p>
    <w:p>
      <w:pPr>
        <w:snapToGrid w:val="0"/>
        <w:spacing w:line="360" w:lineRule="auto"/>
        <w:ind w:firstLine="480" w:firstLineChars="200"/>
        <w:rPr>
          <w:rFonts w:ascii="宋体"/>
          <w:sz w:val="24"/>
          <w:szCs w:val="24"/>
        </w:rPr>
      </w:pPr>
      <w:r>
        <w:rPr>
          <w:rFonts w:hint="eastAsia" w:ascii="宋体"/>
          <w:sz w:val="24"/>
          <w:szCs w:val="24"/>
        </w:rPr>
        <w:t>投标保证金账户：</w:t>
      </w:r>
    </w:p>
    <w:p>
      <w:pPr>
        <w:snapToGrid w:val="0"/>
        <w:spacing w:line="360" w:lineRule="auto"/>
        <w:ind w:firstLine="480" w:firstLineChars="200"/>
        <w:rPr>
          <w:rFonts w:ascii="宋体"/>
          <w:sz w:val="24"/>
          <w:szCs w:val="24"/>
        </w:rPr>
      </w:pPr>
      <w:r>
        <w:rPr>
          <w:rFonts w:hint="eastAsia" w:ascii="宋体"/>
          <w:sz w:val="24"/>
          <w:szCs w:val="24"/>
        </w:rPr>
        <w:t>户  名：重庆市中基致信招标代理有限公司</w:t>
      </w:r>
    </w:p>
    <w:p>
      <w:pPr>
        <w:snapToGrid w:val="0"/>
        <w:spacing w:line="360" w:lineRule="auto"/>
        <w:ind w:firstLine="480" w:firstLineChars="200"/>
        <w:rPr>
          <w:rFonts w:ascii="宋体"/>
          <w:sz w:val="24"/>
          <w:szCs w:val="24"/>
        </w:rPr>
      </w:pPr>
      <w:r>
        <w:rPr>
          <w:rFonts w:hint="eastAsia" w:ascii="宋体"/>
          <w:sz w:val="24"/>
          <w:szCs w:val="24"/>
        </w:rPr>
        <w:t>开户行：中国银行重庆江北支行</w:t>
      </w:r>
    </w:p>
    <w:p>
      <w:pPr>
        <w:snapToGrid w:val="0"/>
        <w:spacing w:line="360" w:lineRule="auto"/>
        <w:ind w:firstLine="480" w:firstLineChars="200"/>
        <w:rPr>
          <w:rFonts w:ascii="宋体"/>
          <w:sz w:val="24"/>
          <w:szCs w:val="24"/>
        </w:rPr>
      </w:pPr>
      <w:r>
        <w:rPr>
          <w:rFonts w:hint="eastAsia" w:ascii="宋体"/>
          <w:sz w:val="24"/>
          <w:szCs w:val="24"/>
        </w:rPr>
        <w:t>账  号：1144 6718 4234</w:t>
      </w:r>
    </w:p>
    <w:p>
      <w:pPr>
        <w:snapToGrid w:val="0"/>
        <w:spacing w:line="360" w:lineRule="auto"/>
        <w:ind w:firstLine="480" w:firstLineChars="200"/>
        <w:rPr>
          <w:rFonts w:ascii="宋体"/>
          <w:sz w:val="24"/>
          <w:szCs w:val="24"/>
        </w:rPr>
      </w:pPr>
      <w:r>
        <w:rPr>
          <w:rFonts w:hint="eastAsia" w:ascii="宋体"/>
          <w:sz w:val="24"/>
          <w:szCs w:val="24"/>
        </w:rPr>
        <w:t>（二）保证金退还方式</w:t>
      </w:r>
    </w:p>
    <w:p>
      <w:pPr>
        <w:snapToGrid w:val="0"/>
        <w:spacing w:line="360" w:lineRule="auto"/>
        <w:ind w:firstLine="480" w:firstLineChars="200"/>
        <w:rPr>
          <w:rFonts w:ascii="宋体"/>
          <w:sz w:val="24"/>
          <w:szCs w:val="24"/>
        </w:rPr>
      </w:pPr>
      <w:r>
        <w:rPr>
          <w:rFonts w:hint="eastAsia" w:asci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sz w:val="24"/>
          <w:szCs w:val="24"/>
        </w:rPr>
      </w:pPr>
      <w:r>
        <w:rPr>
          <w:rFonts w:hint="eastAsia" w:asci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sz w:val="24"/>
          <w:szCs w:val="24"/>
        </w:rPr>
      </w:pPr>
      <w:r>
        <w:rPr>
          <w:rFonts w:hint="eastAsia" w:ascii="宋体"/>
          <w:sz w:val="24"/>
          <w:szCs w:val="24"/>
        </w:rPr>
        <w:t>咨询电话：（023）88758852。</w:t>
      </w:r>
    </w:p>
    <w:p>
      <w:pPr>
        <w:snapToGrid w:val="0"/>
        <w:spacing w:line="360" w:lineRule="auto"/>
        <w:ind w:firstLine="480" w:firstLineChars="200"/>
        <w:rPr>
          <w:rFonts w:ascii="宋体"/>
          <w:sz w:val="24"/>
          <w:szCs w:val="24"/>
        </w:rPr>
      </w:pPr>
      <w:r>
        <w:rPr>
          <w:rFonts w:hint="eastAsia" w:ascii="宋体"/>
          <w:sz w:val="24"/>
          <w:szCs w:val="24"/>
        </w:rPr>
        <w:t>（二）保证金退还方式</w:t>
      </w:r>
    </w:p>
    <w:p>
      <w:pPr>
        <w:snapToGrid w:val="0"/>
        <w:spacing w:line="360" w:lineRule="auto"/>
        <w:ind w:firstLine="480" w:firstLineChars="200"/>
        <w:rPr>
          <w:rFonts w:ascii="宋体"/>
          <w:sz w:val="24"/>
          <w:szCs w:val="24"/>
        </w:rPr>
      </w:pPr>
      <w:r>
        <w:rPr>
          <w:rFonts w:hint="eastAsia" w:ascii="宋体"/>
          <w:sz w:val="24"/>
          <w:szCs w:val="24"/>
        </w:rPr>
        <w:t>1.未成交供应商的保证金，在中标通知书发放后，由采购代理机构在五个工作日内按来款渠道直接退还。</w:t>
      </w:r>
    </w:p>
    <w:p>
      <w:pPr>
        <w:snapToGrid w:val="0"/>
        <w:spacing w:line="360" w:lineRule="auto"/>
        <w:ind w:firstLine="480" w:firstLineChars="200"/>
        <w:rPr>
          <w:rFonts w:ascii="宋体"/>
          <w:sz w:val="24"/>
          <w:szCs w:val="24"/>
        </w:rPr>
      </w:pPr>
      <w:r>
        <w:rPr>
          <w:rFonts w:hint="eastAsia" w:ascii="宋体"/>
          <w:sz w:val="24"/>
          <w:szCs w:val="24"/>
        </w:rPr>
        <w:t>2. 成交供应商的投标保证金，在成交供应商与采购人签订合同并将合同复印件递交采购代理机构后，由采购代理机构扣除中标服务费后在五个工作日内按资金来款渠道直接退还。</w:t>
      </w:r>
    </w:p>
    <w:p>
      <w:pPr>
        <w:snapToGrid w:val="0"/>
        <w:spacing w:line="360" w:lineRule="auto"/>
        <w:ind w:firstLine="480" w:firstLineChars="200"/>
        <w:jc w:val="left"/>
        <w:rPr>
          <w:rFonts w:ascii="宋体"/>
          <w:sz w:val="24"/>
          <w:szCs w:val="24"/>
        </w:rPr>
      </w:pPr>
      <w:r>
        <w:rPr>
          <w:rFonts w:hint="eastAsia" w:ascii="宋体"/>
          <w:sz w:val="24"/>
          <w:szCs w:val="24"/>
        </w:rPr>
        <w:t>咨询电话：（023）88758852。</w:t>
      </w:r>
    </w:p>
    <w:p>
      <w:pPr>
        <w:pStyle w:val="6"/>
        <w:spacing w:before="0" w:after="0" w:line="360" w:lineRule="auto"/>
        <w:ind w:firstLine="482" w:firstLineChars="200"/>
        <w:rPr>
          <w:rFonts w:ascii="宋体"/>
          <w:sz w:val="24"/>
          <w:szCs w:val="24"/>
        </w:rPr>
      </w:pPr>
      <w:bookmarkStart w:id="18" w:name="_Toc131429860"/>
      <w:bookmarkStart w:id="19" w:name="_Toc75258776"/>
      <w:r>
        <w:rPr>
          <w:rFonts w:hint="eastAsia" w:ascii="宋体"/>
          <w:sz w:val="24"/>
          <w:szCs w:val="24"/>
        </w:rPr>
        <w:t>六、采购项目需落实的政府采购政策</w:t>
      </w:r>
      <w:bookmarkEnd w:id="17"/>
      <w:bookmarkEnd w:id="18"/>
      <w:bookmarkEnd w:id="19"/>
    </w:p>
    <w:p>
      <w:pPr>
        <w:snapToGrid w:val="0"/>
        <w:spacing w:line="360" w:lineRule="auto"/>
        <w:ind w:firstLine="480" w:firstLineChars="200"/>
        <w:rPr>
          <w:rFonts w:ascii="宋体"/>
          <w:sz w:val="24"/>
          <w:szCs w:val="24"/>
        </w:rPr>
      </w:pPr>
      <w:r>
        <w:rPr>
          <w:rFonts w:hint="eastAsia" w:ascii="宋体"/>
          <w:sz w:val="24"/>
          <w:szCs w:val="24"/>
        </w:rPr>
        <w:t>（一）按照《财政部生态环境部关于印发环境标志产品政府采购品目清单的通知》（财库〔</w:t>
      </w:r>
      <w:r>
        <w:rPr>
          <w:rFonts w:ascii="宋体"/>
          <w:sz w:val="24"/>
          <w:szCs w:val="24"/>
        </w:rPr>
        <w:t>2019</w:t>
      </w:r>
      <w:r>
        <w:rPr>
          <w:rFonts w:hint="eastAsia" w:ascii="宋体"/>
          <w:sz w:val="24"/>
          <w:szCs w:val="24"/>
        </w:rPr>
        <w:t>〕</w:t>
      </w:r>
      <w:r>
        <w:rPr>
          <w:rFonts w:ascii="宋体"/>
          <w:sz w:val="24"/>
          <w:szCs w:val="24"/>
        </w:rPr>
        <w:t>18</w:t>
      </w:r>
      <w:r>
        <w:rPr>
          <w:rFonts w:hint="eastAsia" w:ascii="宋体"/>
          <w:sz w:val="24"/>
          <w:szCs w:val="24"/>
        </w:rPr>
        <w:t>号）和《财政部发展改革委关于印发节能产品政府采购品目清单的通知》（财库〔</w:t>
      </w:r>
      <w:r>
        <w:rPr>
          <w:rFonts w:ascii="宋体"/>
          <w:sz w:val="24"/>
          <w:szCs w:val="24"/>
        </w:rPr>
        <w:t>2019</w:t>
      </w:r>
      <w:r>
        <w:rPr>
          <w:rFonts w:hint="eastAsia" w:ascii="宋体"/>
          <w:sz w:val="24"/>
          <w:szCs w:val="24"/>
        </w:rPr>
        <w:t>〕</w:t>
      </w:r>
      <w:r>
        <w:rPr>
          <w:rFonts w:ascii="宋体"/>
          <w:sz w:val="24"/>
          <w:szCs w:val="24"/>
        </w:rPr>
        <w:t>19</w:t>
      </w:r>
      <w:r>
        <w:rPr>
          <w:rFonts w:hint="eastAsia" w:ascii="宋体"/>
          <w:sz w:val="24"/>
          <w:szCs w:val="24"/>
        </w:rPr>
        <w:t>号）的规定，落实国家节能环保政策。</w:t>
      </w:r>
    </w:p>
    <w:p>
      <w:pPr>
        <w:snapToGrid w:val="0"/>
        <w:spacing w:line="360" w:lineRule="auto"/>
        <w:ind w:firstLine="480" w:firstLineChars="200"/>
        <w:rPr>
          <w:rFonts w:ascii="宋体"/>
          <w:sz w:val="24"/>
          <w:szCs w:val="24"/>
        </w:rPr>
      </w:pPr>
      <w:r>
        <w:rPr>
          <w:rFonts w:hint="eastAsia" w:asci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sz w:val="24"/>
          <w:szCs w:val="24"/>
        </w:rPr>
      </w:pPr>
      <w:r>
        <w:rPr>
          <w:rFonts w:hint="eastAsia" w:ascii="宋体"/>
          <w:sz w:val="24"/>
          <w:szCs w:val="24"/>
        </w:rPr>
        <w:t>（三）按照《财政部、司法部关于政府采购支持监狱企业发展有关问题的通知》（财库〔</w:t>
      </w:r>
      <w:r>
        <w:rPr>
          <w:rFonts w:ascii="宋体"/>
          <w:sz w:val="24"/>
          <w:szCs w:val="24"/>
        </w:rPr>
        <w:t>2014</w:t>
      </w:r>
      <w:r>
        <w:rPr>
          <w:rFonts w:hint="eastAsia" w:ascii="宋体"/>
          <w:sz w:val="24"/>
          <w:szCs w:val="24"/>
        </w:rPr>
        <w:t>〕</w:t>
      </w:r>
      <w:r>
        <w:rPr>
          <w:rFonts w:ascii="宋体"/>
          <w:sz w:val="24"/>
          <w:szCs w:val="24"/>
        </w:rPr>
        <w:t>68</w:t>
      </w:r>
      <w:r>
        <w:rPr>
          <w:rFonts w:hint="eastAsia" w:ascii="宋体"/>
          <w:sz w:val="24"/>
          <w:szCs w:val="24"/>
        </w:rPr>
        <w:t>号）的规定，落实支持监狱企业发展政策。</w:t>
      </w:r>
    </w:p>
    <w:p>
      <w:pPr>
        <w:snapToGrid w:val="0"/>
        <w:spacing w:line="360" w:lineRule="auto"/>
        <w:ind w:firstLine="480" w:firstLineChars="200"/>
        <w:rPr>
          <w:rFonts w:ascii="宋体"/>
          <w:sz w:val="24"/>
          <w:szCs w:val="24"/>
        </w:rPr>
      </w:pPr>
      <w:r>
        <w:rPr>
          <w:rFonts w:hint="eastAsia" w:ascii="宋体"/>
          <w:sz w:val="24"/>
          <w:szCs w:val="24"/>
        </w:rPr>
        <w:t>（四）按照《三部门联合发布关于促进残疾人就业政府采购政策的通知》（财库〔</w:t>
      </w:r>
      <w:r>
        <w:rPr>
          <w:rFonts w:ascii="宋体"/>
          <w:sz w:val="24"/>
          <w:szCs w:val="24"/>
        </w:rPr>
        <w:t>2017</w:t>
      </w:r>
      <w:r>
        <w:rPr>
          <w:rFonts w:hint="eastAsia" w:ascii="宋体"/>
          <w:sz w:val="24"/>
          <w:szCs w:val="24"/>
        </w:rPr>
        <w:t>〕</w:t>
      </w:r>
      <w:r>
        <w:rPr>
          <w:rFonts w:ascii="宋体"/>
          <w:sz w:val="24"/>
          <w:szCs w:val="24"/>
        </w:rPr>
        <w:t xml:space="preserve"> 141</w:t>
      </w:r>
      <w:r>
        <w:rPr>
          <w:rFonts w:hint="eastAsia" w:ascii="宋体"/>
          <w:sz w:val="24"/>
          <w:szCs w:val="24"/>
        </w:rPr>
        <w:t>号）的规定，落实支持残疾人福利性单位发展政策。</w:t>
      </w:r>
    </w:p>
    <w:p>
      <w:pPr>
        <w:pStyle w:val="6"/>
        <w:spacing w:before="0" w:after="0" w:line="360" w:lineRule="auto"/>
        <w:ind w:firstLine="482" w:firstLineChars="200"/>
        <w:rPr>
          <w:rFonts w:ascii="宋体"/>
          <w:sz w:val="24"/>
          <w:szCs w:val="24"/>
        </w:rPr>
      </w:pPr>
      <w:bookmarkStart w:id="20" w:name="_Toc131429861"/>
      <w:bookmarkStart w:id="21" w:name="_Toc75258777"/>
      <w:r>
        <w:rPr>
          <w:rFonts w:hint="eastAsia" w:ascii="宋体"/>
          <w:sz w:val="24"/>
          <w:szCs w:val="24"/>
        </w:rPr>
        <w:t>七、其它有关规定</w:t>
      </w:r>
      <w:bookmarkEnd w:id="20"/>
      <w:bookmarkEnd w:id="21"/>
    </w:p>
    <w:p>
      <w:pPr>
        <w:snapToGrid w:val="0"/>
        <w:spacing w:line="360" w:lineRule="auto"/>
        <w:ind w:firstLine="480" w:firstLineChars="200"/>
        <w:rPr>
          <w:rFonts w:ascii="宋体"/>
          <w:sz w:val="24"/>
          <w:szCs w:val="24"/>
        </w:rPr>
      </w:pPr>
      <w:r>
        <w:rPr>
          <w:rFonts w:hint="eastAsia" w:ascii="宋体"/>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sz w:val="24"/>
          <w:szCs w:val="24"/>
        </w:rPr>
      </w:pPr>
      <w:r>
        <w:rPr>
          <w:rFonts w:hint="eastAsia" w:asci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sz w:val="24"/>
          <w:szCs w:val="24"/>
        </w:rPr>
      </w:pPr>
      <w:r>
        <w:rPr>
          <w:rFonts w:hint="eastAsia" w:asci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sz w:val="24"/>
          <w:szCs w:val="24"/>
        </w:rPr>
      </w:pPr>
      <w:r>
        <w:rPr>
          <w:rFonts w:hint="eastAsia" w:ascii="宋体"/>
          <w:sz w:val="24"/>
          <w:szCs w:val="24"/>
        </w:rPr>
        <w:t>（四）超过响应文件截止时间递交的响应文件为无效文件，恕不接收。</w:t>
      </w:r>
    </w:p>
    <w:p>
      <w:pPr>
        <w:snapToGrid w:val="0"/>
        <w:spacing w:line="360" w:lineRule="auto"/>
        <w:ind w:firstLine="480" w:firstLineChars="200"/>
        <w:rPr>
          <w:rFonts w:ascii="宋体"/>
          <w:sz w:val="24"/>
          <w:szCs w:val="24"/>
        </w:rPr>
      </w:pPr>
      <w:r>
        <w:rPr>
          <w:rFonts w:hint="eastAsia" w:ascii="宋体"/>
          <w:sz w:val="24"/>
          <w:szCs w:val="24"/>
        </w:rPr>
        <w:t>（五）磋商费用：无论磋商结果如何，供应商参与本项目磋商的所有费用均应由供应商自行承担。</w:t>
      </w:r>
    </w:p>
    <w:p>
      <w:pPr>
        <w:snapToGrid w:val="0"/>
        <w:spacing w:line="360" w:lineRule="auto"/>
        <w:ind w:firstLine="480" w:firstLineChars="200"/>
        <w:rPr>
          <w:rFonts w:ascii="宋体"/>
          <w:sz w:val="24"/>
          <w:szCs w:val="24"/>
        </w:rPr>
      </w:pPr>
      <w:r>
        <w:rPr>
          <w:rFonts w:hint="eastAsia" w:ascii="宋体"/>
          <w:sz w:val="24"/>
          <w:szCs w:val="24"/>
        </w:rPr>
        <w:t>（六）本项目不接受联合体形式磋商。</w:t>
      </w:r>
    </w:p>
    <w:p>
      <w:pPr>
        <w:snapToGrid w:val="0"/>
        <w:spacing w:line="360" w:lineRule="auto"/>
        <w:ind w:firstLine="480" w:firstLineChars="200"/>
        <w:rPr>
          <w:rFonts w:ascii="宋体"/>
          <w:sz w:val="24"/>
          <w:szCs w:val="24"/>
        </w:rPr>
      </w:pPr>
      <w:r>
        <w:rPr>
          <w:rFonts w:hint="eastAsia" w:ascii="宋体"/>
          <w:sz w:val="24"/>
          <w:szCs w:val="24"/>
        </w:rPr>
        <w:t>（七）本项目不接受合同分包。</w:t>
      </w:r>
    </w:p>
    <w:p>
      <w:pPr>
        <w:snapToGrid w:val="0"/>
        <w:spacing w:line="360" w:lineRule="auto"/>
        <w:ind w:firstLine="480" w:firstLineChars="200"/>
        <w:rPr>
          <w:rFonts w:ascii="宋体"/>
          <w:sz w:val="24"/>
          <w:szCs w:val="24"/>
        </w:rPr>
      </w:pPr>
      <w:r>
        <w:rPr>
          <w:rFonts w:hint="eastAsia" w:ascii="宋体"/>
          <w:sz w:val="24"/>
          <w:szCs w:val="24"/>
        </w:rPr>
        <w:t>（八）按照《财政部关于在政府采购活动中查询及使用信用记录有关问题的通知》财库〔</w:t>
      </w:r>
      <w:r>
        <w:rPr>
          <w:rFonts w:ascii="宋体"/>
          <w:sz w:val="24"/>
          <w:szCs w:val="24"/>
        </w:rPr>
        <w:t>2016</w:t>
      </w:r>
      <w:r>
        <w:rPr>
          <w:rFonts w:hint="eastAsia" w:ascii="宋体"/>
          <w:sz w:val="24"/>
          <w:szCs w:val="24"/>
        </w:rPr>
        <w:t>〕</w:t>
      </w:r>
      <w:r>
        <w:rPr>
          <w:rFonts w:ascii="宋体"/>
          <w:sz w:val="24"/>
          <w:szCs w:val="24"/>
        </w:rPr>
        <w:t>125</w:t>
      </w:r>
      <w:r>
        <w:rPr>
          <w:rFonts w:hint="eastAsia" w:asci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2" w:firstLineChars="200"/>
        <w:rPr>
          <w:rFonts w:ascii="宋体"/>
          <w:sz w:val="24"/>
          <w:szCs w:val="24"/>
        </w:rPr>
      </w:pPr>
      <w:bookmarkStart w:id="22" w:name="_Toc131429862"/>
      <w:r>
        <w:rPr>
          <w:rFonts w:hint="eastAsia" w:ascii="宋体"/>
          <w:sz w:val="24"/>
          <w:szCs w:val="24"/>
        </w:rPr>
        <w:t>八、联系方式</w:t>
      </w:r>
      <w:bookmarkEnd w:id="22"/>
    </w:p>
    <w:p>
      <w:pPr>
        <w:snapToGrid w:val="0"/>
        <w:spacing w:line="360" w:lineRule="auto"/>
        <w:ind w:firstLine="480" w:firstLineChars="200"/>
        <w:rPr>
          <w:rFonts w:ascii="宋体"/>
          <w:sz w:val="24"/>
          <w:szCs w:val="24"/>
        </w:rPr>
      </w:pPr>
      <w:r>
        <w:rPr>
          <w:rFonts w:hint="eastAsia" w:ascii="宋体"/>
          <w:sz w:val="24"/>
          <w:szCs w:val="24"/>
        </w:rPr>
        <w:t>（一）采购人：</w:t>
      </w:r>
      <w:r>
        <w:rPr>
          <w:rFonts w:ascii="宋体"/>
          <w:sz w:val="24"/>
          <w:szCs w:val="24"/>
        </w:rPr>
        <w:t>重庆市无线电监测站</w:t>
      </w:r>
    </w:p>
    <w:p>
      <w:pPr>
        <w:snapToGrid w:val="0"/>
        <w:spacing w:line="360" w:lineRule="auto"/>
        <w:ind w:firstLine="480" w:firstLineChars="200"/>
        <w:rPr>
          <w:rFonts w:ascii="宋体"/>
          <w:sz w:val="24"/>
          <w:szCs w:val="24"/>
        </w:rPr>
      </w:pPr>
      <w:r>
        <w:rPr>
          <w:rFonts w:hint="eastAsia" w:ascii="宋体"/>
          <w:sz w:val="24"/>
          <w:szCs w:val="24"/>
        </w:rPr>
        <w:t xml:space="preserve">联系人：罗老师 </w:t>
      </w:r>
    </w:p>
    <w:p>
      <w:pPr>
        <w:snapToGrid w:val="0"/>
        <w:spacing w:line="360" w:lineRule="auto"/>
        <w:ind w:firstLine="480" w:firstLineChars="200"/>
        <w:rPr>
          <w:rFonts w:ascii="宋体"/>
          <w:sz w:val="24"/>
          <w:szCs w:val="24"/>
        </w:rPr>
      </w:pPr>
      <w:r>
        <w:rPr>
          <w:rFonts w:hint="eastAsia" w:ascii="宋体"/>
          <w:sz w:val="24"/>
          <w:szCs w:val="24"/>
        </w:rPr>
        <w:t>电  话：（0</w:t>
      </w:r>
      <w:r>
        <w:rPr>
          <w:rFonts w:ascii="宋体"/>
          <w:sz w:val="24"/>
          <w:szCs w:val="24"/>
        </w:rPr>
        <w:t>23</w:t>
      </w:r>
      <w:r>
        <w:rPr>
          <w:rFonts w:hint="eastAsia" w:ascii="宋体"/>
          <w:sz w:val="24"/>
          <w:szCs w:val="24"/>
        </w:rPr>
        <w:t xml:space="preserve">）67710873 </w:t>
      </w:r>
    </w:p>
    <w:p>
      <w:pPr>
        <w:snapToGrid w:val="0"/>
        <w:spacing w:line="360" w:lineRule="auto"/>
        <w:ind w:firstLine="480" w:firstLineChars="200"/>
        <w:rPr>
          <w:rFonts w:ascii="宋体"/>
          <w:sz w:val="24"/>
          <w:szCs w:val="24"/>
        </w:rPr>
      </w:pPr>
      <w:r>
        <w:rPr>
          <w:rFonts w:hint="eastAsia" w:ascii="宋体"/>
          <w:sz w:val="24"/>
          <w:szCs w:val="24"/>
        </w:rPr>
        <w:t>传  真：（0</w:t>
      </w:r>
      <w:r>
        <w:rPr>
          <w:rFonts w:ascii="宋体"/>
          <w:sz w:val="24"/>
          <w:szCs w:val="24"/>
        </w:rPr>
        <w:t>23</w:t>
      </w:r>
      <w:r>
        <w:rPr>
          <w:rFonts w:hint="eastAsia" w:ascii="宋体"/>
          <w:sz w:val="24"/>
          <w:szCs w:val="24"/>
        </w:rPr>
        <w:t>）67710873</w:t>
      </w:r>
    </w:p>
    <w:p>
      <w:pPr>
        <w:snapToGrid w:val="0"/>
        <w:spacing w:line="360" w:lineRule="auto"/>
        <w:ind w:firstLine="480" w:firstLineChars="200"/>
        <w:rPr>
          <w:rFonts w:ascii="宋体"/>
          <w:sz w:val="24"/>
          <w:szCs w:val="24"/>
        </w:rPr>
      </w:pPr>
      <w:r>
        <w:rPr>
          <w:rFonts w:hint="eastAsia" w:ascii="宋体"/>
          <w:sz w:val="24"/>
          <w:szCs w:val="24"/>
        </w:rPr>
        <w:t>地  址：重庆市江北区兴隆路26号数码大厦16楼</w:t>
      </w:r>
    </w:p>
    <w:p>
      <w:pPr>
        <w:snapToGrid w:val="0"/>
        <w:spacing w:line="360" w:lineRule="auto"/>
        <w:ind w:firstLine="480" w:firstLineChars="200"/>
        <w:rPr>
          <w:rFonts w:ascii="宋体"/>
          <w:sz w:val="24"/>
          <w:szCs w:val="24"/>
        </w:rPr>
      </w:pPr>
      <w:r>
        <w:rPr>
          <w:rFonts w:hint="eastAsia" w:ascii="宋体"/>
          <w:sz w:val="24"/>
          <w:szCs w:val="24"/>
        </w:rPr>
        <w:t>（二）采购代理机构：重庆市中基致信招标代理有限公司</w:t>
      </w:r>
    </w:p>
    <w:p>
      <w:pPr>
        <w:snapToGrid w:val="0"/>
        <w:spacing w:line="360" w:lineRule="auto"/>
        <w:ind w:firstLine="480" w:firstLineChars="200"/>
        <w:rPr>
          <w:rFonts w:ascii="宋体"/>
          <w:sz w:val="24"/>
          <w:szCs w:val="24"/>
        </w:rPr>
      </w:pPr>
      <w:bookmarkStart w:id="23" w:name="_Toc178828108"/>
      <w:bookmarkStart w:id="24" w:name="_Toc180051219"/>
      <w:bookmarkStart w:id="25" w:name="_Toc216163282"/>
      <w:r>
        <w:rPr>
          <w:rFonts w:hint="eastAsia" w:ascii="宋体"/>
          <w:sz w:val="24"/>
          <w:szCs w:val="24"/>
        </w:rPr>
        <w:t>联系人：游建伟、胡琳</w:t>
      </w:r>
    </w:p>
    <w:p>
      <w:pPr>
        <w:snapToGrid w:val="0"/>
        <w:spacing w:line="360" w:lineRule="auto"/>
        <w:ind w:firstLine="480" w:firstLineChars="200"/>
        <w:rPr>
          <w:rFonts w:ascii="宋体"/>
          <w:sz w:val="24"/>
          <w:szCs w:val="24"/>
        </w:rPr>
      </w:pPr>
      <w:r>
        <w:rPr>
          <w:rFonts w:hint="eastAsia" w:ascii="宋体"/>
          <w:sz w:val="24"/>
          <w:szCs w:val="24"/>
        </w:rPr>
        <w:t>电  话：（023）8</w:t>
      </w:r>
      <w:r>
        <w:rPr>
          <w:rFonts w:ascii="宋体"/>
          <w:sz w:val="24"/>
          <w:szCs w:val="24"/>
        </w:rPr>
        <w:t>8758847</w:t>
      </w:r>
      <w:r>
        <w:rPr>
          <w:rFonts w:hint="eastAsia" w:ascii="宋体"/>
          <w:sz w:val="24"/>
          <w:szCs w:val="24"/>
        </w:rPr>
        <w:t>、88758852</w:t>
      </w:r>
    </w:p>
    <w:p>
      <w:pPr>
        <w:snapToGrid w:val="0"/>
        <w:spacing w:line="360" w:lineRule="auto"/>
        <w:ind w:firstLine="480" w:firstLineChars="200"/>
        <w:rPr>
          <w:rFonts w:ascii="宋体"/>
          <w:sz w:val="24"/>
          <w:szCs w:val="24"/>
        </w:rPr>
      </w:pPr>
      <w:r>
        <w:rPr>
          <w:rFonts w:hint="eastAsia" w:ascii="宋体"/>
          <w:sz w:val="24"/>
          <w:szCs w:val="24"/>
        </w:rPr>
        <w:t>传  真：（023）88505947</w:t>
      </w:r>
    </w:p>
    <w:p>
      <w:pPr>
        <w:snapToGrid w:val="0"/>
        <w:spacing w:line="360" w:lineRule="auto"/>
        <w:ind w:firstLine="480" w:firstLineChars="200"/>
        <w:rPr>
          <w:rFonts w:ascii="宋体"/>
          <w:sz w:val="24"/>
          <w:szCs w:val="24"/>
        </w:rPr>
      </w:pPr>
      <w:r>
        <w:rPr>
          <w:rFonts w:hint="eastAsia" w:ascii="宋体"/>
          <w:sz w:val="24"/>
          <w:szCs w:val="24"/>
        </w:rPr>
        <w:t>地  址：重庆市渝北区财富大道2号财富大厦A座9楼</w:t>
      </w:r>
    </w:p>
    <w:p>
      <w:pPr>
        <w:pStyle w:val="2"/>
      </w:pPr>
    </w:p>
    <w:p>
      <w:pPr>
        <w:pStyle w:val="3"/>
      </w:pPr>
    </w:p>
    <w:bookmarkEnd w:id="23"/>
    <w:bookmarkEnd w:id="24"/>
    <w:bookmarkEnd w:id="25"/>
    <w:p>
      <w:pPr>
        <w:pStyle w:val="5"/>
        <w:pageBreakBefore/>
        <w:spacing w:line="360" w:lineRule="auto"/>
        <w:jc w:val="center"/>
        <w:rPr>
          <w:rFonts w:ascii="宋体" w:eastAsia="宋体"/>
          <w:sz w:val="36"/>
          <w:szCs w:val="30"/>
        </w:rPr>
      </w:pPr>
      <w:bookmarkStart w:id="26" w:name="_Toc131429863"/>
      <w:r>
        <w:rPr>
          <w:rFonts w:hint="eastAsia" w:ascii="宋体" w:eastAsia="宋体"/>
          <w:sz w:val="36"/>
          <w:szCs w:val="30"/>
        </w:rPr>
        <w:t>第二篇  项目服务需求</w:t>
      </w:r>
      <w:bookmarkEnd w:id="26"/>
    </w:p>
    <w:p>
      <w:pPr>
        <w:snapToGrid w:val="0"/>
        <w:spacing w:line="360" w:lineRule="auto"/>
        <w:ind w:firstLine="480" w:firstLineChars="200"/>
        <w:rPr>
          <w:color w:val="000000"/>
          <w:sz w:val="24"/>
          <w:szCs w:val="24"/>
        </w:rPr>
      </w:pPr>
      <w:bookmarkStart w:id="27" w:name="_Toc12789058"/>
      <w:r>
        <w:rPr>
          <w:rFonts w:hint="eastAsia"/>
          <w:color w:val="000000"/>
          <w:sz w:val="24"/>
          <w:szCs w:val="24"/>
        </w:rPr>
        <w:t>“※”标注的要求为符合性审查中的实质性要求，响应文件若不满足按无效投标处理。</w:t>
      </w:r>
    </w:p>
    <w:p>
      <w:pPr>
        <w:pStyle w:val="6"/>
        <w:spacing w:before="0" w:after="0" w:line="360" w:lineRule="auto"/>
        <w:ind w:firstLine="482" w:firstLineChars="200"/>
        <w:rPr>
          <w:rFonts w:ascii="宋体"/>
          <w:sz w:val="24"/>
          <w:szCs w:val="24"/>
        </w:rPr>
      </w:pPr>
      <w:bookmarkStart w:id="28" w:name="_Toc131429864"/>
      <w:bookmarkStart w:id="29" w:name="_Toc51854592"/>
      <w:bookmarkStart w:id="30" w:name="_Toc98855992"/>
      <w:bookmarkStart w:id="31" w:name="_Toc51854594"/>
      <w:bookmarkStart w:id="32" w:name="_Toc82422009"/>
      <w:r>
        <w:rPr>
          <w:rFonts w:hint="eastAsia" w:ascii="宋体"/>
          <w:sz w:val="24"/>
          <w:szCs w:val="24"/>
        </w:rPr>
        <w:t>一、项目技术要求</w:t>
      </w:r>
      <w:bookmarkEnd w:id="28"/>
      <w:bookmarkEnd w:id="29"/>
      <w:bookmarkEnd w:id="30"/>
    </w:p>
    <w:p>
      <w:pPr>
        <w:snapToGrid w:val="0"/>
        <w:spacing w:line="360" w:lineRule="auto"/>
        <w:ind w:firstLine="480" w:firstLineChars="200"/>
        <w:rPr>
          <w:color w:val="000000"/>
          <w:sz w:val="24"/>
          <w:szCs w:val="24"/>
        </w:rPr>
      </w:pPr>
      <w:bookmarkStart w:id="33" w:name="_Toc98855993"/>
      <w:bookmarkStart w:id="34" w:name="_Toc51854593"/>
      <w:r>
        <w:rPr>
          <w:rFonts w:hint="eastAsia"/>
          <w:color w:val="000000"/>
          <w:sz w:val="24"/>
          <w:szCs w:val="24"/>
        </w:rPr>
        <w:t>（一）项目概述</w:t>
      </w:r>
    </w:p>
    <w:p>
      <w:pPr>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根据《无线电频率占用费使用管理办法》（财建〔2012〕158号）和《无线电频率占用费转移支付资金使用管理细则（试行）》（国无办函〔2016〕12号）相关规定，中央向地方转移支付的无线电频占费资金实行申请核拨制度，并要求各省市编写2024年度本地区无线电频占费资金使用计划，报送地方财政部门。重庆市2024年度无线电频率占用费资金使用计划中拟申报项目包括：2024年重庆市固定监测站监测能力提升项目；2024年重庆市机动能力提升项目；2024年重庆市无线电综合监管能力提升项目；无线电管理一体化平台政务数据共享交换系统项目。</w:t>
      </w:r>
    </w:p>
    <w:p>
      <w:pPr>
        <w:snapToGrid w:val="0"/>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2024年重庆市固定监测站监测能力提升项目的建设内容包括：拟升级改造10个固定监测站，其中拟升级2个四类固定监测站为二类固定监测站，拟升级2个三类固定监测站为二类固定监测站，拟升级5个四类固定监测站为三类固定监测站，拟升级黔江舟白站（站点类型虽为三类固定监测站，但部分指标不满足《省级无线电监测设施建设规范和技术要求（试行）》的要求）达到三类固定监测站技术标准。所有站点均进行原子化服务封装并接入一体化平台。</w:t>
      </w:r>
    </w:p>
    <w:p>
      <w:pPr>
        <w:snapToGrid w:val="0"/>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2024年重庆市机动能力提升项目的建设内容包括：拟升级改造5个移动监测站（增配监测接收机、考试保障模块、升级电源系统并更新软件等）；升级改造3辆压制车为二类移动监测站（增配考试保障模块）；</w:t>
      </w:r>
    </w:p>
    <w:p>
      <w:pPr>
        <w:snapToGrid w:val="0"/>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2024年重庆市无线电综合监管能力提升项目分为四个分包：分包一：无线电信号分析系统；分包二：众包监测设备；分包三：无线电监测技术综合演练设施；分包四：可搬移监测站。分包一的建设内容：建设1套无线电信号分析系统；分包二的建设内容：采购10套众包监测设备；分包三的建设内容：采购1套无线电监测技术综合演练设施；分包四的建设内容：采购5套二类可搬移监测站。</w:t>
      </w:r>
    </w:p>
    <w:p>
      <w:pPr>
        <w:snapToGrid w:val="0"/>
        <w:spacing w:line="360" w:lineRule="auto"/>
        <w:ind w:firstLine="480" w:firstLineChars="200"/>
        <w:rPr>
          <w:color w:val="000000"/>
          <w:sz w:val="24"/>
          <w:szCs w:val="24"/>
        </w:rPr>
      </w:pPr>
      <w:r>
        <w:rPr>
          <w:rFonts w:ascii="Times New Roman" w:hAnsi="Times New Roman"/>
          <w:color w:val="000000"/>
          <w:sz w:val="24"/>
          <w:szCs w:val="24"/>
        </w:rPr>
        <w:t>无线电管理一体化平台政务数据共享交换系统项目</w:t>
      </w:r>
      <w:r>
        <w:rPr>
          <w:rFonts w:hint="eastAsia" w:ascii="Times New Roman" w:hAnsi="Times New Roman"/>
          <w:color w:val="000000"/>
          <w:sz w:val="24"/>
          <w:szCs w:val="24"/>
        </w:rPr>
        <w:t>的建设内容包括：政务数据共享交换和网络安全提升，其中政务数据共享交换包括系统集成和软件开发，网络安全提升包括代码重构和网络安全设备采购。</w:t>
      </w:r>
    </w:p>
    <w:p>
      <w:pPr>
        <w:snapToGrid w:val="0"/>
        <w:spacing w:line="360" w:lineRule="auto"/>
        <w:ind w:firstLine="480" w:firstLineChars="200"/>
        <w:rPr>
          <w:color w:val="000000"/>
          <w:sz w:val="24"/>
          <w:szCs w:val="24"/>
        </w:rPr>
      </w:pPr>
      <w:r>
        <w:rPr>
          <w:rFonts w:hint="eastAsia"/>
          <w:color w:val="000000"/>
          <w:sz w:val="24"/>
          <w:szCs w:val="24"/>
        </w:rPr>
        <w:t>（二）项目要求</w:t>
      </w:r>
    </w:p>
    <w:p>
      <w:pPr>
        <w:snapToGrid w:val="0"/>
        <w:spacing w:line="360" w:lineRule="auto"/>
        <w:ind w:firstLine="480" w:firstLineChars="200"/>
        <w:rPr>
          <w:color w:val="000000"/>
          <w:sz w:val="24"/>
          <w:szCs w:val="24"/>
        </w:rPr>
      </w:pPr>
      <w:r>
        <w:rPr>
          <w:rFonts w:hint="eastAsia"/>
          <w:color w:val="000000"/>
          <w:sz w:val="24"/>
          <w:szCs w:val="24"/>
        </w:rPr>
        <w:t>1.服务要求</w:t>
      </w:r>
    </w:p>
    <w:p>
      <w:pPr>
        <w:snapToGrid w:val="0"/>
        <w:spacing w:line="360" w:lineRule="auto"/>
        <w:ind w:firstLine="480" w:firstLineChars="200"/>
        <w:rPr>
          <w:color w:val="000000"/>
          <w:sz w:val="24"/>
          <w:szCs w:val="24"/>
        </w:rPr>
      </w:pPr>
      <w:r>
        <w:rPr>
          <w:rFonts w:hint="eastAsia" w:ascii="宋体" w:hAnsi="宋体"/>
          <w:color w:val="000000"/>
          <w:sz w:val="24"/>
          <w:szCs w:val="24"/>
        </w:rPr>
        <w:t>★</w:t>
      </w:r>
      <w:r>
        <w:rPr>
          <w:rFonts w:hint="eastAsia"/>
          <w:color w:val="000000"/>
          <w:sz w:val="24"/>
          <w:szCs w:val="24"/>
        </w:rPr>
        <w:t>（1）项目调研</w:t>
      </w:r>
    </w:p>
    <w:p>
      <w:pPr>
        <w:snapToGrid w:val="0"/>
        <w:spacing w:line="360" w:lineRule="auto"/>
        <w:ind w:firstLine="480" w:firstLineChars="200"/>
        <w:rPr>
          <w:color w:val="000000"/>
          <w:sz w:val="24"/>
          <w:szCs w:val="24"/>
        </w:rPr>
      </w:pPr>
      <w:r>
        <w:rPr>
          <w:rFonts w:hint="eastAsia"/>
          <w:color w:val="000000"/>
          <w:sz w:val="24"/>
          <w:szCs w:val="24"/>
        </w:rPr>
        <w:t>调研重庆市固定监测站建设以及升级改造情况；调研重庆市机动大队建设情况，包括各类无线电管理特种车及装备的总量、功能、应用场景等；调研重庆市监测技术演练设备设施建设情况以及技术演练的开展情况，调研重庆市众包监测设备的建设情况及使用效果；调研无线电管理一体化平台信息化应用系统建设情况；调研</w:t>
      </w:r>
      <w:r>
        <w:rPr>
          <w:rFonts w:ascii="Times New Roman" w:hAnsi="Times New Roman"/>
          <w:color w:val="000000"/>
          <w:sz w:val="24"/>
          <w:szCs w:val="24"/>
        </w:rPr>
        <w:t>2024</w:t>
      </w:r>
      <w:r>
        <w:rPr>
          <w:rFonts w:hint="eastAsia"/>
          <w:color w:val="000000"/>
          <w:sz w:val="24"/>
          <w:szCs w:val="24"/>
        </w:rPr>
        <w:t>年重庆市无线电管理工作的任务和目标。</w:t>
      </w:r>
    </w:p>
    <w:p>
      <w:pPr>
        <w:snapToGrid w:val="0"/>
        <w:spacing w:line="360" w:lineRule="auto"/>
        <w:ind w:firstLine="480" w:firstLineChars="200"/>
        <w:rPr>
          <w:color w:val="000000"/>
          <w:sz w:val="24"/>
          <w:szCs w:val="24"/>
        </w:rPr>
      </w:pPr>
      <w:r>
        <w:rPr>
          <w:rFonts w:hint="eastAsia" w:ascii="宋体" w:hAnsi="宋体"/>
          <w:color w:val="000000"/>
          <w:sz w:val="24"/>
          <w:szCs w:val="24"/>
        </w:rPr>
        <w:t>★</w:t>
      </w:r>
      <w:r>
        <w:rPr>
          <w:rFonts w:hint="eastAsia"/>
          <w:color w:val="000000"/>
          <w:sz w:val="24"/>
          <w:szCs w:val="24"/>
        </w:rPr>
        <w:t>（2）编制可行性研究报告</w:t>
      </w:r>
    </w:p>
    <w:p>
      <w:pPr>
        <w:snapToGrid w:val="0"/>
        <w:spacing w:line="360" w:lineRule="auto"/>
        <w:ind w:firstLine="480" w:firstLineChars="200"/>
        <w:rPr>
          <w:color w:val="000000"/>
          <w:sz w:val="24"/>
          <w:szCs w:val="24"/>
        </w:rPr>
      </w:pPr>
      <w:r>
        <w:rPr>
          <w:color w:val="000000"/>
          <w:sz w:val="24"/>
          <w:szCs w:val="24"/>
        </w:rPr>
        <w:t>根据调研情况，对拟申报的</w:t>
      </w:r>
      <w:r>
        <w:rPr>
          <w:rFonts w:hint="eastAsia"/>
          <w:color w:val="000000"/>
          <w:sz w:val="24"/>
          <w:szCs w:val="24"/>
        </w:rPr>
        <w:t>4个</w:t>
      </w:r>
      <w:r>
        <w:rPr>
          <w:color w:val="000000"/>
          <w:sz w:val="24"/>
          <w:szCs w:val="24"/>
        </w:rPr>
        <w:t>项目进行可行性研究，</w:t>
      </w:r>
      <w:r>
        <w:rPr>
          <w:rFonts w:hint="eastAsia"/>
          <w:color w:val="000000"/>
          <w:sz w:val="24"/>
          <w:szCs w:val="24"/>
        </w:rPr>
        <w:t>分别编制</w:t>
      </w:r>
      <w:r>
        <w:rPr>
          <w:color w:val="000000"/>
          <w:sz w:val="24"/>
          <w:szCs w:val="24"/>
        </w:rPr>
        <w:t>项目可行性研究报告、项目建议书以及项目申报书。</w:t>
      </w:r>
    </w:p>
    <w:p>
      <w:pPr>
        <w:snapToGrid w:val="0"/>
        <w:spacing w:line="360" w:lineRule="auto"/>
        <w:ind w:firstLine="480" w:firstLineChars="200"/>
        <w:rPr>
          <w:color w:val="000000"/>
          <w:sz w:val="24"/>
          <w:szCs w:val="24"/>
        </w:rPr>
      </w:pPr>
      <w:r>
        <w:rPr>
          <w:rFonts w:hint="eastAsia"/>
          <w:color w:val="000000"/>
          <w:sz w:val="24"/>
          <w:szCs w:val="24"/>
        </w:rPr>
        <w:t>（3）修改报告</w:t>
      </w:r>
    </w:p>
    <w:p>
      <w:pPr>
        <w:snapToGrid w:val="0"/>
        <w:spacing w:line="360" w:lineRule="auto"/>
        <w:ind w:firstLine="480" w:firstLineChars="200"/>
        <w:rPr>
          <w:color w:val="000000"/>
          <w:sz w:val="24"/>
          <w:szCs w:val="24"/>
        </w:rPr>
      </w:pPr>
      <w:r>
        <w:rPr>
          <w:rFonts w:hint="eastAsia"/>
          <w:color w:val="000000"/>
          <w:sz w:val="24"/>
          <w:szCs w:val="24"/>
        </w:rPr>
        <w:t>根据专家评审意见</w:t>
      </w:r>
      <w:r>
        <w:rPr>
          <w:color w:val="000000"/>
          <w:sz w:val="24"/>
          <w:szCs w:val="24"/>
        </w:rPr>
        <w:t>，对项目可行性研究报告、项目建议书</w:t>
      </w:r>
      <w:r>
        <w:rPr>
          <w:rFonts w:hint="eastAsia"/>
          <w:color w:val="000000"/>
          <w:sz w:val="24"/>
          <w:szCs w:val="24"/>
        </w:rPr>
        <w:t>、项目申报书</w:t>
      </w:r>
      <w:r>
        <w:rPr>
          <w:color w:val="000000"/>
          <w:sz w:val="24"/>
          <w:szCs w:val="24"/>
        </w:rPr>
        <w:t>进行</w:t>
      </w:r>
      <w:r>
        <w:rPr>
          <w:rFonts w:hint="eastAsia"/>
          <w:color w:val="000000"/>
          <w:sz w:val="24"/>
          <w:szCs w:val="24"/>
        </w:rPr>
        <w:t>修改</w:t>
      </w:r>
      <w:r>
        <w:rPr>
          <w:color w:val="000000"/>
          <w:sz w:val="24"/>
          <w:szCs w:val="24"/>
        </w:rPr>
        <w:t>。</w:t>
      </w:r>
    </w:p>
    <w:p>
      <w:pPr>
        <w:snapToGrid w:val="0"/>
        <w:spacing w:line="360" w:lineRule="auto"/>
        <w:ind w:firstLine="480" w:firstLineChars="200"/>
        <w:rPr>
          <w:color w:val="000000"/>
          <w:sz w:val="24"/>
          <w:szCs w:val="24"/>
        </w:rPr>
      </w:pPr>
      <w:r>
        <w:rPr>
          <w:rFonts w:hint="eastAsia"/>
          <w:color w:val="000000"/>
          <w:sz w:val="24"/>
          <w:szCs w:val="24"/>
        </w:rPr>
        <w:t>（4）提交送审</w:t>
      </w:r>
    </w:p>
    <w:p>
      <w:pPr>
        <w:snapToGrid w:val="0"/>
        <w:spacing w:line="360" w:lineRule="auto"/>
        <w:ind w:firstLine="480" w:firstLineChars="200"/>
        <w:rPr>
          <w:color w:val="000000"/>
          <w:sz w:val="24"/>
          <w:szCs w:val="24"/>
        </w:rPr>
      </w:pPr>
      <w:r>
        <w:rPr>
          <w:rFonts w:hint="eastAsia"/>
          <w:color w:val="000000"/>
          <w:sz w:val="24"/>
          <w:szCs w:val="24"/>
        </w:rPr>
        <w:t>支撑重庆市无线电管理机构完成送审工作，做好相关材料准备工作。</w:t>
      </w:r>
      <w:bookmarkEnd w:id="31"/>
      <w:bookmarkEnd w:id="32"/>
      <w:bookmarkEnd w:id="33"/>
      <w:bookmarkEnd w:id="34"/>
    </w:p>
    <w:p>
      <w:pPr>
        <w:pStyle w:val="2"/>
        <w:ind w:firstLine="480" w:firstLineChars="200"/>
        <w:rPr>
          <w:rFonts w:eastAsia="宋体"/>
        </w:rPr>
      </w:pPr>
      <w:r>
        <w:rPr>
          <w:rFonts w:hint="eastAsia"/>
          <w:color w:val="000000"/>
          <w:sz w:val="24"/>
          <w:szCs w:val="24"/>
        </w:rPr>
        <w:t>（5）</w:t>
      </w:r>
      <w:r>
        <w:rPr>
          <w:rFonts w:ascii="宋体" w:hAnsi="宋体" w:eastAsia="宋体" w:cs="宋体"/>
          <w:sz w:val="24"/>
          <w:szCs w:val="24"/>
        </w:rPr>
        <w:t>协助办理2024年无线电频率占用费转移支付资金申报事宜</w:t>
      </w:r>
      <w:r>
        <w:rPr>
          <w:rFonts w:hint="eastAsia" w:ascii="宋体" w:hAnsi="宋体" w:eastAsia="宋体" w:cs="宋体"/>
          <w:sz w:val="24"/>
          <w:szCs w:val="24"/>
        </w:rPr>
        <w:t>。</w:t>
      </w:r>
    </w:p>
    <w:p>
      <w:pPr>
        <w:snapToGrid w:val="0"/>
        <w:spacing w:line="360" w:lineRule="auto"/>
        <w:ind w:firstLine="480" w:firstLineChars="200"/>
        <w:rPr>
          <w:color w:val="000000"/>
          <w:sz w:val="24"/>
          <w:szCs w:val="24"/>
        </w:rPr>
      </w:pPr>
      <w:r>
        <w:rPr>
          <w:rFonts w:hint="eastAsia"/>
          <w:color w:val="000000"/>
          <w:sz w:val="24"/>
          <w:szCs w:val="24"/>
        </w:rPr>
        <w:t>2.其他要求</w:t>
      </w:r>
    </w:p>
    <w:p>
      <w:pPr>
        <w:snapToGrid w:val="0"/>
        <w:spacing w:line="360" w:lineRule="auto"/>
        <w:ind w:firstLine="480" w:firstLineChars="200"/>
        <w:rPr>
          <w:color w:val="000000"/>
          <w:sz w:val="24"/>
          <w:szCs w:val="24"/>
        </w:rPr>
      </w:pPr>
      <w:r>
        <w:rPr>
          <w:rFonts w:hint="eastAsia"/>
          <w:color w:val="000000"/>
          <w:sz w:val="24"/>
          <w:szCs w:val="24"/>
        </w:rPr>
        <w:t>（1）提供本采购项目有关资料及相关策划思路、初步方案；</w:t>
      </w:r>
    </w:p>
    <w:p>
      <w:pPr>
        <w:snapToGrid w:val="0"/>
        <w:spacing w:line="360" w:lineRule="auto"/>
        <w:ind w:firstLine="480" w:firstLineChars="200"/>
        <w:rPr>
          <w:color w:val="000000"/>
          <w:sz w:val="24"/>
          <w:szCs w:val="24"/>
        </w:rPr>
      </w:pPr>
      <w:r>
        <w:rPr>
          <w:rFonts w:hint="eastAsia"/>
          <w:color w:val="000000"/>
          <w:sz w:val="24"/>
          <w:szCs w:val="24"/>
        </w:rPr>
        <w:t>（2）针对本采购项目内容，制定详细的项目实施计划、进度安排。</w:t>
      </w:r>
    </w:p>
    <w:p>
      <w:pPr>
        <w:snapToGrid w:val="0"/>
        <w:spacing w:line="360" w:lineRule="auto"/>
        <w:ind w:firstLine="480" w:firstLineChars="200"/>
        <w:rPr>
          <w:color w:val="000000"/>
          <w:sz w:val="24"/>
          <w:szCs w:val="24"/>
        </w:rPr>
      </w:pPr>
      <w:r>
        <w:rPr>
          <w:rFonts w:hint="eastAsia"/>
          <w:color w:val="000000"/>
          <w:sz w:val="24"/>
          <w:szCs w:val="24"/>
        </w:rPr>
        <w:t>（3）为本项目提供7*24小时的电话或邮件答疑。</w:t>
      </w:r>
    </w:p>
    <w:p>
      <w:pPr>
        <w:pStyle w:val="2"/>
      </w:pPr>
    </w:p>
    <w:p>
      <w:pPr>
        <w:pStyle w:val="3"/>
        <w:sectPr>
          <w:headerReference r:id="rId8" w:type="default"/>
          <w:footerReference r:id="rId10" w:type="default"/>
          <w:headerReference r:id="rId9" w:type="even"/>
          <w:pgSz w:w="11906" w:h="16838"/>
          <w:pgMar w:top="1103" w:right="1274" w:bottom="1440" w:left="1276" w:header="851" w:footer="992" w:gutter="0"/>
          <w:pgNumType w:fmt="numberInDash"/>
          <w:cols w:space="425" w:num="1"/>
          <w:docGrid w:type="lines" w:linePitch="381" w:charSpace="0"/>
        </w:sectPr>
      </w:pPr>
    </w:p>
    <w:p>
      <w:pPr>
        <w:pStyle w:val="5"/>
        <w:pageBreakBefore/>
        <w:spacing w:line="360" w:lineRule="auto"/>
        <w:jc w:val="center"/>
        <w:rPr>
          <w:rFonts w:ascii="宋体" w:eastAsia="宋体"/>
          <w:sz w:val="36"/>
          <w:szCs w:val="30"/>
        </w:rPr>
      </w:pPr>
      <w:bookmarkStart w:id="35" w:name="_Toc131429865"/>
      <w:r>
        <w:rPr>
          <w:rFonts w:hint="eastAsia" w:ascii="宋体" w:eastAsia="宋体"/>
          <w:sz w:val="36"/>
          <w:szCs w:val="30"/>
        </w:rPr>
        <w:t>第三篇  项目商务需求</w:t>
      </w:r>
      <w:bookmarkEnd w:id="27"/>
      <w:bookmarkEnd w:id="35"/>
    </w:p>
    <w:p>
      <w:pPr>
        <w:snapToGrid w:val="0"/>
        <w:spacing w:line="360" w:lineRule="auto"/>
        <w:ind w:firstLine="480" w:firstLineChars="200"/>
        <w:rPr>
          <w:sz w:val="24"/>
          <w:szCs w:val="24"/>
        </w:rPr>
      </w:pPr>
      <w:bookmarkStart w:id="36" w:name="_Toc267320049"/>
      <w:r>
        <w:rPr>
          <w:rFonts w:hint="eastAsia"/>
          <w:sz w:val="24"/>
          <w:szCs w:val="24"/>
        </w:rPr>
        <w:t>“※”标注的要求为符合性审查中的实质性要求，响应文件若不满足按无效投标处理。</w:t>
      </w:r>
    </w:p>
    <w:bookmarkEnd w:id="36"/>
    <w:p>
      <w:pPr>
        <w:pStyle w:val="6"/>
        <w:spacing w:before="0" w:after="0" w:line="360" w:lineRule="auto"/>
        <w:ind w:firstLine="482" w:firstLineChars="200"/>
        <w:rPr>
          <w:sz w:val="24"/>
          <w:szCs w:val="24"/>
        </w:rPr>
      </w:pPr>
      <w:bookmarkStart w:id="37" w:name="_Toc82422011"/>
      <w:bookmarkStart w:id="38" w:name="_Toc51854596"/>
      <w:bookmarkStart w:id="39" w:name="_Toc98855996"/>
      <w:bookmarkStart w:id="40" w:name="_Toc131429866"/>
      <w:bookmarkStart w:id="41" w:name="_Toc14860569"/>
      <w:bookmarkStart w:id="42" w:name="_Toc484611845"/>
      <w:r>
        <w:rPr>
          <w:rFonts w:hint="eastAsia"/>
          <w:sz w:val="24"/>
          <w:szCs w:val="24"/>
        </w:rPr>
        <w:t>※一、服务时间、地点及验收方式</w:t>
      </w:r>
      <w:bookmarkEnd w:id="37"/>
      <w:bookmarkEnd w:id="38"/>
      <w:bookmarkEnd w:id="39"/>
      <w:bookmarkEnd w:id="40"/>
      <w:bookmarkEnd w:id="41"/>
      <w:bookmarkEnd w:id="42"/>
    </w:p>
    <w:p>
      <w:pPr>
        <w:snapToGrid w:val="0"/>
        <w:spacing w:line="360" w:lineRule="auto"/>
        <w:ind w:firstLine="482" w:firstLineChars="200"/>
        <w:rPr>
          <w:b/>
          <w:bCs/>
          <w:sz w:val="24"/>
          <w:szCs w:val="24"/>
        </w:rPr>
      </w:pPr>
      <w:bookmarkStart w:id="43" w:name="_Toc344475121"/>
      <w:r>
        <w:rPr>
          <w:rFonts w:hint="eastAsia"/>
          <w:b/>
          <w:bCs/>
          <w:sz w:val="24"/>
          <w:szCs w:val="24"/>
        </w:rPr>
        <w:t>（一）服务时间：</w:t>
      </w:r>
    </w:p>
    <w:p>
      <w:pPr>
        <w:snapToGrid w:val="0"/>
        <w:spacing w:line="360" w:lineRule="auto"/>
        <w:ind w:firstLine="480" w:firstLineChars="200"/>
        <w:rPr>
          <w:sz w:val="24"/>
          <w:szCs w:val="24"/>
        </w:rPr>
      </w:pPr>
      <w:r>
        <w:rPr>
          <w:rFonts w:hint="eastAsia"/>
          <w:sz w:val="24"/>
          <w:szCs w:val="24"/>
        </w:rPr>
        <w:t>2023年5月1日之前完成。</w:t>
      </w:r>
    </w:p>
    <w:p>
      <w:pPr>
        <w:snapToGrid w:val="0"/>
        <w:spacing w:line="360" w:lineRule="auto"/>
        <w:ind w:firstLine="482" w:firstLineChars="200"/>
        <w:rPr>
          <w:b/>
          <w:bCs/>
          <w:sz w:val="24"/>
          <w:szCs w:val="24"/>
        </w:rPr>
      </w:pPr>
      <w:r>
        <w:rPr>
          <w:rFonts w:hint="eastAsia"/>
          <w:b/>
          <w:bCs/>
          <w:sz w:val="24"/>
          <w:szCs w:val="24"/>
        </w:rPr>
        <w:t>（二）地点：</w:t>
      </w:r>
    </w:p>
    <w:p>
      <w:pPr>
        <w:snapToGrid w:val="0"/>
        <w:spacing w:line="360" w:lineRule="auto"/>
        <w:ind w:firstLine="480" w:firstLineChars="200"/>
        <w:rPr>
          <w:sz w:val="24"/>
          <w:szCs w:val="24"/>
        </w:rPr>
      </w:pPr>
      <w:r>
        <w:rPr>
          <w:rFonts w:hint="eastAsia"/>
          <w:sz w:val="24"/>
          <w:szCs w:val="24"/>
        </w:rPr>
        <w:t>重庆市无线电监测站同意或指定地点。</w:t>
      </w:r>
    </w:p>
    <w:p>
      <w:pPr>
        <w:snapToGrid w:val="0"/>
        <w:spacing w:line="360" w:lineRule="auto"/>
        <w:ind w:firstLine="482"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1.验收单位：重庆市无线电监测站。</w:t>
      </w:r>
    </w:p>
    <w:p>
      <w:pPr>
        <w:snapToGrid w:val="0"/>
        <w:spacing w:line="360" w:lineRule="auto"/>
        <w:ind w:firstLine="480" w:firstLineChars="200"/>
        <w:rPr>
          <w:sz w:val="24"/>
          <w:szCs w:val="24"/>
        </w:rPr>
      </w:pPr>
      <w:r>
        <w:rPr>
          <w:rFonts w:hint="eastAsia"/>
          <w:sz w:val="24"/>
          <w:szCs w:val="24"/>
        </w:rPr>
        <w:t>2.验收标准：按照国家及行业相关标准、竞争性磋商文件规定对成交供应商的完成情况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2" w:firstLineChars="200"/>
        <w:rPr>
          <w:sz w:val="24"/>
          <w:szCs w:val="24"/>
        </w:rPr>
      </w:pPr>
      <w:bookmarkStart w:id="44" w:name="_Toc131429867"/>
      <w:bookmarkStart w:id="45" w:name="_Toc14860570"/>
      <w:bookmarkStart w:id="46" w:name="_Toc484611846"/>
      <w:bookmarkStart w:id="47" w:name="_Toc82422012"/>
      <w:bookmarkStart w:id="48" w:name="_Toc51854597"/>
      <w:bookmarkStart w:id="49" w:name="_Toc98855997"/>
      <w:r>
        <w:rPr>
          <w:sz w:val="24"/>
          <w:szCs w:val="24"/>
        </w:rPr>
        <w:t>※</w:t>
      </w:r>
      <w:r>
        <w:rPr>
          <w:rFonts w:hint="eastAsia"/>
          <w:sz w:val="24"/>
          <w:szCs w:val="24"/>
        </w:rPr>
        <w:t>二、</w:t>
      </w:r>
      <w:bookmarkEnd w:id="43"/>
      <w:r>
        <w:rPr>
          <w:rFonts w:hint="eastAsia"/>
          <w:sz w:val="24"/>
          <w:szCs w:val="24"/>
        </w:rPr>
        <w:t>报价要求</w:t>
      </w:r>
      <w:bookmarkEnd w:id="44"/>
      <w:bookmarkEnd w:id="45"/>
      <w:bookmarkEnd w:id="46"/>
      <w:bookmarkEnd w:id="47"/>
      <w:bookmarkEnd w:id="48"/>
      <w:bookmarkEnd w:id="49"/>
    </w:p>
    <w:p>
      <w:pPr>
        <w:numPr>
          <w:ilvl w:val="0"/>
          <w:numId w:val="14"/>
        </w:numPr>
        <w:snapToGrid w:val="0"/>
        <w:spacing w:line="360" w:lineRule="auto"/>
        <w:ind w:firstLine="480" w:firstLineChars="200"/>
        <w:rPr>
          <w:sz w:val="24"/>
          <w:szCs w:val="24"/>
        </w:rPr>
      </w:pPr>
      <w:r>
        <w:rPr>
          <w:rFonts w:hint="eastAsia"/>
          <w:sz w:val="24"/>
          <w:szCs w:val="24"/>
        </w:rPr>
        <w:t>投标报价包括完成本项目所需的项目调研、编制可行性研究报告、修改报告、提交送审、</w:t>
      </w:r>
      <w:r>
        <w:rPr>
          <w:rFonts w:ascii="宋体" w:hAnsi="宋体" w:cs="宋体"/>
          <w:sz w:val="24"/>
          <w:szCs w:val="24"/>
        </w:rPr>
        <w:t>协助办理2024年无线电频率占用费转移支付资金申报事宜</w:t>
      </w:r>
      <w:r>
        <w:rPr>
          <w:rFonts w:hint="eastAsia"/>
          <w:sz w:val="24"/>
          <w:szCs w:val="24"/>
        </w:rPr>
        <w:t>等所有费用。因成交供应商自身原因造成漏报、少报皆由其自行承担责任，采购人不再补偿。</w:t>
      </w:r>
    </w:p>
    <w:p>
      <w:pPr>
        <w:snapToGrid w:val="0"/>
        <w:spacing w:line="360" w:lineRule="auto"/>
        <w:ind w:firstLine="480" w:firstLineChars="200"/>
        <w:rPr>
          <w:sz w:val="24"/>
          <w:szCs w:val="24"/>
        </w:rPr>
      </w:pPr>
      <w:r>
        <w:rPr>
          <w:rFonts w:hint="eastAsia"/>
          <w:sz w:val="24"/>
          <w:szCs w:val="24"/>
        </w:rPr>
        <w:t>（二）供应商应在响应文件中提供本次活动详细的资金预算表，列明各分项活动涉及的费用明细，及其他预计会涉及的费用明细。要求列支项目详细，费用细致，预算合理。</w:t>
      </w:r>
    </w:p>
    <w:p>
      <w:pPr>
        <w:pStyle w:val="6"/>
        <w:spacing w:before="0" w:after="0" w:line="360" w:lineRule="auto"/>
        <w:ind w:firstLine="482" w:firstLineChars="200"/>
        <w:rPr>
          <w:sz w:val="24"/>
          <w:szCs w:val="24"/>
        </w:rPr>
      </w:pPr>
      <w:bookmarkStart w:id="50" w:name="_Toc14860571"/>
      <w:bookmarkStart w:id="51" w:name="_Toc51854598"/>
      <w:bookmarkStart w:id="52" w:name="_Toc131429868"/>
      <w:bookmarkStart w:id="53" w:name="_Toc98855998"/>
      <w:bookmarkStart w:id="54" w:name="_Toc484611849"/>
      <w:bookmarkStart w:id="55" w:name="_Toc344475122"/>
      <w:bookmarkStart w:id="56" w:name="_Toc82422013"/>
      <w:r>
        <w:rPr>
          <w:sz w:val="24"/>
          <w:szCs w:val="24"/>
        </w:rPr>
        <w:t>※</w:t>
      </w:r>
      <w:r>
        <w:rPr>
          <w:rFonts w:hint="eastAsia"/>
          <w:sz w:val="24"/>
          <w:szCs w:val="24"/>
        </w:rPr>
        <w:t>三、付款方式</w:t>
      </w:r>
      <w:bookmarkEnd w:id="50"/>
      <w:bookmarkEnd w:id="51"/>
      <w:bookmarkEnd w:id="52"/>
      <w:bookmarkEnd w:id="53"/>
      <w:bookmarkEnd w:id="54"/>
      <w:bookmarkEnd w:id="55"/>
      <w:bookmarkEnd w:id="56"/>
    </w:p>
    <w:p>
      <w:pPr>
        <w:numPr>
          <w:ilvl w:val="0"/>
          <w:numId w:val="15"/>
        </w:numPr>
        <w:snapToGrid w:val="0"/>
        <w:spacing w:line="360" w:lineRule="auto"/>
        <w:ind w:firstLine="480" w:firstLineChars="200"/>
        <w:rPr>
          <w:sz w:val="24"/>
          <w:szCs w:val="24"/>
        </w:rPr>
      </w:pPr>
      <w:bookmarkStart w:id="57" w:name="_Toc344475123"/>
      <w:r>
        <w:rPr>
          <w:rFonts w:hint="eastAsia"/>
          <w:sz w:val="24"/>
          <w:szCs w:val="24"/>
        </w:rPr>
        <w:t>签订合同前，中标人向采购人指定账户汇入合同总金额5%的履约保证金；</w:t>
      </w:r>
    </w:p>
    <w:p>
      <w:pPr>
        <w:numPr>
          <w:ilvl w:val="0"/>
          <w:numId w:val="15"/>
        </w:numPr>
        <w:snapToGrid w:val="0"/>
        <w:spacing w:line="360" w:lineRule="auto"/>
        <w:ind w:firstLine="480" w:firstLineChars="200"/>
      </w:pPr>
      <w:r>
        <w:rPr>
          <w:rFonts w:hint="eastAsia"/>
          <w:sz w:val="24"/>
          <w:szCs w:val="24"/>
        </w:rPr>
        <w:t>完成重庆市2024年无线电频率占用费转移支付资金申报服务并通过验收后，采购人向供应商支付100%合同款，并无息全额退还履约保证金。</w:t>
      </w:r>
    </w:p>
    <w:p>
      <w:pPr>
        <w:pStyle w:val="6"/>
        <w:spacing w:before="0" w:after="0" w:line="360" w:lineRule="auto"/>
        <w:ind w:firstLine="482" w:firstLineChars="200"/>
        <w:rPr>
          <w:sz w:val="24"/>
          <w:szCs w:val="24"/>
        </w:rPr>
      </w:pPr>
      <w:bookmarkStart w:id="58" w:name="_Toc98856000"/>
      <w:bookmarkStart w:id="59" w:name="_Toc82422015"/>
      <w:bookmarkStart w:id="60" w:name="_Toc484611850"/>
      <w:bookmarkStart w:id="61" w:name="_Toc51854600"/>
      <w:bookmarkStart w:id="62" w:name="_Toc14860572"/>
      <w:bookmarkStart w:id="63" w:name="_Toc131429869"/>
      <w:r>
        <w:rPr>
          <w:rFonts w:hint="eastAsia"/>
          <w:sz w:val="24"/>
          <w:szCs w:val="24"/>
        </w:rPr>
        <w:t>四、知识产权</w:t>
      </w:r>
      <w:bookmarkEnd w:id="57"/>
      <w:bookmarkEnd w:id="58"/>
      <w:bookmarkEnd w:id="59"/>
      <w:bookmarkEnd w:id="60"/>
      <w:bookmarkEnd w:id="61"/>
      <w:bookmarkEnd w:id="62"/>
      <w:bookmarkEnd w:id="63"/>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6"/>
        <w:spacing w:before="0" w:after="0" w:line="360" w:lineRule="auto"/>
        <w:ind w:firstLine="482" w:firstLineChars="200"/>
        <w:rPr>
          <w:sz w:val="24"/>
          <w:szCs w:val="24"/>
        </w:rPr>
      </w:pPr>
      <w:bookmarkStart w:id="64" w:name="_Toc98856001"/>
      <w:bookmarkStart w:id="65" w:name="_Toc51854601"/>
      <w:bookmarkStart w:id="66" w:name="_Toc484611852"/>
      <w:bookmarkStart w:id="67" w:name="_Toc82422016"/>
      <w:bookmarkStart w:id="68" w:name="_Toc131429870"/>
      <w:bookmarkStart w:id="69" w:name="_Toc14860573"/>
      <w:bookmarkStart w:id="70" w:name="_Toc344475125"/>
      <w:r>
        <w:rPr>
          <w:rFonts w:hint="eastAsia"/>
          <w:sz w:val="24"/>
          <w:szCs w:val="24"/>
        </w:rPr>
        <w:t>五、其他</w:t>
      </w:r>
      <w:bookmarkEnd w:id="64"/>
      <w:bookmarkEnd w:id="65"/>
      <w:bookmarkEnd w:id="66"/>
      <w:bookmarkEnd w:id="67"/>
      <w:bookmarkEnd w:id="68"/>
      <w:bookmarkEnd w:id="69"/>
    </w:p>
    <w:bookmarkEnd w:id="70"/>
    <w:p>
      <w:pPr>
        <w:snapToGrid w:val="0"/>
        <w:spacing w:line="360" w:lineRule="auto"/>
        <w:ind w:firstLine="480" w:firstLineChars="200"/>
        <w:rPr>
          <w:rFonts w:ascii="宋体"/>
          <w:sz w:val="24"/>
          <w:szCs w:val="24"/>
        </w:rPr>
      </w:pPr>
      <w:r>
        <w:rPr>
          <w:rFonts w:hint="eastAsia"/>
          <w:sz w:val="24"/>
          <w:szCs w:val="24"/>
        </w:rPr>
        <w:t>其他未尽事宜由供需双方在采购合同中详细约定。</w:t>
      </w:r>
    </w:p>
    <w:p>
      <w:pPr>
        <w:pStyle w:val="5"/>
        <w:pageBreakBefore/>
        <w:spacing w:line="360" w:lineRule="auto"/>
        <w:jc w:val="center"/>
        <w:rPr>
          <w:rFonts w:ascii="宋体" w:eastAsia="宋体"/>
          <w:sz w:val="36"/>
          <w:szCs w:val="30"/>
        </w:rPr>
      </w:pPr>
      <w:bookmarkStart w:id="71" w:name="_Toc131429871"/>
      <w:r>
        <w:rPr>
          <w:rFonts w:hint="eastAsia" w:ascii="宋体" w:eastAsia="宋体"/>
          <w:sz w:val="36"/>
          <w:szCs w:val="30"/>
        </w:rPr>
        <w:t>第四篇  磋商程序及方法、评审标准、无效响应和采购终止</w:t>
      </w:r>
      <w:bookmarkEnd w:id="71"/>
    </w:p>
    <w:p>
      <w:pPr>
        <w:pStyle w:val="6"/>
        <w:snapToGrid w:val="0"/>
        <w:spacing w:before="0" w:after="0" w:line="360" w:lineRule="auto"/>
        <w:ind w:firstLine="482" w:firstLineChars="200"/>
        <w:rPr>
          <w:rFonts w:ascii="宋体" w:hAnsi="宋体"/>
          <w:sz w:val="24"/>
          <w:szCs w:val="24"/>
        </w:rPr>
      </w:pPr>
      <w:bookmarkStart w:id="72" w:name="_Toc130496031"/>
      <w:bookmarkStart w:id="73" w:name="_Toc131429872"/>
      <w:bookmarkStart w:id="74" w:name="_Toc131145272"/>
      <w:r>
        <w:rPr>
          <w:rFonts w:hint="eastAsia" w:ascii="宋体" w:hAnsi="宋体"/>
          <w:sz w:val="24"/>
          <w:szCs w:val="24"/>
        </w:rPr>
        <w:t>一、磋商程序及方法</w:t>
      </w:r>
      <w:bookmarkEnd w:id="72"/>
      <w:bookmarkEnd w:id="73"/>
      <w:bookmarkEnd w:id="74"/>
    </w:p>
    <w:p>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5272" w:type="dxa"/>
            <w:gridSpan w:val="2"/>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pPr>
              <w:snapToGrid w:val="0"/>
              <w:rPr>
                <w:rFonts w:ascii="宋体" w:hAnsi="宋体"/>
                <w:sz w:val="21"/>
                <w:szCs w:val="21"/>
              </w:rPr>
            </w:pPr>
            <w:r>
              <w:rPr>
                <w:rFonts w:hint="eastAsia" w:ascii="宋体" w:hAnsi="宋体"/>
                <w:sz w:val="21"/>
                <w:szCs w:val="21"/>
              </w:rPr>
              <w:t>1.具有独立承担民事责任的能力</w:t>
            </w:r>
          </w:p>
        </w:tc>
        <w:tc>
          <w:tcPr>
            <w:tcW w:w="3579" w:type="dxa"/>
            <w:vAlign w:val="center"/>
          </w:tcPr>
          <w:p>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817" w:type="dxa"/>
            <w:vMerge w:val="continue"/>
            <w:vAlign w:val="center"/>
          </w:tcPr>
          <w:p>
            <w:pPr>
              <w:rPr>
                <w:rFonts w:ascii="宋体" w:hAnsi="宋体"/>
                <w:sz w:val="21"/>
                <w:szCs w:val="21"/>
              </w:rPr>
            </w:pPr>
          </w:p>
        </w:tc>
        <w:tc>
          <w:tcPr>
            <w:tcW w:w="851" w:type="dxa"/>
            <w:vMerge w:val="continue"/>
            <w:vAlign w:val="center"/>
          </w:tcPr>
          <w:p>
            <w:pPr>
              <w:rPr>
                <w:rFonts w:ascii="宋体" w:hAnsi="宋体"/>
                <w:sz w:val="21"/>
                <w:szCs w:val="21"/>
              </w:rPr>
            </w:pPr>
          </w:p>
        </w:tc>
        <w:tc>
          <w:tcPr>
            <w:tcW w:w="4421" w:type="dxa"/>
            <w:vAlign w:val="center"/>
          </w:tcPr>
          <w:p>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vAlign w:val="center"/>
          </w:tcPr>
          <w:p>
            <w:pPr>
              <w:snapToGrid w:val="0"/>
              <w:rPr>
                <w:rFonts w:ascii="宋体" w:hAnsi="宋体"/>
                <w:sz w:val="21"/>
                <w:szCs w:val="21"/>
              </w:rPr>
            </w:pPr>
            <w:r>
              <w:rPr>
                <w:rFonts w:hint="eastAsia" w:ascii="宋体" w:hAnsi="宋体"/>
                <w:sz w:val="21"/>
                <w:szCs w:val="21"/>
              </w:rPr>
              <w:t>供应商提供《基本资格条件承诺函》（见格式文件）</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817" w:type="dxa"/>
            <w:vMerge w:val="continue"/>
            <w:vAlign w:val="center"/>
          </w:tcPr>
          <w:p>
            <w:pPr>
              <w:rPr>
                <w:rFonts w:ascii="宋体" w:hAnsi="宋体"/>
                <w:sz w:val="21"/>
                <w:szCs w:val="21"/>
              </w:rPr>
            </w:pPr>
          </w:p>
        </w:tc>
        <w:tc>
          <w:tcPr>
            <w:tcW w:w="851" w:type="dxa"/>
            <w:vMerge w:val="continue"/>
            <w:vAlign w:val="center"/>
          </w:tcPr>
          <w:p>
            <w:pPr>
              <w:rPr>
                <w:rFonts w:ascii="宋体" w:hAnsi="宋体"/>
                <w:sz w:val="21"/>
                <w:szCs w:val="21"/>
              </w:rPr>
            </w:pPr>
          </w:p>
        </w:tc>
        <w:tc>
          <w:tcPr>
            <w:tcW w:w="4421"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rPr>
                <w:rFonts w:ascii="宋体" w:hAnsi="宋体"/>
                <w:sz w:val="21"/>
                <w:szCs w:val="21"/>
              </w:rPr>
            </w:pPr>
          </w:p>
        </w:tc>
        <w:tc>
          <w:tcPr>
            <w:tcW w:w="851" w:type="dxa"/>
            <w:vMerge w:val="continue"/>
            <w:vAlign w:val="center"/>
          </w:tcPr>
          <w:p>
            <w:pPr>
              <w:rPr>
                <w:rFonts w:ascii="宋体" w:hAnsi="宋体"/>
                <w:sz w:val="21"/>
                <w:szCs w:val="21"/>
              </w:rPr>
            </w:pPr>
          </w:p>
        </w:tc>
        <w:tc>
          <w:tcPr>
            <w:tcW w:w="4421"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817" w:type="dxa"/>
            <w:vMerge w:val="continue"/>
            <w:vAlign w:val="center"/>
          </w:tcPr>
          <w:p>
            <w:pPr>
              <w:rPr>
                <w:rFonts w:ascii="宋体" w:hAnsi="宋体"/>
                <w:sz w:val="21"/>
                <w:szCs w:val="21"/>
              </w:rPr>
            </w:pPr>
          </w:p>
        </w:tc>
        <w:tc>
          <w:tcPr>
            <w:tcW w:w="851" w:type="dxa"/>
            <w:vMerge w:val="continue"/>
            <w:vAlign w:val="center"/>
          </w:tcPr>
          <w:p>
            <w:pPr>
              <w:rPr>
                <w:rFonts w:ascii="宋体" w:hAnsi="宋体"/>
                <w:sz w:val="21"/>
                <w:szCs w:val="21"/>
              </w:rPr>
            </w:pPr>
          </w:p>
        </w:tc>
        <w:tc>
          <w:tcPr>
            <w:tcW w:w="4421" w:type="dxa"/>
            <w:vAlign w:val="center"/>
          </w:tcPr>
          <w:p>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3579" w:type="dxa"/>
            <w:vMerge w:val="continue"/>
            <w:vAlign w:val="center"/>
          </w:tcPr>
          <w:p>
            <w:pPr>
              <w:snapToGrid w:val="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rPr>
                <w:rFonts w:ascii="宋体" w:hAnsi="宋体"/>
                <w:sz w:val="21"/>
                <w:szCs w:val="21"/>
              </w:rPr>
            </w:pPr>
          </w:p>
        </w:tc>
        <w:tc>
          <w:tcPr>
            <w:tcW w:w="851" w:type="dxa"/>
            <w:vMerge w:val="continue"/>
            <w:vAlign w:val="center"/>
          </w:tcPr>
          <w:p>
            <w:pPr>
              <w:rPr>
                <w:rFonts w:ascii="宋体" w:hAnsi="宋体"/>
                <w:sz w:val="21"/>
                <w:szCs w:val="21"/>
              </w:rPr>
            </w:pPr>
          </w:p>
        </w:tc>
        <w:tc>
          <w:tcPr>
            <w:tcW w:w="4421" w:type="dxa"/>
            <w:vAlign w:val="center"/>
          </w:tcPr>
          <w:p>
            <w:pPr>
              <w:snapToGrid w:val="0"/>
              <w:rPr>
                <w:rFonts w:ascii="宋体" w:hAnsi="宋体"/>
                <w:sz w:val="21"/>
                <w:szCs w:val="21"/>
              </w:rPr>
            </w:pPr>
            <w:r>
              <w:rPr>
                <w:rFonts w:hint="eastAsia" w:ascii="宋体" w:hAnsi="宋体"/>
                <w:sz w:val="21"/>
                <w:szCs w:val="21"/>
              </w:rPr>
              <w:t>6.法律、行政法规规定的其他条件</w:t>
            </w:r>
          </w:p>
        </w:tc>
        <w:tc>
          <w:tcPr>
            <w:tcW w:w="3579" w:type="dxa"/>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rPr>
                <w:rFonts w:ascii="宋体" w:hAnsi="宋体"/>
                <w:sz w:val="21"/>
                <w:szCs w:val="21"/>
              </w:rPr>
            </w:pPr>
            <w:r>
              <w:rPr>
                <w:rFonts w:hint="eastAsia" w:ascii="宋体" w:hAnsi="宋体"/>
                <w:sz w:val="21"/>
                <w:szCs w:val="21"/>
              </w:rPr>
              <w:t>（二）</w:t>
            </w:r>
          </w:p>
        </w:tc>
        <w:tc>
          <w:tcPr>
            <w:tcW w:w="5272" w:type="dxa"/>
            <w:gridSpan w:val="2"/>
            <w:vAlign w:val="center"/>
          </w:tcPr>
          <w:p>
            <w:pPr>
              <w:snapToGrid w:val="0"/>
              <w:rPr>
                <w:rFonts w:ascii="宋体" w:hAnsi="宋体"/>
                <w:sz w:val="21"/>
                <w:szCs w:val="21"/>
              </w:rPr>
            </w:pPr>
            <w:r>
              <w:rPr>
                <w:rFonts w:hint="eastAsia" w:ascii="宋体" w:hAnsi="宋体"/>
                <w:sz w:val="21"/>
                <w:szCs w:val="21"/>
              </w:rPr>
              <w:t>本项目特定资格条件</w:t>
            </w:r>
          </w:p>
        </w:tc>
        <w:tc>
          <w:tcPr>
            <w:tcW w:w="3579" w:type="dxa"/>
            <w:vAlign w:val="center"/>
          </w:tcPr>
          <w:p>
            <w:pPr>
              <w:snapToGrid w:val="0"/>
              <w:rPr>
                <w:rFonts w:ascii="宋体" w:hAnsi="宋体"/>
                <w:sz w:val="21"/>
                <w:szCs w:val="21"/>
              </w:rPr>
            </w:pPr>
            <w:r>
              <w:rPr>
                <w:rFonts w:hint="eastAsia" w:ascii="宋体" w:hAnsi="宋体"/>
                <w:sz w:val="21"/>
                <w:szCs w:val="21"/>
              </w:rPr>
              <w:t>按第一篇“三、供应商资格要求（二）本项目的特定资格条件”的要求提交（如果有）。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sz w:val="21"/>
                <w:szCs w:val="21"/>
              </w:rPr>
            </w:pPr>
            <w:r>
              <w:rPr>
                <w:rFonts w:hint="eastAsia" w:ascii="宋体" w:hAnsi="宋体"/>
                <w:sz w:val="21"/>
                <w:szCs w:val="21"/>
              </w:rPr>
              <w:t>（三）</w:t>
            </w:r>
          </w:p>
        </w:tc>
        <w:tc>
          <w:tcPr>
            <w:tcW w:w="5272" w:type="dxa"/>
            <w:gridSpan w:val="2"/>
            <w:vAlign w:val="center"/>
          </w:tcPr>
          <w:p>
            <w:pPr>
              <w:snapToGrid w:val="0"/>
              <w:rPr>
                <w:rFonts w:ascii="宋体" w:hAnsi="宋体"/>
                <w:sz w:val="21"/>
                <w:szCs w:val="21"/>
              </w:rPr>
            </w:pPr>
            <w:r>
              <w:rPr>
                <w:rFonts w:hint="eastAsia" w:ascii="宋体" w:hAnsi="宋体"/>
                <w:sz w:val="21"/>
                <w:szCs w:val="21"/>
              </w:rPr>
              <w:t>落实政府采购政策需满足的资格要求：</w:t>
            </w:r>
          </w:p>
        </w:tc>
        <w:tc>
          <w:tcPr>
            <w:tcW w:w="3579" w:type="dxa"/>
            <w:vAlign w:val="center"/>
          </w:tcPr>
          <w:p>
            <w:pPr>
              <w:snapToGrid w:val="0"/>
              <w:rPr>
                <w:rFonts w:ascii="宋体" w:hAnsi="宋体"/>
                <w:sz w:val="21"/>
                <w:szCs w:val="21"/>
              </w:rPr>
            </w:pPr>
            <w:r>
              <w:rPr>
                <w:rFonts w:hint="eastAsia" w:ascii="宋体" w:hAnsi="宋体"/>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817" w:type="dxa"/>
            <w:vAlign w:val="center"/>
          </w:tcPr>
          <w:p>
            <w:pPr>
              <w:snapToGrid w:val="0"/>
              <w:jc w:val="center"/>
              <w:rPr>
                <w:rFonts w:ascii="宋体" w:hAnsi="宋体"/>
                <w:sz w:val="21"/>
                <w:szCs w:val="21"/>
              </w:rPr>
            </w:pPr>
            <w:r>
              <w:rPr>
                <w:rFonts w:hint="eastAsia" w:ascii="宋体" w:hAnsi="宋体"/>
                <w:sz w:val="21"/>
                <w:szCs w:val="21"/>
              </w:rPr>
              <w:t>（四）</w:t>
            </w:r>
          </w:p>
        </w:tc>
        <w:tc>
          <w:tcPr>
            <w:tcW w:w="5272" w:type="dxa"/>
            <w:gridSpan w:val="2"/>
            <w:vAlign w:val="center"/>
          </w:tcPr>
          <w:p>
            <w:pPr>
              <w:snapToGrid w:val="0"/>
              <w:rPr>
                <w:rFonts w:ascii="宋体" w:hAnsi="宋体"/>
                <w:sz w:val="21"/>
                <w:szCs w:val="21"/>
              </w:rPr>
            </w:pPr>
            <w:r>
              <w:rPr>
                <w:rFonts w:hint="eastAsia" w:ascii="宋体" w:hAnsi="宋体"/>
                <w:sz w:val="21"/>
                <w:szCs w:val="21"/>
              </w:rPr>
              <w:t>磋商保证金</w:t>
            </w:r>
          </w:p>
        </w:tc>
        <w:tc>
          <w:tcPr>
            <w:tcW w:w="3579" w:type="dxa"/>
            <w:vAlign w:val="center"/>
          </w:tcPr>
          <w:p>
            <w:pPr>
              <w:snapToGrid w:val="0"/>
              <w:rPr>
                <w:rFonts w:ascii="宋体" w:hAnsi="宋体" w:cs="宋体"/>
                <w:sz w:val="21"/>
                <w:szCs w:val="21"/>
              </w:rPr>
            </w:pPr>
            <w:r>
              <w:rPr>
                <w:rFonts w:hint="eastAsia" w:ascii="宋体" w:hAnsi="宋体"/>
                <w:sz w:val="21"/>
                <w:szCs w:val="21"/>
              </w:rPr>
              <w:t>按照采购文件的规定提交磋商保证金。</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pPr>
              <w:spacing w:line="240" w:lineRule="exact"/>
              <w:rPr>
                <w:rFonts w:ascii="宋体" w:hAnsi="宋体" w:cs="宋体"/>
                <w:kern w:val="0"/>
                <w:sz w:val="21"/>
                <w:szCs w:val="21"/>
              </w:rPr>
            </w:pPr>
            <w:r>
              <w:rPr>
                <w:rFonts w:hint="eastAsia" w:ascii="宋体" w:hAnsi="宋体"/>
                <w:sz w:val="21"/>
                <w:szCs w:val="21"/>
              </w:rPr>
              <w:t>响应文件上法定代表人或其授权代表人的签字齐全，响应文件盖章齐全。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1996" w:type="dxa"/>
            <w:vAlign w:val="center"/>
          </w:tcPr>
          <w:p>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1996" w:type="dxa"/>
            <w:vAlign w:val="center"/>
          </w:tcPr>
          <w:p>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pPr>
              <w:pStyle w:val="36"/>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仿宋_GB2312"/>
                <w:sz w:val="21"/>
                <w:szCs w:val="21"/>
                <w:lang w:val="zh-CN"/>
              </w:rPr>
            </w:pP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220"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pPr>
        <w:spacing w:line="360" w:lineRule="auto"/>
        <w:ind w:firstLine="480" w:firstLineChars="200"/>
        <w:rPr>
          <w:rFonts w:ascii="宋体" w:hAnsi="宋体"/>
          <w:sz w:val="24"/>
          <w:szCs w:val="24"/>
        </w:rPr>
      </w:pPr>
      <w:r>
        <w:rPr>
          <w:rFonts w:hint="eastAsia" w:ascii="宋体" w:hAnsi="宋体"/>
          <w:sz w:val="24"/>
          <w:szCs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6"/>
        <w:spacing w:before="0" w:after="0" w:line="440" w:lineRule="exact"/>
        <w:ind w:firstLine="482" w:firstLineChars="200"/>
        <w:rPr>
          <w:rFonts w:ascii="宋体"/>
          <w:sz w:val="24"/>
          <w:szCs w:val="24"/>
        </w:rPr>
      </w:pPr>
      <w:bookmarkStart w:id="75" w:name="_Toc131429873"/>
      <w:r>
        <w:rPr>
          <w:rFonts w:hint="eastAsia" w:ascii="宋体"/>
          <w:sz w:val="24"/>
          <w:szCs w:val="24"/>
        </w:rPr>
        <w:t>二、</w:t>
      </w:r>
      <w:bookmarkStart w:id="76" w:name="_Toc102227320"/>
      <w:bookmarkStart w:id="77" w:name="_Toc342913394"/>
      <w:r>
        <w:rPr>
          <w:rFonts w:hint="eastAsia" w:ascii="宋体"/>
          <w:sz w:val="24"/>
          <w:szCs w:val="24"/>
        </w:rPr>
        <w:t>评审标准</w:t>
      </w:r>
      <w:bookmarkEnd w:id="75"/>
    </w:p>
    <w:tbl>
      <w:tblPr>
        <w:tblStyle w:val="68"/>
        <w:tblW w:w="988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271"/>
        <w:gridCol w:w="1301"/>
        <w:gridCol w:w="591"/>
        <w:gridCol w:w="4228"/>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atLeast"/>
        </w:trPr>
        <w:tc>
          <w:tcPr>
            <w:tcW w:w="549" w:type="dxa"/>
            <w:vAlign w:val="center"/>
          </w:tcPr>
          <w:p>
            <w:pPr>
              <w:spacing w:line="240" w:lineRule="atLeast"/>
              <w:ind w:firstLine="28"/>
              <w:jc w:val="center"/>
              <w:rPr>
                <w:rFonts w:ascii="宋体" w:hAnsi="宋体"/>
                <w:b/>
                <w:color w:val="000000"/>
                <w:sz w:val="21"/>
                <w:szCs w:val="21"/>
              </w:rPr>
            </w:pPr>
            <w:bookmarkStart w:id="78" w:name="_Hlk97712090"/>
            <w:r>
              <w:rPr>
                <w:rFonts w:ascii="宋体" w:hAnsi="宋体"/>
                <w:b/>
                <w:color w:val="000000"/>
                <w:sz w:val="21"/>
                <w:szCs w:val="21"/>
              </w:rPr>
              <w:t>序号</w:t>
            </w:r>
          </w:p>
        </w:tc>
        <w:tc>
          <w:tcPr>
            <w:tcW w:w="2572" w:type="dxa"/>
            <w:gridSpan w:val="2"/>
            <w:vAlign w:val="center"/>
          </w:tcPr>
          <w:p>
            <w:pPr>
              <w:spacing w:line="240" w:lineRule="atLeast"/>
              <w:ind w:firstLine="28"/>
              <w:jc w:val="center"/>
              <w:rPr>
                <w:rFonts w:ascii="宋体" w:hAnsi="宋体"/>
                <w:b/>
                <w:color w:val="000000"/>
                <w:sz w:val="21"/>
                <w:szCs w:val="21"/>
              </w:rPr>
            </w:pPr>
            <w:r>
              <w:rPr>
                <w:rFonts w:ascii="宋体" w:hAnsi="宋体"/>
                <w:b/>
                <w:color w:val="000000"/>
                <w:sz w:val="21"/>
                <w:szCs w:val="21"/>
              </w:rPr>
              <w:t>评分因素</w:t>
            </w:r>
          </w:p>
          <w:p>
            <w:pPr>
              <w:spacing w:line="240" w:lineRule="atLeast"/>
              <w:ind w:firstLine="28"/>
              <w:jc w:val="center"/>
              <w:rPr>
                <w:rFonts w:ascii="宋体" w:hAnsi="宋体"/>
                <w:b/>
                <w:color w:val="000000"/>
                <w:sz w:val="21"/>
                <w:szCs w:val="21"/>
              </w:rPr>
            </w:pPr>
            <w:r>
              <w:rPr>
                <w:rFonts w:ascii="宋体" w:hAnsi="宋体"/>
                <w:b/>
                <w:color w:val="000000"/>
                <w:sz w:val="21"/>
                <w:szCs w:val="21"/>
              </w:rPr>
              <w:t>及权值</w:t>
            </w:r>
          </w:p>
        </w:tc>
        <w:tc>
          <w:tcPr>
            <w:tcW w:w="591" w:type="dxa"/>
            <w:vAlign w:val="center"/>
          </w:tcPr>
          <w:p>
            <w:pPr>
              <w:spacing w:line="240" w:lineRule="atLeast"/>
              <w:ind w:firstLine="28"/>
              <w:jc w:val="center"/>
              <w:rPr>
                <w:rFonts w:ascii="宋体" w:hAnsi="宋体"/>
                <w:b/>
                <w:color w:val="000000"/>
                <w:sz w:val="21"/>
                <w:szCs w:val="21"/>
              </w:rPr>
            </w:pPr>
            <w:r>
              <w:rPr>
                <w:rFonts w:ascii="宋体" w:hAnsi="宋体"/>
                <w:b/>
                <w:color w:val="000000"/>
                <w:sz w:val="21"/>
                <w:szCs w:val="21"/>
              </w:rPr>
              <w:t>分值</w:t>
            </w:r>
          </w:p>
        </w:tc>
        <w:tc>
          <w:tcPr>
            <w:tcW w:w="4228" w:type="dxa"/>
            <w:vAlign w:val="center"/>
          </w:tcPr>
          <w:p>
            <w:pPr>
              <w:spacing w:line="240" w:lineRule="atLeast"/>
              <w:ind w:firstLine="28"/>
              <w:jc w:val="center"/>
              <w:rPr>
                <w:rFonts w:ascii="宋体" w:hAnsi="宋体"/>
                <w:b/>
                <w:color w:val="000000"/>
                <w:sz w:val="21"/>
                <w:szCs w:val="21"/>
              </w:rPr>
            </w:pPr>
            <w:r>
              <w:rPr>
                <w:rFonts w:ascii="宋体" w:hAnsi="宋体"/>
                <w:b/>
                <w:color w:val="000000"/>
                <w:sz w:val="21"/>
                <w:szCs w:val="21"/>
              </w:rPr>
              <w:t>评分标准</w:t>
            </w:r>
          </w:p>
        </w:tc>
        <w:tc>
          <w:tcPr>
            <w:tcW w:w="1943" w:type="dxa"/>
            <w:vAlign w:val="center"/>
          </w:tcPr>
          <w:p>
            <w:pPr>
              <w:pStyle w:val="231"/>
              <w:spacing w:before="0" w:after="0" w:line="240" w:lineRule="atLeast"/>
              <w:rPr>
                <w:rFonts w:ascii="宋体" w:hAnsi="宋体" w:eastAsia="宋体"/>
                <w:color w:val="000000"/>
                <w:sz w:val="21"/>
                <w:szCs w:val="21"/>
              </w:rPr>
            </w:pPr>
            <w:r>
              <w:rPr>
                <w:rFonts w:ascii="宋体" w:hAnsi="宋体" w:eastAsia="宋体"/>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549" w:type="dxa"/>
            <w:vAlign w:val="center"/>
          </w:tcPr>
          <w:p>
            <w:pPr>
              <w:spacing w:line="240" w:lineRule="atLeast"/>
              <w:ind w:firstLine="28"/>
              <w:jc w:val="center"/>
              <w:rPr>
                <w:rFonts w:ascii="宋体" w:hAnsi="宋体"/>
                <w:color w:val="000000"/>
                <w:sz w:val="21"/>
                <w:szCs w:val="21"/>
              </w:rPr>
            </w:pPr>
            <w:r>
              <w:rPr>
                <w:rFonts w:ascii="宋体" w:hAnsi="宋体"/>
                <w:color w:val="000000"/>
                <w:sz w:val="21"/>
                <w:szCs w:val="21"/>
              </w:rPr>
              <w:t>1</w:t>
            </w:r>
          </w:p>
        </w:tc>
        <w:tc>
          <w:tcPr>
            <w:tcW w:w="2572" w:type="dxa"/>
            <w:gridSpan w:val="2"/>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磋商报价</w:t>
            </w:r>
          </w:p>
          <w:p>
            <w:pPr>
              <w:spacing w:line="240" w:lineRule="atLeast"/>
              <w:ind w:firstLine="28"/>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w:t>
            </w:r>
            <w:r>
              <w:rPr>
                <w:rFonts w:hint="eastAsia" w:ascii="宋体" w:hAnsi="宋体"/>
                <w:color w:val="000000"/>
                <w:sz w:val="21"/>
                <w:szCs w:val="21"/>
              </w:rPr>
              <w:t>%）</w:t>
            </w:r>
          </w:p>
        </w:tc>
        <w:tc>
          <w:tcPr>
            <w:tcW w:w="591"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w:t>
            </w:r>
          </w:p>
        </w:tc>
        <w:tc>
          <w:tcPr>
            <w:tcW w:w="4228" w:type="dxa"/>
            <w:vAlign w:val="center"/>
          </w:tcPr>
          <w:p>
            <w:pPr>
              <w:spacing w:line="240" w:lineRule="atLeast"/>
              <w:rPr>
                <w:rFonts w:ascii="宋体" w:hAnsi="宋体"/>
                <w:color w:val="000000"/>
                <w:sz w:val="21"/>
                <w:szCs w:val="21"/>
              </w:rPr>
            </w:pPr>
            <w:r>
              <w:rPr>
                <w:rFonts w:ascii="宋体" w:hAnsi="宋体"/>
                <w:color w:val="000000"/>
                <w:sz w:val="21"/>
                <w:szCs w:val="21"/>
              </w:rPr>
              <w:t>满足磋商文件资格要求且最后报价最低的供应商的价格为磋商基准价，按照下列公式计算每个供应商的磋商报价得分。</w:t>
            </w:r>
          </w:p>
          <w:p>
            <w:pPr>
              <w:spacing w:line="240" w:lineRule="atLeast"/>
              <w:rPr>
                <w:rFonts w:ascii="宋体" w:hAnsi="宋体"/>
                <w:color w:val="000000"/>
                <w:sz w:val="21"/>
                <w:szCs w:val="21"/>
              </w:rPr>
            </w:pPr>
            <w:r>
              <w:rPr>
                <w:rFonts w:ascii="宋体" w:hAnsi="宋体"/>
                <w:color w:val="000000"/>
                <w:sz w:val="21"/>
                <w:szCs w:val="21"/>
              </w:rPr>
              <w:t>磋商报价得分=（磋商基准价/最后磋商报价）×价格分值×100</w:t>
            </w:r>
          </w:p>
        </w:tc>
        <w:tc>
          <w:tcPr>
            <w:tcW w:w="1943" w:type="dxa"/>
            <w:vAlign w:val="center"/>
          </w:tcPr>
          <w:p>
            <w:pPr>
              <w:spacing w:line="240" w:lineRule="atLeast"/>
              <w:ind w:left="-38"/>
              <w:rPr>
                <w:rFonts w:ascii="宋体" w:hAnsi="宋体"/>
                <w:color w:val="000000"/>
                <w:sz w:val="21"/>
                <w:szCs w:val="21"/>
              </w:rPr>
            </w:pPr>
            <w:r>
              <w:rPr>
                <w:rFonts w:hint="eastAsia" w:ascii="宋体" w:hAnsi="宋体"/>
                <w:color w:val="000000"/>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549" w:type="dxa"/>
            <w:vMerge w:val="restart"/>
            <w:vAlign w:val="center"/>
          </w:tcPr>
          <w:p>
            <w:pPr>
              <w:spacing w:line="240" w:lineRule="atLeast"/>
              <w:ind w:firstLine="28"/>
              <w:jc w:val="center"/>
              <w:rPr>
                <w:rFonts w:ascii="宋体" w:hAnsi="宋体"/>
                <w:color w:val="000000"/>
                <w:sz w:val="21"/>
                <w:szCs w:val="21"/>
              </w:rPr>
            </w:pPr>
            <w:r>
              <w:rPr>
                <w:rFonts w:ascii="宋体" w:hAnsi="宋体"/>
                <w:color w:val="000000"/>
                <w:sz w:val="21"/>
                <w:szCs w:val="21"/>
              </w:rPr>
              <w:t>2</w:t>
            </w:r>
          </w:p>
        </w:tc>
        <w:tc>
          <w:tcPr>
            <w:tcW w:w="1271" w:type="dxa"/>
            <w:vMerge w:val="restart"/>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技术部分（64%）</w:t>
            </w:r>
          </w:p>
        </w:tc>
        <w:tc>
          <w:tcPr>
            <w:tcW w:w="1301" w:type="dxa"/>
            <w:vMerge w:val="restart"/>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技术响应部分（29分）</w:t>
            </w:r>
          </w:p>
        </w:tc>
        <w:tc>
          <w:tcPr>
            <w:tcW w:w="591"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45</w:t>
            </w:r>
          </w:p>
        </w:tc>
        <w:tc>
          <w:tcPr>
            <w:tcW w:w="4228" w:type="dxa"/>
            <w:vAlign w:val="center"/>
          </w:tcPr>
          <w:p>
            <w:pPr>
              <w:spacing w:line="240" w:lineRule="atLeast"/>
              <w:rPr>
                <w:rFonts w:ascii="宋体" w:hAnsi="宋体"/>
                <w:color w:val="000000"/>
                <w:sz w:val="21"/>
                <w:szCs w:val="21"/>
              </w:rPr>
            </w:pPr>
            <w:r>
              <w:rPr>
                <w:rFonts w:hint="eastAsia" w:ascii="宋体" w:hAnsi="宋体"/>
                <w:color w:val="000000"/>
                <w:sz w:val="21"/>
                <w:szCs w:val="21"/>
              </w:rPr>
              <w:t>A、起评分：</w:t>
            </w:r>
          </w:p>
          <w:p>
            <w:pPr>
              <w:spacing w:line="240" w:lineRule="atLeast"/>
              <w:rPr>
                <w:rFonts w:ascii="宋体" w:hAnsi="宋体"/>
                <w:color w:val="000000"/>
                <w:sz w:val="21"/>
                <w:szCs w:val="21"/>
              </w:rPr>
            </w:pPr>
            <w:r>
              <w:rPr>
                <w:rFonts w:hint="eastAsia" w:ascii="宋体" w:hAnsi="宋体"/>
                <w:color w:val="000000"/>
                <w:sz w:val="21"/>
                <w:szCs w:val="21"/>
              </w:rPr>
              <w:t>有效供应商的起评分为29分。</w:t>
            </w:r>
          </w:p>
        </w:tc>
        <w:tc>
          <w:tcPr>
            <w:tcW w:w="1943" w:type="dxa"/>
            <w:vAlign w:val="center"/>
          </w:tcPr>
          <w:p>
            <w:pPr>
              <w:spacing w:line="240" w:lineRule="atLeast"/>
              <w:ind w:left="-38"/>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trPr>
        <w:tc>
          <w:tcPr>
            <w:tcW w:w="549" w:type="dxa"/>
            <w:vMerge w:val="continue"/>
            <w:vAlign w:val="center"/>
          </w:tcPr>
          <w:p>
            <w:pPr>
              <w:spacing w:line="240" w:lineRule="atLeast"/>
              <w:ind w:firstLine="28"/>
              <w:jc w:val="center"/>
              <w:rPr>
                <w:rFonts w:ascii="宋体" w:hAnsi="宋体"/>
                <w:color w:val="000000"/>
                <w:sz w:val="21"/>
                <w:szCs w:val="21"/>
              </w:rPr>
            </w:pPr>
          </w:p>
        </w:tc>
        <w:tc>
          <w:tcPr>
            <w:tcW w:w="1271" w:type="dxa"/>
            <w:vMerge w:val="continue"/>
            <w:vAlign w:val="center"/>
          </w:tcPr>
          <w:p>
            <w:pPr>
              <w:spacing w:line="240" w:lineRule="atLeast"/>
              <w:ind w:firstLine="28"/>
              <w:jc w:val="center"/>
              <w:rPr>
                <w:rFonts w:ascii="宋体" w:hAnsi="宋体"/>
                <w:color w:val="000000"/>
                <w:sz w:val="21"/>
                <w:szCs w:val="21"/>
              </w:rPr>
            </w:pPr>
          </w:p>
        </w:tc>
        <w:tc>
          <w:tcPr>
            <w:tcW w:w="1301" w:type="dxa"/>
            <w:vMerge w:val="continue"/>
            <w:vAlign w:val="center"/>
          </w:tcPr>
          <w:p>
            <w:pPr>
              <w:spacing w:line="240" w:lineRule="atLeast"/>
              <w:ind w:firstLine="28"/>
              <w:jc w:val="center"/>
              <w:rPr>
                <w:rFonts w:ascii="宋体" w:hAnsi="宋体"/>
                <w:color w:val="000000"/>
                <w:sz w:val="21"/>
                <w:szCs w:val="21"/>
              </w:rPr>
            </w:pPr>
          </w:p>
        </w:tc>
        <w:tc>
          <w:tcPr>
            <w:tcW w:w="591"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w:t>
            </w:r>
          </w:p>
        </w:tc>
        <w:tc>
          <w:tcPr>
            <w:tcW w:w="4228" w:type="dxa"/>
            <w:vAlign w:val="center"/>
          </w:tcPr>
          <w:p>
            <w:pPr>
              <w:spacing w:line="240" w:lineRule="atLeast"/>
              <w:rPr>
                <w:rFonts w:ascii="宋体" w:hAnsi="宋体"/>
                <w:color w:val="000000"/>
                <w:sz w:val="21"/>
                <w:szCs w:val="21"/>
              </w:rPr>
            </w:pPr>
            <w:r>
              <w:rPr>
                <w:rFonts w:hint="eastAsia" w:ascii="宋体" w:hAnsi="宋体"/>
                <w:color w:val="000000"/>
                <w:sz w:val="21"/>
                <w:szCs w:val="21"/>
              </w:rPr>
              <w:t>B、扣分条款：</w:t>
            </w:r>
          </w:p>
          <w:p>
            <w:pPr>
              <w:spacing w:line="240" w:lineRule="atLeast"/>
              <w:rPr>
                <w:rFonts w:ascii="宋体" w:hAnsi="宋体"/>
                <w:color w:val="000000"/>
                <w:sz w:val="21"/>
                <w:szCs w:val="21"/>
              </w:rPr>
            </w:pPr>
            <w:r>
              <w:rPr>
                <w:rFonts w:hint="eastAsia" w:ascii="宋体" w:hAnsi="宋体"/>
                <w:color w:val="000000"/>
                <w:sz w:val="21"/>
                <w:szCs w:val="21"/>
              </w:rPr>
              <w:t>1.重要技术参数（竞争性磋商文件第二篇 一、项目技术要求中带★部分）有1条不满足的，技术响应部分得分为0分。</w:t>
            </w:r>
          </w:p>
          <w:p>
            <w:pPr>
              <w:spacing w:line="240" w:lineRule="atLeast"/>
              <w:rPr>
                <w:rFonts w:ascii="宋体" w:hAnsi="宋体"/>
                <w:color w:val="000000"/>
                <w:sz w:val="21"/>
                <w:szCs w:val="21"/>
              </w:rPr>
            </w:pPr>
            <w:r>
              <w:rPr>
                <w:rFonts w:hint="eastAsia" w:ascii="宋体" w:hAnsi="宋体"/>
                <w:color w:val="000000"/>
                <w:sz w:val="21"/>
                <w:szCs w:val="21"/>
              </w:rPr>
              <w:t>2.一般性技术参数（竞争性磋商文件第二篇 一、项目技术要求中非★部分）达不到竞争性磋商文件要求的，每负偏离1条从起评分中扣除10分，2条及以上不满足技术响应部分得0分。</w:t>
            </w:r>
          </w:p>
        </w:tc>
        <w:tc>
          <w:tcPr>
            <w:tcW w:w="1943" w:type="dxa"/>
            <w:vAlign w:val="center"/>
          </w:tcPr>
          <w:p>
            <w:pPr>
              <w:spacing w:line="240" w:lineRule="atLeast"/>
              <w:ind w:left="-38"/>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549" w:type="dxa"/>
            <w:vMerge w:val="continue"/>
            <w:vAlign w:val="center"/>
          </w:tcPr>
          <w:p>
            <w:pPr>
              <w:spacing w:line="240" w:lineRule="atLeast"/>
              <w:ind w:firstLine="28"/>
              <w:jc w:val="center"/>
              <w:rPr>
                <w:rFonts w:ascii="宋体" w:hAnsi="宋体"/>
                <w:color w:val="000000"/>
                <w:sz w:val="21"/>
                <w:szCs w:val="21"/>
              </w:rPr>
            </w:pPr>
          </w:p>
        </w:tc>
        <w:tc>
          <w:tcPr>
            <w:tcW w:w="1271" w:type="dxa"/>
            <w:vMerge w:val="continue"/>
            <w:vAlign w:val="center"/>
          </w:tcPr>
          <w:p>
            <w:pPr>
              <w:spacing w:line="240" w:lineRule="atLeast"/>
              <w:ind w:firstLine="28"/>
              <w:jc w:val="center"/>
              <w:rPr>
                <w:rFonts w:ascii="宋体" w:hAnsi="宋体"/>
                <w:color w:val="000000"/>
                <w:sz w:val="21"/>
                <w:szCs w:val="21"/>
              </w:rPr>
            </w:pPr>
          </w:p>
        </w:tc>
        <w:tc>
          <w:tcPr>
            <w:tcW w:w="1301" w:type="dxa"/>
            <w:vMerge w:val="restart"/>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技术方案</w:t>
            </w:r>
          </w:p>
          <w:p>
            <w:pPr>
              <w:spacing w:line="240" w:lineRule="atLeast"/>
              <w:ind w:firstLine="28"/>
              <w:jc w:val="center"/>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5</w:t>
            </w:r>
            <w:r>
              <w:rPr>
                <w:rFonts w:hint="eastAsia" w:ascii="宋体" w:hAnsi="宋体"/>
                <w:color w:val="000000"/>
                <w:sz w:val="21"/>
                <w:szCs w:val="21"/>
              </w:rPr>
              <w:t>分）</w:t>
            </w:r>
          </w:p>
        </w:tc>
        <w:tc>
          <w:tcPr>
            <w:tcW w:w="591"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15</w:t>
            </w:r>
          </w:p>
        </w:tc>
        <w:tc>
          <w:tcPr>
            <w:tcW w:w="4228" w:type="dxa"/>
            <w:vAlign w:val="center"/>
          </w:tcPr>
          <w:p>
            <w:pPr>
              <w:spacing w:line="240" w:lineRule="atLeast"/>
              <w:rPr>
                <w:rFonts w:ascii="宋体" w:hAnsi="宋体"/>
                <w:color w:val="000000"/>
                <w:sz w:val="21"/>
                <w:szCs w:val="21"/>
              </w:rPr>
            </w:pPr>
            <w:r>
              <w:rPr>
                <w:rFonts w:hint="eastAsia" w:ascii="宋体" w:hAnsi="宋体"/>
                <w:color w:val="000000"/>
                <w:sz w:val="21"/>
                <w:szCs w:val="21"/>
              </w:rPr>
              <w:t>项目调研（15分）</w:t>
            </w:r>
          </w:p>
          <w:p>
            <w:pPr>
              <w:spacing w:line="240" w:lineRule="atLeast"/>
              <w:rPr>
                <w:rFonts w:ascii="宋体" w:hAnsi="宋体"/>
                <w:color w:val="000000"/>
                <w:sz w:val="21"/>
                <w:szCs w:val="21"/>
              </w:rPr>
            </w:pPr>
            <w:r>
              <w:rPr>
                <w:rFonts w:hint="eastAsia" w:ascii="宋体" w:hAnsi="宋体"/>
                <w:color w:val="000000"/>
                <w:sz w:val="21"/>
                <w:szCs w:val="21"/>
              </w:rPr>
              <w:t>根据供应商提供的</w:t>
            </w:r>
            <w:bookmarkStart w:id="79" w:name="_Hlk102860396"/>
            <w:r>
              <w:rPr>
                <w:rFonts w:hint="eastAsia" w:ascii="宋体" w:hAnsi="宋体"/>
                <w:color w:val="000000"/>
                <w:sz w:val="21"/>
                <w:szCs w:val="21"/>
              </w:rPr>
              <w:t>无线电行业现状分析、项目调研方案</w:t>
            </w:r>
            <w:bookmarkEnd w:id="79"/>
            <w:r>
              <w:rPr>
                <w:rFonts w:hint="eastAsia" w:ascii="宋体" w:hAnsi="宋体"/>
                <w:color w:val="000000"/>
                <w:sz w:val="21"/>
                <w:szCs w:val="21"/>
              </w:rPr>
              <w:t>、需求分析等进行打分。</w:t>
            </w:r>
          </w:p>
          <w:p>
            <w:pPr>
              <w:spacing w:line="240" w:lineRule="atLeast"/>
              <w:rPr>
                <w:rFonts w:ascii="宋体" w:hAnsi="宋体"/>
                <w:color w:val="000000"/>
                <w:sz w:val="21"/>
                <w:szCs w:val="21"/>
              </w:rPr>
            </w:pPr>
            <w:r>
              <w:rPr>
                <w:rFonts w:hint="eastAsia" w:ascii="宋体" w:hAnsi="宋体"/>
                <w:color w:val="000000"/>
                <w:sz w:val="21"/>
                <w:szCs w:val="21"/>
              </w:rPr>
              <w:t>行业现状分析深入、调研方案合理可行、需求分析透彻，得15分；</w:t>
            </w:r>
          </w:p>
          <w:p>
            <w:pPr>
              <w:spacing w:line="240" w:lineRule="atLeast"/>
              <w:rPr>
                <w:rFonts w:ascii="宋体" w:hAnsi="宋体"/>
                <w:color w:val="000000"/>
                <w:sz w:val="21"/>
                <w:szCs w:val="21"/>
              </w:rPr>
            </w:pPr>
            <w:r>
              <w:rPr>
                <w:rFonts w:hint="eastAsia" w:ascii="宋体" w:hAnsi="宋体"/>
                <w:color w:val="000000"/>
                <w:sz w:val="21"/>
                <w:szCs w:val="21"/>
              </w:rPr>
              <w:t>行业现状分析较深入、调研方案较合理可行、需求分析较透彻，得10分；</w:t>
            </w:r>
          </w:p>
          <w:p>
            <w:pPr>
              <w:spacing w:line="240" w:lineRule="atLeast"/>
              <w:rPr>
                <w:rFonts w:ascii="宋体" w:hAnsi="宋体"/>
                <w:color w:val="000000"/>
                <w:sz w:val="21"/>
                <w:szCs w:val="21"/>
              </w:rPr>
            </w:pPr>
            <w:r>
              <w:rPr>
                <w:rFonts w:hint="eastAsia" w:ascii="宋体" w:hAnsi="宋体"/>
                <w:color w:val="000000"/>
                <w:sz w:val="21"/>
                <w:szCs w:val="21"/>
              </w:rPr>
              <w:t>行业现状分析一般、调研方案一般、需求分析一般，得5分；</w:t>
            </w:r>
          </w:p>
          <w:p>
            <w:pPr>
              <w:spacing w:line="240" w:lineRule="atLeast"/>
            </w:pPr>
            <w:r>
              <w:rPr>
                <w:rFonts w:hint="eastAsia" w:ascii="宋体" w:hAnsi="宋体"/>
                <w:color w:val="000000"/>
                <w:sz w:val="21"/>
                <w:szCs w:val="21"/>
              </w:rPr>
              <w:t>行业现状分析差、调研方案差、需求分析差，得0分。</w:t>
            </w:r>
          </w:p>
        </w:tc>
        <w:tc>
          <w:tcPr>
            <w:tcW w:w="1943" w:type="dxa"/>
            <w:vMerge w:val="restart"/>
            <w:vAlign w:val="center"/>
          </w:tcPr>
          <w:p>
            <w:pPr>
              <w:spacing w:line="240" w:lineRule="atLeast"/>
              <w:ind w:left="-38"/>
              <w:rPr>
                <w:rFonts w:ascii="宋体" w:hAnsi="宋体"/>
                <w:color w:val="000000"/>
                <w:sz w:val="21"/>
                <w:szCs w:val="21"/>
              </w:rPr>
            </w:pPr>
          </w:p>
          <w:p>
            <w:pPr>
              <w:spacing w:line="240" w:lineRule="atLeast"/>
              <w:ind w:left="-38"/>
              <w:rPr>
                <w:rFonts w:ascii="宋体" w:hAnsi="宋体"/>
                <w:color w:val="000000"/>
                <w:sz w:val="21"/>
                <w:szCs w:val="21"/>
              </w:rPr>
            </w:pPr>
          </w:p>
          <w:p>
            <w:pPr>
              <w:spacing w:line="240" w:lineRule="atLeast"/>
              <w:ind w:left="-38"/>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549" w:type="dxa"/>
            <w:vMerge w:val="continue"/>
            <w:vAlign w:val="center"/>
          </w:tcPr>
          <w:p>
            <w:pPr>
              <w:spacing w:line="240" w:lineRule="atLeast"/>
              <w:ind w:firstLine="28"/>
              <w:jc w:val="center"/>
              <w:rPr>
                <w:rFonts w:ascii="宋体" w:hAnsi="宋体"/>
                <w:color w:val="000000"/>
                <w:sz w:val="21"/>
                <w:szCs w:val="21"/>
              </w:rPr>
            </w:pPr>
          </w:p>
        </w:tc>
        <w:tc>
          <w:tcPr>
            <w:tcW w:w="1271" w:type="dxa"/>
            <w:vMerge w:val="continue"/>
            <w:vAlign w:val="center"/>
          </w:tcPr>
          <w:p>
            <w:pPr>
              <w:spacing w:line="240" w:lineRule="atLeast"/>
              <w:ind w:firstLine="28"/>
              <w:jc w:val="center"/>
              <w:rPr>
                <w:rFonts w:ascii="宋体" w:hAnsi="宋体"/>
                <w:color w:val="000000"/>
                <w:sz w:val="21"/>
                <w:szCs w:val="21"/>
              </w:rPr>
            </w:pPr>
          </w:p>
        </w:tc>
        <w:tc>
          <w:tcPr>
            <w:tcW w:w="1301" w:type="dxa"/>
            <w:vMerge w:val="continue"/>
            <w:vAlign w:val="center"/>
          </w:tcPr>
          <w:p>
            <w:pPr>
              <w:spacing w:line="240" w:lineRule="atLeast"/>
              <w:ind w:firstLine="28"/>
              <w:jc w:val="center"/>
              <w:rPr>
                <w:rFonts w:ascii="宋体" w:hAnsi="宋体"/>
                <w:color w:val="000000"/>
                <w:sz w:val="21"/>
                <w:szCs w:val="21"/>
              </w:rPr>
            </w:pPr>
          </w:p>
        </w:tc>
        <w:tc>
          <w:tcPr>
            <w:tcW w:w="591"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20</w:t>
            </w:r>
          </w:p>
        </w:tc>
        <w:tc>
          <w:tcPr>
            <w:tcW w:w="4228" w:type="dxa"/>
            <w:vAlign w:val="center"/>
          </w:tcPr>
          <w:p>
            <w:pPr>
              <w:spacing w:line="240" w:lineRule="atLeast"/>
              <w:rPr>
                <w:rFonts w:ascii="宋体" w:hAnsi="宋体"/>
                <w:color w:val="000000"/>
                <w:sz w:val="21"/>
                <w:szCs w:val="21"/>
              </w:rPr>
            </w:pPr>
            <w:r>
              <w:rPr>
                <w:rFonts w:hint="eastAsia" w:ascii="宋体" w:hAnsi="宋体"/>
                <w:color w:val="000000"/>
                <w:sz w:val="21"/>
                <w:szCs w:val="21"/>
              </w:rPr>
              <w:t>项目建设方案（20分）</w:t>
            </w:r>
          </w:p>
          <w:p>
            <w:pPr>
              <w:spacing w:line="240" w:lineRule="atLeast"/>
            </w:pPr>
            <w:r>
              <w:rPr>
                <w:rFonts w:hint="eastAsia" w:ascii="宋体" w:hAnsi="宋体"/>
                <w:color w:val="000000"/>
                <w:sz w:val="21"/>
                <w:szCs w:val="21"/>
              </w:rPr>
              <w:t>对各个拟建项目建设方案进行打分。</w:t>
            </w:r>
          </w:p>
          <w:p>
            <w:pPr>
              <w:spacing w:line="240" w:lineRule="atLeast"/>
              <w:rPr>
                <w:rFonts w:ascii="宋体" w:hAnsi="宋体"/>
                <w:color w:val="000000"/>
                <w:sz w:val="21"/>
                <w:szCs w:val="21"/>
              </w:rPr>
            </w:pPr>
            <w:r>
              <w:rPr>
                <w:rFonts w:hint="eastAsia" w:ascii="宋体" w:hAnsi="宋体"/>
                <w:color w:val="000000"/>
                <w:sz w:val="21"/>
                <w:szCs w:val="21"/>
              </w:rPr>
              <w:t>项目建设方案完整、先进、可行得20分；</w:t>
            </w:r>
          </w:p>
          <w:p>
            <w:pPr>
              <w:spacing w:line="240" w:lineRule="atLeast"/>
              <w:rPr>
                <w:rFonts w:ascii="宋体" w:hAnsi="宋体"/>
                <w:color w:val="000000"/>
                <w:sz w:val="21"/>
                <w:szCs w:val="21"/>
              </w:rPr>
            </w:pPr>
            <w:r>
              <w:rPr>
                <w:rFonts w:hint="eastAsia" w:ascii="宋体" w:hAnsi="宋体"/>
                <w:color w:val="000000"/>
                <w:sz w:val="21"/>
                <w:szCs w:val="21"/>
              </w:rPr>
              <w:t>项目建设方案较完整、较先进、较可行得15分；</w:t>
            </w:r>
          </w:p>
          <w:p>
            <w:pPr>
              <w:spacing w:line="240" w:lineRule="atLeast"/>
              <w:rPr>
                <w:rFonts w:ascii="宋体" w:hAnsi="宋体"/>
                <w:color w:val="000000"/>
                <w:sz w:val="21"/>
                <w:szCs w:val="21"/>
              </w:rPr>
            </w:pPr>
            <w:r>
              <w:rPr>
                <w:rFonts w:hint="eastAsia" w:ascii="宋体" w:hAnsi="宋体"/>
                <w:color w:val="000000"/>
                <w:sz w:val="21"/>
                <w:szCs w:val="21"/>
              </w:rPr>
              <w:t>项目建设方案一般得10分；</w:t>
            </w:r>
          </w:p>
          <w:p>
            <w:pPr>
              <w:spacing w:line="240" w:lineRule="atLeast"/>
              <w:rPr>
                <w:rFonts w:ascii="宋体" w:hAnsi="宋体"/>
                <w:color w:val="000000"/>
                <w:sz w:val="21"/>
                <w:szCs w:val="21"/>
              </w:rPr>
            </w:pPr>
            <w:r>
              <w:rPr>
                <w:rFonts w:hint="eastAsia" w:ascii="宋体" w:hAnsi="宋体"/>
                <w:color w:val="000000"/>
                <w:sz w:val="21"/>
                <w:szCs w:val="21"/>
              </w:rPr>
              <w:t>项目建设方案差得0分。</w:t>
            </w:r>
          </w:p>
        </w:tc>
        <w:tc>
          <w:tcPr>
            <w:tcW w:w="1943" w:type="dxa"/>
            <w:vMerge w:val="continue"/>
            <w:vAlign w:val="center"/>
          </w:tcPr>
          <w:p>
            <w:pPr>
              <w:spacing w:line="240" w:lineRule="atLeast"/>
              <w:ind w:left="-38"/>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trPr>
        <w:tc>
          <w:tcPr>
            <w:tcW w:w="549" w:type="dxa"/>
            <w:vMerge w:val="restart"/>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3</w:t>
            </w:r>
          </w:p>
        </w:tc>
        <w:tc>
          <w:tcPr>
            <w:tcW w:w="1271" w:type="dxa"/>
            <w:vMerge w:val="restart"/>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商务部分</w:t>
            </w:r>
          </w:p>
          <w:p>
            <w:pPr>
              <w:spacing w:line="240" w:lineRule="atLeast"/>
              <w:ind w:firstLine="28"/>
              <w:jc w:val="center"/>
              <w:rPr>
                <w:rFonts w:ascii="宋体" w:hAnsi="宋体"/>
                <w:color w:val="000000"/>
                <w:sz w:val="21"/>
                <w:szCs w:val="21"/>
              </w:rPr>
            </w:pPr>
            <w:r>
              <w:rPr>
                <w:rFonts w:hint="eastAsia" w:ascii="宋体" w:hAnsi="宋体"/>
                <w:color w:val="000000"/>
                <w:sz w:val="21"/>
                <w:szCs w:val="21"/>
              </w:rPr>
              <w:t>（16%）</w:t>
            </w:r>
          </w:p>
        </w:tc>
        <w:tc>
          <w:tcPr>
            <w:tcW w:w="1301"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业绩（12%）</w:t>
            </w:r>
          </w:p>
        </w:tc>
        <w:tc>
          <w:tcPr>
            <w:tcW w:w="591"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12</w:t>
            </w:r>
          </w:p>
        </w:tc>
        <w:tc>
          <w:tcPr>
            <w:tcW w:w="4228" w:type="dxa"/>
            <w:vAlign w:val="center"/>
          </w:tcPr>
          <w:p>
            <w:pPr>
              <w:spacing w:line="240" w:lineRule="atLeast"/>
              <w:ind w:firstLine="28"/>
              <w:jc w:val="left"/>
              <w:rPr>
                <w:rFonts w:ascii="宋体" w:hAnsi="宋体"/>
                <w:color w:val="000000"/>
                <w:sz w:val="21"/>
                <w:szCs w:val="21"/>
              </w:rPr>
            </w:pPr>
            <w:r>
              <w:rPr>
                <w:rFonts w:hint="eastAsia" w:ascii="宋体" w:hAnsi="宋体"/>
                <w:color w:val="000000"/>
                <w:sz w:val="21"/>
                <w:szCs w:val="21"/>
              </w:rPr>
              <w:t>2020年1月1日至响应文件递交截止时间，供应商编制过省级及以上行业调研或基础设施可行性研究的，每提供1个有效合同得3分，满分为12分。</w:t>
            </w:r>
          </w:p>
        </w:tc>
        <w:tc>
          <w:tcPr>
            <w:tcW w:w="1943" w:type="dxa"/>
            <w:vAlign w:val="center"/>
          </w:tcPr>
          <w:p>
            <w:pPr>
              <w:spacing w:line="240" w:lineRule="atLeast"/>
              <w:ind w:left="-38"/>
              <w:rPr>
                <w:rFonts w:ascii="宋体" w:hAnsi="宋体"/>
                <w:color w:val="000000"/>
                <w:sz w:val="21"/>
                <w:szCs w:val="21"/>
              </w:rPr>
            </w:pPr>
            <w:r>
              <w:rPr>
                <w:rFonts w:hint="eastAsia" w:ascii="宋体" w:hAnsi="宋体"/>
                <w:color w:val="000000"/>
                <w:sz w:val="21"/>
                <w:szCs w:val="21"/>
              </w:rPr>
              <w:t>提供合同或其他业绩证明材料复印件，加盖供应商公章。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trPr>
        <w:tc>
          <w:tcPr>
            <w:tcW w:w="549" w:type="dxa"/>
            <w:vMerge w:val="continue"/>
            <w:vAlign w:val="center"/>
          </w:tcPr>
          <w:p>
            <w:pPr>
              <w:spacing w:line="240" w:lineRule="atLeast"/>
              <w:ind w:firstLine="28"/>
              <w:jc w:val="center"/>
              <w:rPr>
                <w:rFonts w:ascii="宋体" w:hAnsi="宋体"/>
                <w:color w:val="000000"/>
                <w:sz w:val="21"/>
                <w:szCs w:val="21"/>
              </w:rPr>
            </w:pPr>
          </w:p>
        </w:tc>
        <w:tc>
          <w:tcPr>
            <w:tcW w:w="1271" w:type="dxa"/>
            <w:vMerge w:val="continue"/>
            <w:vAlign w:val="center"/>
          </w:tcPr>
          <w:p>
            <w:pPr>
              <w:spacing w:line="240" w:lineRule="atLeast"/>
              <w:ind w:firstLine="28"/>
              <w:jc w:val="center"/>
              <w:rPr>
                <w:rFonts w:ascii="宋体" w:hAnsi="宋体"/>
                <w:color w:val="000000"/>
                <w:sz w:val="21"/>
                <w:szCs w:val="21"/>
              </w:rPr>
            </w:pPr>
          </w:p>
        </w:tc>
        <w:tc>
          <w:tcPr>
            <w:tcW w:w="1301"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人员能力（4%）</w:t>
            </w:r>
          </w:p>
        </w:tc>
        <w:tc>
          <w:tcPr>
            <w:tcW w:w="591" w:type="dxa"/>
            <w:vAlign w:val="center"/>
          </w:tcPr>
          <w:p>
            <w:pPr>
              <w:spacing w:line="240" w:lineRule="atLeast"/>
              <w:ind w:firstLine="28"/>
              <w:jc w:val="center"/>
              <w:rPr>
                <w:rFonts w:ascii="宋体" w:hAnsi="宋体"/>
                <w:color w:val="000000"/>
                <w:sz w:val="21"/>
                <w:szCs w:val="21"/>
              </w:rPr>
            </w:pPr>
            <w:r>
              <w:rPr>
                <w:rFonts w:hint="eastAsia" w:ascii="宋体" w:hAnsi="宋体"/>
                <w:color w:val="000000"/>
                <w:sz w:val="21"/>
                <w:szCs w:val="21"/>
              </w:rPr>
              <w:t>4</w:t>
            </w:r>
          </w:p>
        </w:tc>
        <w:tc>
          <w:tcPr>
            <w:tcW w:w="4228" w:type="dxa"/>
            <w:vAlign w:val="center"/>
          </w:tcPr>
          <w:p>
            <w:pPr>
              <w:spacing w:line="240" w:lineRule="atLeast"/>
              <w:rPr>
                <w:rFonts w:ascii="宋体" w:hAnsi="宋体"/>
                <w:color w:val="000000"/>
                <w:sz w:val="21"/>
                <w:szCs w:val="21"/>
              </w:rPr>
            </w:pPr>
            <w:r>
              <w:rPr>
                <w:rFonts w:hint="eastAsia" w:ascii="宋体" w:hAnsi="宋体"/>
                <w:color w:val="000000"/>
                <w:sz w:val="21"/>
                <w:szCs w:val="21"/>
              </w:rPr>
              <w:t>提供的服务团队中，有两个及以上人员拥有电子信息类高级及以上工程师证书的，得2分；有两个及以上人员具有电子信息类博士研究生学历的得2分。</w:t>
            </w:r>
          </w:p>
        </w:tc>
        <w:tc>
          <w:tcPr>
            <w:tcW w:w="1943" w:type="dxa"/>
            <w:vAlign w:val="center"/>
          </w:tcPr>
          <w:p>
            <w:pPr>
              <w:spacing w:line="240" w:lineRule="atLeast"/>
              <w:ind w:left="-38"/>
              <w:rPr>
                <w:rFonts w:ascii="宋体" w:hAnsi="宋体"/>
                <w:color w:val="000000"/>
                <w:sz w:val="21"/>
                <w:szCs w:val="21"/>
              </w:rPr>
            </w:pPr>
            <w:r>
              <w:rPr>
                <w:rFonts w:hint="eastAsia" w:ascii="宋体" w:hAnsi="宋体"/>
                <w:color w:val="000000"/>
                <w:sz w:val="21"/>
                <w:szCs w:val="21"/>
              </w:rPr>
              <w:t>提供高级及以上工程师证书、博士学历证明。</w:t>
            </w:r>
          </w:p>
        </w:tc>
      </w:tr>
      <w:bookmarkEnd w:id="78"/>
    </w:tbl>
    <w:p>
      <w:pPr>
        <w:snapToGrid w:val="0"/>
        <w:spacing w:line="360" w:lineRule="auto"/>
        <w:ind w:firstLine="465"/>
        <w:rPr>
          <w:rFonts w:ascii="宋体"/>
          <w:b/>
          <w:sz w:val="24"/>
          <w:szCs w:val="24"/>
        </w:rPr>
      </w:pPr>
      <w:r>
        <w:rPr>
          <w:rFonts w:hint="eastAsia" w:ascii="宋体"/>
          <w:b/>
          <w:sz w:val="24"/>
          <w:szCs w:val="24"/>
        </w:rPr>
        <w:t>说明：</w:t>
      </w:r>
    </w:p>
    <w:p>
      <w:pPr>
        <w:snapToGrid w:val="0"/>
        <w:spacing w:line="360" w:lineRule="auto"/>
        <w:ind w:firstLine="465"/>
        <w:rPr>
          <w:rFonts w:ascii="宋体"/>
          <w:sz w:val="24"/>
          <w:szCs w:val="24"/>
        </w:rPr>
      </w:pPr>
      <w:r>
        <w:rPr>
          <w:rFonts w:hint="eastAsia" w:ascii="宋体"/>
          <w:sz w:val="24"/>
          <w:szCs w:val="24"/>
        </w:rPr>
        <w:t>（一）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pPr>
        <w:snapToGrid w:val="0"/>
        <w:spacing w:line="360" w:lineRule="auto"/>
        <w:ind w:firstLine="465"/>
        <w:rPr>
          <w:rFonts w:ascii="宋体"/>
          <w:sz w:val="24"/>
          <w:szCs w:val="24"/>
        </w:rPr>
      </w:pPr>
      <w:r>
        <w:rPr>
          <w:rFonts w:hint="eastAsia" w:ascii="宋体"/>
          <w:sz w:val="24"/>
          <w:szCs w:val="24"/>
        </w:rPr>
        <w:t>（二）关于小微企业报价扣除比例说明</w:t>
      </w:r>
    </w:p>
    <w:p>
      <w:pPr>
        <w:snapToGrid w:val="0"/>
        <w:spacing w:line="360" w:lineRule="auto"/>
        <w:ind w:firstLine="465"/>
        <w:rPr>
          <w:rFonts w:ascii="宋体"/>
          <w:sz w:val="24"/>
          <w:szCs w:val="24"/>
        </w:rPr>
      </w:pPr>
      <w:r>
        <w:rPr>
          <w:rFonts w:hint="eastAsia" w:asci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sz w:val="24"/>
          <w:szCs w:val="24"/>
        </w:rPr>
      </w:pPr>
      <w:r>
        <w:rPr>
          <w:rFonts w:hint="eastAsia" w:asci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sz w:val="24"/>
          <w:szCs w:val="24"/>
        </w:rPr>
      </w:pPr>
      <w:r>
        <w:rPr>
          <w:rFonts w:hint="eastAsia" w:ascii="宋体"/>
          <w:sz w:val="24"/>
          <w:szCs w:val="24"/>
        </w:rPr>
        <w:t>（2）在工程采购项目中，工程由中小企业承建，即工程施工单位为中小企业；</w:t>
      </w:r>
    </w:p>
    <w:p>
      <w:pPr>
        <w:snapToGrid w:val="0"/>
        <w:spacing w:line="360" w:lineRule="auto"/>
        <w:ind w:firstLine="465"/>
        <w:rPr>
          <w:rFonts w:ascii="宋体"/>
          <w:sz w:val="24"/>
          <w:szCs w:val="24"/>
        </w:rPr>
      </w:pPr>
      <w:r>
        <w:rPr>
          <w:rFonts w:hint="eastAsia" w:ascii="宋体"/>
          <w:sz w:val="24"/>
          <w:szCs w:val="24"/>
        </w:rPr>
        <w:t>（3）在服务采购项目中，服务由中小企业承接，即提供服务的人员为中小企业依照《中华人民共和国劳动合同法》订立劳动合同的从业人员。</w:t>
      </w:r>
    </w:p>
    <w:p>
      <w:pPr>
        <w:snapToGrid w:val="0"/>
        <w:spacing w:line="360" w:lineRule="auto"/>
        <w:ind w:firstLine="465"/>
        <w:rPr>
          <w:rFonts w:ascii="宋体"/>
          <w:sz w:val="24"/>
          <w:szCs w:val="24"/>
        </w:rPr>
      </w:pPr>
      <w:r>
        <w:rPr>
          <w:rFonts w:hint="eastAsia" w:ascii="宋体"/>
          <w:sz w:val="24"/>
          <w:szCs w:val="24"/>
        </w:rPr>
        <w:t>2.对小微型企业给予</w:t>
      </w:r>
      <w:r>
        <w:rPr>
          <w:rFonts w:ascii="宋体"/>
          <w:b/>
          <w:bCs/>
          <w:sz w:val="24"/>
          <w:szCs w:val="24"/>
          <w:u w:val="single"/>
        </w:rPr>
        <w:t>20</w:t>
      </w:r>
      <w:r>
        <w:rPr>
          <w:rFonts w:hint="eastAsia" w:ascii="宋体"/>
          <w:b/>
          <w:bCs/>
          <w:sz w:val="24"/>
          <w:szCs w:val="24"/>
          <w:u w:val="single"/>
        </w:rPr>
        <w:t xml:space="preserve"> %</w:t>
      </w:r>
      <w:r>
        <w:rPr>
          <w:rFonts w:hint="eastAsia" w:ascii="宋体"/>
          <w:sz w:val="24"/>
          <w:szCs w:val="24"/>
        </w:rPr>
        <w:t>的扣除，以扣除后的报价参与评审。</w:t>
      </w:r>
    </w:p>
    <w:p>
      <w:pPr>
        <w:snapToGrid w:val="0"/>
        <w:spacing w:line="360" w:lineRule="auto"/>
        <w:ind w:firstLine="465"/>
        <w:rPr>
          <w:rFonts w:ascii="宋体"/>
          <w:sz w:val="24"/>
          <w:szCs w:val="24"/>
        </w:rPr>
      </w:pPr>
      <w:r>
        <w:rPr>
          <w:rFonts w:hint="eastAsia" w:ascii="宋体"/>
          <w:sz w:val="24"/>
          <w:szCs w:val="24"/>
        </w:rPr>
        <w:t>3.监狱企业、残疾人福利性单位视同小型、微型企业。</w:t>
      </w:r>
    </w:p>
    <w:p>
      <w:pPr>
        <w:pStyle w:val="6"/>
        <w:spacing w:before="0" w:after="0" w:line="360" w:lineRule="auto"/>
        <w:ind w:firstLine="482" w:firstLineChars="200"/>
        <w:rPr>
          <w:rFonts w:ascii="宋体"/>
          <w:sz w:val="24"/>
          <w:szCs w:val="24"/>
        </w:rPr>
      </w:pPr>
      <w:bookmarkStart w:id="80" w:name="_Toc131429874"/>
      <w:r>
        <w:rPr>
          <w:rFonts w:hint="eastAsia" w:ascii="宋体"/>
          <w:sz w:val="24"/>
          <w:szCs w:val="24"/>
        </w:rPr>
        <w:t>三、无效响应</w:t>
      </w:r>
      <w:bookmarkEnd w:id="80"/>
    </w:p>
    <w:p>
      <w:pPr>
        <w:snapToGrid w:val="0"/>
        <w:spacing w:line="360" w:lineRule="auto"/>
        <w:ind w:firstLine="465"/>
        <w:rPr>
          <w:rFonts w:ascii="宋体"/>
          <w:sz w:val="24"/>
          <w:szCs w:val="24"/>
        </w:rPr>
      </w:pPr>
      <w:r>
        <w:rPr>
          <w:rFonts w:hint="eastAsia" w:ascii="宋体"/>
          <w:sz w:val="24"/>
          <w:szCs w:val="24"/>
        </w:rPr>
        <w:t>供应商发生以下条款情况之一者，视为无效响应：</w:t>
      </w:r>
    </w:p>
    <w:p>
      <w:pPr>
        <w:snapToGrid w:val="0"/>
        <w:spacing w:line="360" w:lineRule="auto"/>
        <w:ind w:firstLine="465"/>
        <w:rPr>
          <w:rFonts w:ascii="宋体"/>
          <w:sz w:val="24"/>
          <w:szCs w:val="24"/>
        </w:rPr>
      </w:pPr>
      <w:r>
        <w:rPr>
          <w:rFonts w:hint="eastAsia" w:ascii="宋体"/>
          <w:sz w:val="24"/>
          <w:szCs w:val="24"/>
        </w:rPr>
        <w:t>（一）供应商不符合规定的基本资格条件或特定资格条件的；</w:t>
      </w:r>
    </w:p>
    <w:p>
      <w:pPr>
        <w:snapToGrid w:val="0"/>
        <w:spacing w:line="360" w:lineRule="auto"/>
        <w:ind w:firstLine="465"/>
        <w:rPr>
          <w:rFonts w:ascii="宋体"/>
          <w:sz w:val="24"/>
          <w:szCs w:val="24"/>
        </w:rPr>
      </w:pPr>
      <w:r>
        <w:rPr>
          <w:rFonts w:hint="eastAsia" w:ascii="宋体"/>
          <w:sz w:val="24"/>
          <w:szCs w:val="24"/>
        </w:rPr>
        <w:t>（二）供应商的法定代表人或其授权代表未参加磋商；</w:t>
      </w:r>
    </w:p>
    <w:p>
      <w:pPr>
        <w:snapToGrid w:val="0"/>
        <w:spacing w:line="360" w:lineRule="auto"/>
        <w:ind w:firstLine="465"/>
        <w:rPr>
          <w:rFonts w:ascii="宋体"/>
          <w:sz w:val="24"/>
          <w:szCs w:val="24"/>
        </w:rPr>
      </w:pPr>
      <w:r>
        <w:rPr>
          <w:rFonts w:hint="eastAsia" w:ascii="宋体"/>
          <w:sz w:val="24"/>
          <w:szCs w:val="24"/>
        </w:rPr>
        <w:t>（三）供应商未按照竞争性磋商文件的要求缴纳磋商保证金；</w:t>
      </w:r>
    </w:p>
    <w:p>
      <w:pPr>
        <w:snapToGrid w:val="0"/>
        <w:spacing w:line="360" w:lineRule="auto"/>
        <w:ind w:firstLine="465"/>
        <w:rPr>
          <w:rFonts w:ascii="宋体"/>
          <w:sz w:val="24"/>
          <w:szCs w:val="24"/>
        </w:rPr>
      </w:pPr>
      <w:r>
        <w:rPr>
          <w:rFonts w:hint="eastAsia" w:ascii="宋体"/>
          <w:sz w:val="24"/>
          <w:szCs w:val="24"/>
        </w:rPr>
        <w:t>（四）供应商所提交的响应文件不按第七篇“响应文件编制要求”规定签字、盖章；</w:t>
      </w:r>
    </w:p>
    <w:p>
      <w:pPr>
        <w:snapToGrid w:val="0"/>
        <w:spacing w:line="360" w:lineRule="auto"/>
        <w:ind w:firstLine="465"/>
        <w:rPr>
          <w:rFonts w:ascii="宋体"/>
          <w:sz w:val="24"/>
          <w:szCs w:val="24"/>
        </w:rPr>
      </w:pPr>
      <w:r>
        <w:rPr>
          <w:rFonts w:hint="eastAsia" w:ascii="宋体"/>
          <w:sz w:val="24"/>
          <w:szCs w:val="24"/>
        </w:rPr>
        <w:t>（五）供应商的最后报价超过采购预算金额或最高限价的；</w:t>
      </w:r>
    </w:p>
    <w:p>
      <w:pPr>
        <w:snapToGrid w:val="0"/>
        <w:spacing w:line="360" w:lineRule="auto"/>
        <w:ind w:firstLine="465"/>
        <w:rPr>
          <w:rFonts w:ascii="宋体"/>
          <w:sz w:val="24"/>
          <w:szCs w:val="24"/>
        </w:rPr>
      </w:pPr>
      <w:r>
        <w:rPr>
          <w:rFonts w:hint="eastAsia" w:ascii="宋体"/>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sz w:val="24"/>
          <w:szCs w:val="24"/>
        </w:rPr>
      </w:pPr>
      <w:r>
        <w:rPr>
          <w:rFonts w:hint="eastAsia" w:ascii="宋体"/>
          <w:sz w:val="24"/>
          <w:szCs w:val="24"/>
        </w:rPr>
        <w:t>（七）</w:t>
      </w:r>
      <w:r>
        <w:rPr>
          <w:rFonts w:ascii="宋体"/>
          <w:sz w:val="24"/>
          <w:szCs w:val="24"/>
        </w:rPr>
        <w:t>为采购项目提供整体设计、规范编制或者项目管理、监理、检测等服务的供应商，再参加</w:t>
      </w:r>
      <w:r>
        <w:rPr>
          <w:rFonts w:hint="eastAsia" w:ascii="宋体"/>
          <w:sz w:val="24"/>
          <w:szCs w:val="24"/>
        </w:rPr>
        <w:t>该采购</w:t>
      </w:r>
      <w:r>
        <w:rPr>
          <w:rFonts w:ascii="宋体"/>
          <w:sz w:val="24"/>
          <w:szCs w:val="24"/>
        </w:rPr>
        <w:t>项目的</w:t>
      </w:r>
      <w:r>
        <w:rPr>
          <w:rFonts w:hint="eastAsia" w:ascii="宋体"/>
          <w:sz w:val="24"/>
          <w:szCs w:val="24"/>
        </w:rPr>
        <w:t>其他</w:t>
      </w:r>
      <w:r>
        <w:rPr>
          <w:rFonts w:ascii="宋体"/>
          <w:sz w:val="24"/>
          <w:szCs w:val="24"/>
        </w:rPr>
        <w:t>采购活动</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（八）所提供的产品不符合必须强制执行的国家标准的；</w:t>
      </w:r>
    </w:p>
    <w:p>
      <w:pPr>
        <w:snapToGrid w:val="0"/>
        <w:spacing w:line="360" w:lineRule="auto"/>
        <w:ind w:firstLine="480" w:firstLineChars="200"/>
        <w:rPr>
          <w:rFonts w:ascii="宋体"/>
          <w:sz w:val="24"/>
          <w:szCs w:val="24"/>
        </w:rPr>
      </w:pPr>
      <w:r>
        <w:rPr>
          <w:rFonts w:hint="eastAsia" w:ascii="宋体"/>
          <w:sz w:val="24"/>
          <w:szCs w:val="24"/>
        </w:rPr>
        <w:t>（九）供应商的服务时间、服务质保期及磋商有效期不满足竞争性磋商文件要求的；</w:t>
      </w:r>
    </w:p>
    <w:p>
      <w:pPr>
        <w:snapToGrid w:val="0"/>
        <w:spacing w:line="360" w:lineRule="auto"/>
        <w:ind w:firstLine="465"/>
        <w:rPr>
          <w:rFonts w:ascii="宋体"/>
          <w:sz w:val="24"/>
          <w:szCs w:val="24"/>
        </w:rPr>
      </w:pPr>
      <w:r>
        <w:rPr>
          <w:rFonts w:hint="eastAsia" w:ascii="宋体"/>
          <w:sz w:val="24"/>
          <w:szCs w:val="24"/>
        </w:rPr>
        <w:t>（十）供应商响应文件内容有与国家现行法律法规相违背的内容，或附有采购人无法接受的条件。</w:t>
      </w:r>
    </w:p>
    <w:p>
      <w:pPr>
        <w:pStyle w:val="6"/>
        <w:spacing w:before="0" w:after="0" w:line="360" w:lineRule="auto"/>
        <w:ind w:firstLine="482" w:firstLineChars="200"/>
        <w:rPr>
          <w:rFonts w:ascii="宋体"/>
          <w:sz w:val="24"/>
          <w:szCs w:val="24"/>
        </w:rPr>
      </w:pPr>
      <w:bookmarkStart w:id="81" w:name="_Toc131429875"/>
      <w:r>
        <w:rPr>
          <w:rFonts w:hint="eastAsia" w:ascii="宋体"/>
          <w:sz w:val="24"/>
          <w:szCs w:val="24"/>
        </w:rPr>
        <w:t>四、</w:t>
      </w:r>
      <w:bookmarkEnd w:id="76"/>
      <w:bookmarkEnd w:id="77"/>
      <w:r>
        <w:rPr>
          <w:rFonts w:hint="eastAsia" w:ascii="宋体"/>
          <w:sz w:val="24"/>
          <w:szCs w:val="24"/>
        </w:rPr>
        <w:t>采购终止</w:t>
      </w:r>
      <w:bookmarkEnd w:id="81"/>
    </w:p>
    <w:p>
      <w:pPr>
        <w:snapToGrid w:val="0"/>
        <w:spacing w:line="360" w:lineRule="auto"/>
        <w:ind w:firstLine="465"/>
        <w:rPr>
          <w:rFonts w:ascii="宋体"/>
          <w:sz w:val="24"/>
          <w:szCs w:val="24"/>
        </w:rPr>
      </w:pPr>
      <w:r>
        <w:rPr>
          <w:rFonts w:hint="eastAsia" w:ascii="宋体"/>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ascii="宋体"/>
          <w:sz w:val="24"/>
          <w:szCs w:val="24"/>
        </w:rPr>
      </w:pPr>
      <w:r>
        <w:rPr>
          <w:rFonts w:hint="eastAsia" w:ascii="宋体"/>
          <w:sz w:val="24"/>
          <w:szCs w:val="24"/>
        </w:rPr>
        <w:t>（一）因情况变化，不再符合规定的竞争性磋商采购方式适用情形的；</w:t>
      </w:r>
    </w:p>
    <w:p>
      <w:pPr>
        <w:snapToGrid w:val="0"/>
        <w:spacing w:line="360" w:lineRule="auto"/>
        <w:ind w:firstLine="465"/>
        <w:rPr>
          <w:rFonts w:ascii="宋体"/>
          <w:sz w:val="24"/>
          <w:szCs w:val="24"/>
        </w:rPr>
      </w:pPr>
      <w:r>
        <w:rPr>
          <w:rFonts w:hint="eastAsia" w:ascii="宋体"/>
          <w:sz w:val="24"/>
          <w:szCs w:val="24"/>
        </w:rPr>
        <w:t>（二）出现影响采购公正的违法、违规行为的；</w:t>
      </w:r>
    </w:p>
    <w:p>
      <w:pPr>
        <w:snapToGrid w:val="0"/>
        <w:spacing w:line="360" w:lineRule="auto"/>
        <w:ind w:firstLine="465"/>
        <w:rPr>
          <w:rFonts w:ascii="宋体"/>
          <w:sz w:val="24"/>
          <w:szCs w:val="24"/>
        </w:rPr>
      </w:pPr>
      <w:r>
        <w:rPr>
          <w:rFonts w:hint="eastAsia" w:asci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sz w:val="24"/>
          <w:szCs w:val="24"/>
        </w:rPr>
        <w:sectPr>
          <w:footerReference r:id="rId11" w:type="default"/>
          <w:footerReference r:id="rId12" w:type="even"/>
          <w:pgSz w:w="11907" w:h="16840"/>
          <w:pgMar w:top="1134" w:right="1191" w:bottom="1134" w:left="1191" w:header="964" w:footer="992" w:gutter="0"/>
          <w:pgNumType w:fmt="numberInDash"/>
          <w:cols w:space="720" w:num="1"/>
          <w:docGrid w:linePitch="312" w:charSpace="0"/>
        </w:sectPr>
      </w:pPr>
    </w:p>
    <w:p>
      <w:pPr>
        <w:pStyle w:val="5"/>
        <w:spacing w:line="360" w:lineRule="auto"/>
        <w:jc w:val="center"/>
        <w:rPr>
          <w:rFonts w:ascii="宋体" w:eastAsia="宋体"/>
          <w:sz w:val="36"/>
          <w:szCs w:val="30"/>
        </w:rPr>
      </w:pPr>
      <w:bookmarkStart w:id="82" w:name="_Toc102227313"/>
      <w:bookmarkStart w:id="83" w:name="_Toc131429876"/>
      <w:r>
        <w:rPr>
          <w:rFonts w:hint="eastAsia" w:ascii="宋体" w:eastAsia="宋体"/>
          <w:sz w:val="36"/>
          <w:szCs w:val="30"/>
        </w:rPr>
        <w:t>第五篇  供应商须知</w:t>
      </w:r>
      <w:bookmarkEnd w:id="82"/>
      <w:bookmarkEnd w:id="83"/>
    </w:p>
    <w:p>
      <w:pPr>
        <w:pStyle w:val="6"/>
        <w:spacing w:before="0" w:after="0" w:line="360" w:lineRule="auto"/>
        <w:ind w:firstLine="482" w:firstLineChars="200"/>
        <w:rPr>
          <w:rFonts w:ascii="宋体"/>
          <w:sz w:val="24"/>
          <w:szCs w:val="24"/>
        </w:rPr>
      </w:pPr>
      <w:bookmarkStart w:id="84" w:name="_Toc342913389"/>
      <w:bookmarkStart w:id="85" w:name="_Toc131429877"/>
      <w:r>
        <w:rPr>
          <w:rFonts w:hint="eastAsia" w:ascii="宋体"/>
          <w:sz w:val="24"/>
          <w:szCs w:val="24"/>
        </w:rPr>
        <w:t>一、磋商费用</w:t>
      </w:r>
      <w:bookmarkEnd w:id="84"/>
      <w:bookmarkEnd w:id="85"/>
    </w:p>
    <w:p>
      <w:pPr>
        <w:pStyle w:val="181"/>
        <w:spacing w:line="360" w:lineRule="auto"/>
        <w:ind w:firstLine="480" w:firstLineChars="200"/>
        <w:rPr>
          <w:sz w:val="24"/>
          <w:szCs w:val="24"/>
        </w:rPr>
      </w:pPr>
      <w:r>
        <w:rPr>
          <w:rFonts w:hint="eastAsia"/>
          <w:sz w:val="24"/>
          <w:szCs w:val="24"/>
        </w:rPr>
        <w:t>参与磋商的供应商应承担其编制响应文件与递交响应文件所涉及的一切费用，不论磋商结果如何，采购人和采购代理机构在任何情况下无义务也无责任承担这些费用。</w:t>
      </w:r>
    </w:p>
    <w:p>
      <w:pPr>
        <w:pStyle w:val="6"/>
        <w:tabs>
          <w:tab w:val="left" w:pos="2640"/>
        </w:tabs>
        <w:spacing w:before="0" w:after="0" w:line="360" w:lineRule="auto"/>
        <w:ind w:firstLine="482" w:firstLineChars="200"/>
        <w:rPr>
          <w:rFonts w:ascii="宋体"/>
          <w:sz w:val="24"/>
          <w:szCs w:val="24"/>
        </w:rPr>
      </w:pPr>
      <w:bookmarkStart w:id="86" w:name="_Toc131429878"/>
      <w:bookmarkStart w:id="87" w:name="_Toc342913391"/>
      <w:r>
        <w:rPr>
          <w:rFonts w:hint="eastAsia" w:ascii="宋体"/>
          <w:sz w:val="24"/>
          <w:szCs w:val="24"/>
        </w:rPr>
        <w:t>二、竞争性磋商文件</w:t>
      </w:r>
      <w:bookmarkEnd w:id="86"/>
      <w:bookmarkEnd w:id="87"/>
    </w:p>
    <w:p>
      <w:pPr>
        <w:snapToGrid w:val="0"/>
        <w:spacing w:line="360" w:lineRule="auto"/>
        <w:ind w:firstLine="480" w:firstLineChars="200"/>
        <w:rPr>
          <w:rFonts w:ascii="宋体"/>
          <w:sz w:val="24"/>
          <w:szCs w:val="24"/>
        </w:rPr>
      </w:pPr>
      <w:r>
        <w:rPr>
          <w:rFonts w:hint="eastAsia" w:ascii="宋体"/>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宋体"/>
          <w:sz w:val="24"/>
          <w:szCs w:val="24"/>
        </w:rPr>
      </w:pPr>
      <w:r>
        <w:rPr>
          <w:rFonts w:hint="eastAsia" w:ascii="宋体"/>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ascii="宋体"/>
          <w:sz w:val="24"/>
          <w:szCs w:val="24"/>
        </w:rPr>
      </w:pPr>
      <w:r>
        <w:rPr>
          <w:rFonts w:hint="eastAsia" w:ascii="宋体"/>
          <w:sz w:val="24"/>
          <w:szCs w:val="24"/>
        </w:rPr>
        <w:t>（三）竞争性磋商文件的解释</w:t>
      </w:r>
    </w:p>
    <w:p>
      <w:pPr>
        <w:spacing w:line="360" w:lineRule="auto"/>
        <w:ind w:firstLine="480" w:firstLineChars="200"/>
        <w:rPr>
          <w:rFonts w:ascii="宋体"/>
          <w:sz w:val="24"/>
          <w:szCs w:val="24"/>
        </w:rPr>
      </w:pPr>
      <w:r>
        <w:rPr>
          <w:rFonts w:hint="eastAsia" w:asci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8" w:name="_Toc318166429"/>
      <w:bookmarkStart w:id="89" w:name="_Toc318159780"/>
      <w:bookmarkStart w:id="90" w:name="_Toc318159160"/>
      <w:bookmarkStart w:id="91" w:name="_Toc318159349"/>
    </w:p>
    <w:p>
      <w:pPr>
        <w:spacing w:line="360" w:lineRule="auto"/>
        <w:ind w:firstLine="480" w:firstLineChars="200"/>
        <w:rPr>
          <w:rFonts w:ascii="宋体"/>
          <w:sz w:val="24"/>
          <w:szCs w:val="24"/>
        </w:rPr>
      </w:pPr>
      <w:r>
        <w:rPr>
          <w:rFonts w:hint="eastAsia" w:asci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sz w:val="24"/>
          <w:szCs w:val="24"/>
        </w:rPr>
      </w:pPr>
      <w:r>
        <w:rPr>
          <w:rFonts w:hint="eastAsia" w:ascii="宋体"/>
          <w:sz w:val="24"/>
          <w:szCs w:val="24"/>
        </w:rPr>
        <w:t>（五）评审的依据为竞争性磋商文件和响应文件（含有效的书面承诺）。磋商小组判断响应文件对竞争性磋商文件的响应，仅基于响应文件本身而不靠外部证据。</w:t>
      </w:r>
    </w:p>
    <w:bookmarkEnd w:id="88"/>
    <w:bookmarkEnd w:id="89"/>
    <w:bookmarkEnd w:id="90"/>
    <w:bookmarkEnd w:id="91"/>
    <w:p>
      <w:pPr>
        <w:pStyle w:val="6"/>
        <w:spacing w:before="0" w:after="0" w:line="360" w:lineRule="auto"/>
        <w:ind w:firstLine="482" w:firstLineChars="200"/>
        <w:rPr>
          <w:rFonts w:ascii="宋体"/>
          <w:sz w:val="24"/>
          <w:szCs w:val="24"/>
        </w:rPr>
      </w:pPr>
      <w:bookmarkStart w:id="92" w:name="_Toc179714297"/>
      <w:bookmarkStart w:id="93" w:name="_Toc342913392"/>
      <w:bookmarkStart w:id="94" w:name="_Toc102227318"/>
      <w:bookmarkStart w:id="95" w:name="_Toc131429879"/>
      <w:r>
        <w:rPr>
          <w:rFonts w:hint="eastAsia" w:ascii="宋体"/>
          <w:sz w:val="24"/>
          <w:szCs w:val="24"/>
        </w:rPr>
        <w:t>三、磋商要求</w:t>
      </w:r>
      <w:bookmarkEnd w:id="92"/>
      <w:bookmarkEnd w:id="93"/>
      <w:bookmarkEnd w:id="94"/>
      <w:bookmarkEnd w:id="95"/>
    </w:p>
    <w:p>
      <w:pPr>
        <w:spacing w:line="360" w:lineRule="auto"/>
        <w:ind w:firstLine="480" w:firstLineChars="200"/>
        <w:rPr>
          <w:rFonts w:ascii="宋体"/>
          <w:sz w:val="24"/>
          <w:szCs w:val="24"/>
        </w:rPr>
      </w:pPr>
      <w:r>
        <w:rPr>
          <w:rFonts w:hint="eastAsia" w:ascii="宋体"/>
          <w:sz w:val="24"/>
          <w:szCs w:val="24"/>
        </w:rPr>
        <w:t>（一）响应文件</w:t>
      </w:r>
    </w:p>
    <w:p>
      <w:pPr>
        <w:spacing w:line="360" w:lineRule="auto"/>
        <w:ind w:firstLine="480" w:firstLineChars="200"/>
        <w:rPr>
          <w:rFonts w:ascii="宋体"/>
          <w:sz w:val="24"/>
          <w:szCs w:val="24"/>
        </w:rPr>
      </w:pPr>
      <w:r>
        <w:rPr>
          <w:rFonts w:hint="eastAsia" w:asci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sz w:val="24"/>
          <w:szCs w:val="24"/>
        </w:rPr>
      </w:pPr>
      <w:r>
        <w:rPr>
          <w:rFonts w:hint="eastAsia" w:ascii="宋体"/>
          <w:sz w:val="24"/>
          <w:szCs w:val="24"/>
        </w:rPr>
        <w:t>2.响应文件组成</w:t>
      </w:r>
    </w:p>
    <w:p>
      <w:pPr>
        <w:spacing w:line="360" w:lineRule="auto"/>
        <w:ind w:firstLine="480" w:firstLineChars="200"/>
        <w:rPr>
          <w:rFonts w:ascii="宋体"/>
          <w:sz w:val="24"/>
          <w:szCs w:val="24"/>
        </w:rPr>
      </w:pPr>
      <w:r>
        <w:rPr>
          <w:rFonts w:hint="eastAsia" w:asci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sz w:val="24"/>
          <w:szCs w:val="24"/>
        </w:rPr>
      </w:pPr>
      <w:r>
        <w:rPr>
          <w:rFonts w:hint="eastAsia" w:ascii="宋体"/>
          <w:sz w:val="24"/>
          <w:szCs w:val="24"/>
        </w:rPr>
        <w:t>（二）联合体</w:t>
      </w:r>
    </w:p>
    <w:p>
      <w:pPr>
        <w:spacing w:line="360" w:lineRule="auto"/>
        <w:ind w:firstLine="480" w:firstLineChars="200"/>
        <w:rPr>
          <w:rFonts w:ascii="宋体"/>
          <w:sz w:val="24"/>
          <w:szCs w:val="24"/>
        </w:rPr>
      </w:pPr>
      <w:r>
        <w:rPr>
          <w:rFonts w:hint="eastAsia" w:ascii="宋体"/>
          <w:sz w:val="24"/>
          <w:szCs w:val="24"/>
        </w:rPr>
        <w:t>本项目不接受联合体磋商。</w:t>
      </w:r>
    </w:p>
    <w:p>
      <w:pPr>
        <w:spacing w:line="360" w:lineRule="auto"/>
        <w:ind w:firstLine="480" w:firstLineChars="200"/>
        <w:rPr>
          <w:rFonts w:ascii="宋体"/>
          <w:sz w:val="24"/>
          <w:szCs w:val="24"/>
        </w:rPr>
      </w:pPr>
      <w:r>
        <w:rPr>
          <w:rFonts w:hint="eastAsia" w:ascii="宋体"/>
          <w:sz w:val="24"/>
          <w:szCs w:val="24"/>
        </w:rPr>
        <w:t>（三）磋商有效期：响应文件及有关承诺文件有效期为提交响应文件截止时间起90天。</w:t>
      </w:r>
    </w:p>
    <w:p>
      <w:pPr>
        <w:spacing w:line="360" w:lineRule="auto"/>
        <w:ind w:firstLine="480" w:firstLineChars="200"/>
        <w:rPr>
          <w:rFonts w:ascii="宋体"/>
          <w:sz w:val="24"/>
          <w:szCs w:val="24"/>
        </w:rPr>
      </w:pPr>
      <w:r>
        <w:rPr>
          <w:rFonts w:hint="eastAsia" w:ascii="宋体"/>
          <w:sz w:val="24"/>
          <w:szCs w:val="24"/>
        </w:rPr>
        <w:t>（四）磋商保证金：</w:t>
      </w:r>
    </w:p>
    <w:p>
      <w:pPr>
        <w:spacing w:line="360" w:lineRule="auto"/>
        <w:ind w:firstLine="480" w:firstLineChars="200"/>
        <w:rPr>
          <w:rFonts w:ascii="宋体"/>
          <w:sz w:val="24"/>
          <w:szCs w:val="24"/>
        </w:rPr>
      </w:pPr>
      <w:r>
        <w:rPr>
          <w:rFonts w:hint="eastAsia" w:ascii="宋体"/>
          <w:sz w:val="24"/>
          <w:szCs w:val="24"/>
        </w:rPr>
        <w:t>1.供应商提交保证金金额和方式详见本文件第一篇“五、磋商保证金”；</w:t>
      </w:r>
    </w:p>
    <w:p>
      <w:pPr>
        <w:spacing w:line="360" w:lineRule="auto"/>
        <w:ind w:firstLine="480" w:firstLineChars="200"/>
        <w:rPr>
          <w:rFonts w:ascii="宋体"/>
          <w:sz w:val="24"/>
          <w:szCs w:val="24"/>
        </w:rPr>
      </w:pPr>
      <w:r>
        <w:rPr>
          <w:rFonts w:hint="eastAsia" w:ascii="宋体"/>
          <w:sz w:val="24"/>
          <w:szCs w:val="24"/>
        </w:rPr>
        <w:t>2.发生以下情况之一者，磋商保证金不予退还：</w:t>
      </w:r>
    </w:p>
    <w:p>
      <w:pPr>
        <w:spacing w:line="360" w:lineRule="auto"/>
        <w:ind w:firstLine="480" w:firstLineChars="200"/>
        <w:rPr>
          <w:rFonts w:ascii="宋体"/>
          <w:sz w:val="24"/>
          <w:szCs w:val="24"/>
        </w:rPr>
      </w:pPr>
      <w:r>
        <w:rPr>
          <w:rFonts w:hint="eastAsia" w:ascii="宋体"/>
          <w:sz w:val="24"/>
          <w:szCs w:val="24"/>
        </w:rPr>
        <w:t>2.1 供应商在提交响应文件截止时间后撤回响应文件的；</w:t>
      </w:r>
    </w:p>
    <w:p>
      <w:pPr>
        <w:spacing w:line="360" w:lineRule="auto"/>
        <w:ind w:firstLine="480" w:firstLineChars="200"/>
        <w:rPr>
          <w:rFonts w:ascii="宋体"/>
          <w:sz w:val="24"/>
          <w:szCs w:val="24"/>
        </w:rPr>
      </w:pPr>
      <w:r>
        <w:rPr>
          <w:rFonts w:hint="eastAsia" w:ascii="宋体"/>
          <w:sz w:val="24"/>
          <w:szCs w:val="24"/>
        </w:rPr>
        <w:t>2.2 供应商在响应文件中提供虚假材料的；</w:t>
      </w:r>
    </w:p>
    <w:p>
      <w:pPr>
        <w:spacing w:line="360" w:lineRule="auto"/>
        <w:ind w:firstLine="480" w:firstLineChars="200"/>
        <w:rPr>
          <w:rFonts w:ascii="宋体"/>
          <w:sz w:val="24"/>
          <w:szCs w:val="24"/>
        </w:rPr>
      </w:pPr>
      <w:r>
        <w:rPr>
          <w:rFonts w:hint="eastAsia" w:ascii="宋体"/>
          <w:sz w:val="24"/>
          <w:szCs w:val="24"/>
        </w:rPr>
        <w:t>2.3 除因不可抗力或竞争性磋商文件认可的情形以外，成交供应商不与采购人签订合同的；</w:t>
      </w:r>
    </w:p>
    <w:p>
      <w:pPr>
        <w:spacing w:line="360" w:lineRule="auto"/>
        <w:ind w:firstLine="480" w:firstLineChars="200"/>
        <w:rPr>
          <w:rFonts w:ascii="宋体"/>
          <w:sz w:val="24"/>
          <w:szCs w:val="24"/>
        </w:rPr>
      </w:pPr>
      <w:r>
        <w:rPr>
          <w:rFonts w:hint="eastAsia" w:ascii="宋体"/>
          <w:sz w:val="24"/>
          <w:szCs w:val="24"/>
        </w:rPr>
        <w:t>2.4 供应商与采购人、其他供应商或者采购代理机构恶意串通的；</w:t>
      </w:r>
    </w:p>
    <w:p>
      <w:pPr>
        <w:spacing w:line="360" w:lineRule="auto"/>
        <w:ind w:firstLine="480" w:firstLineChars="200"/>
        <w:rPr>
          <w:rFonts w:ascii="宋体"/>
          <w:sz w:val="24"/>
          <w:szCs w:val="24"/>
        </w:rPr>
      </w:pPr>
      <w:r>
        <w:rPr>
          <w:rFonts w:hint="eastAsia" w:asci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pPr>
        <w:spacing w:line="360" w:lineRule="auto"/>
        <w:ind w:firstLine="480" w:firstLineChars="200"/>
        <w:rPr>
          <w:rFonts w:ascii="宋体"/>
          <w:sz w:val="24"/>
          <w:szCs w:val="24"/>
        </w:rPr>
      </w:pPr>
      <w:r>
        <w:rPr>
          <w:rFonts w:hint="eastAsia" w:ascii="宋体"/>
          <w:sz w:val="24"/>
          <w:szCs w:val="24"/>
        </w:rPr>
        <w:t>（四）修正错误</w:t>
      </w:r>
    </w:p>
    <w:p>
      <w:pPr>
        <w:spacing w:line="360" w:lineRule="auto"/>
        <w:ind w:firstLine="480" w:firstLineChars="200"/>
        <w:rPr>
          <w:rFonts w:ascii="宋体"/>
          <w:sz w:val="24"/>
          <w:szCs w:val="24"/>
        </w:rPr>
      </w:pPr>
      <w:r>
        <w:rPr>
          <w:rFonts w:hint="eastAsia" w:asci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sz w:val="24"/>
          <w:szCs w:val="24"/>
        </w:rPr>
      </w:pPr>
      <w:r>
        <w:rPr>
          <w:rFonts w:hint="eastAsia" w:asci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sz w:val="24"/>
          <w:szCs w:val="24"/>
        </w:rPr>
      </w:pPr>
      <w:r>
        <w:rPr>
          <w:rFonts w:hint="eastAsia" w:ascii="宋体"/>
          <w:sz w:val="24"/>
          <w:szCs w:val="24"/>
        </w:rPr>
        <w:t>（五）提交响应文件的份数和签署</w:t>
      </w:r>
    </w:p>
    <w:p>
      <w:pPr>
        <w:snapToGrid w:val="0"/>
        <w:spacing w:line="360" w:lineRule="auto"/>
        <w:ind w:firstLine="480" w:firstLineChars="200"/>
        <w:rPr>
          <w:rFonts w:ascii="宋体"/>
          <w:sz w:val="24"/>
          <w:szCs w:val="24"/>
        </w:rPr>
      </w:pPr>
      <w:r>
        <w:rPr>
          <w:rFonts w:hint="eastAsia" w:asci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sz w:val="24"/>
          <w:szCs w:val="24"/>
        </w:rPr>
      </w:pPr>
      <w:r>
        <w:rPr>
          <w:rFonts w:hint="eastAsia" w:ascii="宋体"/>
          <w:sz w:val="24"/>
          <w:szCs w:val="24"/>
        </w:rPr>
        <w:t>2.</w:t>
      </w:r>
      <w:r>
        <w:rPr>
          <w:rFonts w:hint="eastAsia" w:asci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sz w:val="24"/>
          <w:szCs w:val="24"/>
        </w:rPr>
      </w:pPr>
      <w:r>
        <w:rPr>
          <w:rFonts w:hint="eastAsia" w:ascii="宋体"/>
          <w:sz w:val="24"/>
          <w:szCs w:val="24"/>
        </w:rPr>
        <w:t>（六）响应文件的递交</w:t>
      </w:r>
    </w:p>
    <w:p>
      <w:pPr>
        <w:snapToGrid w:val="0"/>
        <w:spacing w:line="360" w:lineRule="auto"/>
        <w:ind w:firstLine="480" w:firstLineChars="200"/>
        <w:rPr>
          <w:rFonts w:ascii="宋体"/>
          <w:sz w:val="24"/>
          <w:szCs w:val="24"/>
        </w:rPr>
      </w:pPr>
      <w:r>
        <w:rPr>
          <w:rFonts w:hint="eastAsia" w:ascii="宋体"/>
          <w:sz w:val="24"/>
          <w:szCs w:val="24"/>
        </w:rPr>
        <w:t>1.响应文件的密封与标记</w:t>
      </w:r>
    </w:p>
    <w:p>
      <w:pPr>
        <w:snapToGrid w:val="0"/>
        <w:spacing w:line="360" w:lineRule="auto"/>
        <w:ind w:firstLine="480" w:firstLineChars="200"/>
        <w:rPr>
          <w:rFonts w:ascii="宋体"/>
          <w:sz w:val="24"/>
          <w:szCs w:val="24"/>
        </w:rPr>
      </w:pPr>
      <w:r>
        <w:rPr>
          <w:rFonts w:hint="eastAsia" w:ascii="宋体"/>
          <w:sz w:val="24"/>
          <w:szCs w:val="24"/>
        </w:rPr>
        <w:t>响应文件的正本、副本均采用信封分别密封。信封上注明项目名称、供应商名称、“正本”、“副本”字样。信封的封口应加盖供应商公章或法人授权代表签字。</w:t>
      </w:r>
    </w:p>
    <w:p>
      <w:pPr>
        <w:snapToGrid w:val="0"/>
        <w:spacing w:line="360" w:lineRule="auto"/>
        <w:ind w:firstLine="480" w:firstLineChars="200"/>
        <w:rPr>
          <w:rFonts w:ascii="宋体"/>
          <w:sz w:val="24"/>
          <w:szCs w:val="24"/>
        </w:rPr>
      </w:pPr>
      <w:r>
        <w:rPr>
          <w:rFonts w:hint="eastAsia" w:ascii="宋体"/>
          <w:sz w:val="24"/>
          <w:szCs w:val="24"/>
        </w:rPr>
        <w:t>响应文件的装订形式为</w:t>
      </w:r>
      <w:r>
        <w:rPr>
          <w:rFonts w:hint="eastAsia" w:ascii="宋体"/>
          <w:b/>
          <w:sz w:val="24"/>
          <w:szCs w:val="24"/>
        </w:rPr>
        <w:t>胶装</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2.响应文件递交截止时间：参阅采购邀请书。</w:t>
      </w:r>
    </w:p>
    <w:p>
      <w:pPr>
        <w:snapToGrid w:val="0"/>
        <w:spacing w:line="360" w:lineRule="auto"/>
        <w:ind w:firstLine="480" w:firstLineChars="200"/>
        <w:rPr>
          <w:rFonts w:ascii="宋体"/>
          <w:sz w:val="24"/>
          <w:szCs w:val="24"/>
        </w:rPr>
      </w:pPr>
      <w:r>
        <w:rPr>
          <w:rFonts w:hint="eastAsia" w:ascii="宋体"/>
          <w:sz w:val="24"/>
          <w:szCs w:val="24"/>
        </w:rPr>
        <w:t>3.响应文件语言：简体中文</w:t>
      </w:r>
    </w:p>
    <w:p>
      <w:pPr>
        <w:snapToGrid w:val="0"/>
        <w:spacing w:line="360" w:lineRule="auto"/>
        <w:ind w:firstLine="480" w:firstLineChars="200"/>
        <w:rPr>
          <w:rFonts w:ascii="宋体"/>
          <w:sz w:val="24"/>
          <w:szCs w:val="24"/>
        </w:rPr>
      </w:pPr>
      <w:r>
        <w:rPr>
          <w:rFonts w:hint="eastAsia" w:ascii="宋体"/>
          <w:sz w:val="24"/>
          <w:szCs w:val="24"/>
        </w:rPr>
        <w:t>（七）供应商参与人员</w:t>
      </w:r>
    </w:p>
    <w:p>
      <w:pPr>
        <w:snapToGrid w:val="0"/>
        <w:spacing w:line="360" w:lineRule="auto"/>
        <w:ind w:firstLine="480" w:firstLineChars="200"/>
        <w:rPr>
          <w:rFonts w:ascii="宋体"/>
          <w:sz w:val="24"/>
          <w:szCs w:val="24"/>
        </w:rPr>
      </w:pPr>
      <w:r>
        <w:rPr>
          <w:rFonts w:hint="eastAsia" w:ascii="宋体"/>
          <w:sz w:val="24"/>
          <w:szCs w:val="24"/>
        </w:rPr>
        <w:t>各个供应商可派1-2名代表参与磋商，至少1人应为法定代表人或具有法定代表人授权委托书的授权代表。</w:t>
      </w:r>
    </w:p>
    <w:p>
      <w:pPr>
        <w:pStyle w:val="6"/>
        <w:spacing w:before="0" w:after="0" w:line="360" w:lineRule="auto"/>
        <w:ind w:firstLine="482" w:firstLineChars="200"/>
        <w:rPr>
          <w:rFonts w:ascii="宋体"/>
          <w:sz w:val="24"/>
          <w:szCs w:val="24"/>
        </w:rPr>
      </w:pPr>
      <w:bookmarkStart w:id="96" w:name="_Toc131429880"/>
      <w:r>
        <w:rPr>
          <w:rFonts w:hint="eastAsia" w:ascii="宋体"/>
          <w:sz w:val="24"/>
          <w:szCs w:val="24"/>
        </w:rPr>
        <w:t>四、成交供应商的确认和变更</w:t>
      </w:r>
      <w:bookmarkEnd w:id="96"/>
    </w:p>
    <w:p>
      <w:pPr>
        <w:snapToGrid w:val="0"/>
        <w:spacing w:line="360" w:lineRule="auto"/>
        <w:ind w:firstLine="480" w:firstLineChars="200"/>
        <w:rPr>
          <w:rFonts w:ascii="宋体"/>
          <w:sz w:val="24"/>
          <w:szCs w:val="24"/>
        </w:rPr>
      </w:pPr>
      <w:r>
        <w:rPr>
          <w:rFonts w:hint="eastAsia" w:ascii="宋体"/>
          <w:sz w:val="24"/>
          <w:szCs w:val="24"/>
        </w:rPr>
        <w:t>（一）成交供应商的确认</w:t>
      </w:r>
    </w:p>
    <w:p>
      <w:pPr>
        <w:snapToGrid w:val="0"/>
        <w:spacing w:line="360" w:lineRule="auto"/>
        <w:ind w:firstLine="480" w:firstLineChars="200"/>
        <w:rPr>
          <w:rFonts w:ascii="宋体"/>
          <w:sz w:val="24"/>
          <w:szCs w:val="24"/>
        </w:rPr>
      </w:pPr>
      <w:r>
        <w:rPr>
          <w:rFonts w:ascii="宋体"/>
          <w:sz w:val="24"/>
          <w:szCs w:val="24"/>
        </w:rPr>
        <w:t>采购代理机构应当在评审结束后2个工作日内将评审报告送采购人确认。采购人应当在收到评审报告后5个工作日内</w:t>
      </w:r>
      <w:r>
        <w:rPr>
          <w:rFonts w:hint="eastAsia" w:asci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sz w:val="24"/>
          <w:szCs w:val="24"/>
        </w:rPr>
      </w:pPr>
      <w:r>
        <w:rPr>
          <w:rFonts w:hint="eastAsia" w:ascii="宋体"/>
          <w:sz w:val="24"/>
          <w:szCs w:val="24"/>
        </w:rPr>
        <w:t>（二）成交供应商的变更</w:t>
      </w:r>
    </w:p>
    <w:p>
      <w:pPr>
        <w:snapToGrid w:val="0"/>
        <w:spacing w:line="360" w:lineRule="auto"/>
        <w:ind w:firstLine="480" w:firstLineChars="200"/>
        <w:rPr>
          <w:rFonts w:ascii="宋体"/>
          <w:sz w:val="24"/>
          <w:szCs w:val="24"/>
        </w:rPr>
      </w:pPr>
      <w:r>
        <w:rPr>
          <w:rFonts w:hint="eastAsia" w:asci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sz w:val="24"/>
          <w:szCs w:val="24"/>
        </w:rPr>
      </w:pPr>
      <w:r>
        <w:rPr>
          <w:rFonts w:hint="eastAsia" w:ascii="宋体"/>
          <w:sz w:val="24"/>
          <w:szCs w:val="24"/>
        </w:rPr>
        <w:t>2.成交供应商无充分理由放弃成交的，采购人将会同采购代理机构把相关情况报主管部门，主管部门将根据相关法律法规的规定对违规供应商进行处罚。</w:t>
      </w:r>
    </w:p>
    <w:p>
      <w:pPr>
        <w:pStyle w:val="6"/>
        <w:spacing w:before="0" w:after="0" w:line="360" w:lineRule="auto"/>
        <w:ind w:firstLine="482" w:firstLineChars="200"/>
        <w:rPr>
          <w:rFonts w:ascii="宋体"/>
          <w:sz w:val="24"/>
          <w:szCs w:val="24"/>
        </w:rPr>
      </w:pPr>
      <w:bookmarkStart w:id="97" w:name="_Toc342913395"/>
      <w:bookmarkStart w:id="98" w:name="_Toc131429881"/>
      <w:bookmarkStart w:id="99" w:name="_Toc102227321"/>
      <w:r>
        <w:rPr>
          <w:rFonts w:hint="eastAsia" w:ascii="宋体"/>
          <w:sz w:val="24"/>
          <w:szCs w:val="24"/>
        </w:rPr>
        <w:t>五、成交通知</w:t>
      </w:r>
      <w:bookmarkEnd w:id="97"/>
      <w:bookmarkEnd w:id="98"/>
      <w:bookmarkEnd w:id="99"/>
    </w:p>
    <w:p>
      <w:pPr>
        <w:spacing w:line="360" w:lineRule="auto"/>
        <w:ind w:firstLine="480" w:firstLineChars="200"/>
        <w:rPr>
          <w:rFonts w:ascii="宋体"/>
          <w:sz w:val="24"/>
          <w:szCs w:val="24"/>
        </w:rPr>
      </w:pPr>
      <w:r>
        <w:rPr>
          <w:rFonts w:hint="eastAsia" w:ascii="宋体"/>
          <w:sz w:val="24"/>
          <w:szCs w:val="24"/>
        </w:rPr>
        <w:t>（一）成交供应商确定后，采购代理机构将在重庆市无线电监测站网上发布成交结果公告。</w:t>
      </w:r>
    </w:p>
    <w:p>
      <w:pPr>
        <w:spacing w:line="360" w:lineRule="auto"/>
        <w:ind w:firstLine="480" w:firstLineChars="200"/>
        <w:rPr>
          <w:rFonts w:ascii="宋体"/>
          <w:sz w:val="24"/>
          <w:szCs w:val="24"/>
        </w:rPr>
      </w:pPr>
      <w:r>
        <w:rPr>
          <w:rFonts w:hint="eastAsia" w:asci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sz w:val="24"/>
          <w:szCs w:val="24"/>
        </w:rPr>
      </w:pPr>
      <w:r>
        <w:rPr>
          <w:rFonts w:hint="eastAsia" w:ascii="宋体"/>
          <w:sz w:val="24"/>
          <w:szCs w:val="24"/>
        </w:rPr>
        <w:t>（三）《成交通知书》将作为签订合同的依据。</w:t>
      </w:r>
    </w:p>
    <w:p>
      <w:pPr>
        <w:spacing w:line="360" w:lineRule="auto"/>
        <w:ind w:firstLine="480" w:firstLineChars="200"/>
        <w:rPr>
          <w:rFonts w:ascii="宋体"/>
        </w:rPr>
      </w:pPr>
      <w:r>
        <w:rPr>
          <w:rFonts w:hint="eastAsia" w:ascii="宋体"/>
          <w:sz w:val="24"/>
          <w:szCs w:val="24"/>
        </w:rPr>
        <w:t>（四）如有供应商对成交结果提出质疑的，在质疑处理完毕后发出成交通知书。</w:t>
      </w:r>
    </w:p>
    <w:p>
      <w:pPr>
        <w:pStyle w:val="6"/>
        <w:spacing w:before="0" w:after="0" w:line="360" w:lineRule="auto"/>
        <w:ind w:firstLine="482" w:firstLineChars="200"/>
        <w:rPr>
          <w:rFonts w:ascii="宋体"/>
          <w:sz w:val="24"/>
          <w:szCs w:val="24"/>
        </w:rPr>
      </w:pPr>
      <w:bookmarkStart w:id="100" w:name="_Toc131429882"/>
      <w:r>
        <w:rPr>
          <w:rFonts w:hint="eastAsia" w:ascii="宋体"/>
          <w:sz w:val="24"/>
          <w:szCs w:val="24"/>
        </w:rPr>
        <w:t>六、关于质疑和投诉</w:t>
      </w:r>
      <w:bookmarkEnd w:id="100"/>
    </w:p>
    <w:p>
      <w:pPr>
        <w:spacing w:line="360" w:lineRule="auto"/>
        <w:ind w:firstLine="480" w:firstLineChars="200"/>
        <w:rPr>
          <w:rFonts w:ascii="宋体"/>
          <w:sz w:val="24"/>
          <w:szCs w:val="24"/>
        </w:rPr>
      </w:pPr>
      <w:r>
        <w:rPr>
          <w:rFonts w:hint="eastAsia" w:ascii="宋体"/>
          <w:sz w:val="24"/>
          <w:szCs w:val="24"/>
        </w:rPr>
        <w:t>（一）质疑</w:t>
      </w:r>
    </w:p>
    <w:p>
      <w:pPr>
        <w:spacing w:line="360" w:lineRule="auto"/>
        <w:ind w:firstLine="570"/>
        <w:rPr>
          <w:rFonts w:ascii="宋体"/>
          <w:sz w:val="24"/>
          <w:szCs w:val="24"/>
        </w:rPr>
      </w:pPr>
      <w:r>
        <w:rPr>
          <w:rFonts w:hint="eastAsia" w:ascii="宋体"/>
          <w:sz w:val="24"/>
          <w:szCs w:val="24"/>
        </w:rPr>
        <w:t>供应商认为磋商文件、采购过程和成交结果使自己的权益</w:t>
      </w:r>
      <w:r>
        <w:rPr>
          <w:rFonts w:hint="eastAsia" w:ascii="宋体"/>
          <w:sz w:val="24"/>
          <w:szCs w:val="24"/>
          <w:lang w:val="en-US" w:eastAsia="zh-CN"/>
        </w:rPr>
        <w:t>受</w:t>
      </w:r>
      <w:bookmarkStart w:id="163" w:name="_GoBack"/>
      <w:bookmarkEnd w:id="163"/>
      <w:r>
        <w:rPr>
          <w:rFonts w:hint="eastAsia" w:ascii="宋体"/>
          <w:sz w:val="24"/>
          <w:szCs w:val="24"/>
        </w:rPr>
        <w:t>到伤害的，可向采购人或采购代理机构以书面形式提出质疑。</w:t>
      </w:r>
    </w:p>
    <w:p>
      <w:pPr>
        <w:spacing w:line="360" w:lineRule="auto"/>
        <w:ind w:firstLine="570"/>
        <w:rPr>
          <w:rFonts w:ascii="宋体"/>
          <w:sz w:val="24"/>
          <w:szCs w:val="24"/>
        </w:rPr>
      </w:pPr>
      <w:r>
        <w:rPr>
          <w:rFonts w:hint="eastAsia" w:ascii="宋体"/>
          <w:sz w:val="24"/>
          <w:szCs w:val="24"/>
        </w:rPr>
        <w:t>提出质疑的应当是参与所质疑项目采购活动的供应商。</w:t>
      </w:r>
    </w:p>
    <w:p>
      <w:pPr>
        <w:spacing w:line="360" w:lineRule="auto"/>
        <w:ind w:firstLine="570"/>
        <w:rPr>
          <w:rFonts w:ascii="宋体"/>
          <w:sz w:val="24"/>
          <w:szCs w:val="24"/>
        </w:rPr>
      </w:pPr>
      <w:r>
        <w:rPr>
          <w:rFonts w:hint="eastAsia" w:ascii="宋体"/>
          <w:sz w:val="24"/>
          <w:szCs w:val="24"/>
        </w:rPr>
        <w:t>1.质疑内容、时限</w:t>
      </w:r>
    </w:p>
    <w:p>
      <w:pPr>
        <w:spacing w:line="360" w:lineRule="auto"/>
        <w:ind w:firstLine="570"/>
        <w:rPr>
          <w:rFonts w:ascii="宋体"/>
          <w:sz w:val="24"/>
          <w:szCs w:val="24"/>
        </w:rPr>
      </w:pPr>
      <w:r>
        <w:rPr>
          <w:rFonts w:hint="eastAsia" w:ascii="宋体"/>
          <w:sz w:val="24"/>
          <w:szCs w:val="24"/>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sz w:val="24"/>
          <w:szCs w:val="24"/>
        </w:rPr>
      </w:pPr>
      <w:r>
        <w:rPr>
          <w:rFonts w:hint="eastAsia" w:ascii="宋体"/>
          <w:sz w:val="24"/>
          <w:szCs w:val="24"/>
        </w:rPr>
        <w:t>1.2 供应商提出质疑应当提交质疑函和必要的证明材料，质疑函应当包括下列内容：</w:t>
      </w:r>
    </w:p>
    <w:p>
      <w:pPr>
        <w:spacing w:line="360" w:lineRule="auto"/>
        <w:ind w:firstLine="570"/>
        <w:rPr>
          <w:rFonts w:ascii="宋体"/>
          <w:sz w:val="24"/>
          <w:szCs w:val="24"/>
        </w:rPr>
      </w:pPr>
      <w:r>
        <w:rPr>
          <w:rFonts w:hint="eastAsia" w:ascii="宋体"/>
          <w:sz w:val="24"/>
          <w:szCs w:val="24"/>
        </w:rPr>
        <w:t>（1）供应商的姓名或者名称、地址、邮编、联系人及联系电话；</w:t>
      </w:r>
    </w:p>
    <w:p>
      <w:pPr>
        <w:spacing w:line="360" w:lineRule="auto"/>
        <w:ind w:firstLine="570"/>
        <w:rPr>
          <w:rFonts w:ascii="宋体"/>
          <w:sz w:val="24"/>
          <w:szCs w:val="24"/>
        </w:rPr>
      </w:pPr>
      <w:r>
        <w:rPr>
          <w:rFonts w:hint="eastAsia" w:ascii="宋体"/>
          <w:sz w:val="24"/>
          <w:szCs w:val="24"/>
        </w:rPr>
        <w:t>（2）质疑项目的名称、项目号以及招标项目编号；</w:t>
      </w:r>
    </w:p>
    <w:p>
      <w:pPr>
        <w:spacing w:line="360" w:lineRule="auto"/>
        <w:ind w:firstLine="570"/>
        <w:rPr>
          <w:rFonts w:ascii="宋体"/>
          <w:sz w:val="24"/>
          <w:szCs w:val="24"/>
        </w:rPr>
      </w:pPr>
      <w:r>
        <w:rPr>
          <w:rFonts w:hint="eastAsia" w:ascii="宋体"/>
          <w:sz w:val="24"/>
          <w:szCs w:val="24"/>
        </w:rPr>
        <w:t>（3）具体、明确的质疑事项和与质疑事项相关的请求；</w:t>
      </w:r>
    </w:p>
    <w:p>
      <w:pPr>
        <w:spacing w:line="360" w:lineRule="auto"/>
        <w:ind w:firstLine="570"/>
        <w:rPr>
          <w:rFonts w:ascii="宋体"/>
          <w:sz w:val="24"/>
          <w:szCs w:val="24"/>
        </w:rPr>
      </w:pPr>
      <w:r>
        <w:rPr>
          <w:rFonts w:hint="eastAsia" w:ascii="宋体"/>
          <w:sz w:val="24"/>
          <w:szCs w:val="24"/>
        </w:rPr>
        <w:t>（4）事实依据；</w:t>
      </w:r>
    </w:p>
    <w:p>
      <w:pPr>
        <w:spacing w:line="360" w:lineRule="auto"/>
        <w:ind w:firstLine="570"/>
        <w:rPr>
          <w:rFonts w:ascii="宋体"/>
          <w:sz w:val="24"/>
          <w:szCs w:val="24"/>
        </w:rPr>
      </w:pPr>
      <w:r>
        <w:rPr>
          <w:rFonts w:hint="eastAsia" w:ascii="宋体"/>
          <w:sz w:val="24"/>
          <w:szCs w:val="24"/>
        </w:rPr>
        <w:t>（5）必要的法律依据；</w:t>
      </w:r>
    </w:p>
    <w:p>
      <w:pPr>
        <w:spacing w:line="360" w:lineRule="auto"/>
        <w:ind w:firstLine="570"/>
        <w:rPr>
          <w:rFonts w:ascii="宋体"/>
          <w:sz w:val="24"/>
          <w:szCs w:val="24"/>
        </w:rPr>
      </w:pPr>
      <w:r>
        <w:rPr>
          <w:rFonts w:hint="eastAsia" w:ascii="宋体"/>
          <w:sz w:val="24"/>
          <w:szCs w:val="24"/>
        </w:rPr>
        <w:t>（6）提出质疑的日期；</w:t>
      </w:r>
    </w:p>
    <w:p>
      <w:pPr>
        <w:spacing w:line="360" w:lineRule="auto"/>
        <w:ind w:firstLine="570"/>
        <w:rPr>
          <w:rFonts w:ascii="宋体"/>
          <w:sz w:val="24"/>
          <w:szCs w:val="24"/>
        </w:rPr>
      </w:pPr>
      <w:r>
        <w:rPr>
          <w:rFonts w:hint="eastAsia" w:ascii="宋体"/>
          <w:sz w:val="24"/>
          <w:szCs w:val="24"/>
        </w:rPr>
        <w:t>（7）营业执照（或事业单位法人证书，或个体工商户营业执照或有效的自然人身份证明）复印件；</w:t>
      </w:r>
    </w:p>
    <w:p>
      <w:pPr>
        <w:spacing w:line="360" w:lineRule="auto"/>
        <w:ind w:firstLine="570"/>
        <w:rPr>
          <w:rFonts w:ascii="宋体"/>
          <w:sz w:val="24"/>
          <w:szCs w:val="24"/>
        </w:rPr>
      </w:pPr>
      <w:r>
        <w:rPr>
          <w:rFonts w:hint="eastAsia" w:asci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sz w:val="24"/>
          <w:szCs w:val="24"/>
        </w:rPr>
      </w:pPr>
      <w:r>
        <w:rPr>
          <w:rFonts w:hint="eastAsia" w:asci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sz w:val="24"/>
          <w:szCs w:val="24"/>
        </w:rPr>
      </w:pPr>
      <w:r>
        <w:rPr>
          <w:rFonts w:hint="eastAsia" w:ascii="宋体"/>
          <w:sz w:val="24"/>
          <w:szCs w:val="24"/>
        </w:rPr>
        <w:t>2.质疑答复</w:t>
      </w:r>
    </w:p>
    <w:p>
      <w:pPr>
        <w:spacing w:line="360" w:lineRule="auto"/>
        <w:ind w:firstLine="570"/>
        <w:rPr>
          <w:rFonts w:ascii="宋体"/>
          <w:sz w:val="24"/>
          <w:szCs w:val="24"/>
        </w:rPr>
      </w:pPr>
      <w:r>
        <w:rPr>
          <w:rFonts w:hint="eastAsia" w:asci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sz w:val="24"/>
          <w:szCs w:val="24"/>
        </w:rPr>
      </w:pPr>
      <w:r>
        <w:rPr>
          <w:rFonts w:hint="eastAsia" w:ascii="宋体"/>
          <w:sz w:val="24"/>
          <w:szCs w:val="24"/>
        </w:rPr>
        <w:t>3.其他</w:t>
      </w:r>
    </w:p>
    <w:p>
      <w:pPr>
        <w:spacing w:line="360" w:lineRule="auto"/>
        <w:ind w:firstLine="570"/>
        <w:rPr>
          <w:rFonts w:ascii="宋体"/>
          <w:sz w:val="24"/>
          <w:szCs w:val="24"/>
        </w:rPr>
      </w:pPr>
      <w:r>
        <w:rPr>
          <w:rFonts w:hint="eastAsia" w:asci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sz w:val="24"/>
          <w:szCs w:val="24"/>
        </w:rPr>
      </w:pPr>
      <w:r>
        <w:rPr>
          <w:rFonts w:hint="eastAsia" w:ascii="宋体"/>
          <w:sz w:val="24"/>
          <w:szCs w:val="24"/>
        </w:rPr>
        <w:t>3.2 质疑函范本可在财政部门户网站和中国政府采购网下载。</w:t>
      </w:r>
    </w:p>
    <w:p>
      <w:pPr>
        <w:spacing w:line="360" w:lineRule="auto"/>
        <w:ind w:firstLine="570"/>
        <w:rPr>
          <w:rFonts w:ascii="宋体"/>
          <w:sz w:val="24"/>
          <w:szCs w:val="24"/>
        </w:rPr>
      </w:pPr>
      <w:r>
        <w:rPr>
          <w:rFonts w:hint="eastAsia" w:ascii="宋体"/>
          <w:sz w:val="24"/>
          <w:szCs w:val="24"/>
        </w:rPr>
        <w:t>（二）投诉</w:t>
      </w:r>
    </w:p>
    <w:p>
      <w:pPr>
        <w:spacing w:line="360" w:lineRule="auto"/>
        <w:ind w:firstLine="570"/>
        <w:rPr>
          <w:rFonts w:ascii="宋体"/>
          <w:sz w:val="24"/>
          <w:szCs w:val="24"/>
        </w:rPr>
      </w:pPr>
      <w:r>
        <w:rPr>
          <w:rFonts w:ascii="宋体"/>
          <w:sz w:val="24"/>
          <w:szCs w:val="24"/>
        </w:rPr>
        <w:t>1.</w:t>
      </w:r>
      <w:r>
        <w:rPr>
          <w:rFonts w:hint="eastAsia" w:ascii="宋体"/>
          <w:sz w:val="24"/>
          <w:szCs w:val="24"/>
        </w:rPr>
        <w:t>供应商对采购人、采购代理机构的答复不满意，或者采购人、采购代理机构未在规定时间内作出答复的，可以在答复期满后</w:t>
      </w:r>
      <w:r>
        <w:rPr>
          <w:rFonts w:ascii="宋体"/>
          <w:sz w:val="24"/>
          <w:szCs w:val="24"/>
        </w:rPr>
        <w:t>15</w:t>
      </w:r>
      <w:r>
        <w:rPr>
          <w:rFonts w:hint="eastAsia" w:ascii="宋体"/>
          <w:sz w:val="24"/>
          <w:szCs w:val="24"/>
        </w:rPr>
        <w:t>个工作日内按照相关法律法规向主管部门提起投诉。</w:t>
      </w:r>
    </w:p>
    <w:p>
      <w:pPr>
        <w:spacing w:line="360" w:lineRule="auto"/>
        <w:ind w:firstLine="570"/>
        <w:rPr>
          <w:rFonts w:ascii="宋体"/>
          <w:sz w:val="24"/>
          <w:szCs w:val="24"/>
        </w:rPr>
      </w:pPr>
      <w:r>
        <w:rPr>
          <w:rFonts w:ascii="宋体"/>
          <w:sz w:val="24"/>
          <w:szCs w:val="24"/>
        </w:rPr>
        <w:t>2.</w:t>
      </w:r>
      <w:r>
        <w:rPr>
          <w:rFonts w:hint="eastAsia" w:ascii="宋体"/>
          <w:sz w:val="24"/>
          <w:szCs w:val="24"/>
        </w:rPr>
        <w:t>供应商应按照《政府采购质疑和投诉办法》（财政部令第</w:t>
      </w:r>
      <w:r>
        <w:rPr>
          <w:rFonts w:ascii="宋体"/>
          <w:sz w:val="24"/>
          <w:szCs w:val="24"/>
        </w:rPr>
        <w:t>94</w:t>
      </w:r>
      <w:r>
        <w:rPr>
          <w:rFonts w:hint="eastAsia" w:ascii="宋体"/>
          <w:sz w:val="24"/>
          <w:szCs w:val="24"/>
        </w:rPr>
        <w:t>号）及相关法律法规要求递交投诉书和必要的证明材料。投诉书范本可在财政部门户网站和中国政府采购网下载。</w:t>
      </w:r>
    </w:p>
    <w:p>
      <w:pPr>
        <w:spacing w:line="360" w:lineRule="auto"/>
        <w:ind w:firstLine="570"/>
        <w:rPr>
          <w:rFonts w:ascii="宋体"/>
          <w:sz w:val="24"/>
          <w:szCs w:val="24"/>
        </w:rPr>
      </w:pPr>
      <w:r>
        <w:rPr>
          <w:rFonts w:ascii="宋体"/>
          <w:sz w:val="24"/>
          <w:szCs w:val="24"/>
        </w:rPr>
        <w:t>3.</w:t>
      </w:r>
      <w:r>
        <w:rPr>
          <w:rFonts w:hint="eastAsia" w:asci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6"/>
        <w:spacing w:before="0" w:after="0" w:line="360" w:lineRule="auto"/>
        <w:ind w:firstLine="482" w:firstLineChars="200"/>
        <w:rPr>
          <w:rFonts w:ascii="宋体"/>
          <w:sz w:val="24"/>
          <w:szCs w:val="24"/>
        </w:rPr>
      </w:pPr>
      <w:bookmarkStart w:id="101" w:name="_Toc131429883"/>
      <w:r>
        <w:rPr>
          <w:rFonts w:hint="eastAsia" w:ascii="宋体"/>
          <w:sz w:val="24"/>
          <w:szCs w:val="24"/>
        </w:rPr>
        <w:t>七、采购代理服务费</w:t>
      </w:r>
      <w:bookmarkEnd w:id="101"/>
    </w:p>
    <w:p>
      <w:pPr>
        <w:spacing w:line="360" w:lineRule="auto"/>
        <w:ind w:firstLine="480" w:firstLineChars="200"/>
        <w:rPr>
          <w:rFonts w:ascii="宋体"/>
          <w:sz w:val="24"/>
        </w:rPr>
      </w:pPr>
      <w:r>
        <w:rPr>
          <w:rFonts w:hint="eastAsia" w:ascii="宋体"/>
          <w:sz w:val="24"/>
        </w:rPr>
        <w:t>（一）招标代理服务费标准</w:t>
      </w:r>
    </w:p>
    <w:p>
      <w:pPr>
        <w:spacing w:line="360" w:lineRule="auto"/>
        <w:ind w:firstLine="480" w:firstLineChars="200"/>
        <w:rPr>
          <w:rFonts w:ascii="宋体"/>
          <w:sz w:val="24"/>
        </w:rPr>
      </w:pPr>
      <w:r>
        <w:rPr>
          <w:rFonts w:hint="eastAsia" w:ascii="宋体"/>
          <w:sz w:val="24"/>
        </w:rPr>
        <w:t>供应商中标后向采购代理机构缴纳招标代理服务费，招标代理服务费的收取标准按照以下标准执行: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sz w:val="21"/>
                <w:szCs w:val="21"/>
              </w:rPr>
            </w:pPr>
            <w:r>
              <w:rPr>
                <w:rFonts w:asci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7" name="直线 2"/>
                      <wp:cNvGraphicFramePr/>
                      <a:graphic xmlns:a="http://schemas.openxmlformats.org/drawingml/2006/main">
                        <a:graphicData uri="http://schemas.microsoft.com/office/word/2010/wordprocessingShape">
                          <wps:wsp>
                            <wps:cNvCnPr/>
                            <wps:spPr>
                              <a:xfrm>
                                <a:off x="0" y="0"/>
                                <a:ext cx="635" cy="635"/>
                              </a:xfrm>
                              <a:prstGeom prst="line">
                                <a:avLst/>
                              </a:prstGeom>
                              <a:noFill/>
                              <a:ln w="9525" cap="flat" cmpd="sng">
                                <a:solidFill>
                                  <a:srgbClr val="000000"/>
                                </a:solidFill>
                                <a:prstDash val="solid"/>
                                <a:round/>
                              </a:ln>
                              <a:effectLst/>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PvmD&#10;1gAAAAgBAAAPAAAAAAAAAAEAIAAAACIAAABkcnMvZG93bnJldi54bWxQSwECFAAUAAAACACHTuJA&#10;yC0acbEBAABOAwAADgAAAAAAAAABACAAAAAlAQAAZHJzL2Uyb0RvYy54bWxQSwUGAAAAAAYABgBZ&#10;AQAASAUAAAAA&#10;">
                      <v:fill on="f" focussize="0,0"/>
                      <v:stroke color="#000000" joinstyle="round"/>
                      <v:imagedata o:title=""/>
                      <o:lock v:ext="edit" aspectratio="f"/>
                    </v:line>
                  </w:pict>
                </mc:Fallback>
              </mc:AlternateContent>
            </w:r>
            <w:r>
              <w:rPr>
                <w:rFonts w:hint="eastAsia" w:ascii="宋体"/>
                <w:sz w:val="21"/>
                <w:szCs w:val="21"/>
              </w:rPr>
              <w:t>招标类型</w:t>
            </w:r>
          </w:p>
          <w:p>
            <w:pPr>
              <w:spacing w:line="240" w:lineRule="atLeast"/>
              <w:rPr>
                <w:rFonts w:ascii="宋体"/>
                <w:sz w:val="21"/>
                <w:szCs w:val="21"/>
              </w:rPr>
            </w:pPr>
            <w:r>
              <w:rPr>
                <w:rFonts w:hint="eastAsia" w:ascii="宋体"/>
                <w:sz w:val="21"/>
                <w:szCs w:val="21"/>
              </w:rPr>
              <w:t>中标金额（万元）</w:t>
            </w:r>
          </w:p>
        </w:tc>
        <w:tc>
          <w:tcPr>
            <w:tcW w:w="2273" w:type="dxa"/>
            <w:vAlign w:val="center"/>
          </w:tcPr>
          <w:p>
            <w:pPr>
              <w:spacing w:line="240" w:lineRule="atLeast"/>
              <w:jc w:val="center"/>
              <w:rPr>
                <w:rFonts w:ascii="宋体"/>
                <w:sz w:val="21"/>
                <w:szCs w:val="21"/>
              </w:rPr>
            </w:pPr>
            <w:r>
              <w:rPr>
                <w:rFonts w:hint="eastAsia" w:ascii="宋体"/>
                <w:sz w:val="21"/>
                <w:szCs w:val="21"/>
              </w:rPr>
              <w:t>货物招标</w:t>
            </w:r>
          </w:p>
        </w:tc>
        <w:tc>
          <w:tcPr>
            <w:tcW w:w="2273" w:type="dxa"/>
            <w:vAlign w:val="center"/>
          </w:tcPr>
          <w:p>
            <w:pPr>
              <w:spacing w:line="240" w:lineRule="atLeast"/>
              <w:jc w:val="center"/>
              <w:rPr>
                <w:rFonts w:ascii="宋体"/>
                <w:sz w:val="21"/>
                <w:szCs w:val="21"/>
              </w:rPr>
            </w:pPr>
            <w:r>
              <w:rPr>
                <w:rFonts w:hint="eastAsia" w:ascii="宋体"/>
                <w:sz w:val="21"/>
                <w:szCs w:val="21"/>
              </w:rPr>
              <w:t>服务招标</w:t>
            </w:r>
          </w:p>
        </w:tc>
        <w:tc>
          <w:tcPr>
            <w:tcW w:w="2272" w:type="dxa"/>
            <w:vAlign w:val="center"/>
          </w:tcPr>
          <w:p>
            <w:pPr>
              <w:pStyle w:val="193"/>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100（含）以下</w:t>
            </w:r>
          </w:p>
        </w:tc>
        <w:tc>
          <w:tcPr>
            <w:tcW w:w="2273" w:type="dxa"/>
            <w:vAlign w:val="center"/>
          </w:tcPr>
          <w:p>
            <w:pPr>
              <w:spacing w:line="240" w:lineRule="atLeast"/>
              <w:jc w:val="center"/>
              <w:rPr>
                <w:rFonts w:ascii="宋体"/>
                <w:sz w:val="21"/>
                <w:szCs w:val="21"/>
              </w:rPr>
            </w:pPr>
            <w:r>
              <w:rPr>
                <w:rFonts w:hint="eastAsia" w:ascii="宋体"/>
                <w:sz w:val="21"/>
                <w:szCs w:val="21"/>
              </w:rPr>
              <w:t>1.5%</w:t>
            </w:r>
          </w:p>
        </w:tc>
        <w:tc>
          <w:tcPr>
            <w:tcW w:w="2273" w:type="dxa"/>
            <w:vAlign w:val="center"/>
          </w:tcPr>
          <w:p>
            <w:pPr>
              <w:spacing w:line="240" w:lineRule="atLeast"/>
              <w:jc w:val="center"/>
              <w:rPr>
                <w:rFonts w:ascii="宋体"/>
                <w:sz w:val="21"/>
                <w:szCs w:val="21"/>
              </w:rPr>
            </w:pPr>
            <w:r>
              <w:rPr>
                <w:rFonts w:hint="eastAsia" w:ascii="宋体"/>
                <w:sz w:val="21"/>
                <w:szCs w:val="21"/>
              </w:rPr>
              <w:t>1.5%</w:t>
            </w:r>
          </w:p>
        </w:tc>
        <w:tc>
          <w:tcPr>
            <w:tcW w:w="2272" w:type="dxa"/>
            <w:vAlign w:val="center"/>
          </w:tcPr>
          <w:p>
            <w:pPr>
              <w:spacing w:line="240" w:lineRule="atLeast"/>
              <w:jc w:val="center"/>
              <w:rPr>
                <w:rFonts w:ascii="宋体"/>
                <w:sz w:val="21"/>
                <w:szCs w:val="21"/>
              </w:rPr>
            </w:pPr>
            <w:r>
              <w:rPr>
                <w:rFonts w:hint="eastAsia" w:asci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100以上-500</w:t>
            </w:r>
          </w:p>
        </w:tc>
        <w:tc>
          <w:tcPr>
            <w:tcW w:w="2273" w:type="dxa"/>
            <w:vAlign w:val="center"/>
          </w:tcPr>
          <w:p>
            <w:pPr>
              <w:spacing w:line="240" w:lineRule="atLeast"/>
              <w:jc w:val="center"/>
              <w:rPr>
                <w:rFonts w:ascii="宋体"/>
                <w:sz w:val="21"/>
                <w:szCs w:val="21"/>
              </w:rPr>
            </w:pPr>
            <w:r>
              <w:rPr>
                <w:rFonts w:hint="eastAsia" w:ascii="宋体"/>
                <w:sz w:val="21"/>
                <w:szCs w:val="21"/>
              </w:rPr>
              <w:t>1.1%</w:t>
            </w:r>
          </w:p>
        </w:tc>
        <w:tc>
          <w:tcPr>
            <w:tcW w:w="2273" w:type="dxa"/>
            <w:vAlign w:val="center"/>
          </w:tcPr>
          <w:p>
            <w:pPr>
              <w:spacing w:line="240" w:lineRule="atLeast"/>
              <w:jc w:val="center"/>
              <w:rPr>
                <w:rFonts w:ascii="宋体"/>
                <w:sz w:val="21"/>
                <w:szCs w:val="21"/>
              </w:rPr>
            </w:pPr>
            <w:r>
              <w:rPr>
                <w:rFonts w:hint="eastAsia" w:ascii="宋体"/>
                <w:sz w:val="21"/>
                <w:szCs w:val="21"/>
              </w:rPr>
              <w:t>0.8%</w:t>
            </w:r>
          </w:p>
        </w:tc>
        <w:tc>
          <w:tcPr>
            <w:tcW w:w="2272" w:type="dxa"/>
            <w:vAlign w:val="center"/>
          </w:tcPr>
          <w:p>
            <w:pPr>
              <w:spacing w:line="240" w:lineRule="atLeast"/>
              <w:jc w:val="center"/>
              <w:rPr>
                <w:rFonts w:ascii="宋体"/>
                <w:sz w:val="21"/>
                <w:szCs w:val="21"/>
              </w:rPr>
            </w:pPr>
            <w:r>
              <w:rPr>
                <w:rFonts w:hint="eastAsia" w:asci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sz w:val="21"/>
                <w:szCs w:val="21"/>
              </w:rPr>
            </w:pPr>
            <w:r>
              <w:rPr>
                <w:rFonts w:hint="eastAsia" w:ascii="宋体"/>
                <w:sz w:val="21"/>
                <w:szCs w:val="21"/>
              </w:rPr>
              <w:t>500以上-1000</w:t>
            </w:r>
          </w:p>
        </w:tc>
        <w:tc>
          <w:tcPr>
            <w:tcW w:w="2273" w:type="dxa"/>
            <w:vAlign w:val="center"/>
          </w:tcPr>
          <w:p>
            <w:pPr>
              <w:spacing w:line="240" w:lineRule="atLeast"/>
              <w:jc w:val="center"/>
              <w:rPr>
                <w:rFonts w:ascii="宋体"/>
                <w:sz w:val="21"/>
                <w:szCs w:val="21"/>
              </w:rPr>
            </w:pPr>
            <w:r>
              <w:rPr>
                <w:rFonts w:hint="eastAsia" w:ascii="宋体"/>
                <w:sz w:val="21"/>
                <w:szCs w:val="21"/>
              </w:rPr>
              <w:t>0.8%</w:t>
            </w:r>
          </w:p>
        </w:tc>
        <w:tc>
          <w:tcPr>
            <w:tcW w:w="2273" w:type="dxa"/>
            <w:vAlign w:val="center"/>
          </w:tcPr>
          <w:p>
            <w:pPr>
              <w:spacing w:line="240" w:lineRule="atLeast"/>
              <w:jc w:val="center"/>
              <w:rPr>
                <w:rFonts w:ascii="宋体"/>
                <w:sz w:val="21"/>
                <w:szCs w:val="21"/>
              </w:rPr>
            </w:pPr>
            <w:r>
              <w:rPr>
                <w:rFonts w:hint="eastAsia" w:ascii="宋体"/>
                <w:sz w:val="21"/>
                <w:szCs w:val="21"/>
              </w:rPr>
              <w:t>0.45%</w:t>
            </w:r>
          </w:p>
        </w:tc>
        <w:tc>
          <w:tcPr>
            <w:tcW w:w="2272" w:type="dxa"/>
            <w:vAlign w:val="center"/>
          </w:tcPr>
          <w:p>
            <w:pPr>
              <w:spacing w:line="240" w:lineRule="atLeast"/>
              <w:jc w:val="center"/>
              <w:rPr>
                <w:rFonts w:ascii="宋体"/>
                <w:sz w:val="21"/>
                <w:szCs w:val="21"/>
              </w:rPr>
            </w:pPr>
            <w:r>
              <w:rPr>
                <w:rFonts w:hint="eastAsia" w:ascii="宋体"/>
                <w:sz w:val="21"/>
                <w:szCs w:val="21"/>
              </w:rPr>
              <w:t>0.55%</w:t>
            </w:r>
          </w:p>
        </w:tc>
      </w:tr>
    </w:tbl>
    <w:p>
      <w:pPr>
        <w:snapToGrid w:val="0"/>
        <w:spacing w:line="360" w:lineRule="auto"/>
        <w:ind w:firstLine="480" w:firstLineChars="200"/>
        <w:rPr>
          <w:rFonts w:ascii="宋体"/>
          <w:sz w:val="24"/>
        </w:rPr>
      </w:pPr>
      <w:r>
        <w:rPr>
          <w:rFonts w:hint="eastAsia" w:ascii="宋体"/>
          <w:sz w:val="24"/>
        </w:rPr>
        <w:t>注：采购代理服务收费按差额定率累进法计算。采购代理服务费按上表计算出不足3500元的，按3500元记取。</w:t>
      </w:r>
    </w:p>
    <w:p>
      <w:pPr>
        <w:snapToGrid w:val="0"/>
        <w:spacing w:line="360" w:lineRule="auto"/>
        <w:ind w:firstLine="480" w:firstLineChars="200"/>
        <w:rPr>
          <w:rFonts w:ascii="宋体"/>
          <w:sz w:val="24"/>
          <w:szCs w:val="24"/>
        </w:rPr>
      </w:pPr>
      <w:r>
        <w:rPr>
          <w:rFonts w:hint="eastAsia" w:ascii="宋体"/>
          <w:sz w:val="24"/>
          <w:szCs w:val="24"/>
        </w:rPr>
        <w:t>（二）采购代理服务费缴纳账户信息：</w:t>
      </w:r>
    </w:p>
    <w:p>
      <w:pPr>
        <w:snapToGrid w:val="0"/>
        <w:spacing w:line="360" w:lineRule="auto"/>
        <w:ind w:firstLine="482" w:firstLineChars="200"/>
        <w:rPr>
          <w:rFonts w:ascii="宋体"/>
          <w:b/>
          <w:sz w:val="24"/>
          <w:szCs w:val="24"/>
        </w:rPr>
      </w:pPr>
      <w:r>
        <w:rPr>
          <w:rFonts w:hint="eastAsia" w:ascii="宋体"/>
          <w:b/>
          <w:sz w:val="24"/>
          <w:szCs w:val="24"/>
        </w:rPr>
        <w:t>户  名：重庆市中基致信招标代理有限公司</w:t>
      </w:r>
    </w:p>
    <w:p>
      <w:pPr>
        <w:snapToGrid w:val="0"/>
        <w:spacing w:line="360" w:lineRule="auto"/>
        <w:ind w:firstLine="482" w:firstLineChars="200"/>
        <w:rPr>
          <w:rFonts w:ascii="宋体"/>
          <w:b/>
          <w:sz w:val="24"/>
          <w:szCs w:val="24"/>
        </w:rPr>
      </w:pPr>
      <w:r>
        <w:rPr>
          <w:rFonts w:hint="eastAsia" w:ascii="宋体"/>
          <w:b/>
          <w:sz w:val="24"/>
          <w:szCs w:val="24"/>
        </w:rPr>
        <w:t>开户行：中国银行重庆江北支行</w:t>
      </w:r>
    </w:p>
    <w:p>
      <w:pPr>
        <w:snapToGrid w:val="0"/>
        <w:spacing w:line="360" w:lineRule="auto"/>
        <w:ind w:firstLine="482" w:firstLineChars="200"/>
        <w:rPr>
          <w:rFonts w:ascii="宋体"/>
          <w:b/>
          <w:sz w:val="24"/>
          <w:szCs w:val="24"/>
        </w:rPr>
      </w:pPr>
      <w:r>
        <w:rPr>
          <w:rFonts w:hint="eastAsia" w:ascii="宋体"/>
          <w:b/>
          <w:sz w:val="24"/>
          <w:szCs w:val="24"/>
        </w:rPr>
        <w:t>账  号：1144 6718 4234</w:t>
      </w:r>
    </w:p>
    <w:p>
      <w:pPr>
        <w:pStyle w:val="6"/>
        <w:spacing w:before="0" w:after="0" w:line="360" w:lineRule="auto"/>
        <w:ind w:firstLine="482" w:firstLineChars="200"/>
        <w:rPr>
          <w:rFonts w:ascii="宋体"/>
          <w:sz w:val="24"/>
          <w:szCs w:val="24"/>
        </w:rPr>
      </w:pPr>
      <w:bookmarkStart w:id="102" w:name="_Toc102227322"/>
      <w:bookmarkStart w:id="103" w:name="_Toc342913396"/>
      <w:bookmarkStart w:id="104" w:name="_Toc131429884"/>
      <w:bookmarkStart w:id="105" w:name="_Toc12789059"/>
      <w:bookmarkStart w:id="106" w:name="_Toc11641055"/>
      <w:r>
        <w:rPr>
          <w:rFonts w:hint="eastAsia" w:ascii="宋体"/>
          <w:sz w:val="24"/>
          <w:szCs w:val="24"/>
        </w:rPr>
        <w:t>八、签订</w:t>
      </w:r>
      <w:bookmarkEnd w:id="102"/>
      <w:r>
        <w:rPr>
          <w:rFonts w:hint="eastAsia" w:ascii="宋体"/>
          <w:sz w:val="24"/>
          <w:szCs w:val="24"/>
        </w:rPr>
        <w:t>合同</w:t>
      </w:r>
      <w:bookmarkEnd w:id="103"/>
      <w:bookmarkEnd w:id="104"/>
    </w:p>
    <w:p>
      <w:pPr>
        <w:spacing w:line="360" w:lineRule="auto"/>
        <w:ind w:firstLine="480" w:firstLineChars="200"/>
        <w:rPr>
          <w:rFonts w:ascii="宋体"/>
          <w:sz w:val="24"/>
          <w:szCs w:val="24"/>
        </w:rPr>
      </w:pPr>
      <w:r>
        <w:rPr>
          <w:rFonts w:hint="eastAsia" w:ascii="宋体"/>
          <w:sz w:val="24"/>
          <w:szCs w:val="24"/>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ascii="宋体"/>
          <w:sz w:val="24"/>
          <w:szCs w:val="24"/>
        </w:rPr>
      </w:pPr>
      <w:r>
        <w:rPr>
          <w:rFonts w:hint="eastAsia" w:ascii="宋体"/>
          <w:sz w:val="24"/>
          <w:szCs w:val="24"/>
        </w:rPr>
        <w:t>（二）竞争性磋商文件、成交供应商的响应文件及有效承诺文件等，均为签订合同的依据。</w:t>
      </w:r>
    </w:p>
    <w:p>
      <w:pPr>
        <w:spacing w:line="360" w:lineRule="auto"/>
        <w:ind w:firstLine="480" w:firstLineChars="200"/>
        <w:rPr>
          <w:rFonts w:ascii="宋体"/>
          <w:sz w:val="24"/>
          <w:szCs w:val="24"/>
        </w:rPr>
      </w:pPr>
      <w:r>
        <w:rPr>
          <w:rFonts w:hint="eastAsia" w:asci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sz w:val="24"/>
          <w:szCs w:val="24"/>
        </w:rPr>
      </w:pPr>
      <w:r>
        <w:rPr>
          <w:rFonts w:hint="eastAsia" w:asci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宋体"/>
          <w:sz w:val="24"/>
          <w:szCs w:val="24"/>
        </w:rPr>
      </w:pPr>
      <w:r>
        <w:rPr>
          <w:rFonts w:hint="eastAsia" w:asci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eastAsia="宋体"/>
          <w:sz w:val="36"/>
          <w:szCs w:val="30"/>
        </w:rPr>
      </w:pPr>
      <w:bookmarkStart w:id="107" w:name="_Toc131429885"/>
      <w:r>
        <w:rPr>
          <w:rFonts w:hint="eastAsia" w:ascii="宋体" w:eastAsia="宋体"/>
          <w:sz w:val="36"/>
          <w:szCs w:val="30"/>
        </w:rPr>
        <w:t xml:space="preserve">第六篇  </w:t>
      </w:r>
      <w:bookmarkEnd w:id="105"/>
      <w:bookmarkEnd w:id="106"/>
      <w:r>
        <w:rPr>
          <w:rFonts w:hint="eastAsia" w:ascii="宋体" w:eastAsia="宋体"/>
          <w:sz w:val="36"/>
          <w:szCs w:val="30"/>
        </w:rPr>
        <w:t>合同草案条款</w:t>
      </w:r>
      <w:bookmarkEnd w:id="107"/>
    </w:p>
    <w:p>
      <w:pPr>
        <w:pStyle w:val="6"/>
        <w:spacing w:before="0" w:after="0" w:line="360" w:lineRule="auto"/>
        <w:ind w:firstLine="482" w:firstLineChars="200"/>
        <w:rPr>
          <w:rFonts w:ascii="宋体"/>
          <w:sz w:val="24"/>
          <w:szCs w:val="24"/>
        </w:rPr>
      </w:pPr>
      <w:bookmarkStart w:id="108" w:name="_Hlt41879464"/>
      <w:bookmarkEnd w:id="108"/>
      <w:bookmarkStart w:id="109" w:name="_Toc78194465"/>
      <w:bookmarkStart w:id="110" w:name="_Toc277084870"/>
      <w:bookmarkStart w:id="111" w:name="_Toc508007737"/>
      <w:bookmarkStart w:id="112" w:name="_Toc131429886"/>
      <w:bookmarkStart w:id="113" w:name="_Toc285722712"/>
      <w:bookmarkStart w:id="114" w:name="_Toc12789072"/>
      <w:r>
        <w:rPr>
          <w:rFonts w:hint="eastAsia" w:ascii="宋体"/>
          <w:sz w:val="24"/>
          <w:szCs w:val="24"/>
        </w:rPr>
        <w:t>一、合同主要条款</w:t>
      </w:r>
      <w:bookmarkEnd w:id="109"/>
      <w:bookmarkEnd w:id="110"/>
      <w:bookmarkEnd w:id="111"/>
      <w:bookmarkEnd w:id="112"/>
      <w:bookmarkEnd w:id="113"/>
    </w:p>
    <w:p>
      <w:pPr>
        <w:snapToGrid w:val="0"/>
        <w:spacing w:line="360" w:lineRule="auto"/>
        <w:ind w:firstLine="480" w:firstLineChars="200"/>
        <w:outlineLvl w:val="0"/>
        <w:rPr>
          <w:rFonts w:ascii="宋体"/>
          <w:bCs/>
          <w:sz w:val="24"/>
        </w:rPr>
      </w:pPr>
      <w:r>
        <w:rPr>
          <w:rFonts w:hint="eastAsia" w:ascii="宋体"/>
          <w:bCs/>
          <w:sz w:val="24"/>
        </w:rPr>
        <w:t>（一）定义</w:t>
      </w:r>
    </w:p>
    <w:p>
      <w:pPr>
        <w:snapToGrid w:val="0"/>
        <w:spacing w:line="360" w:lineRule="auto"/>
        <w:ind w:firstLine="480" w:firstLineChars="200"/>
        <w:outlineLvl w:val="0"/>
        <w:rPr>
          <w:rFonts w:ascii="宋体"/>
          <w:bCs/>
          <w:sz w:val="24"/>
        </w:rPr>
      </w:pPr>
      <w:r>
        <w:rPr>
          <w:rFonts w:hint="eastAsia" w:ascii="宋体"/>
          <w:bCs/>
          <w:sz w:val="24"/>
        </w:rPr>
        <w:t>1.甲方（需方）即采购人，是指通过招标采购，接受服务的各级国家机关、事业单位和团体组织。</w:t>
      </w:r>
    </w:p>
    <w:p>
      <w:pPr>
        <w:snapToGrid w:val="0"/>
        <w:spacing w:line="360" w:lineRule="auto"/>
        <w:ind w:firstLine="480" w:firstLineChars="200"/>
        <w:outlineLvl w:val="0"/>
        <w:rPr>
          <w:rFonts w:ascii="宋体"/>
          <w:bCs/>
          <w:sz w:val="24"/>
        </w:rPr>
      </w:pPr>
      <w:r>
        <w:rPr>
          <w:rFonts w:hint="eastAsia" w:ascii="宋体"/>
          <w:bCs/>
          <w:sz w:val="24"/>
        </w:rPr>
        <w:t>2.乙方（供方）即成交供应商，是指中标后提供服务的自然人、法人及其他组织。</w:t>
      </w:r>
    </w:p>
    <w:p>
      <w:pPr>
        <w:snapToGrid w:val="0"/>
        <w:spacing w:line="360" w:lineRule="auto"/>
        <w:ind w:firstLine="480" w:firstLineChars="200"/>
        <w:outlineLvl w:val="0"/>
        <w:rPr>
          <w:rFonts w:ascii="宋体"/>
          <w:bCs/>
          <w:sz w:val="24"/>
        </w:rPr>
      </w:pPr>
      <w:r>
        <w:rPr>
          <w:rFonts w:hint="eastAsia" w:ascii="宋体"/>
          <w:bCs/>
          <w:sz w:val="24"/>
        </w:rPr>
        <w:t>3.合同是指由甲乙双方按照采购文件和响应文件的实质性内容，通过协商一致达成的书面协议。</w:t>
      </w:r>
    </w:p>
    <w:p>
      <w:pPr>
        <w:snapToGrid w:val="0"/>
        <w:spacing w:line="360" w:lineRule="auto"/>
        <w:ind w:firstLine="480" w:firstLineChars="200"/>
        <w:outlineLvl w:val="0"/>
        <w:rPr>
          <w:rFonts w:ascii="宋体"/>
          <w:bCs/>
          <w:sz w:val="24"/>
        </w:rPr>
      </w:pPr>
      <w:r>
        <w:rPr>
          <w:rFonts w:hint="eastAsia" w:ascii="宋体"/>
          <w:bCs/>
          <w:sz w:val="24"/>
        </w:rPr>
        <w:t>4.合同价格指以中标价格为依据，在供方全面履行合同义务后，需方应支付给供方的金额。</w:t>
      </w:r>
    </w:p>
    <w:p>
      <w:pPr>
        <w:snapToGrid w:val="0"/>
        <w:spacing w:line="360" w:lineRule="auto"/>
        <w:ind w:firstLine="480" w:firstLineChars="200"/>
        <w:outlineLvl w:val="0"/>
        <w:rPr>
          <w:rFonts w:ascii="宋体"/>
          <w:bCs/>
          <w:sz w:val="24"/>
        </w:rPr>
      </w:pPr>
      <w:r>
        <w:rPr>
          <w:rFonts w:hint="eastAsia" w:ascii="宋体"/>
          <w:bCs/>
          <w:sz w:val="24"/>
        </w:rPr>
        <w:t>（二）服务内容</w:t>
      </w:r>
    </w:p>
    <w:p>
      <w:pPr>
        <w:snapToGrid w:val="0"/>
        <w:spacing w:line="360" w:lineRule="auto"/>
        <w:ind w:firstLine="480" w:firstLineChars="200"/>
        <w:outlineLvl w:val="0"/>
        <w:rPr>
          <w:rFonts w:ascii="宋体"/>
          <w:bCs/>
          <w:sz w:val="24"/>
        </w:rPr>
      </w:pPr>
      <w:r>
        <w:rPr>
          <w:rFonts w:hint="eastAsia" w:ascii="宋体"/>
          <w:bCs/>
          <w:sz w:val="24"/>
        </w:rPr>
        <w:t xml:space="preserve">合同包括以下服务内容： </w:t>
      </w:r>
    </w:p>
    <w:p>
      <w:pPr>
        <w:snapToGrid w:val="0"/>
        <w:spacing w:line="360" w:lineRule="auto"/>
        <w:ind w:firstLine="480" w:firstLineChars="200"/>
        <w:outlineLvl w:val="0"/>
        <w:rPr>
          <w:rFonts w:ascii="宋体"/>
          <w:bCs/>
          <w:sz w:val="24"/>
        </w:rPr>
      </w:pPr>
      <w:r>
        <w:rPr>
          <w:rFonts w:hint="eastAsia" w:ascii="宋体"/>
          <w:bCs/>
          <w:sz w:val="24"/>
        </w:rPr>
        <w:t>（三）合同价格</w:t>
      </w:r>
    </w:p>
    <w:p>
      <w:pPr>
        <w:snapToGrid w:val="0"/>
        <w:spacing w:line="360" w:lineRule="auto"/>
        <w:ind w:firstLine="480" w:firstLineChars="200"/>
        <w:outlineLvl w:val="0"/>
        <w:rPr>
          <w:rFonts w:ascii="宋体"/>
          <w:bCs/>
          <w:sz w:val="24"/>
        </w:rPr>
      </w:pPr>
      <w:r>
        <w:rPr>
          <w:rFonts w:hint="eastAsia" w:ascii="宋体"/>
          <w:bCs/>
          <w:sz w:val="24"/>
        </w:rPr>
        <w:t>1.合同价格即合同总价。</w:t>
      </w:r>
    </w:p>
    <w:p>
      <w:pPr>
        <w:snapToGrid w:val="0"/>
        <w:spacing w:line="360" w:lineRule="auto"/>
        <w:ind w:firstLine="480" w:firstLineChars="200"/>
        <w:outlineLvl w:val="0"/>
        <w:rPr>
          <w:rFonts w:ascii="宋体"/>
          <w:bCs/>
          <w:sz w:val="24"/>
        </w:rPr>
      </w:pPr>
      <w:r>
        <w:rPr>
          <w:rFonts w:hint="eastAsia" w:ascii="宋体"/>
          <w:bCs/>
          <w:sz w:val="24"/>
        </w:rPr>
        <w:t>2.合同价格</w:t>
      </w:r>
      <w:r>
        <w:rPr>
          <w:rFonts w:hint="eastAsia" w:ascii="宋体"/>
          <w:sz w:val="24"/>
          <w:szCs w:val="24"/>
        </w:rPr>
        <w:t>包括（但不限于）</w:t>
      </w:r>
      <w:r>
        <w:rPr>
          <w:rFonts w:hint="eastAsia"/>
          <w:sz w:val="24"/>
          <w:szCs w:val="24"/>
        </w:rPr>
        <w:t>项目调研、编制可行性研究报告、修改报告、提交送审、</w:t>
      </w:r>
      <w:r>
        <w:rPr>
          <w:rFonts w:ascii="宋体" w:hAnsi="宋体" w:cs="宋体"/>
          <w:sz w:val="24"/>
          <w:szCs w:val="24"/>
        </w:rPr>
        <w:t>协助办理2024年无线电频率占用费转移支付资金申报事宜</w:t>
      </w:r>
      <w:r>
        <w:rPr>
          <w:rFonts w:hint="eastAsia"/>
          <w:sz w:val="24"/>
          <w:szCs w:val="24"/>
        </w:rPr>
        <w:t>等</w:t>
      </w:r>
      <w:r>
        <w:rPr>
          <w:rFonts w:hint="eastAsia" w:ascii="宋体"/>
          <w:sz w:val="24"/>
          <w:szCs w:val="24"/>
        </w:rPr>
        <w:t>所有费用。因乙方供应商自身原因造成漏报、少报皆由其自行承担责任，甲方不再补偿。</w:t>
      </w:r>
    </w:p>
    <w:p>
      <w:pPr>
        <w:snapToGrid w:val="0"/>
        <w:spacing w:line="360" w:lineRule="auto"/>
        <w:ind w:firstLine="480" w:firstLineChars="200"/>
        <w:outlineLvl w:val="0"/>
        <w:rPr>
          <w:rFonts w:ascii="宋体"/>
          <w:bCs/>
          <w:sz w:val="24"/>
        </w:rPr>
      </w:pPr>
      <w:r>
        <w:rPr>
          <w:rFonts w:hint="eastAsia" w:ascii="宋体"/>
          <w:bCs/>
          <w:sz w:val="24"/>
        </w:rPr>
        <w:t>3.合同价为不变价。</w:t>
      </w:r>
    </w:p>
    <w:p>
      <w:pPr>
        <w:snapToGrid w:val="0"/>
        <w:spacing w:line="360" w:lineRule="auto"/>
        <w:ind w:firstLine="480" w:firstLineChars="200"/>
        <w:outlineLvl w:val="0"/>
        <w:rPr>
          <w:rFonts w:ascii="宋体"/>
          <w:bCs/>
          <w:sz w:val="24"/>
        </w:rPr>
      </w:pPr>
      <w:r>
        <w:rPr>
          <w:rFonts w:hint="eastAsia" w:ascii="宋体"/>
          <w:bCs/>
          <w:sz w:val="24"/>
        </w:rPr>
        <w:t>（四）转包和分包</w:t>
      </w:r>
    </w:p>
    <w:p>
      <w:pPr>
        <w:snapToGrid w:val="0"/>
        <w:spacing w:line="360" w:lineRule="auto"/>
        <w:ind w:firstLine="480" w:firstLineChars="200"/>
        <w:outlineLvl w:val="0"/>
        <w:rPr>
          <w:rFonts w:ascii="宋体"/>
          <w:bCs/>
          <w:sz w:val="24"/>
        </w:rPr>
      </w:pPr>
      <w:r>
        <w:rPr>
          <w:rFonts w:hint="eastAsia" w:ascii="宋体"/>
          <w:bCs/>
          <w:sz w:val="24"/>
        </w:rPr>
        <w:t>1.本合同范围的所有服务工作，应由乙方直接提供，不得转让他人提供。</w:t>
      </w:r>
    </w:p>
    <w:p>
      <w:pPr>
        <w:snapToGrid w:val="0"/>
        <w:spacing w:line="360" w:lineRule="auto"/>
        <w:ind w:firstLine="480" w:firstLineChars="200"/>
        <w:outlineLvl w:val="0"/>
        <w:rPr>
          <w:rFonts w:ascii="宋体"/>
          <w:bCs/>
          <w:sz w:val="24"/>
        </w:rPr>
      </w:pPr>
      <w:r>
        <w:rPr>
          <w:rFonts w:hint="eastAsia" w:ascii="宋体"/>
          <w:bCs/>
          <w:sz w:val="24"/>
        </w:rPr>
        <w:t>2.非经甲方书面同意，乙方不得将本合同范围的服务工作全部或部分转包给他人提供。</w:t>
      </w:r>
    </w:p>
    <w:p>
      <w:pPr>
        <w:snapToGrid w:val="0"/>
        <w:spacing w:line="360" w:lineRule="auto"/>
        <w:ind w:firstLine="480" w:firstLineChars="200"/>
        <w:outlineLvl w:val="0"/>
        <w:rPr>
          <w:rFonts w:ascii="宋体"/>
          <w:bCs/>
          <w:sz w:val="24"/>
        </w:rPr>
      </w:pPr>
      <w:r>
        <w:rPr>
          <w:rFonts w:hint="eastAsia" w:ascii="宋体"/>
          <w:bCs/>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sz w:val="24"/>
        </w:rPr>
      </w:pPr>
      <w:r>
        <w:rPr>
          <w:rFonts w:hint="eastAsia" w:ascii="宋体"/>
          <w:bCs/>
          <w:sz w:val="24"/>
        </w:rPr>
        <w:t>（五）质量保证及售后服务</w:t>
      </w:r>
    </w:p>
    <w:p>
      <w:pPr>
        <w:adjustRightInd w:val="0"/>
        <w:snapToGrid w:val="0"/>
        <w:spacing w:line="360" w:lineRule="auto"/>
        <w:ind w:firstLine="480" w:firstLineChars="200"/>
        <w:rPr>
          <w:rFonts w:ascii="宋体"/>
          <w:sz w:val="24"/>
        </w:rPr>
      </w:pPr>
      <w:r>
        <w:rPr>
          <w:rFonts w:hint="eastAsia" w:ascii="宋体"/>
          <w:sz w:val="24"/>
        </w:rPr>
        <w:t>1.乙方应按采购文件规定要求向甲方提供服务。</w:t>
      </w:r>
    </w:p>
    <w:p>
      <w:pPr>
        <w:adjustRightInd w:val="0"/>
        <w:snapToGrid w:val="0"/>
        <w:spacing w:line="360" w:lineRule="auto"/>
        <w:ind w:firstLine="480" w:firstLineChars="200"/>
        <w:rPr>
          <w:rFonts w:ascii="宋体"/>
          <w:sz w:val="24"/>
        </w:rPr>
      </w:pPr>
      <w:r>
        <w:rPr>
          <w:rFonts w:hint="eastAsia" w:ascii="宋体"/>
          <w:sz w:val="24"/>
        </w:rPr>
        <w:t>2.在服务期内，乙方应对服务质量负责。</w:t>
      </w:r>
    </w:p>
    <w:p>
      <w:pPr>
        <w:adjustRightInd w:val="0"/>
        <w:snapToGrid w:val="0"/>
        <w:spacing w:line="360" w:lineRule="auto"/>
        <w:ind w:firstLine="480" w:firstLineChars="200"/>
        <w:rPr>
          <w:rFonts w:ascii="宋体"/>
          <w:sz w:val="24"/>
        </w:rPr>
      </w:pPr>
      <w:r>
        <w:rPr>
          <w:rFonts w:hint="eastAsia" w:ascii="宋体"/>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sz w:val="24"/>
        </w:rPr>
      </w:pPr>
      <w:r>
        <w:rPr>
          <w:rFonts w:hint="eastAsia" w:ascii="宋体"/>
          <w:sz w:val="24"/>
        </w:rPr>
        <w:t>（六）付款</w:t>
      </w:r>
    </w:p>
    <w:p>
      <w:pPr>
        <w:adjustRightInd w:val="0"/>
        <w:snapToGrid w:val="0"/>
        <w:spacing w:line="360" w:lineRule="auto"/>
        <w:ind w:firstLine="480" w:firstLineChars="200"/>
        <w:rPr>
          <w:rFonts w:ascii="宋体"/>
          <w:sz w:val="24"/>
        </w:rPr>
      </w:pPr>
      <w:r>
        <w:rPr>
          <w:rFonts w:hint="eastAsia" w:ascii="宋体"/>
          <w:sz w:val="24"/>
        </w:rPr>
        <w:t>1.本合同使用货币币制如未作特别说明均为人民币。</w:t>
      </w:r>
    </w:p>
    <w:p>
      <w:pPr>
        <w:adjustRightInd w:val="0"/>
        <w:snapToGrid w:val="0"/>
        <w:spacing w:line="360" w:lineRule="auto"/>
        <w:ind w:firstLine="480" w:firstLineChars="200"/>
        <w:rPr>
          <w:rFonts w:ascii="宋体"/>
          <w:sz w:val="24"/>
        </w:rPr>
      </w:pPr>
      <w:r>
        <w:rPr>
          <w:rFonts w:hint="eastAsia" w:ascii="宋体"/>
          <w:sz w:val="24"/>
        </w:rPr>
        <w:t>2.付款方式：银行转账、现金支票。</w:t>
      </w:r>
    </w:p>
    <w:p>
      <w:pPr>
        <w:adjustRightInd w:val="0"/>
        <w:snapToGrid w:val="0"/>
        <w:spacing w:line="360" w:lineRule="auto"/>
        <w:ind w:firstLine="480" w:firstLineChars="200"/>
        <w:rPr>
          <w:rFonts w:ascii="宋体"/>
          <w:sz w:val="24"/>
        </w:rPr>
      </w:pPr>
      <w:r>
        <w:rPr>
          <w:rFonts w:hint="eastAsia" w:ascii="宋体"/>
          <w:sz w:val="24"/>
        </w:rPr>
        <w:t>3.付款方法：参照本项目采购文件第三篇“项目商务要求”中关于付款方式的约定。</w:t>
      </w:r>
    </w:p>
    <w:p>
      <w:pPr>
        <w:adjustRightInd w:val="0"/>
        <w:snapToGrid w:val="0"/>
        <w:spacing w:line="360" w:lineRule="auto"/>
        <w:ind w:firstLine="480" w:firstLineChars="200"/>
        <w:rPr>
          <w:rFonts w:ascii="宋体"/>
          <w:sz w:val="24"/>
        </w:rPr>
      </w:pPr>
      <w:r>
        <w:rPr>
          <w:rFonts w:hint="eastAsia" w:ascii="宋体"/>
          <w:sz w:val="24"/>
        </w:rPr>
        <w:t>（七）检查验收</w:t>
      </w:r>
    </w:p>
    <w:p>
      <w:pPr>
        <w:adjustRightInd w:val="0"/>
        <w:snapToGrid w:val="0"/>
        <w:spacing w:line="360" w:lineRule="auto"/>
        <w:ind w:firstLine="480" w:firstLineChars="200"/>
        <w:rPr>
          <w:rFonts w:ascii="宋体"/>
          <w:sz w:val="24"/>
        </w:rPr>
      </w:pPr>
      <w:r>
        <w:rPr>
          <w:rFonts w:hint="eastAsia" w:ascii="宋体"/>
          <w:sz w:val="24"/>
        </w:rPr>
        <w:t>（八）索赔</w:t>
      </w:r>
    </w:p>
    <w:p>
      <w:pPr>
        <w:adjustRightInd w:val="0"/>
        <w:snapToGrid w:val="0"/>
        <w:spacing w:line="360" w:lineRule="auto"/>
        <w:ind w:firstLine="480" w:firstLineChars="200"/>
        <w:rPr>
          <w:rFonts w:ascii="宋体"/>
          <w:sz w:val="24"/>
        </w:rPr>
      </w:pPr>
      <w:r>
        <w:rPr>
          <w:rFonts w:hint="eastAsia" w:asci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sz w:val="24"/>
        </w:rPr>
      </w:pPr>
      <w:r>
        <w:rPr>
          <w:rFonts w:hint="eastAsia" w:ascii="宋体"/>
          <w:sz w:val="24"/>
        </w:rPr>
        <w:t>（九）知识产权</w:t>
      </w:r>
    </w:p>
    <w:p>
      <w:pPr>
        <w:adjustRightInd w:val="0"/>
        <w:snapToGrid w:val="0"/>
        <w:spacing w:line="360" w:lineRule="auto"/>
        <w:ind w:firstLine="480" w:firstLineChars="200"/>
        <w:rPr>
          <w:rFonts w:ascii="宋体"/>
          <w:sz w:val="24"/>
        </w:rPr>
      </w:pPr>
      <w:r>
        <w:rPr>
          <w:rFonts w:hint="eastAsia" w:asci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bCs/>
          <w:sz w:val="24"/>
        </w:rPr>
      </w:pPr>
      <w:r>
        <w:rPr>
          <w:rFonts w:hint="eastAsia" w:ascii="宋体"/>
          <w:bCs/>
          <w:sz w:val="24"/>
        </w:rPr>
        <w:t>（十）合同争议的解决</w:t>
      </w:r>
    </w:p>
    <w:p>
      <w:pPr>
        <w:snapToGrid w:val="0"/>
        <w:spacing w:line="360" w:lineRule="auto"/>
        <w:ind w:firstLine="480" w:firstLineChars="200"/>
        <w:outlineLvl w:val="0"/>
        <w:rPr>
          <w:rFonts w:ascii="宋体"/>
          <w:bCs/>
          <w:sz w:val="24"/>
        </w:rPr>
      </w:pPr>
      <w:r>
        <w:rPr>
          <w:rFonts w:hint="eastAsia" w:ascii="宋体"/>
          <w:bCs/>
          <w:sz w:val="24"/>
        </w:rPr>
        <w:t>1.当事人友好协商达成一致；</w:t>
      </w:r>
    </w:p>
    <w:p>
      <w:pPr>
        <w:snapToGrid w:val="0"/>
        <w:spacing w:line="360" w:lineRule="auto"/>
        <w:ind w:firstLine="480" w:firstLineChars="200"/>
        <w:outlineLvl w:val="0"/>
        <w:rPr>
          <w:rFonts w:ascii="宋体"/>
          <w:bCs/>
          <w:sz w:val="24"/>
        </w:rPr>
      </w:pPr>
      <w:r>
        <w:rPr>
          <w:rFonts w:hint="eastAsia" w:ascii="宋体"/>
          <w:bCs/>
          <w:sz w:val="24"/>
        </w:rPr>
        <w:t>2.在60天内当事人协商不能达成协议的，可提请采购人当地仲裁机构仲裁。</w:t>
      </w:r>
    </w:p>
    <w:p>
      <w:pPr>
        <w:snapToGrid w:val="0"/>
        <w:spacing w:line="360" w:lineRule="auto"/>
        <w:ind w:firstLine="480" w:firstLineChars="200"/>
        <w:outlineLvl w:val="0"/>
        <w:rPr>
          <w:rFonts w:ascii="宋体"/>
          <w:bCs/>
          <w:sz w:val="24"/>
        </w:rPr>
      </w:pPr>
      <w:r>
        <w:rPr>
          <w:rFonts w:hint="eastAsia" w:ascii="宋体"/>
          <w:bCs/>
          <w:sz w:val="24"/>
        </w:rPr>
        <w:t>（十一）违约责任</w:t>
      </w:r>
    </w:p>
    <w:p>
      <w:pPr>
        <w:snapToGrid w:val="0"/>
        <w:spacing w:line="360" w:lineRule="auto"/>
        <w:ind w:firstLine="480" w:firstLineChars="200"/>
        <w:outlineLvl w:val="0"/>
        <w:rPr>
          <w:rFonts w:ascii="宋体"/>
          <w:bCs/>
          <w:sz w:val="24"/>
        </w:rPr>
      </w:pPr>
      <w:r>
        <w:rPr>
          <w:rFonts w:hint="eastAsia" w:ascii="宋体"/>
          <w:bCs/>
          <w:sz w:val="24"/>
        </w:rPr>
        <w:t>按《中华人民共和国民法典》、《中华人民共和国政府采购法》有关条款，或由供需双方约定。</w:t>
      </w:r>
    </w:p>
    <w:p>
      <w:pPr>
        <w:snapToGrid w:val="0"/>
        <w:spacing w:line="360" w:lineRule="auto"/>
        <w:ind w:firstLine="480" w:firstLineChars="200"/>
        <w:outlineLvl w:val="0"/>
        <w:rPr>
          <w:rFonts w:ascii="宋体"/>
          <w:bCs/>
          <w:sz w:val="24"/>
        </w:rPr>
      </w:pPr>
      <w:r>
        <w:rPr>
          <w:rFonts w:hint="eastAsia" w:ascii="宋体"/>
          <w:bCs/>
          <w:sz w:val="24"/>
        </w:rPr>
        <w:t>（十二）合同生效及其它</w:t>
      </w:r>
    </w:p>
    <w:p>
      <w:pPr>
        <w:snapToGrid w:val="0"/>
        <w:spacing w:line="360" w:lineRule="auto"/>
        <w:ind w:firstLine="480" w:firstLineChars="200"/>
        <w:outlineLvl w:val="0"/>
        <w:rPr>
          <w:rFonts w:ascii="宋体"/>
          <w:bCs/>
          <w:sz w:val="24"/>
        </w:rPr>
      </w:pPr>
      <w:r>
        <w:rPr>
          <w:rFonts w:hint="eastAsia" w:ascii="宋体"/>
          <w:bCs/>
          <w:sz w:val="24"/>
        </w:rPr>
        <w:t>1.合同生效及其效力应符合《中华人民共和国民法典》有关规定。</w:t>
      </w:r>
    </w:p>
    <w:p>
      <w:pPr>
        <w:snapToGrid w:val="0"/>
        <w:spacing w:line="360" w:lineRule="auto"/>
        <w:ind w:firstLine="480" w:firstLineChars="200"/>
        <w:outlineLvl w:val="0"/>
        <w:rPr>
          <w:rFonts w:ascii="宋体"/>
          <w:bCs/>
          <w:sz w:val="24"/>
        </w:rPr>
      </w:pPr>
      <w:r>
        <w:rPr>
          <w:rFonts w:hint="eastAsia" w:ascii="宋体"/>
          <w:bCs/>
          <w:sz w:val="24"/>
        </w:rPr>
        <w:t>2.合同应经当事人法定代表人或委托代理人签字，加盖双方合同专用章或公章。</w:t>
      </w:r>
    </w:p>
    <w:p>
      <w:pPr>
        <w:snapToGrid w:val="0"/>
        <w:spacing w:line="360" w:lineRule="auto"/>
        <w:ind w:firstLine="480" w:firstLineChars="200"/>
        <w:outlineLvl w:val="0"/>
        <w:rPr>
          <w:rFonts w:ascii="宋体"/>
          <w:bCs/>
          <w:sz w:val="24"/>
        </w:rPr>
      </w:pPr>
      <w:r>
        <w:rPr>
          <w:rFonts w:hint="eastAsia" w:ascii="宋体"/>
          <w:bCs/>
          <w:sz w:val="24"/>
        </w:rPr>
        <w:t>3.合同所包括附件，是合同不可分割的一部分，具有同等法法律效力。</w:t>
      </w:r>
    </w:p>
    <w:p>
      <w:pPr>
        <w:snapToGrid w:val="0"/>
        <w:spacing w:line="360" w:lineRule="auto"/>
        <w:ind w:firstLine="480" w:firstLineChars="200"/>
        <w:outlineLvl w:val="0"/>
        <w:rPr>
          <w:rFonts w:ascii="宋体"/>
          <w:bCs/>
          <w:sz w:val="24"/>
        </w:rPr>
      </w:pPr>
      <w:r>
        <w:rPr>
          <w:rFonts w:hint="eastAsia" w:ascii="宋体"/>
          <w:bCs/>
          <w:sz w:val="24"/>
        </w:rPr>
        <w:t>4.本合同条件未尽事宜依照《中华人民共和国民法典》，由供需双方共同协商确定。</w:t>
      </w:r>
    </w:p>
    <w:p>
      <w:pPr>
        <w:snapToGrid w:val="0"/>
        <w:spacing w:line="360" w:lineRule="auto"/>
        <w:jc w:val="center"/>
        <w:outlineLvl w:val="0"/>
        <w:rPr>
          <w:rFonts w:ascii="宋体"/>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2" w:firstLineChars="200"/>
        <w:rPr>
          <w:rFonts w:ascii="宋体"/>
          <w:sz w:val="24"/>
          <w:szCs w:val="24"/>
        </w:rPr>
      </w:pPr>
      <w:bookmarkStart w:id="115" w:name="_Toc277084871"/>
      <w:bookmarkStart w:id="116" w:name="_Toc285722713"/>
      <w:bookmarkStart w:id="117" w:name="_Toc508178250"/>
      <w:bookmarkStart w:id="118" w:name="_Toc131429887"/>
      <w:r>
        <w:rPr>
          <w:rFonts w:hint="eastAsia" w:ascii="宋体"/>
          <w:sz w:val="24"/>
          <w:szCs w:val="24"/>
        </w:rPr>
        <w:t>二、政府采购合同（格式）</w:t>
      </w:r>
      <w:bookmarkEnd w:id="115"/>
      <w:bookmarkEnd w:id="116"/>
      <w:bookmarkEnd w:id="117"/>
      <w:bookmarkEnd w:id="118"/>
    </w:p>
    <w:p>
      <w:pPr>
        <w:spacing w:line="500" w:lineRule="exact"/>
        <w:jc w:val="center"/>
        <w:rPr>
          <w:rFonts w:ascii="宋体"/>
          <w:b/>
          <w:sz w:val="44"/>
        </w:rPr>
      </w:pPr>
    </w:p>
    <w:bookmarkEnd w:id="114"/>
    <w:p>
      <w:pPr>
        <w:spacing w:line="360" w:lineRule="auto"/>
        <w:jc w:val="center"/>
        <w:rPr>
          <w:rFonts w:ascii="宋体"/>
          <w:b/>
          <w:sz w:val="44"/>
        </w:rPr>
      </w:pPr>
      <w:bookmarkStart w:id="119" w:name="_Toc23764521"/>
      <w:r>
        <w:rPr>
          <w:rFonts w:ascii="宋体"/>
          <w:b/>
          <w:sz w:val="44"/>
        </w:rPr>
        <w:t>重庆市政府采购合同</w:t>
      </w:r>
    </w:p>
    <w:p>
      <w:pPr>
        <w:spacing w:line="360" w:lineRule="auto"/>
        <w:jc w:val="center"/>
        <w:rPr>
          <w:rFonts w:ascii="宋体"/>
        </w:rPr>
      </w:pPr>
      <w:r>
        <w:rPr>
          <w:rFonts w:ascii="宋体"/>
        </w:rPr>
        <w:t>（项目编号：     ）</w:t>
      </w:r>
    </w:p>
    <w:p>
      <w:pPr>
        <w:spacing w:line="360" w:lineRule="auto"/>
        <w:rPr>
          <w:rFonts w:ascii="宋体"/>
          <w:sz w:val="24"/>
        </w:rPr>
      </w:pPr>
      <w:r>
        <w:rPr>
          <w:rFonts w:ascii="宋体"/>
          <w:sz w:val="24"/>
        </w:rPr>
        <w:t>甲方（需方）：___________________________      计价单位：____________</w:t>
      </w:r>
    </w:p>
    <w:p>
      <w:pPr>
        <w:spacing w:line="360" w:lineRule="auto"/>
        <w:rPr>
          <w:rFonts w:ascii="宋体"/>
          <w:sz w:val="24"/>
        </w:rPr>
      </w:pPr>
      <w:r>
        <w:rPr>
          <w:rFonts w:ascii="宋体"/>
          <w:sz w:val="24"/>
        </w:rPr>
        <w:t>乙方（供方）：___________________________      计量单位：_____________</w:t>
      </w:r>
    </w:p>
    <w:p>
      <w:pPr>
        <w:spacing w:line="360" w:lineRule="auto"/>
        <w:rPr>
          <w:rFonts w:ascii="宋体"/>
          <w:sz w:val="24"/>
        </w:rPr>
      </w:pPr>
    </w:p>
    <w:p>
      <w:pPr>
        <w:spacing w:line="360" w:lineRule="auto"/>
        <w:rPr>
          <w:rFonts w:ascii="宋体"/>
          <w:sz w:val="24"/>
        </w:rPr>
      </w:pPr>
      <w:r>
        <w:rPr>
          <w:rFonts w:ascii="宋体"/>
          <w:sz w:val="24"/>
        </w:rPr>
        <w:t>经双方协商一致，达成以下购销合同：</w:t>
      </w:r>
    </w:p>
    <w:tbl>
      <w:tblPr>
        <w:tblStyle w:val="6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sz w:val="21"/>
                <w:szCs w:val="21"/>
              </w:rPr>
            </w:pPr>
            <w:r>
              <w:rPr>
                <w:rFonts w:hint="eastAsia" w:ascii="宋体"/>
                <w:sz w:val="21"/>
                <w:szCs w:val="21"/>
              </w:rPr>
              <w:t>项目类别</w:t>
            </w:r>
          </w:p>
        </w:tc>
        <w:tc>
          <w:tcPr>
            <w:tcW w:w="984" w:type="dxa"/>
            <w:vAlign w:val="center"/>
          </w:tcPr>
          <w:p>
            <w:pPr>
              <w:spacing w:line="360" w:lineRule="auto"/>
              <w:jc w:val="center"/>
              <w:rPr>
                <w:rFonts w:ascii="宋体"/>
                <w:sz w:val="21"/>
                <w:szCs w:val="21"/>
              </w:rPr>
            </w:pPr>
            <w:r>
              <w:rPr>
                <w:rFonts w:ascii="宋体"/>
                <w:sz w:val="21"/>
                <w:szCs w:val="21"/>
              </w:rPr>
              <w:t>数量</w:t>
            </w:r>
          </w:p>
        </w:tc>
        <w:tc>
          <w:tcPr>
            <w:tcW w:w="1298" w:type="dxa"/>
            <w:gridSpan w:val="2"/>
            <w:vAlign w:val="center"/>
          </w:tcPr>
          <w:p>
            <w:pPr>
              <w:spacing w:line="360" w:lineRule="auto"/>
              <w:jc w:val="center"/>
              <w:rPr>
                <w:rFonts w:ascii="宋体"/>
                <w:sz w:val="21"/>
                <w:szCs w:val="21"/>
              </w:rPr>
            </w:pPr>
            <w:r>
              <w:rPr>
                <w:rFonts w:ascii="宋体"/>
                <w:sz w:val="21"/>
                <w:szCs w:val="21"/>
              </w:rPr>
              <w:t>综合单价</w:t>
            </w:r>
          </w:p>
        </w:tc>
        <w:tc>
          <w:tcPr>
            <w:tcW w:w="1134" w:type="dxa"/>
            <w:vAlign w:val="center"/>
          </w:tcPr>
          <w:p>
            <w:pPr>
              <w:spacing w:line="360" w:lineRule="auto"/>
              <w:jc w:val="center"/>
              <w:rPr>
                <w:rFonts w:ascii="宋体"/>
                <w:sz w:val="21"/>
                <w:szCs w:val="21"/>
              </w:rPr>
            </w:pPr>
            <w:r>
              <w:rPr>
                <w:rFonts w:ascii="宋体"/>
                <w:sz w:val="21"/>
                <w:szCs w:val="21"/>
              </w:rPr>
              <w:t>总价</w:t>
            </w:r>
          </w:p>
        </w:tc>
        <w:tc>
          <w:tcPr>
            <w:tcW w:w="1559" w:type="dxa"/>
            <w:vAlign w:val="center"/>
          </w:tcPr>
          <w:p>
            <w:pPr>
              <w:spacing w:line="360" w:lineRule="auto"/>
              <w:jc w:val="center"/>
              <w:rPr>
                <w:rFonts w:ascii="宋体"/>
                <w:sz w:val="21"/>
                <w:szCs w:val="21"/>
              </w:rPr>
            </w:pPr>
            <w:r>
              <w:rPr>
                <w:rFonts w:hint="eastAsia" w:ascii="宋体"/>
                <w:sz w:val="21"/>
                <w:szCs w:val="21"/>
              </w:rPr>
              <w:t>服务</w:t>
            </w:r>
            <w:r>
              <w:rPr>
                <w:rFonts w:ascii="宋体"/>
                <w:sz w:val="21"/>
                <w:szCs w:val="21"/>
              </w:rPr>
              <w:t>时间</w:t>
            </w:r>
          </w:p>
        </w:tc>
        <w:tc>
          <w:tcPr>
            <w:tcW w:w="1567" w:type="dxa"/>
            <w:vAlign w:val="center"/>
          </w:tcPr>
          <w:p>
            <w:pPr>
              <w:spacing w:line="360" w:lineRule="auto"/>
              <w:jc w:val="center"/>
              <w:rPr>
                <w:rFonts w:ascii="宋体"/>
                <w:sz w:val="21"/>
                <w:szCs w:val="21"/>
              </w:rPr>
            </w:pPr>
            <w:r>
              <w:rPr>
                <w:rFonts w:hint="eastAsia" w:ascii="宋体"/>
                <w:sz w:val="21"/>
                <w:szCs w:val="21"/>
              </w:rPr>
              <w:t>服务</w:t>
            </w:r>
            <w:r>
              <w:rPr>
                <w:rFonts w:asci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sz w:val="21"/>
                <w:szCs w:val="21"/>
              </w:rPr>
            </w:pPr>
          </w:p>
        </w:tc>
        <w:tc>
          <w:tcPr>
            <w:tcW w:w="984" w:type="dxa"/>
            <w:vAlign w:val="center"/>
          </w:tcPr>
          <w:p>
            <w:pPr>
              <w:spacing w:line="360" w:lineRule="auto"/>
              <w:jc w:val="center"/>
              <w:rPr>
                <w:rFonts w:ascii="宋体"/>
                <w:sz w:val="21"/>
                <w:szCs w:val="21"/>
              </w:rPr>
            </w:pPr>
          </w:p>
        </w:tc>
        <w:tc>
          <w:tcPr>
            <w:tcW w:w="1298" w:type="dxa"/>
            <w:gridSpan w:val="2"/>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1559" w:type="dxa"/>
            <w:vAlign w:val="center"/>
          </w:tcPr>
          <w:p>
            <w:pPr>
              <w:spacing w:line="360" w:lineRule="auto"/>
              <w:jc w:val="center"/>
              <w:rPr>
                <w:rFonts w:ascii="宋体"/>
                <w:sz w:val="21"/>
                <w:szCs w:val="21"/>
              </w:rPr>
            </w:pPr>
          </w:p>
        </w:tc>
        <w:tc>
          <w:tcPr>
            <w:tcW w:w="1567" w:type="dxa"/>
            <w:vAlign w:val="center"/>
          </w:tcPr>
          <w:p>
            <w:pPr>
              <w:spacing w:line="360" w:lineRule="auto"/>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sz w:val="21"/>
                <w:szCs w:val="21"/>
              </w:rPr>
            </w:pPr>
            <w:r>
              <w:rPr>
                <w:rFonts w:asci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sz w:val="21"/>
                <w:szCs w:val="21"/>
              </w:rPr>
            </w:pPr>
            <w:r>
              <w:rPr>
                <w:rFonts w:asci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sz w:val="21"/>
                <w:szCs w:val="21"/>
              </w:rPr>
            </w:pPr>
            <w:r>
              <w:rPr>
                <w:rFonts w:ascii="宋体"/>
                <w:sz w:val="21"/>
                <w:szCs w:val="21"/>
              </w:rPr>
              <w:t>一、质量要求和技术标准：</w:t>
            </w:r>
          </w:p>
          <w:p>
            <w:pPr>
              <w:spacing w:line="360" w:lineRule="auto"/>
              <w:rPr>
                <w:rFonts w:ascii="宋体"/>
                <w:sz w:val="21"/>
                <w:szCs w:val="21"/>
              </w:rPr>
            </w:pPr>
            <w:r>
              <w:rPr>
                <w:rFonts w:ascii="宋体"/>
                <w:sz w:val="21"/>
                <w:szCs w:val="21"/>
              </w:rPr>
              <w:t>1、服务措施：</w:t>
            </w:r>
          </w:p>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sz w:val="21"/>
                <w:szCs w:val="21"/>
              </w:rPr>
            </w:pPr>
            <w:r>
              <w:rPr>
                <w:rFonts w:hint="eastAsia" w:ascii="宋体"/>
                <w:sz w:val="21"/>
                <w:szCs w:val="21"/>
              </w:rPr>
              <w:t>二</w:t>
            </w:r>
            <w:r>
              <w:rPr>
                <w:rFonts w:ascii="宋体"/>
                <w:sz w:val="21"/>
                <w:szCs w:val="21"/>
              </w:rPr>
              <w:t>、验收标准、方法：</w:t>
            </w:r>
          </w:p>
          <w:p>
            <w:pPr>
              <w:spacing w:line="360" w:lineRule="auto"/>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sz w:val="21"/>
                <w:szCs w:val="21"/>
              </w:rPr>
            </w:pPr>
            <w:r>
              <w:rPr>
                <w:rFonts w:hint="eastAsia" w:ascii="宋体"/>
                <w:sz w:val="21"/>
                <w:szCs w:val="21"/>
              </w:rPr>
              <w:t>三</w:t>
            </w:r>
            <w:r>
              <w:rPr>
                <w:rFonts w:ascii="宋体"/>
                <w:sz w:val="21"/>
                <w:szCs w:val="21"/>
              </w:rPr>
              <w:t>、付款方式：</w:t>
            </w:r>
          </w:p>
          <w:p>
            <w:pPr>
              <w:pStyle w:val="36"/>
              <w:spacing w:line="360" w:lineRule="auto"/>
              <w:ind w:left="980"/>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sz w:val="21"/>
                <w:szCs w:val="21"/>
              </w:rPr>
            </w:pPr>
            <w:r>
              <w:rPr>
                <w:rFonts w:hint="eastAsia" w:ascii="宋体"/>
                <w:sz w:val="21"/>
                <w:szCs w:val="21"/>
              </w:rPr>
              <w:t>四</w:t>
            </w:r>
            <w:r>
              <w:rPr>
                <w:rFonts w:ascii="宋体"/>
                <w:sz w:val="21"/>
                <w:szCs w:val="21"/>
              </w:rPr>
              <w:t>、违约责任：</w:t>
            </w:r>
          </w:p>
          <w:p>
            <w:pPr>
              <w:spacing w:line="360" w:lineRule="auto"/>
              <w:rPr>
                <w:rFonts w:ascii="宋体"/>
                <w:sz w:val="21"/>
                <w:szCs w:val="21"/>
              </w:rPr>
            </w:pPr>
            <w:r>
              <w:rPr>
                <w:rFonts w:ascii="宋体"/>
                <w:sz w:val="21"/>
                <w:szCs w:val="21"/>
              </w:rPr>
              <w:t>按《</w:t>
            </w:r>
            <w:r>
              <w:rPr>
                <w:rFonts w:hint="eastAsia" w:ascii="宋体"/>
                <w:sz w:val="21"/>
                <w:szCs w:val="21"/>
              </w:rPr>
              <w:t>民法典</w:t>
            </w:r>
            <w:r>
              <w:rPr>
                <w:rFonts w:asci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sz w:val="21"/>
                <w:szCs w:val="21"/>
              </w:rPr>
            </w:pPr>
            <w:r>
              <w:rPr>
                <w:rFonts w:hint="eastAsia" w:ascii="宋体"/>
                <w:sz w:val="21"/>
                <w:szCs w:val="21"/>
              </w:rPr>
              <w:t>五</w:t>
            </w:r>
            <w:r>
              <w:rPr>
                <w:rFonts w:ascii="宋体"/>
                <w:sz w:val="21"/>
                <w:szCs w:val="21"/>
              </w:rPr>
              <w:t>、其他约定事项：</w:t>
            </w:r>
          </w:p>
          <w:p>
            <w:pPr>
              <w:spacing w:line="360" w:lineRule="auto"/>
              <w:rPr>
                <w:rFonts w:ascii="宋体"/>
                <w:sz w:val="21"/>
                <w:szCs w:val="21"/>
              </w:rPr>
            </w:pPr>
            <w:r>
              <w:rPr>
                <w:rFonts w:ascii="宋体"/>
                <w:sz w:val="21"/>
                <w:szCs w:val="21"/>
              </w:rPr>
              <w:t>1、</w:t>
            </w:r>
            <w:r>
              <w:rPr>
                <w:rFonts w:hint="eastAsia" w:ascii="宋体"/>
                <w:sz w:val="21"/>
                <w:szCs w:val="21"/>
              </w:rPr>
              <w:t>招标</w:t>
            </w:r>
            <w:r>
              <w:rPr>
                <w:rFonts w:ascii="宋体"/>
                <w:sz w:val="21"/>
                <w:szCs w:val="21"/>
              </w:rPr>
              <w:t>文件及其补遗文件、</w:t>
            </w:r>
            <w:r>
              <w:rPr>
                <w:rFonts w:hint="eastAsia" w:ascii="宋体"/>
                <w:sz w:val="21"/>
                <w:szCs w:val="21"/>
              </w:rPr>
              <w:t>投标</w:t>
            </w:r>
            <w:r>
              <w:rPr>
                <w:rFonts w:ascii="宋体"/>
                <w:sz w:val="21"/>
                <w:szCs w:val="21"/>
              </w:rPr>
              <w:t>文件和承诺是本合同不可分割的部分。</w:t>
            </w:r>
          </w:p>
          <w:p>
            <w:pPr>
              <w:spacing w:line="360" w:lineRule="auto"/>
              <w:ind w:left="360"/>
              <w:rPr>
                <w:rFonts w:ascii="宋体"/>
                <w:sz w:val="21"/>
                <w:szCs w:val="21"/>
              </w:rPr>
            </w:pPr>
            <w:r>
              <w:rPr>
                <w:rFonts w:ascii="宋体"/>
                <w:sz w:val="21"/>
                <w:szCs w:val="21"/>
              </w:rPr>
              <w:t>本合同如发生争议由双方协商解决，协商不成向需方所在人民法院提请诉讼。</w:t>
            </w:r>
          </w:p>
          <w:p>
            <w:pPr>
              <w:spacing w:line="360" w:lineRule="auto"/>
              <w:ind w:left="360"/>
              <w:rPr>
                <w:rFonts w:ascii="宋体"/>
                <w:sz w:val="21"/>
                <w:szCs w:val="21"/>
              </w:rPr>
            </w:pPr>
            <w:r>
              <w:rPr>
                <w:rFonts w:ascii="宋体"/>
                <w:sz w:val="21"/>
                <w:szCs w:val="21"/>
              </w:rPr>
              <w:t>本合同一式__份， 需方__份，供方__份，具同等法律效力。</w:t>
            </w:r>
          </w:p>
          <w:p>
            <w:pPr>
              <w:spacing w:line="360" w:lineRule="auto"/>
              <w:rPr>
                <w:rFonts w:ascii="宋体"/>
                <w:sz w:val="21"/>
                <w:szCs w:val="21"/>
              </w:rPr>
            </w:pPr>
            <w:r>
              <w:rPr>
                <w:rFonts w:hint="eastAsia" w:ascii="宋体"/>
                <w:sz w:val="21"/>
                <w:szCs w:val="21"/>
              </w:rPr>
              <w:t>2</w:t>
            </w:r>
            <w:r>
              <w:rPr>
                <w:rFonts w:asci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sz w:val="21"/>
                <w:szCs w:val="21"/>
              </w:rPr>
            </w:pPr>
            <w:r>
              <w:rPr>
                <w:rFonts w:ascii="宋体"/>
                <w:sz w:val="21"/>
                <w:szCs w:val="21"/>
              </w:rPr>
              <w:t>需方：</w:t>
            </w:r>
          </w:p>
          <w:p>
            <w:pPr>
              <w:spacing w:line="360" w:lineRule="auto"/>
              <w:rPr>
                <w:rFonts w:ascii="宋体"/>
                <w:sz w:val="21"/>
                <w:szCs w:val="21"/>
              </w:rPr>
            </w:pPr>
            <w:r>
              <w:rPr>
                <w:rFonts w:ascii="宋体"/>
                <w:sz w:val="21"/>
                <w:szCs w:val="21"/>
              </w:rPr>
              <w:t>地址：</w:t>
            </w:r>
          </w:p>
          <w:p>
            <w:pPr>
              <w:spacing w:line="360" w:lineRule="auto"/>
              <w:rPr>
                <w:rFonts w:ascii="宋体"/>
                <w:sz w:val="21"/>
                <w:szCs w:val="21"/>
              </w:rPr>
            </w:pPr>
            <w:r>
              <w:rPr>
                <w:rFonts w:ascii="宋体"/>
                <w:sz w:val="21"/>
                <w:szCs w:val="21"/>
              </w:rPr>
              <w:t>联系电话：</w:t>
            </w:r>
          </w:p>
          <w:p>
            <w:pPr>
              <w:spacing w:line="360" w:lineRule="auto"/>
              <w:rPr>
                <w:rFonts w:ascii="宋体"/>
                <w:sz w:val="21"/>
                <w:szCs w:val="21"/>
              </w:rPr>
            </w:pPr>
            <w:r>
              <w:rPr>
                <w:rFonts w:ascii="宋体"/>
                <w:sz w:val="21"/>
                <w:szCs w:val="21"/>
              </w:rPr>
              <w:t>授权代表：</w:t>
            </w:r>
          </w:p>
        </w:tc>
        <w:tc>
          <w:tcPr>
            <w:tcW w:w="5125" w:type="dxa"/>
            <w:gridSpan w:val="5"/>
          </w:tcPr>
          <w:p>
            <w:pPr>
              <w:spacing w:line="360" w:lineRule="auto"/>
              <w:rPr>
                <w:rFonts w:ascii="宋体"/>
                <w:sz w:val="21"/>
                <w:szCs w:val="21"/>
              </w:rPr>
            </w:pPr>
            <w:r>
              <w:rPr>
                <w:rFonts w:ascii="宋体"/>
                <w:sz w:val="21"/>
                <w:szCs w:val="21"/>
              </w:rPr>
              <w:t>供方：</w:t>
            </w:r>
          </w:p>
          <w:p>
            <w:pPr>
              <w:spacing w:line="360" w:lineRule="auto"/>
              <w:rPr>
                <w:rFonts w:ascii="宋体"/>
                <w:sz w:val="21"/>
                <w:szCs w:val="21"/>
              </w:rPr>
            </w:pPr>
            <w:r>
              <w:rPr>
                <w:rFonts w:ascii="宋体"/>
                <w:sz w:val="21"/>
                <w:szCs w:val="21"/>
              </w:rPr>
              <w:t>地址：</w:t>
            </w:r>
          </w:p>
          <w:p>
            <w:pPr>
              <w:spacing w:line="360" w:lineRule="auto"/>
              <w:rPr>
                <w:rFonts w:ascii="宋体"/>
                <w:sz w:val="21"/>
                <w:szCs w:val="21"/>
              </w:rPr>
            </w:pPr>
            <w:r>
              <w:rPr>
                <w:rFonts w:ascii="宋体"/>
                <w:sz w:val="21"/>
                <w:szCs w:val="21"/>
              </w:rPr>
              <w:t>电话：</w:t>
            </w:r>
          </w:p>
          <w:p>
            <w:pPr>
              <w:spacing w:line="360" w:lineRule="auto"/>
              <w:rPr>
                <w:rFonts w:ascii="宋体"/>
                <w:sz w:val="21"/>
                <w:szCs w:val="21"/>
              </w:rPr>
            </w:pPr>
            <w:r>
              <w:rPr>
                <w:rFonts w:ascii="宋体"/>
                <w:sz w:val="21"/>
                <w:szCs w:val="21"/>
              </w:rPr>
              <w:t>传真：</w:t>
            </w:r>
          </w:p>
          <w:p>
            <w:pPr>
              <w:spacing w:line="360" w:lineRule="auto"/>
              <w:rPr>
                <w:rFonts w:ascii="宋体"/>
                <w:sz w:val="21"/>
                <w:szCs w:val="21"/>
              </w:rPr>
            </w:pPr>
            <w:r>
              <w:rPr>
                <w:rFonts w:ascii="宋体"/>
                <w:sz w:val="21"/>
                <w:szCs w:val="21"/>
              </w:rPr>
              <w:t>开户银行：</w:t>
            </w:r>
          </w:p>
          <w:p>
            <w:pPr>
              <w:spacing w:line="360" w:lineRule="auto"/>
              <w:rPr>
                <w:rFonts w:ascii="宋体"/>
                <w:sz w:val="21"/>
                <w:szCs w:val="21"/>
              </w:rPr>
            </w:pPr>
            <w:r>
              <w:rPr>
                <w:rFonts w:ascii="宋体"/>
                <w:sz w:val="21"/>
                <w:szCs w:val="21"/>
              </w:rPr>
              <w:t>账号：</w:t>
            </w:r>
          </w:p>
          <w:p>
            <w:pPr>
              <w:spacing w:line="360" w:lineRule="auto"/>
              <w:rPr>
                <w:rFonts w:ascii="宋体"/>
                <w:sz w:val="21"/>
                <w:szCs w:val="21"/>
              </w:rPr>
            </w:pPr>
            <w:r>
              <w:rPr>
                <w:rFonts w:ascii="宋体"/>
                <w:sz w:val="21"/>
                <w:szCs w:val="21"/>
              </w:rPr>
              <w:t>授权代表：</w:t>
            </w:r>
          </w:p>
          <w:p>
            <w:pPr>
              <w:widowControl/>
              <w:spacing w:line="360" w:lineRule="auto"/>
              <w:jc w:val="left"/>
              <w:rPr>
                <w:rFonts w:ascii="宋体"/>
                <w:sz w:val="21"/>
                <w:szCs w:val="21"/>
              </w:rPr>
            </w:pPr>
            <w:r>
              <w:rPr>
                <w:rFonts w:asci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sz w:val="21"/>
                <w:szCs w:val="21"/>
              </w:rPr>
            </w:pPr>
            <w:r>
              <w:rPr>
                <w:rFonts w:ascii="宋体"/>
                <w:sz w:val="21"/>
                <w:szCs w:val="21"/>
              </w:rPr>
              <w:t>备注：</w:t>
            </w:r>
          </w:p>
          <w:p>
            <w:pPr>
              <w:spacing w:line="360" w:lineRule="auto"/>
              <w:rPr>
                <w:rFonts w:ascii="宋体"/>
                <w:sz w:val="21"/>
                <w:szCs w:val="21"/>
              </w:rPr>
            </w:pPr>
          </w:p>
          <w:p>
            <w:pPr>
              <w:spacing w:line="360" w:lineRule="auto"/>
              <w:rPr>
                <w:rFonts w:ascii="宋体"/>
                <w:sz w:val="21"/>
                <w:szCs w:val="21"/>
              </w:rPr>
            </w:pPr>
          </w:p>
        </w:tc>
      </w:tr>
    </w:tbl>
    <w:p>
      <w:pPr>
        <w:spacing w:line="360" w:lineRule="auto"/>
        <w:ind w:firstLine="480" w:firstLineChars="200"/>
        <w:rPr>
          <w:rFonts w:ascii="宋体"/>
          <w:sz w:val="24"/>
        </w:rPr>
      </w:pPr>
      <w:r>
        <w:rPr>
          <w:rFonts w:ascii="宋体"/>
          <w:sz w:val="24"/>
        </w:rPr>
        <w:t>签约时间：           年   月   日      签约地点：</w:t>
      </w:r>
    </w:p>
    <w:p>
      <w:pPr>
        <w:spacing w:line="500" w:lineRule="exact"/>
        <w:ind w:firstLine="480" w:firstLineChars="200"/>
        <w:rPr>
          <w:rFonts w:ascii="宋体"/>
          <w:sz w:val="24"/>
        </w:rPr>
        <w:sectPr>
          <w:headerReference r:id="rId13" w:type="default"/>
          <w:pgSz w:w="11907" w:h="16840"/>
          <w:pgMar w:top="1134" w:right="1191" w:bottom="1134" w:left="1191" w:header="851" w:footer="992" w:gutter="0"/>
          <w:pgNumType w:fmt="numberInDash"/>
          <w:cols w:space="720" w:num="1"/>
          <w:docGrid w:linePitch="381" w:charSpace="-5734"/>
        </w:sectPr>
      </w:pPr>
    </w:p>
    <w:p>
      <w:pPr>
        <w:pStyle w:val="5"/>
        <w:spacing w:line="360" w:lineRule="auto"/>
        <w:jc w:val="center"/>
        <w:rPr>
          <w:rFonts w:ascii="宋体" w:eastAsia="宋体"/>
          <w:sz w:val="36"/>
          <w:szCs w:val="30"/>
        </w:rPr>
      </w:pPr>
      <w:bookmarkStart w:id="120" w:name="_Toc131429888"/>
      <w:r>
        <w:rPr>
          <w:rFonts w:ascii="宋体" w:eastAsia="宋体"/>
          <w:sz w:val="36"/>
          <w:szCs w:val="30"/>
        </w:rPr>
        <w:t>第七篇  响应文件编制要求</w:t>
      </w:r>
      <w:bookmarkEnd w:id="119"/>
      <w:bookmarkEnd w:id="120"/>
    </w:p>
    <w:p>
      <w:pPr>
        <w:pStyle w:val="6"/>
        <w:spacing w:before="0" w:after="0" w:line="360" w:lineRule="auto"/>
        <w:ind w:firstLine="482" w:firstLineChars="200"/>
        <w:rPr>
          <w:rFonts w:ascii="宋体" w:hAnsi="宋体"/>
          <w:sz w:val="24"/>
          <w:szCs w:val="24"/>
        </w:rPr>
      </w:pPr>
      <w:bookmarkStart w:id="121" w:name="_Toc131145289"/>
      <w:bookmarkStart w:id="122" w:name="_Toc131429889"/>
      <w:bookmarkStart w:id="123" w:name="_Toc130496048"/>
      <w:r>
        <w:rPr>
          <w:rFonts w:ascii="宋体" w:hAnsi="宋体"/>
          <w:sz w:val="24"/>
          <w:szCs w:val="24"/>
        </w:rPr>
        <w:t>一、经济部分</w:t>
      </w:r>
      <w:bookmarkEnd w:id="121"/>
      <w:bookmarkEnd w:id="122"/>
      <w:bookmarkEnd w:id="123"/>
    </w:p>
    <w:p>
      <w:pPr>
        <w:snapToGrid w:val="0"/>
        <w:spacing w:line="360" w:lineRule="auto"/>
        <w:ind w:firstLine="480" w:firstLineChars="200"/>
        <w:rPr>
          <w:sz w:val="24"/>
          <w:szCs w:val="24"/>
        </w:rPr>
      </w:pPr>
      <w:r>
        <w:rPr>
          <w:sz w:val="24"/>
          <w:szCs w:val="24"/>
        </w:rPr>
        <w:t>（一）竞争性磋商报价函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2" w:firstLineChars="200"/>
        <w:rPr>
          <w:rFonts w:ascii="宋体" w:hAnsi="宋体"/>
          <w:sz w:val="24"/>
          <w:szCs w:val="24"/>
        </w:rPr>
      </w:pPr>
      <w:bookmarkStart w:id="124" w:name="_Toc131429890"/>
      <w:bookmarkStart w:id="125" w:name="_Toc130496049"/>
      <w:bookmarkStart w:id="126" w:name="_Toc78194469"/>
      <w:bookmarkStart w:id="127" w:name="_Toc131145290"/>
      <w:r>
        <w:rPr>
          <w:rFonts w:hint="eastAsia" w:ascii="宋体" w:hAnsi="宋体"/>
          <w:sz w:val="24"/>
          <w:szCs w:val="24"/>
        </w:rPr>
        <w:t>二、服务部分</w:t>
      </w:r>
      <w:bookmarkEnd w:id="124"/>
      <w:bookmarkEnd w:id="125"/>
      <w:bookmarkEnd w:id="126"/>
      <w:bookmarkEnd w:id="127"/>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（二）服务响应偏离表</w:t>
      </w:r>
    </w:p>
    <w:p>
      <w:pPr>
        <w:pStyle w:val="6"/>
        <w:spacing w:before="0" w:after="0" w:line="360" w:lineRule="auto"/>
        <w:ind w:firstLine="482" w:firstLineChars="200"/>
        <w:rPr>
          <w:rFonts w:ascii="宋体" w:hAnsi="宋体"/>
          <w:sz w:val="24"/>
          <w:szCs w:val="24"/>
        </w:rPr>
      </w:pPr>
      <w:bookmarkStart w:id="128" w:name="_Toc130496050"/>
      <w:bookmarkStart w:id="129" w:name="_Toc131429891"/>
      <w:bookmarkStart w:id="130" w:name="_Toc131145291"/>
      <w:r>
        <w:rPr>
          <w:rFonts w:ascii="宋体" w:hAnsi="宋体"/>
          <w:sz w:val="24"/>
          <w:szCs w:val="24"/>
        </w:rPr>
        <w:t>三、商务部分</w:t>
      </w:r>
      <w:bookmarkEnd w:id="128"/>
      <w:bookmarkEnd w:id="129"/>
      <w:bookmarkEnd w:id="130"/>
    </w:p>
    <w:p>
      <w:pPr>
        <w:snapToGrid w:val="0"/>
        <w:spacing w:line="360" w:lineRule="auto"/>
        <w:ind w:firstLine="480" w:firstLineChars="200"/>
        <w:rPr>
          <w:sz w:val="24"/>
          <w:szCs w:val="24"/>
        </w:rPr>
      </w:pPr>
      <w:r>
        <w:rPr>
          <w:sz w:val="24"/>
          <w:szCs w:val="24"/>
        </w:rPr>
        <w:t>（一）</w:t>
      </w:r>
      <w:r>
        <w:rPr>
          <w:rFonts w:hint="eastAsia"/>
          <w:sz w:val="24"/>
          <w:szCs w:val="24"/>
        </w:rPr>
        <w:t>商务条款差异表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2" w:firstLineChars="200"/>
        <w:rPr>
          <w:rFonts w:ascii="宋体" w:hAnsi="宋体"/>
          <w:sz w:val="24"/>
          <w:szCs w:val="24"/>
        </w:rPr>
      </w:pPr>
      <w:bookmarkStart w:id="131" w:name="_Toc131429892"/>
      <w:bookmarkStart w:id="132" w:name="_Toc130496051"/>
      <w:bookmarkStart w:id="133" w:name="_Toc131145292"/>
      <w:r>
        <w:rPr>
          <w:rFonts w:ascii="宋体" w:hAnsi="宋体"/>
          <w:sz w:val="24"/>
          <w:szCs w:val="24"/>
        </w:rPr>
        <w:t>四、资格条件及其他</w:t>
      </w:r>
      <w:bookmarkEnd w:id="131"/>
      <w:bookmarkEnd w:id="132"/>
      <w:bookmarkEnd w:id="133"/>
    </w:p>
    <w:p>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（三）法定代表人授权委托书（格式）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（五）特定资格条件证书或证明文件（如有）</w:t>
      </w: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其他应提供的资料</w:t>
      </w:r>
    </w:p>
    <w:p>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pPr>
        <w:spacing w:line="440" w:lineRule="exact"/>
        <w:ind w:firstLine="480" w:firstLineChars="200"/>
        <w:rPr>
          <w:sz w:val="24"/>
          <w:szCs w:val="24"/>
        </w:rPr>
        <w:sectPr>
          <w:headerReference r:id="rId14"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r>
        <w:rPr>
          <w:rFonts w:hint="eastAsia"/>
          <w:b/>
          <w:sz w:val="24"/>
          <w:szCs w:val="24"/>
        </w:rPr>
        <w:t xml:space="preserve">    </w:t>
      </w:r>
      <w:bookmarkStart w:id="134" w:name="_Toc313008356"/>
      <w:bookmarkStart w:id="135" w:name="_Toc23764522"/>
      <w:bookmarkStart w:id="136" w:name="_Toc313888360"/>
      <w:bookmarkStart w:id="137" w:name="_Toc342913419"/>
      <w:bookmarkStart w:id="138" w:name="_Toc12789073"/>
      <w:bookmarkStart w:id="139" w:name="_Toc283382454"/>
      <w:r>
        <w:rPr>
          <w:b/>
          <w:sz w:val="24"/>
          <w:szCs w:val="24"/>
        </w:rPr>
        <w:t>一、经济部分</w:t>
      </w:r>
      <w:bookmarkEnd w:id="134"/>
      <w:bookmarkEnd w:id="135"/>
      <w:bookmarkEnd w:id="136"/>
      <w:bookmarkEnd w:id="137"/>
    </w:p>
    <w:bookmarkEnd w:id="138"/>
    <w:bookmarkEnd w:id="139"/>
    <w:p>
      <w:pPr>
        <w:tabs>
          <w:tab w:val="left" w:pos="6300"/>
        </w:tabs>
        <w:snapToGrid w:val="0"/>
        <w:spacing w:line="520" w:lineRule="exact"/>
        <w:ind w:firstLine="480" w:firstLineChars="200"/>
        <w:rPr>
          <w:sz w:val="24"/>
          <w:szCs w:val="24"/>
        </w:rPr>
      </w:pPr>
      <w:r>
        <w:rPr>
          <w:sz w:val="24"/>
          <w:szCs w:val="24"/>
        </w:rPr>
        <w:t>（一）竞争性磋商报价函</w:t>
      </w:r>
    </w:p>
    <w:p>
      <w:pPr>
        <w:tabs>
          <w:tab w:val="left" w:pos="6300"/>
        </w:tabs>
        <w:snapToGrid w:val="0"/>
        <w:spacing w:line="520" w:lineRule="exact"/>
        <w:jc w:val="center"/>
        <w:outlineLvl w:val="0"/>
        <w:rPr>
          <w:b/>
          <w:szCs w:val="28"/>
        </w:rPr>
      </w:pPr>
      <w:r>
        <w:rPr>
          <w:b/>
          <w:szCs w:val="28"/>
        </w:rPr>
        <w:t>竞争性磋商报价函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sz w:val="24"/>
          <w:szCs w:val="24"/>
        </w:rPr>
      </w:pPr>
      <w:r>
        <w:rPr>
          <w:sz w:val="24"/>
          <w:szCs w:val="24"/>
        </w:rPr>
        <w:t>1.愿意按照竞争性磋商文件中的一切要求，提供本项目的服务，初始报价为人民币大写：</w:t>
      </w:r>
      <w:r>
        <w:rPr>
          <w:sz w:val="24"/>
          <w:szCs w:val="24"/>
          <w:u w:val="single"/>
        </w:rPr>
        <w:t xml:space="preserve">      </w:t>
      </w:r>
      <w:r>
        <w:rPr>
          <w:rFonts w:hint="eastAsia"/>
          <w:sz w:val="24"/>
          <w:szCs w:val="24"/>
        </w:rPr>
        <w:t>元</w:t>
      </w:r>
      <w:r>
        <w:rPr>
          <w:sz w:val="24"/>
          <w:szCs w:val="24"/>
        </w:rPr>
        <w:t>；人民币小写：</w:t>
      </w:r>
      <w:r>
        <w:rPr>
          <w:sz w:val="24"/>
          <w:szCs w:val="24"/>
          <w:u w:val="single"/>
        </w:rPr>
        <w:t xml:space="preserve">    </w:t>
      </w:r>
      <w:r>
        <w:rPr>
          <w:rFonts w:hint="eastAsia"/>
          <w:sz w:val="24"/>
          <w:szCs w:val="24"/>
        </w:rPr>
        <w:t>元</w:t>
      </w:r>
      <w:r>
        <w:rPr>
          <w:sz w:val="24"/>
          <w:szCs w:val="24"/>
        </w:rPr>
        <w:t>。以我公司最后报价为准。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7.我方同意按竞争性磋商文件规定，交纳竞争性磋商文件要求的磋商保证金。如果我方成为成交供应商，保证在接到成交通知书后，</w:t>
      </w:r>
      <w:r>
        <w:rPr>
          <w:rFonts w:hint="eastAsia" w:ascii="宋体" w:hAnsi="宋体"/>
          <w:sz w:val="24"/>
          <w:szCs w:val="24"/>
        </w:rPr>
        <w:t>按</w:t>
      </w:r>
      <w:r>
        <w:rPr>
          <w:rFonts w:ascii="宋体" w:hAnsi="宋体"/>
          <w:sz w:val="24"/>
          <w:szCs w:val="24"/>
        </w:rPr>
        <w:t>竞争性磋商文件规定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40" w:name="_Toc342913420"/>
      <w:bookmarkStart w:id="141" w:name="_Toc313888361"/>
      <w:bookmarkStart w:id="142" w:name="_Toc23764523"/>
      <w:bookmarkStart w:id="143" w:name="_Toc313008357"/>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6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5</w:t>
            </w:r>
          </w:p>
        </w:tc>
        <w:tc>
          <w:tcPr>
            <w:tcW w:w="3744" w:type="dxa"/>
            <w:vAlign w:val="center"/>
          </w:tcPr>
          <w:p>
            <w:pPr>
              <w:jc w:val="center"/>
              <w:rPr>
                <w:sz w:val="21"/>
                <w:szCs w:val="21"/>
              </w:rPr>
            </w:pPr>
            <w:r>
              <w:rPr>
                <w:sz w:val="21"/>
                <w:szCs w:val="21"/>
              </w:rPr>
              <w:t>人工费</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6</w:t>
            </w:r>
          </w:p>
        </w:tc>
        <w:tc>
          <w:tcPr>
            <w:tcW w:w="3744" w:type="dxa"/>
            <w:vAlign w:val="center"/>
          </w:tcPr>
          <w:p>
            <w:pPr>
              <w:jc w:val="center"/>
              <w:rPr>
                <w:sz w:val="21"/>
                <w:szCs w:val="21"/>
              </w:rPr>
            </w:pPr>
            <w:r>
              <w:rPr>
                <w:sz w:val="21"/>
                <w:szCs w:val="21"/>
              </w:rPr>
              <w:t>税费</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86" w:type="dxa"/>
            <w:vAlign w:val="center"/>
          </w:tcPr>
          <w:p>
            <w:pPr>
              <w:pStyle w:val="27"/>
              <w:spacing w:line="240" w:lineRule="atLeast"/>
              <w:ind w:left="980" w:hanging="42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960" w:firstLineChars="4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服务</w:t>
      </w:r>
      <w:r>
        <w:rPr>
          <w:b/>
          <w:sz w:val="24"/>
          <w:szCs w:val="24"/>
        </w:rPr>
        <w:t>部分</w:t>
      </w:r>
      <w:bookmarkEnd w:id="140"/>
      <w:bookmarkEnd w:id="141"/>
      <w:bookmarkEnd w:id="142"/>
      <w:bookmarkEnd w:id="143"/>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（二）服务响应偏离表</w:t>
      </w:r>
    </w:p>
    <w:p>
      <w:pPr>
        <w:tabs>
          <w:tab w:val="left" w:pos="6300"/>
        </w:tabs>
        <w:snapToGrid w:val="0"/>
        <w:spacing w:line="360" w:lineRule="auto"/>
        <w:jc w:val="center"/>
        <w:rPr>
          <w:rFonts w:ascii="宋体" w:hAnsi="宋体"/>
          <w:szCs w:val="24"/>
        </w:rPr>
      </w:pPr>
      <w:bookmarkStart w:id="144" w:name="_Hlk71831631"/>
      <w:r>
        <w:rPr>
          <w:rFonts w:hint="eastAsia" w:ascii="宋体" w:hAnsi="宋体"/>
          <w:szCs w:val="24"/>
        </w:rPr>
        <w:t>服务</w:t>
      </w:r>
      <w:bookmarkEnd w:id="144"/>
      <w:r>
        <w:rPr>
          <w:rFonts w:hint="eastAsia" w:ascii="宋体" w:hAnsi="宋体"/>
          <w:szCs w:val="24"/>
        </w:rPr>
        <w:t>响应偏离表</w:t>
      </w:r>
    </w:p>
    <w:p>
      <w:pPr>
        <w:pStyle w:val="36"/>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6"/>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68"/>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067"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项目技术、服务需求”中所列技术要求进行比较和响应；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45" w:name="_Toc313888362"/>
      <w:bookmarkStart w:id="146" w:name="_Toc313008358"/>
      <w:bookmarkStart w:id="147" w:name="_Toc23764524"/>
      <w:bookmarkStart w:id="148" w:name="_Toc342913421"/>
      <w:r>
        <w:rPr>
          <w:rFonts w:hint="eastAsia"/>
          <w:sz w:val="24"/>
          <w:szCs w:val="24"/>
        </w:rPr>
        <w:t xml:space="preserve">   </w:t>
      </w:r>
      <w:r>
        <w:rPr>
          <w:rFonts w:hint="eastAsia"/>
          <w:b/>
          <w:sz w:val="24"/>
          <w:szCs w:val="24"/>
        </w:rPr>
        <w:t xml:space="preserve"> </w:t>
      </w:r>
      <w:r>
        <w:rPr>
          <w:b/>
          <w:sz w:val="24"/>
          <w:szCs w:val="24"/>
        </w:rPr>
        <w:t>三、商务部分</w:t>
      </w:r>
      <w:bookmarkEnd w:id="145"/>
      <w:bookmarkEnd w:id="146"/>
      <w:bookmarkEnd w:id="147"/>
      <w:bookmarkEnd w:id="148"/>
    </w:p>
    <w:p>
      <w:pPr>
        <w:tabs>
          <w:tab w:val="left" w:pos="6300"/>
        </w:tabs>
        <w:snapToGrid w:val="0"/>
        <w:spacing w:line="360" w:lineRule="auto"/>
        <w:rPr>
          <w:rFonts w:ascii="宋体" w:hAnsi="宋体"/>
          <w:sz w:val="24"/>
          <w:szCs w:val="24"/>
        </w:rPr>
      </w:pPr>
      <w:r>
        <w:rPr>
          <w:rFonts w:hint="eastAsia"/>
          <w:sz w:val="24"/>
          <w:szCs w:val="24"/>
        </w:rPr>
        <w:t xml:space="preserve">    （一）商务响应偏离表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商务条款差异表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68"/>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（二）其它优惠承诺（格式自定）</w:t>
      </w:r>
    </w:p>
    <w:p>
      <w:pPr>
        <w:pStyle w:val="2"/>
      </w:pPr>
    </w:p>
    <w:p>
      <w:pPr>
        <w:pageBreakBefore/>
        <w:tabs>
          <w:tab w:val="left" w:pos="6300"/>
        </w:tabs>
        <w:snapToGrid w:val="0"/>
        <w:spacing w:line="360" w:lineRule="auto"/>
        <w:rPr>
          <w:b/>
          <w:sz w:val="24"/>
          <w:szCs w:val="24"/>
        </w:rPr>
      </w:pPr>
      <w:r>
        <w:rPr>
          <w:rFonts w:hint="eastAsia"/>
          <w:b/>
          <w:sz w:val="24"/>
          <w:szCs w:val="24"/>
        </w:rPr>
        <w:t xml:space="preserve">    </w:t>
      </w:r>
      <w:bookmarkStart w:id="149" w:name="_Toc342913422"/>
      <w:bookmarkStart w:id="150" w:name="_Toc313008359"/>
      <w:bookmarkStart w:id="151" w:name="_Toc313888363"/>
      <w:bookmarkStart w:id="152" w:name="_Toc23764525"/>
      <w:r>
        <w:rPr>
          <w:b/>
          <w:sz w:val="24"/>
          <w:szCs w:val="24"/>
        </w:rPr>
        <w:t>四、资格条件及其他</w:t>
      </w:r>
      <w:bookmarkEnd w:id="149"/>
      <w:bookmarkEnd w:id="150"/>
      <w:bookmarkEnd w:id="151"/>
      <w:bookmarkEnd w:id="152"/>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ascii="宋体" w:hAnsi="宋体"/>
        </w:rPr>
      </w:pPr>
    </w:p>
    <w:p>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项目名称：</w:t>
      </w:r>
      <w:r>
        <w:rPr>
          <w:rFonts w:hint="eastAsia" w:ascii="宋体" w:hAnsi="宋体"/>
          <w:sz w:val="24"/>
          <w:u w:val="single"/>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特此证明。</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pPr>
        <w:tabs>
          <w:tab w:val="left" w:pos="6300"/>
        </w:tabs>
        <w:snapToGrid w:val="0"/>
        <w:spacing w:line="360" w:lineRule="auto"/>
        <w:ind w:firstLine="570"/>
        <w:rPr>
          <w:rFonts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snapToGrid w:val="0"/>
        <w:spacing w:line="360" w:lineRule="auto"/>
        <w:ind w:firstLine="560" w:firstLineChars="200"/>
        <w:rPr>
          <w:rFonts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360" w:lineRule="auto"/>
        <w:ind w:firstLine="570"/>
        <w:rPr>
          <w:rFonts w:ascii="宋体" w:hAnsi="宋体"/>
          <w:sz w:val="24"/>
        </w:rPr>
      </w:pPr>
      <w:r>
        <w:rPr>
          <w:rFonts w:hint="eastAsia" w:ascii="宋体" w:hAnsi="宋体"/>
          <w:sz w:val="24"/>
        </w:rPr>
        <w:t xml:space="preserve">    </w:t>
      </w:r>
    </w:p>
    <w:p>
      <w:pPr>
        <w:tabs>
          <w:tab w:val="left" w:pos="6300"/>
        </w:tabs>
        <w:snapToGrid w:val="0"/>
        <w:spacing w:line="360" w:lineRule="auto"/>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pPr>
        <w:tabs>
          <w:tab w:val="left" w:pos="6300"/>
        </w:tabs>
        <w:snapToGrid w:val="0"/>
        <w:spacing w:line="360" w:lineRule="auto"/>
        <w:ind w:firstLine="570"/>
        <w:rPr>
          <w:rFonts w:ascii="宋体" w:hAnsi="宋体"/>
          <w:sz w:val="24"/>
          <w:szCs w:val="28"/>
        </w:rPr>
      </w:pPr>
      <w:r>
        <w:rPr>
          <w:rFonts w:hint="eastAsia" w:ascii="宋体" w:hAnsi="宋体"/>
          <w:sz w:val="24"/>
          <w:szCs w:val="28"/>
        </w:rPr>
        <w:t>（签署或盖章）                                （签署或盖章）</w:t>
      </w:r>
    </w:p>
    <w:p>
      <w:pPr>
        <w:tabs>
          <w:tab w:val="left" w:pos="6300"/>
        </w:tabs>
        <w:snapToGrid w:val="0"/>
        <w:spacing w:line="360" w:lineRule="auto"/>
        <w:ind w:firstLine="570"/>
        <w:rPr>
          <w:rFonts w:ascii="宋体" w:hAnsi="宋体"/>
          <w:sz w:val="24"/>
          <w:szCs w:val="28"/>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pPr>
        <w:tabs>
          <w:tab w:val="left" w:pos="6300"/>
        </w:tabs>
        <w:snapToGrid w:val="0"/>
        <w:spacing w:line="360" w:lineRule="auto"/>
        <w:ind w:firstLine="570"/>
        <w:rPr>
          <w:rFonts w:ascii="宋体" w:hAnsi="宋体"/>
          <w:sz w:val="24"/>
        </w:rPr>
      </w:pPr>
      <w:r>
        <w:rPr>
          <w:rFonts w:hint="eastAsia" w:ascii="宋体" w:hAnsi="宋体"/>
          <w:sz w:val="24"/>
        </w:rPr>
        <w:t xml:space="preserve">                                          </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pPr>
        <w:tabs>
          <w:tab w:val="left" w:pos="6300"/>
        </w:tabs>
        <w:snapToGrid w:val="0"/>
        <w:spacing w:line="360" w:lineRule="auto"/>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360" w:lineRule="auto"/>
        <w:ind w:right="480" w:firstLine="570"/>
        <w:jc w:val="left"/>
        <w:rPr>
          <w:rFonts w:ascii="宋体" w:hAnsi="宋体"/>
          <w:sz w:val="24"/>
        </w:rPr>
      </w:pPr>
      <w:r>
        <w:rPr>
          <w:rFonts w:hint="eastAsia" w:ascii="宋体" w:hAnsi="宋体"/>
          <w:sz w:val="24"/>
        </w:rPr>
        <w:t>注：</w:t>
      </w:r>
    </w:p>
    <w:p>
      <w:pPr>
        <w:tabs>
          <w:tab w:val="left" w:pos="6300"/>
        </w:tabs>
        <w:snapToGrid w:val="0"/>
        <w:spacing w:line="360" w:lineRule="auto"/>
        <w:ind w:right="480" w:firstLine="570"/>
        <w:jc w:val="left"/>
        <w:rPr>
          <w:rFonts w:ascii="宋体" w:hAnsi="宋体"/>
          <w:sz w:val="24"/>
        </w:rPr>
      </w:pPr>
      <w:r>
        <w:rPr>
          <w:rFonts w:hint="eastAsia" w:ascii="宋体" w:hAnsi="宋体"/>
          <w:sz w:val="24"/>
        </w:rPr>
        <w:t>1.若为法定代表人办理并签署响应文件的，不提供此文件。</w:t>
      </w:r>
    </w:p>
    <w:p>
      <w:pPr>
        <w:tabs>
          <w:tab w:val="left" w:pos="6300"/>
        </w:tabs>
        <w:snapToGrid w:val="0"/>
        <w:spacing w:line="360" w:lineRule="auto"/>
        <w:ind w:firstLine="570"/>
        <w:rPr>
          <w:rFonts w:ascii="宋体" w:hAnsi="宋体"/>
          <w:sz w:val="24"/>
          <w:szCs w:val="24"/>
        </w:rPr>
      </w:pPr>
      <w:r>
        <w:rPr>
          <w:rFonts w:ascii="宋体" w:hAnsi="宋体"/>
        </w:rPr>
        <w:br w:type="column"/>
      </w:r>
      <w:r>
        <w:rPr>
          <w:rFonts w:hint="eastAsia" w:ascii="宋体" w:hAnsi="宋体"/>
          <w:sz w:val="24"/>
          <w:szCs w:val="24"/>
        </w:rPr>
        <w:t>（四）</w:t>
      </w:r>
      <w:r>
        <w:rPr>
          <w:rFonts w:hint="eastAsia" w:ascii="宋体" w:hAnsi="宋体"/>
          <w:sz w:val="24"/>
          <w:szCs w:val="28"/>
        </w:rPr>
        <w:t>基本资格条件承诺函</w:t>
      </w:r>
    </w:p>
    <w:p>
      <w:pPr>
        <w:tabs>
          <w:tab w:val="left" w:pos="6300"/>
        </w:tabs>
        <w:snapToGrid w:val="0"/>
        <w:spacing w:line="360" w:lineRule="auto"/>
        <w:ind w:firstLine="643" w:firstLineChars="200"/>
        <w:jc w:val="center"/>
        <w:rPr>
          <w:rFonts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360" w:lineRule="auto"/>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pPr>
        <w:tabs>
          <w:tab w:val="left" w:pos="6300"/>
        </w:tabs>
        <w:snapToGrid w:val="0"/>
        <w:spacing w:line="360" w:lineRule="auto"/>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360" w:lineRule="auto"/>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60" w:lineRule="auto"/>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rPr>
      </w:pPr>
      <w:r>
        <w:rPr>
          <w:rFonts w:hint="eastAsia" w:ascii="宋体" w:hAnsi="宋体"/>
          <w:sz w:val="24"/>
        </w:rPr>
        <w:t>我方对以上承诺负全部法律责任。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特此承诺。</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jc w:val="right"/>
        <w:rPr>
          <w:rFonts w:ascii="宋体" w:hAnsi="宋体"/>
          <w:sz w:val="24"/>
        </w:rPr>
      </w:pPr>
      <w:r>
        <w:rPr>
          <w:rFonts w:hint="eastAsia" w:ascii="宋体" w:hAnsi="宋体"/>
          <w:sz w:val="24"/>
        </w:rPr>
        <w:t>（供应商公章）</w:t>
      </w:r>
    </w:p>
    <w:p>
      <w:pPr>
        <w:tabs>
          <w:tab w:val="left" w:pos="6300"/>
        </w:tabs>
        <w:snapToGrid w:val="0"/>
        <w:spacing w:line="360" w:lineRule="auto"/>
        <w:ind w:firstLine="7920" w:firstLineChars="3300"/>
        <w:rPr>
          <w:rFonts w:ascii="宋体" w:hAnsi="宋体"/>
          <w:sz w:val="24"/>
        </w:rPr>
      </w:pPr>
      <w:r>
        <w:rPr>
          <w:rFonts w:hint="eastAsia" w:ascii="宋体" w:hAnsi="宋体"/>
          <w:sz w:val="24"/>
        </w:rPr>
        <w:t>年   月   日</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（五）特定资格条件证明文件（如有）</w:t>
      </w:r>
    </w:p>
    <w:p>
      <w:pPr>
        <w:tabs>
          <w:tab w:val="left" w:pos="6300"/>
        </w:tabs>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pPr>
        <w:tabs>
          <w:tab w:val="left" w:pos="6300"/>
        </w:tabs>
        <w:snapToGrid w:val="0"/>
        <w:spacing w:line="360" w:lineRule="auto"/>
        <w:ind w:firstLine="480" w:firstLineChars="200"/>
        <w:rPr>
          <w:rFonts w:ascii="宋体" w:hAnsi="宋体"/>
          <w:sz w:val="24"/>
          <w:szCs w:val="24"/>
        </w:rPr>
      </w:pPr>
    </w:p>
    <w:p>
      <w:pPr>
        <w:pStyle w:val="6"/>
        <w:snapToGrid w:val="0"/>
        <w:spacing w:before="0" w:after="0" w:line="360" w:lineRule="auto"/>
        <w:ind w:firstLine="560" w:firstLineChars="200"/>
        <w:rPr>
          <w:sz w:val="24"/>
          <w:szCs w:val="24"/>
        </w:rPr>
      </w:pPr>
      <w:bookmarkStart w:id="153" w:name="_Toc14422"/>
      <w:r>
        <w:rPr>
          <w:rFonts w:ascii="宋体" w:hAnsi="宋体"/>
          <w:b w:val="0"/>
          <w:sz w:val="28"/>
        </w:rPr>
        <w:br w:type="page"/>
      </w:r>
      <w:bookmarkStart w:id="154" w:name="_Toc76462354"/>
      <w:bookmarkStart w:id="155" w:name="_Toc107390435"/>
      <w:bookmarkStart w:id="156" w:name="_Toc131429893"/>
      <w:bookmarkStart w:id="157" w:name="_Toc111463666"/>
      <w:bookmarkStart w:id="158" w:name="_Toc131145293"/>
      <w:bookmarkStart w:id="159" w:name="_Toc110935338"/>
      <w:bookmarkStart w:id="160" w:name="_Toc130496052"/>
      <w:bookmarkStart w:id="161" w:name="_Toc130394649"/>
      <w:bookmarkStart w:id="162" w:name="_Toc111112240"/>
      <w:r>
        <w:rPr>
          <w:rFonts w:hint="eastAsia"/>
          <w:sz w:val="24"/>
          <w:szCs w:val="24"/>
        </w:rPr>
        <w:t>五、其他资料</w:t>
      </w:r>
      <w:bookmarkEnd w:id="153"/>
      <w:bookmarkEnd w:id="154"/>
      <w:bookmarkEnd w:id="155"/>
      <w:bookmarkEnd w:id="156"/>
      <w:bookmarkEnd w:id="157"/>
      <w:bookmarkEnd w:id="158"/>
      <w:bookmarkEnd w:id="159"/>
      <w:bookmarkEnd w:id="160"/>
      <w:bookmarkEnd w:id="161"/>
      <w:bookmarkEnd w:id="162"/>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360" w:lineRule="auto"/>
        <w:ind w:firstLine="480" w:firstLineChars="200"/>
        <w:rPr>
          <w:rFonts w:ascii="宋体" w:hAnsi="宋体"/>
          <w:sz w:val="24"/>
          <w:szCs w:val="28"/>
        </w:rPr>
      </w:pP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w:t>
      </w:r>
      <w:r>
        <w:rPr>
          <w:rFonts w:hint="eastAsia" w:ascii="宋体" w:hAnsi="宋体"/>
          <w:sz w:val="24"/>
          <w:szCs w:val="28"/>
          <w:u w:val="single"/>
        </w:rPr>
        <w:t xml:space="preserve">   </w:t>
      </w:r>
      <w:r>
        <w:rPr>
          <w:rFonts w:hint="eastAsia" w:ascii="宋体" w:hAnsi="宋体"/>
          <w:sz w:val="24"/>
          <w:szCs w:val="28"/>
        </w:rPr>
        <w:t>人，其中与本企业签订劳动合同</w:t>
      </w:r>
      <w:r>
        <w:rPr>
          <w:rFonts w:hint="eastAsia" w:ascii="宋体" w:hAnsi="宋体"/>
          <w:sz w:val="24"/>
          <w:szCs w:val="28"/>
          <w:u w:val="single"/>
        </w:rPr>
        <w:t xml:space="preserve">   </w:t>
      </w:r>
      <w:r>
        <w:rPr>
          <w:rFonts w:hint="eastAsia" w:ascii="宋体" w:hAnsi="宋体"/>
          <w:sz w:val="24"/>
          <w:szCs w:val="28"/>
        </w:rPr>
        <w:t>人，其他人员</w:t>
      </w:r>
      <w:r>
        <w:rPr>
          <w:rFonts w:hint="eastAsia" w:ascii="宋体" w:hAnsi="宋体"/>
          <w:sz w:val="24"/>
          <w:szCs w:val="28"/>
          <w:u w:val="single"/>
        </w:rPr>
        <w:t xml:space="preserve">   </w:t>
      </w:r>
      <w:r>
        <w:rPr>
          <w:rFonts w:hint="eastAsia" w:ascii="宋体" w:hAnsi="宋体"/>
          <w:sz w:val="24"/>
          <w:szCs w:val="28"/>
        </w:rPr>
        <w:t>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 xml:space="preserve">                                                    </w:t>
      </w:r>
    </w:p>
    <w:p>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pPr>
        <w:tabs>
          <w:tab w:val="left" w:pos="6300"/>
        </w:tabs>
        <w:snapToGrid w:val="0"/>
        <w:spacing w:line="360" w:lineRule="auto"/>
        <w:rPr>
          <w:rFonts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360" w:lineRule="auto"/>
        <w:ind w:firstLine="480" w:firstLineChars="200"/>
        <w:jc w:val="center"/>
        <w:rPr>
          <w:rFonts w:ascii="宋体" w:hAnsi="宋体"/>
        </w:rPr>
      </w:pPr>
      <w:r>
        <w:rPr>
          <w:rFonts w:ascii="宋体" w:hAnsi="宋体"/>
          <w:sz w:val="24"/>
          <w:szCs w:val="24"/>
        </w:rPr>
        <w:br w:type="page"/>
      </w:r>
      <w:r>
        <w:rPr>
          <w:rFonts w:hint="eastAsia" w:ascii="宋体" w:hAnsi="宋体"/>
        </w:rPr>
        <w:t>监狱企业证明文件</w:t>
      </w:r>
    </w:p>
    <w:p>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pPr>
        <w:tabs>
          <w:tab w:val="left" w:pos="6300"/>
        </w:tabs>
        <w:snapToGrid w:val="0"/>
        <w:spacing w:line="360" w:lineRule="auto"/>
        <w:ind w:firstLine="560" w:firstLineChars="200"/>
        <w:jc w:val="center"/>
        <w:rPr>
          <w:rFonts w:ascii="宋体" w:hAnsi="宋体"/>
        </w:rPr>
      </w:pPr>
    </w:p>
    <w:p>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snapToGrid w:val="0"/>
        <w:spacing w:line="360" w:lineRule="auto"/>
        <w:ind w:firstLine="480" w:firstLineChars="200"/>
        <w:rPr>
          <w:rFonts w:ascii="宋体" w:hAnsi="宋体"/>
          <w:sz w:val="24"/>
        </w:rPr>
      </w:pPr>
      <w:r>
        <w:rPr>
          <w:rFonts w:hint="eastAsia" w:ascii="宋体" w:hAnsi="宋体"/>
          <w:sz w:val="24"/>
        </w:rPr>
        <w:t xml:space="preserve">                                                  日  期：</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w:t>
      </w:r>
    </w:p>
    <w:p>
      <w:pPr>
        <w:spacing w:line="360" w:lineRule="auto"/>
        <w:ind w:firstLine="480" w:firstLineChars="200"/>
        <w:rPr>
          <w:rFonts w:ascii="宋体" w:hAnsi="宋体"/>
          <w:sz w:val="24"/>
          <w:szCs w:val="24"/>
        </w:rPr>
      </w:pPr>
      <w:r>
        <w:rPr>
          <w:rFonts w:hint="eastAsia" w:ascii="宋体" w:hAnsi="宋体"/>
          <w:sz w:val="24"/>
          <w:szCs w:val="24"/>
        </w:rPr>
        <w:t>其他与项目有关的资料（自附）：供应商总体情况介绍、其他与本项目有关的资料等。</w:t>
      </w:r>
    </w:p>
    <w:p>
      <w:pPr>
        <w:spacing w:line="360" w:lineRule="auto"/>
        <w:ind w:firstLine="480" w:firstLineChars="200"/>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rPr>
          <w:rFonts w:ascii="宋体" w:hAnsi="宋体"/>
          <w:sz w:val="24"/>
          <w:szCs w:val="24"/>
        </w:rPr>
      </w:pPr>
    </w:p>
    <w:p>
      <w:pPr>
        <w:spacing w:line="360" w:lineRule="auto"/>
        <w:ind w:firstLine="480" w:firstLineChars="200"/>
        <w:jc w:val="center"/>
        <w:outlineLvl w:val="0"/>
        <w:rPr>
          <w:rFonts w:ascii="宋体" w:hAnsi="宋体"/>
        </w:rPr>
      </w:pPr>
      <w:r>
        <w:rPr>
          <w:rFonts w:hint="eastAsia" w:ascii="宋体" w:hAnsi="宋体"/>
          <w:sz w:val="24"/>
          <w:szCs w:val="24"/>
        </w:rPr>
        <w:t>（结束）</w:t>
      </w:r>
    </w:p>
    <w:p>
      <w:pPr>
        <w:pStyle w:val="6"/>
        <w:spacing w:before="0" w:after="0" w:line="360" w:lineRule="auto"/>
        <w:ind w:firstLine="482" w:firstLineChars="200"/>
        <w:rPr>
          <w:sz w:val="24"/>
          <w:szCs w:val="24"/>
        </w:rPr>
      </w:pPr>
    </w:p>
    <w:sectPr>
      <w:headerReference r:id="rId15" w:type="default"/>
      <w:pgSz w:w="11907" w:h="16840"/>
      <w:pgMar w:top="1134" w:right="1191" w:bottom="1134" w:left="1191" w:header="851" w:footer="992" w:gutter="0"/>
      <w:pgNumType w:fmt="numberInDash"/>
      <w:cols w:space="720" w:num="1"/>
      <w:docGrid w:linePitch="381"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FrutigerNextLT-Light">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p>
  <w:p>
    <w:pPr>
      <w:pStyle w:val="39"/>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jc w:val="center"/>
      <w:rPr>
        <w:rStyle w:val="62"/>
        <w:rFonts w:ascii="宋体"/>
        <w:sz w:val="21"/>
        <w:szCs w:val="21"/>
      </w:rPr>
    </w:pPr>
    <w:r>
      <w:rPr>
        <w:rStyle w:val="62"/>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10 -</w:t>
    </w:r>
    <w:r>
      <w:rP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sz w:val="21"/>
        <w:szCs w:val="21"/>
      </w:rPr>
    </w:pPr>
    <w:r>
      <w:rPr>
        <w:rStyle w:val="62"/>
      </w:rPr>
      <w:fldChar w:fldCharType="begin"/>
    </w:r>
    <w:r>
      <w:rPr>
        <w:rStyle w:val="62"/>
        <w:rFonts w:ascii="宋体"/>
        <w:sz w:val="21"/>
        <w:szCs w:val="21"/>
      </w:rPr>
      <w:instrText xml:space="preserve"> PAGE </w:instrText>
    </w:r>
    <w:r>
      <w:rPr>
        <w:rFonts w:ascii="宋体"/>
        <w:sz w:val="21"/>
        <w:szCs w:val="21"/>
      </w:rPr>
      <w:fldChar w:fldCharType="separate"/>
    </w:r>
    <w:r>
      <w:rPr>
        <w:rStyle w:val="62"/>
        <w:rFonts w:ascii="宋体"/>
        <w:sz w:val="21"/>
        <w:szCs w:val="21"/>
      </w:rPr>
      <w:t>- 15 -</w:t>
    </w:r>
    <w:r>
      <w:rPr>
        <w:rFonts w:asci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2"/>
      </w:rPr>
    </w:pPr>
    <w:r>
      <w:rPr>
        <w:rStyle w:val="62"/>
      </w:rPr>
      <w:fldChar w:fldCharType="begin"/>
    </w:r>
    <w:r>
      <w:rPr>
        <w:rStyle w:val="6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hAnsi="宋体"/>
        <w:sz w:val="21"/>
        <w:szCs w:val="21"/>
      </w:rPr>
    </w:pP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sz w:val="21"/>
        <w:szCs w:val="21"/>
      </w:rPr>
    </w:pPr>
    <w:r>
      <w:rPr>
        <w:rFonts w:hint="eastAsia" w:ascii="宋体"/>
        <w:sz w:val="21"/>
        <w:szCs w:val="21"/>
      </w:rPr>
      <w:t>重庆中基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73"/>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8"/>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A"/>
    <w:multiLevelType w:val="multilevel"/>
    <w:tmpl w:val="0000000A"/>
    <w:lvl w:ilvl="0" w:tentative="0">
      <w:start w:val="1"/>
      <w:numFmt w:val="bullet"/>
      <w:pStyle w:val="199"/>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B"/>
    <w:multiLevelType w:val="singleLevel"/>
    <w:tmpl w:val="0000000B"/>
    <w:lvl w:ilvl="0" w:tentative="0">
      <w:start w:val="1"/>
      <w:numFmt w:val="bullet"/>
      <w:pStyle w:val="219"/>
      <w:lvlText w:val=""/>
      <w:lvlJc w:val="left"/>
      <w:pPr>
        <w:tabs>
          <w:tab w:val="left" w:pos="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8"/>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singleLevel"/>
    <w:tmpl w:val="0000000D"/>
    <w:lvl w:ilvl="0" w:tentative="0">
      <w:start w:val="1"/>
      <w:numFmt w:val="bullet"/>
      <w:pStyle w:val="135"/>
      <w:lvlText w:val=""/>
      <w:lvlJc w:val="left"/>
      <w:pPr>
        <w:tabs>
          <w:tab w:val="left" w:pos="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8"/>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5"/>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12"/>
    <w:multiLevelType w:val="multilevel"/>
    <w:tmpl w:val="00000012"/>
    <w:lvl w:ilvl="0" w:tentative="0">
      <w:start w:val="1"/>
      <w:numFmt w:val="bullet"/>
      <w:pStyle w:val="170"/>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8"/>
      <w:lvlText w:val="%1."/>
      <w:lvlJc w:val="left"/>
      <w:pPr>
        <w:tabs>
          <w:tab w:val="left" w:pos="0"/>
        </w:tabs>
        <w:ind w:left="425" w:hanging="425"/>
      </w:pPr>
      <w:rPr>
        <w:rFonts w:hint="default"/>
      </w:rPr>
    </w:lvl>
  </w:abstractNum>
  <w:abstractNum w:abstractNumId="9">
    <w:nsid w:val="00000014"/>
    <w:multiLevelType w:val="singleLevel"/>
    <w:tmpl w:val="00000014"/>
    <w:lvl w:ilvl="0" w:tentative="0">
      <w:start w:val="1"/>
      <w:numFmt w:val="bullet"/>
      <w:pStyle w:val="31"/>
      <w:lvlText w:val=""/>
      <w:lvlJc w:val="left"/>
      <w:pPr>
        <w:tabs>
          <w:tab w:val="left" w:pos="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3"/>
      <w:lvlText w:val="%1)"/>
      <w:lvlJc w:val="left"/>
      <w:pPr>
        <w:tabs>
          <w:tab w:val="left" w:pos="0"/>
        </w:tabs>
        <w:ind w:left="425" w:hanging="425"/>
      </w:pPr>
      <w:rPr>
        <w:rFonts w:hint="eastAsia"/>
      </w:rPr>
    </w:lvl>
  </w:abstractNum>
  <w:abstractNum w:abstractNumId="11">
    <w:nsid w:val="00000017"/>
    <w:multiLevelType w:val="multilevel"/>
    <w:tmpl w:val="00000017"/>
    <w:lvl w:ilvl="0" w:tentative="0">
      <w:start w:val="1"/>
      <w:numFmt w:val="chineseCountingThousand"/>
      <w:pStyle w:val="177"/>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1D6A409A"/>
    <w:multiLevelType w:val="singleLevel"/>
    <w:tmpl w:val="1D6A409A"/>
    <w:lvl w:ilvl="0" w:tentative="0">
      <w:start w:val="1"/>
      <w:numFmt w:val="chineseCounting"/>
      <w:suff w:val="nothing"/>
      <w:lvlText w:val="（%1）"/>
      <w:lvlJc w:val="left"/>
      <w:rPr>
        <w:rFonts w:hint="eastAsia"/>
      </w:rPr>
    </w:lvl>
  </w:abstractNum>
  <w:abstractNum w:abstractNumId="13">
    <w:nsid w:val="5E20875F"/>
    <w:multiLevelType w:val="singleLevel"/>
    <w:tmpl w:val="5E20875F"/>
    <w:lvl w:ilvl="0" w:tentative="0">
      <w:start w:val="1"/>
      <w:numFmt w:val="chineseCounting"/>
      <w:suff w:val="nothing"/>
      <w:lvlText w:val="（%1）"/>
      <w:lvlJc w:val="left"/>
      <w:rPr>
        <w:rFonts w:hint="eastAsia"/>
      </w:rPr>
    </w:lvl>
  </w:abstractNum>
  <w:abstractNum w:abstractNumId="14">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5"/>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8"/>
  </w:num>
  <w:num w:numId="2">
    <w:abstractNumId w:val="9"/>
  </w:num>
  <w:num w:numId="3">
    <w:abstractNumId w:val="14"/>
  </w:num>
  <w:num w:numId="4">
    <w:abstractNumId w:val="3"/>
  </w:num>
  <w:num w:numId="5">
    <w:abstractNumId w:val="4"/>
  </w:num>
  <w:num w:numId="6">
    <w:abstractNumId w:val="0"/>
  </w:num>
  <w:num w:numId="7">
    <w:abstractNumId w:val="7"/>
  </w:num>
  <w:num w:numId="8">
    <w:abstractNumId w:val="10"/>
  </w:num>
  <w:num w:numId="9">
    <w:abstractNumId w:val="11"/>
  </w:num>
  <w:num w:numId="10">
    <w:abstractNumId w:val="6"/>
  </w:num>
  <w:num w:numId="11">
    <w:abstractNumId w:val="1"/>
  </w:num>
  <w:num w:numId="12">
    <w:abstractNumId w:val="5"/>
  </w:num>
  <w:num w:numId="13">
    <w:abstractNumId w:val="2"/>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6"/>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TFiNmFkZWMzY2M1MDc3ZTQ5M2FhMmM5Y2RkZWUifQ=="/>
  </w:docVars>
  <w:rsids>
    <w:rsidRoot w:val="00F8011D"/>
    <w:rsid w:val="00034929"/>
    <w:rsid w:val="00054EF5"/>
    <w:rsid w:val="00063D16"/>
    <w:rsid w:val="000707C6"/>
    <w:rsid w:val="00071483"/>
    <w:rsid w:val="00074E7B"/>
    <w:rsid w:val="0009609C"/>
    <w:rsid w:val="000A7B64"/>
    <w:rsid w:val="000C3F62"/>
    <w:rsid w:val="000C68FF"/>
    <w:rsid w:val="000D42EF"/>
    <w:rsid w:val="000F0065"/>
    <w:rsid w:val="000F3295"/>
    <w:rsid w:val="000F3A51"/>
    <w:rsid w:val="00101496"/>
    <w:rsid w:val="00134372"/>
    <w:rsid w:val="00185466"/>
    <w:rsid w:val="001A575A"/>
    <w:rsid w:val="001D4C73"/>
    <w:rsid w:val="0022115C"/>
    <w:rsid w:val="002700D6"/>
    <w:rsid w:val="002805F0"/>
    <w:rsid w:val="00283E1D"/>
    <w:rsid w:val="002924E9"/>
    <w:rsid w:val="002C5BDE"/>
    <w:rsid w:val="002F7680"/>
    <w:rsid w:val="003018E3"/>
    <w:rsid w:val="00326F40"/>
    <w:rsid w:val="0034003E"/>
    <w:rsid w:val="0034063A"/>
    <w:rsid w:val="00343F62"/>
    <w:rsid w:val="00355867"/>
    <w:rsid w:val="0036518A"/>
    <w:rsid w:val="003836E0"/>
    <w:rsid w:val="00386212"/>
    <w:rsid w:val="003A7E7A"/>
    <w:rsid w:val="003F1A79"/>
    <w:rsid w:val="004308D1"/>
    <w:rsid w:val="00441CBC"/>
    <w:rsid w:val="00443914"/>
    <w:rsid w:val="00447EA7"/>
    <w:rsid w:val="004761CF"/>
    <w:rsid w:val="004836D7"/>
    <w:rsid w:val="00496B99"/>
    <w:rsid w:val="004F7912"/>
    <w:rsid w:val="004F7AAB"/>
    <w:rsid w:val="00500638"/>
    <w:rsid w:val="00540225"/>
    <w:rsid w:val="005736AE"/>
    <w:rsid w:val="00592FA5"/>
    <w:rsid w:val="005B61B5"/>
    <w:rsid w:val="005F2440"/>
    <w:rsid w:val="005F46EB"/>
    <w:rsid w:val="006360BD"/>
    <w:rsid w:val="0064515E"/>
    <w:rsid w:val="006528C9"/>
    <w:rsid w:val="00653BE8"/>
    <w:rsid w:val="0068111C"/>
    <w:rsid w:val="00695540"/>
    <w:rsid w:val="006C7CF0"/>
    <w:rsid w:val="006E5BA2"/>
    <w:rsid w:val="006F6393"/>
    <w:rsid w:val="00707848"/>
    <w:rsid w:val="007134A2"/>
    <w:rsid w:val="00742BD7"/>
    <w:rsid w:val="00757475"/>
    <w:rsid w:val="00790E80"/>
    <w:rsid w:val="007E2CE7"/>
    <w:rsid w:val="00802490"/>
    <w:rsid w:val="00810128"/>
    <w:rsid w:val="00851015"/>
    <w:rsid w:val="0085533A"/>
    <w:rsid w:val="00864CF5"/>
    <w:rsid w:val="008C0018"/>
    <w:rsid w:val="008D1156"/>
    <w:rsid w:val="008F341B"/>
    <w:rsid w:val="009529A5"/>
    <w:rsid w:val="009669EE"/>
    <w:rsid w:val="00974E4D"/>
    <w:rsid w:val="00994564"/>
    <w:rsid w:val="009969D0"/>
    <w:rsid w:val="009B1D8F"/>
    <w:rsid w:val="009B4930"/>
    <w:rsid w:val="009E4AEC"/>
    <w:rsid w:val="00A06BA6"/>
    <w:rsid w:val="00A11700"/>
    <w:rsid w:val="00A3239E"/>
    <w:rsid w:val="00A440CE"/>
    <w:rsid w:val="00AC7A66"/>
    <w:rsid w:val="00AD0C16"/>
    <w:rsid w:val="00AE119A"/>
    <w:rsid w:val="00AF2A12"/>
    <w:rsid w:val="00B01E44"/>
    <w:rsid w:val="00B031D9"/>
    <w:rsid w:val="00B07D65"/>
    <w:rsid w:val="00B130A4"/>
    <w:rsid w:val="00B421B9"/>
    <w:rsid w:val="00B47DFF"/>
    <w:rsid w:val="00B51D7C"/>
    <w:rsid w:val="00B567B5"/>
    <w:rsid w:val="00B708F4"/>
    <w:rsid w:val="00B71F14"/>
    <w:rsid w:val="00B84D50"/>
    <w:rsid w:val="00B96DB5"/>
    <w:rsid w:val="00BA0E0A"/>
    <w:rsid w:val="00BC2B55"/>
    <w:rsid w:val="00BD50C6"/>
    <w:rsid w:val="00BF68B4"/>
    <w:rsid w:val="00C00677"/>
    <w:rsid w:val="00C154D8"/>
    <w:rsid w:val="00C4610D"/>
    <w:rsid w:val="00C94049"/>
    <w:rsid w:val="00CC588F"/>
    <w:rsid w:val="00CE1B39"/>
    <w:rsid w:val="00CE3C73"/>
    <w:rsid w:val="00CF7FFC"/>
    <w:rsid w:val="00D33507"/>
    <w:rsid w:val="00D77343"/>
    <w:rsid w:val="00DC2283"/>
    <w:rsid w:val="00DE79A3"/>
    <w:rsid w:val="00E120AE"/>
    <w:rsid w:val="00E21BD9"/>
    <w:rsid w:val="00E65025"/>
    <w:rsid w:val="00E732DF"/>
    <w:rsid w:val="00E7458F"/>
    <w:rsid w:val="00E80378"/>
    <w:rsid w:val="00F05D2D"/>
    <w:rsid w:val="00F24251"/>
    <w:rsid w:val="00F5302F"/>
    <w:rsid w:val="00F754B4"/>
    <w:rsid w:val="00F8011D"/>
    <w:rsid w:val="00FB2690"/>
    <w:rsid w:val="00FB5F63"/>
    <w:rsid w:val="00FB75AF"/>
    <w:rsid w:val="00FD5CE4"/>
    <w:rsid w:val="00FF185F"/>
    <w:rsid w:val="013B2232"/>
    <w:rsid w:val="01BD6429"/>
    <w:rsid w:val="02072A78"/>
    <w:rsid w:val="02247ACE"/>
    <w:rsid w:val="028C6335"/>
    <w:rsid w:val="03195159"/>
    <w:rsid w:val="03B22EB7"/>
    <w:rsid w:val="040E27E3"/>
    <w:rsid w:val="04784101"/>
    <w:rsid w:val="0480302A"/>
    <w:rsid w:val="058A40EC"/>
    <w:rsid w:val="05D37841"/>
    <w:rsid w:val="06931805"/>
    <w:rsid w:val="06C76020"/>
    <w:rsid w:val="075C1AB8"/>
    <w:rsid w:val="077B0190"/>
    <w:rsid w:val="07CC279A"/>
    <w:rsid w:val="07E051E4"/>
    <w:rsid w:val="09012917"/>
    <w:rsid w:val="090E67DB"/>
    <w:rsid w:val="0AAE0751"/>
    <w:rsid w:val="0B837613"/>
    <w:rsid w:val="0BFA3662"/>
    <w:rsid w:val="0C2B09D6"/>
    <w:rsid w:val="0C662A91"/>
    <w:rsid w:val="0C7358DA"/>
    <w:rsid w:val="0C9475FE"/>
    <w:rsid w:val="0C992E66"/>
    <w:rsid w:val="0CDD0FA5"/>
    <w:rsid w:val="0CE71E24"/>
    <w:rsid w:val="0D026C5D"/>
    <w:rsid w:val="0D1D5845"/>
    <w:rsid w:val="0DAB4BFF"/>
    <w:rsid w:val="0DCD1019"/>
    <w:rsid w:val="0EAD49A7"/>
    <w:rsid w:val="0FB87AA7"/>
    <w:rsid w:val="103669CA"/>
    <w:rsid w:val="11164A85"/>
    <w:rsid w:val="112D6D6B"/>
    <w:rsid w:val="1158509E"/>
    <w:rsid w:val="11A71B81"/>
    <w:rsid w:val="11D44A7E"/>
    <w:rsid w:val="11F052D6"/>
    <w:rsid w:val="12331667"/>
    <w:rsid w:val="126D4444"/>
    <w:rsid w:val="12BB3B36"/>
    <w:rsid w:val="12EF3359"/>
    <w:rsid w:val="13051255"/>
    <w:rsid w:val="13545D39"/>
    <w:rsid w:val="137B1518"/>
    <w:rsid w:val="13E76BAD"/>
    <w:rsid w:val="14C02D80"/>
    <w:rsid w:val="14DA401C"/>
    <w:rsid w:val="14F0383F"/>
    <w:rsid w:val="158521DA"/>
    <w:rsid w:val="15F630D7"/>
    <w:rsid w:val="165F6ECF"/>
    <w:rsid w:val="16C136E5"/>
    <w:rsid w:val="16CF5E02"/>
    <w:rsid w:val="170535D2"/>
    <w:rsid w:val="170D1C85"/>
    <w:rsid w:val="1757668D"/>
    <w:rsid w:val="17C90AA4"/>
    <w:rsid w:val="18EB2DBB"/>
    <w:rsid w:val="192835A8"/>
    <w:rsid w:val="19417995"/>
    <w:rsid w:val="194D2A56"/>
    <w:rsid w:val="19B60BB4"/>
    <w:rsid w:val="19D76D7C"/>
    <w:rsid w:val="1A522D7D"/>
    <w:rsid w:val="1B570174"/>
    <w:rsid w:val="1B7A3E63"/>
    <w:rsid w:val="1BA809D0"/>
    <w:rsid w:val="1BF260EF"/>
    <w:rsid w:val="1C6C7C4F"/>
    <w:rsid w:val="1CD203FA"/>
    <w:rsid w:val="1CF87735"/>
    <w:rsid w:val="1CFB6B76"/>
    <w:rsid w:val="1D125414"/>
    <w:rsid w:val="1D320E99"/>
    <w:rsid w:val="1D3E15EC"/>
    <w:rsid w:val="1DEC54EC"/>
    <w:rsid w:val="1DF16B20"/>
    <w:rsid w:val="1E032835"/>
    <w:rsid w:val="1E1B192D"/>
    <w:rsid w:val="1E9F430C"/>
    <w:rsid w:val="1ECD3111"/>
    <w:rsid w:val="1EE47F71"/>
    <w:rsid w:val="1EF26B32"/>
    <w:rsid w:val="1FA0658E"/>
    <w:rsid w:val="207B4905"/>
    <w:rsid w:val="217F21D3"/>
    <w:rsid w:val="21A165ED"/>
    <w:rsid w:val="21BA320B"/>
    <w:rsid w:val="21D7200F"/>
    <w:rsid w:val="21DE15EF"/>
    <w:rsid w:val="2231642D"/>
    <w:rsid w:val="22794E74"/>
    <w:rsid w:val="2309444A"/>
    <w:rsid w:val="23B6064F"/>
    <w:rsid w:val="24262DDA"/>
    <w:rsid w:val="24AA57B9"/>
    <w:rsid w:val="2572277A"/>
    <w:rsid w:val="258B7398"/>
    <w:rsid w:val="25916979"/>
    <w:rsid w:val="26FE003E"/>
    <w:rsid w:val="27280C17"/>
    <w:rsid w:val="27734588"/>
    <w:rsid w:val="27765E26"/>
    <w:rsid w:val="27A24E6D"/>
    <w:rsid w:val="28397580"/>
    <w:rsid w:val="283A50A6"/>
    <w:rsid w:val="289E5635"/>
    <w:rsid w:val="29015BC3"/>
    <w:rsid w:val="292A511A"/>
    <w:rsid w:val="2964062C"/>
    <w:rsid w:val="2973086F"/>
    <w:rsid w:val="29A82C95"/>
    <w:rsid w:val="29C76E0D"/>
    <w:rsid w:val="2A4B17EC"/>
    <w:rsid w:val="2A4E4E38"/>
    <w:rsid w:val="2AB47391"/>
    <w:rsid w:val="2AB54EB7"/>
    <w:rsid w:val="2AED28A3"/>
    <w:rsid w:val="2B473D61"/>
    <w:rsid w:val="2BC03B14"/>
    <w:rsid w:val="2BC453B2"/>
    <w:rsid w:val="2C353BAE"/>
    <w:rsid w:val="2C7F22C6"/>
    <w:rsid w:val="2D39592C"/>
    <w:rsid w:val="2D940DB4"/>
    <w:rsid w:val="2DF45CF7"/>
    <w:rsid w:val="2E3305CD"/>
    <w:rsid w:val="2E884DBD"/>
    <w:rsid w:val="2EE6563F"/>
    <w:rsid w:val="2EF7784D"/>
    <w:rsid w:val="2F212B1B"/>
    <w:rsid w:val="2F4131BE"/>
    <w:rsid w:val="2F723377"/>
    <w:rsid w:val="2FDE0A0C"/>
    <w:rsid w:val="2FFF63F9"/>
    <w:rsid w:val="30110DE2"/>
    <w:rsid w:val="305F1B4D"/>
    <w:rsid w:val="30AC28B9"/>
    <w:rsid w:val="30D46F5D"/>
    <w:rsid w:val="30DC38C3"/>
    <w:rsid w:val="311F1C3B"/>
    <w:rsid w:val="3150593A"/>
    <w:rsid w:val="316F57BA"/>
    <w:rsid w:val="318B6972"/>
    <w:rsid w:val="31E71DFA"/>
    <w:rsid w:val="32257D1B"/>
    <w:rsid w:val="32A7158A"/>
    <w:rsid w:val="32CA640C"/>
    <w:rsid w:val="32D3412D"/>
    <w:rsid w:val="32EC3440"/>
    <w:rsid w:val="33174961"/>
    <w:rsid w:val="336851F8"/>
    <w:rsid w:val="3373762C"/>
    <w:rsid w:val="33A37FA3"/>
    <w:rsid w:val="33B73A4E"/>
    <w:rsid w:val="34056568"/>
    <w:rsid w:val="340E6526"/>
    <w:rsid w:val="341F46BA"/>
    <w:rsid w:val="344C23E9"/>
    <w:rsid w:val="34BC0FB1"/>
    <w:rsid w:val="353A4937"/>
    <w:rsid w:val="35956011"/>
    <w:rsid w:val="35AF4511"/>
    <w:rsid w:val="35F13130"/>
    <w:rsid w:val="362F5B1E"/>
    <w:rsid w:val="37F4701F"/>
    <w:rsid w:val="389600D6"/>
    <w:rsid w:val="38EA0422"/>
    <w:rsid w:val="39203E44"/>
    <w:rsid w:val="3A685AA2"/>
    <w:rsid w:val="3A976388"/>
    <w:rsid w:val="3B424545"/>
    <w:rsid w:val="3BAB6C2A"/>
    <w:rsid w:val="3C2B322B"/>
    <w:rsid w:val="3C6D73A0"/>
    <w:rsid w:val="3C8F5568"/>
    <w:rsid w:val="3CE31410"/>
    <w:rsid w:val="3CE753A4"/>
    <w:rsid w:val="3DEE4511"/>
    <w:rsid w:val="3EA177D5"/>
    <w:rsid w:val="3EAB41B0"/>
    <w:rsid w:val="3EDD6834"/>
    <w:rsid w:val="3EEF12B8"/>
    <w:rsid w:val="3EF1250A"/>
    <w:rsid w:val="3F0D09C6"/>
    <w:rsid w:val="3F230B3E"/>
    <w:rsid w:val="3F731171"/>
    <w:rsid w:val="40175FA1"/>
    <w:rsid w:val="407A208B"/>
    <w:rsid w:val="409A44DC"/>
    <w:rsid w:val="40DC4AF4"/>
    <w:rsid w:val="40F005A0"/>
    <w:rsid w:val="40FB7670"/>
    <w:rsid w:val="41410E54"/>
    <w:rsid w:val="4153125A"/>
    <w:rsid w:val="417D0085"/>
    <w:rsid w:val="419453CF"/>
    <w:rsid w:val="41C71300"/>
    <w:rsid w:val="42162288"/>
    <w:rsid w:val="42507548"/>
    <w:rsid w:val="42BC3BB5"/>
    <w:rsid w:val="436A3581"/>
    <w:rsid w:val="43EE7018"/>
    <w:rsid w:val="4487121B"/>
    <w:rsid w:val="44D373DA"/>
    <w:rsid w:val="45592BB7"/>
    <w:rsid w:val="46CB1893"/>
    <w:rsid w:val="46E510A4"/>
    <w:rsid w:val="46E841F3"/>
    <w:rsid w:val="470E352E"/>
    <w:rsid w:val="474B46F2"/>
    <w:rsid w:val="474E69BC"/>
    <w:rsid w:val="47C77C87"/>
    <w:rsid w:val="47F95F8C"/>
    <w:rsid w:val="480706A9"/>
    <w:rsid w:val="480C1C24"/>
    <w:rsid w:val="48235012"/>
    <w:rsid w:val="48455675"/>
    <w:rsid w:val="488066AD"/>
    <w:rsid w:val="48FB5D34"/>
    <w:rsid w:val="4925216C"/>
    <w:rsid w:val="4977185E"/>
    <w:rsid w:val="498F4DFA"/>
    <w:rsid w:val="49EA0282"/>
    <w:rsid w:val="4A201EF6"/>
    <w:rsid w:val="4AAC3789"/>
    <w:rsid w:val="4B2A4065"/>
    <w:rsid w:val="4CA566E2"/>
    <w:rsid w:val="4CFB27A6"/>
    <w:rsid w:val="4D9329DF"/>
    <w:rsid w:val="4E157897"/>
    <w:rsid w:val="4E1753BE"/>
    <w:rsid w:val="4E21448E"/>
    <w:rsid w:val="4E2B7EDD"/>
    <w:rsid w:val="4ECA2430"/>
    <w:rsid w:val="4ECC2160"/>
    <w:rsid w:val="4EDF1AC9"/>
    <w:rsid w:val="4F2002A2"/>
    <w:rsid w:val="4F4B17C3"/>
    <w:rsid w:val="4FA964E9"/>
    <w:rsid w:val="4FBC621D"/>
    <w:rsid w:val="4FCD667C"/>
    <w:rsid w:val="501E5474"/>
    <w:rsid w:val="503C110B"/>
    <w:rsid w:val="50AA076B"/>
    <w:rsid w:val="510C2129"/>
    <w:rsid w:val="514E559A"/>
    <w:rsid w:val="51825244"/>
    <w:rsid w:val="518E4794"/>
    <w:rsid w:val="51DD691E"/>
    <w:rsid w:val="51EB103B"/>
    <w:rsid w:val="52036385"/>
    <w:rsid w:val="52950FA7"/>
    <w:rsid w:val="52B546A2"/>
    <w:rsid w:val="530B0729"/>
    <w:rsid w:val="53D923AB"/>
    <w:rsid w:val="54176117"/>
    <w:rsid w:val="542B1BA0"/>
    <w:rsid w:val="5472334E"/>
    <w:rsid w:val="5507288E"/>
    <w:rsid w:val="55123E41"/>
    <w:rsid w:val="55124B31"/>
    <w:rsid w:val="55425416"/>
    <w:rsid w:val="55A00DEA"/>
    <w:rsid w:val="55AA4D69"/>
    <w:rsid w:val="55DB13C7"/>
    <w:rsid w:val="55E0078B"/>
    <w:rsid w:val="562E14F6"/>
    <w:rsid w:val="574071A4"/>
    <w:rsid w:val="57650F48"/>
    <w:rsid w:val="57A04676"/>
    <w:rsid w:val="57D64FA4"/>
    <w:rsid w:val="582349A4"/>
    <w:rsid w:val="588E44CE"/>
    <w:rsid w:val="58A600B4"/>
    <w:rsid w:val="58C678EE"/>
    <w:rsid w:val="58E1585F"/>
    <w:rsid w:val="58FF53CC"/>
    <w:rsid w:val="59C12681"/>
    <w:rsid w:val="5A551748"/>
    <w:rsid w:val="5AB26B9A"/>
    <w:rsid w:val="5AF21CB4"/>
    <w:rsid w:val="5B060C94"/>
    <w:rsid w:val="5B286251"/>
    <w:rsid w:val="5B7C71A8"/>
    <w:rsid w:val="5BB93F58"/>
    <w:rsid w:val="5BE2525D"/>
    <w:rsid w:val="5C477255"/>
    <w:rsid w:val="5CF3349A"/>
    <w:rsid w:val="5D551A5E"/>
    <w:rsid w:val="5DC42740"/>
    <w:rsid w:val="5E1F20B5"/>
    <w:rsid w:val="5E240B5D"/>
    <w:rsid w:val="5E6301AB"/>
    <w:rsid w:val="5E671A49"/>
    <w:rsid w:val="5F27754A"/>
    <w:rsid w:val="5F313E05"/>
    <w:rsid w:val="5FA6034F"/>
    <w:rsid w:val="60247101"/>
    <w:rsid w:val="603649D8"/>
    <w:rsid w:val="605204D7"/>
    <w:rsid w:val="60E6759D"/>
    <w:rsid w:val="610E2650"/>
    <w:rsid w:val="617A7CE6"/>
    <w:rsid w:val="61EB1697"/>
    <w:rsid w:val="620771B2"/>
    <w:rsid w:val="62210161"/>
    <w:rsid w:val="62B45691"/>
    <w:rsid w:val="62D9099F"/>
    <w:rsid w:val="6300246C"/>
    <w:rsid w:val="630614DF"/>
    <w:rsid w:val="632048BD"/>
    <w:rsid w:val="63244BF4"/>
    <w:rsid w:val="63E36016"/>
    <w:rsid w:val="63E552FB"/>
    <w:rsid w:val="64632CB3"/>
    <w:rsid w:val="64786EB7"/>
    <w:rsid w:val="64F658D5"/>
    <w:rsid w:val="65711400"/>
    <w:rsid w:val="65736F26"/>
    <w:rsid w:val="65E816C2"/>
    <w:rsid w:val="666B40A1"/>
    <w:rsid w:val="66BB15DA"/>
    <w:rsid w:val="66D103A8"/>
    <w:rsid w:val="6736645D"/>
    <w:rsid w:val="67F73E3E"/>
    <w:rsid w:val="6837248C"/>
    <w:rsid w:val="68CA77A4"/>
    <w:rsid w:val="69957EAE"/>
    <w:rsid w:val="699B4C9D"/>
    <w:rsid w:val="6A7476A4"/>
    <w:rsid w:val="6BB838E4"/>
    <w:rsid w:val="6BD31315"/>
    <w:rsid w:val="6BD66460"/>
    <w:rsid w:val="6CA420BB"/>
    <w:rsid w:val="6D2A25C0"/>
    <w:rsid w:val="6D6655C2"/>
    <w:rsid w:val="6DA15D94"/>
    <w:rsid w:val="6DB52BC0"/>
    <w:rsid w:val="6DF21269"/>
    <w:rsid w:val="6E2039C3"/>
    <w:rsid w:val="6E600263"/>
    <w:rsid w:val="6E9B7E98"/>
    <w:rsid w:val="6EA75E92"/>
    <w:rsid w:val="6EE82732"/>
    <w:rsid w:val="6F3B4F58"/>
    <w:rsid w:val="6F4D6A39"/>
    <w:rsid w:val="6F767D3E"/>
    <w:rsid w:val="70096E04"/>
    <w:rsid w:val="70585696"/>
    <w:rsid w:val="708F6BDE"/>
    <w:rsid w:val="70A9549D"/>
    <w:rsid w:val="70B12FF8"/>
    <w:rsid w:val="70D016D0"/>
    <w:rsid w:val="71CD5C10"/>
    <w:rsid w:val="72037883"/>
    <w:rsid w:val="721F290F"/>
    <w:rsid w:val="722B3F80"/>
    <w:rsid w:val="725620A9"/>
    <w:rsid w:val="72895FDA"/>
    <w:rsid w:val="72A16101"/>
    <w:rsid w:val="72E15E16"/>
    <w:rsid w:val="72FC3B45"/>
    <w:rsid w:val="73351CBE"/>
    <w:rsid w:val="73BA22F0"/>
    <w:rsid w:val="74761697"/>
    <w:rsid w:val="748051BB"/>
    <w:rsid w:val="7487479C"/>
    <w:rsid w:val="749A1545"/>
    <w:rsid w:val="756643B1"/>
    <w:rsid w:val="756845CD"/>
    <w:rsid w:val="75952EE8"/>
    <w:rsid w:val="75C37A55"/>
    <w:rsid w:val="75C80BC8"/>
    <w:rsid w:val="768E39C4"/>
    <w:rsid w:val="78C26116"/>
    <w:rsid w:val="798547FD"/>
    <w:rsid w:val="79E20E39"/>
    <w:rsid w:val="7A437949"/>
    <w:rsid w:val="7A884DCA"/>
    <w:rsid w:val="7A885852"/>
    <w:rsid w:val="7B231095"/>
    <w:rsid w:val="7B407452"/>
    <w:rsid w:val="7C042B76"/>
    <w:rsid w:val="7C370855"/>
    <w:rsid w:val="7C4D0079"/>
    <w:rsid w:val="7C701FB9"/>
    <w:rsid w:val="7CA0289E"/>
    <w:rsid w:val="7CA13F21"/>
    <w:rsid w:val="7D1F2826"/>
    <w:rsid w:val="7D3B58C3"/>
    <w:rsid w:val="7D425704"/>
    <w:rsid w:val="7D4E40A8"/>
    <w:rsid w:val="7E4B4A8C"/>
    <w:rsid w:val="7E584AB3"/>
    <w:rsid w:val="7EC32874"/>
    <w:rsid w:val="7F402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6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annotation subject"/>
    <w:basedOn w:val="15"/>
    <w:next w:val="15"/>
    <w:qFormat/>
    <w:uiPriority w:val="0"/>
    <w:pPr>
      <w:adjustRightInd/>
      <w:spacing w:line="240" w:lineRule="auto"/>
      <w:textAlignment w:val="auto"/>
    </w:pPr>
  </w:style>
  <w:style w:type="paragraph" w:styleId="15">
    <w:name w:val="annotation text"/>
    <w:basedOn w:val="1"/>
    <w:qFormat/>
    <w:uiPriority w:val="0"/>
    <w:pPr>
      <w:adjustRightInd w:val="0"/>
      <w:spacing w:line="360" w:lineRule="atLeast"/>
      <w:jc w:val="left"/>
      <w:textAlignment w:val="baseline"/>
    </w:pPr>
    <w:rPr>
      <w:kern w:val="0"/>
      <w:sz w:val="24"/>
    </w:rPr>
  </w:style>
  <w:style w:type="paragraph" w:styleId="16">
    <w:name w:val="toc 7"/>
    <w:basedOn w:val="1"/>
    <w:next w:val="1"/>
    <w:qFormat/>
    <w:uiPriority w:val="0"/>
    <w:pPr>
      <w:ind w:left="1200" w:leftChars="1200"/>
    </w:pPr>
  </w:style>
  <w:style w:type="paragraph" w:styleId="17">
    <w:name w:val="Body Text First Indent"/>
    <w:basedOn w:val="1"/>
    <w:qFormat/>
    <w:uiPriority w:val="0"/>
    <w:pPr>
      <w:spacing w:line="360" w:lineRule="auto"/>
      <w:ind w:firstLine="420"/>
    </w:pPr>
    <w:rPr>
      <w:rFonts w:ascii="宋体"/>
      <w:sz w:val="24"/>
    </w:rPr>
  </w:style>
  <w:style w:type="paragraph" w:styleId="18">
    <w:name w:val="List Number 2"/>
    <w:basedOn w:val="1"/>
    <w:qFormat/>
    <w:uiPriority w:val="0"/>
    <w:pPr>
      <w:numPr>
        <w:ilvl w:val="0"/>
        <w:numId w:val="1"/>
      </w:numPr>
      <w:tabs>
        <w:tab w:val="left" w:pos="780"/>
      </w:tabs>
      <w:spacing w:line="360" w:lineRule="auto"/>
    </w:pPr>
    <w:rPr>
      <w:sz w:val="24"/>
    </w:rPr>
  </w:style>
  <w:style w:type="paragraph" w:styleId="19">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Salutation"/>
    <w:basedOn w:val="1"/>
    <w:next w:val="1"/>
    <w:qFormat/>
    <w:uiPriority w:val="0"/>
    <w:rPr>
      <w:kern w:val="0"/>
      <w:sz w:val="18"/>
    </w:rPr>
  </w:style>
  <w:style w:type="paragraph" w:styleId="25">
    <w:name w:val="Body Text 3"/>
    <w:basedOn w:val="1"/>
    <w:qFormat/>
    <w:uiPriority w:val="0"/>
    <w:pPr>
      <w:adjustRightInd w:val="0"/>
      <w:snapToGrid w:val="0"/>
      <w:spacing w:after="120" w:line="360" w:lineRule="auto"/>
    </w:pPr>
    <w:rPr>
      <w:sz w:val="16"/>
    </w:rPr>
  </w:style>
  <w:style w:type="paragraph" w:styleId="26">
    <w:name w:val="List Bullet 3"/>
    <w:basedOn w:val="1"/>
    <w:qFormat/>
    <w:uiPriority w:val="0"/>
    <w:pPr>
      <w:tabs>
        <w:tab w:val="left" w:pos="1200"/>
      </w:tabs>
      <w:adjustRightInd w:val="0"/>
      <w:snapToGrid w:val="0"/>
      <w:spacing w:line="360" w:lineRule="auto"/>
      <w:ind w:left="1200" w:hanging="360"/>
    </w:pPr>
    <w:rPr>
      <w:sz w:val="24"/>
    </w:rPr>
  </w:style>
  <w:style w:type="paragraph" w:styleId="27">
    <w:name w:val="Body Text Indent"/>
    <w:basedOn w:val="1"/>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400" w:leftChars="200" w:hanging="200" w:hangingChars="200"/>
    </w:pPr>
    <w:rPr>
      <w:sz w:val="24"/>
    </w:rPr>
  </w:style>
  <w:style w:type="paragraph" w:styleId="30">
    <w:name w:val="List Continue"/>
    <w:basedOn w:val="1"/>
    <w:qFormat/>
    <w:uiPriority w:val="0"/>
    <w:pPr>
      <w:adjustRightInd w:val="0"/>
      <w:snapToGrid w:val="0"/>
      <w:spacing w:after="120" w:line="360" w:lineRule="auto"/>
      <w:ind w:left="200" w:leftChars="200"/>
    </w:pPr>
    <w:rPr>
      <w:sz w:val="24"/>
    </w:rPr>
  </w:style>
  <w:style w:type="paragraph" w:styleId="31">
    <w:name w:val="List Bullet 2"/>
    <w:basedOn w:val="1"/>
    <w:qFormat/>
    <w:uiPriority w:val="0"/>
    <w:pPr>
      <w:numPr>
        <w:ilvl w:val="0"/>
        <w:numId w:val="2"/>
      </w:numPr>
      <w:adjustRightInd w:val="0"/>
      <w:snapToGrid w:val="0"/>
      <w:spacing w:line="360" w:lineRule="auto"/>
    </w:pPr>
    <w:rPr>
      <w:sz w:val="24"/>
    </w:rPr>
  </w:style>
  <w:style w:type="paragraph" w:styleId="32">
    <w:name w:val="toc 5"/>
    <w:basedOn w:val="1"/>
    <w:next w:val="1"/>
    <w:qFormat/>
    <w:uiPriority w:val="0"/>
    <w:pPr>
      <w:ind w:left="800" w:leftChars="800"/>
    </w:pPr>
  </w:style>
  <w:style w:type="paragraph" w:styleId="33">
    <w:name w:val="toc 3"/>
    <w:basedOn w:val="1"/>
    <w:next w:val="1"/>
    <w:qFormat/>
    <w:uiPriority w:val="39"/>
    <w:pPr>
      <w:ind w:left="400" w:leftChars="400"/>
    </w:pPr>
  </w:style>
  <w:style w:type="paragraph" w:styleId="34">
    <w:name w:val="Plain Text"/>
    <w:basedOn w:val="1"/>
    <w:qFormat/>
    <w:uiPriority w:val="0"/>
    <w:rPr>
      <w:rFonts w:ascii="宋体"/>
      <w:sz w:val="21"/>
    </w:rPr>
  </w:style>
  <w:style w:type="paragraph" w:styleId="35">
    <w:name w:val="toc 8"/>
    <w:basedOn w:val="1"/>
    <w:next w:val="1"/>
    <w:qFormat/>
    <w:uiPriority w:val="0"/>
    <w:pPr>
      <w:ind w:left="1400" w:leftChars="1400"/>
    </w:pPr>
  </w:style>
  <w:style w:type="paragraph" w:styleId="36">
    <w:name w:val="Date"/>
    <w:basedOn w:val="1"/>
    <w:next w:val="1"/>
    <w:qFormat/>
    <w:uiPriority w:val="0"/>
  </w:style>
  <w:style w:type="paragraph" w:styleId="37">
    <w:name w:val="Body Text Indent 2"/>
    <w:basedOn w:val="1"/>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294"/>
    <w:qFormat/>
    <w:uiPriority w:val="99"/>
    <w:pPr>
      <w:tabs>
        <w:tab w:val="center" w:pos="4153"/>
        <w:tab w:val="right" w:pos="8306"/>
      </w:tabs>
      <w:snapToGrid w:val="0"/>
      <w:jc w:val="left"/>
    </w:pPr>
    <w:rPr>
      <w:sz w:val="18"/>
    </w:rPr>
  </w:style>
  <w:style w:type="paragraph" w:styleId="40">
    <w:name w:val="Body Text First Indent 2"/>
    <w:basedOn w:val="27"/>
    <w:qFormat/>
    <w:uiPriority w:val="0"/>
    <w:pPr>
      <w:spacing w:after="120" w:line="240" w:lineRule="auto"/>
      <w:ind w:left="200" w:leftChars="200" w:firstLine="200" w:firstLineChars="200"/>
    </w:pPr>
  </w:style>
  <w:style w:type="paragraph" w:styleId="41">
    <w:name w:val="header"/>
    <w:basedOn w:val="1"/>
    <w:link w:val="295"/>
    <w:qFormat/>
    <w:uiPriority w:val="99"/>
    <w:pPr>
      <w:pBdr>
        <w:bottom w:val="single" w:color="auto" w:sz="6" w:space="1"/>
      </w:pBdr>
      <w:tabs>
        <w:tab w:val="center" w:pos="4153"/>
        <w:tab w:val="right" w:pos="8306"/>
      </w:tabs>
      <w:snapToGrid w:val="0"/>
      <w:jc w:val="center"/>
    </w:pPr>
    <w:rPr>
      <w:sz w:val="18"/>
    </w:rPr>
  </w:style>
  <w:style w:type="paragraph" w:styleId="42">
    <w:name w:val="toc 1"/>
    <w:basedOn w:val="1"/>
    <w:next w:val="1"/>
    <w:qFormat/>
    <w:uiPriority w:val="0"/>
    <w:pPr>
      <w:spacing w:line="180" w:lineRule="auto"/>
      <w:jc w:val="center"/>
    </w:pPr>
    <w:rPr>
      <w:sz w:val="30"/>
    </w:rPr>
  </w:style>
  <w:style w:type="paragraph" w:styleId="43">
    <w:name w:val="List Continue 4"/>
    <w:basedOn w:val="1"/>
    <w:qFormat/>
    <w:uiPriority w:val="0"/>
    <w:pPr>
      <w:adjustRightInd w:val="0"/>
      <w:snapToGrid w:val="0"/>
      <w:spacing w:after="120" w:line="360" w:lineRule="auto"/>
      <w:ind w:left="800" w:leftChars="800"/>
    </w:pPr>
    <w:rPr>
      <w:sz w:val="24"/>
    </w:rPr>
  </w:style>
  <w:style w:type="paragraph" w:styleId="44">
    <w:name w:val="toc 4"/>
    <w:basedOn w:val="1"/>
    <w:next w:val="1"/>
    <w:qFormat/>
    <w:uiPriority w:val="0"/>
    <w:pPr>
      <w:ind w:left="600" w:leftChars="600"/>
    </w:pPr>
  </w:style>
  <w:style w:type="paragraph" w:styleId="4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6">
    <w:name w:val="footnote text"/>
    <w:basedOn w:val="1"/>
    <w:qFormat/>
    <w:uiPriority w:val="0"/>
    <w:pPr>
      <w:spacing w:line="360" w:lineRule="auto"/>
    </w:pPr>
    <w:rPr>
      <w:sz w:val="18"/>
    </w:rPr>
  </w:style>
  <w:style w:type="paragraph" w:styleId="47">
    <w:name w:val="toc 6"/>
    <w:basedOn w:val="1"/>
    <w:next w:val="1"/>
    <w:qFormat/>
    <w:uiPriority w:val="0"/>
    <w:pPr>
      <w:ind w:left="1000" w:leftChars="1000"/>
    </w:pPr>
  </w:style>
  <w:style w:type="paragraph" w:styleId="48">
    <w:name w:val="List 5"/>
    <w:basedOn w:val="1"/>
    <w:qFormat/>
    <w:uiPriority w:val="0"/>
    <w:pPr>
      <w:adjustRightInd w:val="0"/>
      <w:snapToGrid w:val="0"/>
      <w:spacing w:line="360" w:lineRule="auto"/>
      <w:ind w:left="1000" w:leftChars="800" w:hanging="200" w:hangingChars="200"/>
    </w:pPr>
    <w:rPr>
      <w:sz w:val="24"/>
    </w:rPr>
  </w:style>
  <w:style w:type="paragraph" w:styleId="49">
    <w:name w:val="Body Text Indent 3"/>
    <w:basedOn w:val="1"/>
    <w:qFormat/>
    <w:uiPriority w:val="0"/>
    <w:pPr>
      <w:spacing w:line="360" w:lineRule="auto"/>
      <w:ind w:firstLine="632"/>
    </w:pPr>
    <w:rPr>
      <w:rFonts w:ascii="黑体" w:eastAsia="黑体"/>
    </w:rPr>
  </w:style>
  <w:style w:type="paragraph" w:styleId="50">
    <w:name w:val="table of figures"/>
    <w:basedOn w:val="1"/>
    <w:next w:val="1"/>
    <w:qFormat/>
    <w:uiPriority w:val="0"/>
    <w:pPr>
      <w:tabs>
        <w:tab w:val="right" w:leader="dot" w:pos="8640"/>
      </w:tabs>
      <w:spacing w:line="360" w:lineRule="auto"/>
      <w:ind w:left="400" w:hanging="400"/>
    </w:pPr>
    <w:rPr>
      <w:sz w:val="24"/>
    </w:rPr>
  </w:style>
  <w:style w:type="paragraph" w:styleId="51">
    <w:name w:val="toc 2"/>
    <w:basedOn w:val="1"/>
    <w:next w:val="1"/>
    <w:qFormat/>
    <w:uiPriority w:val="39"/>
    <w:pPr>
      <w:ind w:left="200" w:leftChars="200"/>
    </w:pPr>
  </w:style>
  <w:style w:type="paragraph" w:styleId="52">
    <w:name w:val="toc 9"/>
    <w:basedOn w:val="1"/>
    <w:next w:val="1"/>
    <w:qFormat/>
    <w:uiPriority w:val="0"/>
    <w:pPr>
      <w:ind w:left="1600" w:leftChars="1600"/>
    </w:pPr>
  </w:style>
  <w:style w:type="paragraph" w:styleId="53">
    <w:name w:val="Body Text 2"/>
    <w:basedOn w:val="1"/>
    <w:qFormat/>
    <w:uiPriority w:val="0"/>
    <w:pPr>
      <w:adjustRightInd w:val="0"/>
      <w:snapToGrid w:val="0"/>
      <w:spacing w:after="120" w:line="480" w:lineRule="auto"/>
    </w:pPr>
    <w:rPr>
      <w:sz w:val="24"/>
    </w:rPr>
  </w:style>
  <w:style w:type="paragraph" w:styleId="54">
    <w:name w:val="List 4"/>
    <w:basedOn w:val="1"/>
    <w:qFormat/>
    <w:uiPriority w:val="0"/>
    <w:pPr>
      <w:adjustRightInd w:val="0"/>
      <w:snapToGrid w:val="0"/>
      <w:spacing w:line="360" w:lineRule="auto"/>
      <w:ind w:left="800" w:leftChars="600" w:hanging="200" w:hangingChars="200"/>
    </w:pPr>
    <w:rPr>
      <w:sz w:val="24"/>
    </w:rPr>
  </w:style>
  <w:style w:type="paragraph" w:styleId="55">
    <w:name w:val="List Continue 2"/>
    <w:basedOn w:val="1"/>
    <w:qFormat/>
    <w:uiPriority w:val="0"/>
    <w:pPr>
      <w:adjustRightInd w:val="0"/>
      <w:snapToGrid w:val="0"/>
      <w:spacing w:after="120" w:line="360" w:lineRule="auto"/>
      <w:ind w:left="400" w:leftChars="400"/>
    </w:pPr>
    <w:rPr>
      <w:sz w:val="24"/>
    </w:rPr>
  </w:style>
  <w:style w:type="paragraph" w:styleId="56">
    <w:name w:val="Normal (Web)"/>
    <w:basedOn w:val="1"/>
    <w:qFormat/>
    <w:uiPriority w:val="0"/>
    <w:pPr>
      <w:widowControl/>
      <w:spacing w:before="100" w:beforeAutospacing="1" w:after="100" w:afterAutospacing="1"/>
      <w:jc w:val="left"/>
    </w:pPr>
    <w:rPr>
      <w:rFonts w:ascii="宋体"/>
      <w:kern w:val="0"/>
      <w:sz w:val="24"/>
    </w:rPr>
  </w:style>
  <w:style w:type="paragraph" w:styleId="57">
    <w:name w:val="List Continue 3"/>
    <w:basedOn w:val="1"/>
    <w:qFormat/>
    <w:uiPriority w:val="0"/>
    <w:pPr>
      <w:adjustRightInd w:val="0"/>
      <w:snapToGrid w:val="0"/>
      <w:spacing w:after="120" w:line="360" w:lineRule="auto"/>
      <w:ind w:left="600" w:leftChars="600"/>
    </w:pPr>
    <w:rPr>
      <w:sz w:val="24"/>
    </w:rPr>
  </w:style>
  <w:style w:type="paragraph" w:styleId="58">
    <w:name w:val="index 1"/>
    <w:basedOn w:val="1"/>
    <w:next w:val="1"/>
    <w:qFormat/>
    <w:uiPriority w:val="0"/>
    <w:pPr>
      <w:adjustRightInd w:val="0"/>
      <w:spacing w:line="240" w:lineRule="atLeast"/>
      <w:textAlignment w:val="baseline"/>
    </w:pPr>
    <w:rPr>
      <w:rFonts w:ascii="宋体"/>
      <w:kern w:val="0"/>
      <w:sz w:val="21"/>
    </w:rPr>
  </w:style>
  <w:style w:type="paragraph" w:styleId="59">
    <w:name w:val="Title"/>
    <w:basedOn w:val="1"/>
    <w:qFormat/>
    <w:uiPriority w:val="0"/>
    <w:pPr>
      <w:widowControl/>
      <w:spacing w:after="240" w:line="360" w:lineRule="auto"/>
      <w:jc w:val="center"/>
    </w:pPr>
    <w:rPr>
      <w:rFonts w:ascii="Arial" w:hAnsi="Arial"/>
      <w:b/>
      <w:smallCaps/>
      <w:kern w:val="28"/>
      <w:sz w:val="36"/>
    </w:r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9">
    <w:name w:val="正文 + 三号 Char"/>
    <w:qFormat/>
    <w:uiPriority w:val="0"/>
    <w:rPr>
      <w:rFonts w:eastAsia="宋体"/>
      <w:kern w:val="2"/>
      <w:sz w:val="21"/>
      <w:lang w:val="en-US" w:eastAsia="zh-CN"/>
    </w:rPr>
  </w:style>
  <w:style w:type="character" w:customStyle="1" w:styleId="70">
    <w:name w:val="正文文本缩进 Char"/>
    <w:qFormat/>
    <w:uiPriority w:val="0"/>
    <w:rPr>
      <w:kern w:val="2"/>
      <w:sz w:val="44"/>
    </w:rPr>
  </w:style>
  <w:style w:type="character" w:customStyle="1" w:styleId="71">
    <w:name w:val="日期 字符1"/>
    <w:qFormat/>
    <w:uiPriority w:val="0"/>
    <w:rPr>
      <w:rFonts w:ascii="Times New Roman" w:hAnsi="Times New Roman" w:eastAsia="宋体" w:cs="Times New Roman"/>
      <w:kern w:val="2"/>
      <w:sz w:val="28"/>
    </w:rPr>
  </w:style>
  <w:style w:type="character" w:customStyle="1" w:styleId="72">
    <w:name w:val="H2 Char"/>
    <w:qFormat/>
    <w:uiPriority w:val="0"/>
    <w:rPr>
      <w:rFonts w:ascii="Arial" w:hAnsi="Arial" w:eastAsia="宋体"/>
      <w:kern w:val="2"/>
      <w:sz w:val="28"/>
      <w:lang w:val="en-US" w:eastAsia="zh-CN"/>
    </w:rPr>
  </w:style>
  <w:style w:type="character" w:customStyle="1" w:styleId="73">
    <w:name w:val="无"/>
    <w:qFormat/>
    <w:uiPriority w:val="0"/>
    <w:rPr>
      <w:rFonts w:ascii="Times New Roman" w:hAnsi="Times New Roman" w:eastAsia="宋体" w:cs="Times New Roman"/>
    </w:rPr>
  </w:style>
  <w:style w:type="character" w:customStyle="1" w:styleId="74">
    <w:name w:val="日期 Char"/>
    <w:qFormat/>
    <w:uiPriority w:val="0"/>
    <w:rPr>
      <w:kern w:val="2"/>
      <w:sz w:val="28"/>
    </w:rPr>
  </w:style>
  <w:style w:type="paragraph" w:customStyle="1" w:styleId="75">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6">
    <w:name w:val="标题 3 Char1"/>
    <w:qFormat/>
    <w:uiPriority w:val="0"/>
    <w:rPr>
      <w:rFonts w:eastAsia="宋体"/>
      <w:b/>
      <w:kern w:val="2"/>
      <w:sz w:val="32"/>
      <w:lang w:val="en-US" w:eastAsia="zh-CN"/>
    </w:rPr>
  </w:style>
  <w:style w:type="character" w:customStyle="1" w:styleId="77">
    <w:name w:val="标题 3 字符1"/>
    <w:qFormat/>
    <w:uiPriority w:val="0"/>
    <w:rPr>
      <w:rFonts w:eastAsia="宋体"/>
      <w:b/>
      <w:kern w:val="2"/>
      <w:sz w:val="32"/>
      <w:lang w:val="en-US" w:eastAsia="zh-CN"/>
    </w:rPr>
  </w:style>
  <w:style w:type="character" w:customStyle="1" w:styleId="78">
    <w:name w:val="未命名11"/>
    <w:qFormat/>
    <w:uiPriority w:val="0"/>
    <w:rPr>
      <w:color w:val="77FFFF"/>
      <w:sz w:val="24"/>
    </w:rPr>
  </w:style>
  <w:style w:type="character" w:customStyle="1" w:styleId="79">
    <w:name w:val="小 Char"/>
    <w:qFormat/>
    <w:uiPriority w:val="0"/>
    <w:rPr>
      <w:rFonts w:ascii="宋体" w:eastAsia="宋体"/>
      <w:kern w:val="2"/>
      <w:sz w:val="21"/>
      <w:lang w:val="en-US" w:eastAsia="zh-CN" w:bidi="ar-SA"/>
    </w:rPr>
  </w:style>
  <w:style w:type="paragraph" w:customStyle="1" w:styleId="80">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标书正文:  0.74 厘米 Char1"/>
    <w:qFormat/>
    <w:uiPriority w:val="0"/>
    <w:rPr>
      <w:rFonts w:eastAsia="宋体"/>
      <w:kern w:val="2"/>
      <w:sz w:val="24"/>
      <w:lang w:val="en-US" w:eastAsia="zh-CN"/>
    </w:rPr>
  </w:style>
  <w:style w:type="character" w:customStyle="1" w:styleId="82">
    <w:name w:val="Char Char4"/>
    <w:qFormat/>
    <w:uiPriority w:val="0"/>
    <w:rPr>
      <w:rFonts w:eastAsia="宋体"/>
      <w:b/>
      <w:kern w:val="2"/>
      <w:sz w:val="21"/>
      <w:lang w:val="en-US" w:eastAsia="zh-CN"/>
    </w:rPr>
  </w:style>
  <w:style w:type="character" w:customStyle="1" w:styleId="83">
    <w:name w:val="title_emph1"/>
    <w:qFormat/>
    <w:uiPriority w:val="0"/>
    <w:rPr>
      <w:rFonts w:ascii="Arial" w:hAnsi="Arial"/>
      <w:b/>
      <w:sz w:val="20"/>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正文文本缩进 字符1"/>
    <w:qFormat/>
    <w:locked/>
    <w:uiPriority w:val="0"/>
    <w:rPr>
      <w:kern w:val="2"/>
      <w:sz w:val="44"/>
    </w:rPr>
  </w:style>
  <w:style w:type="character" w:customStyle="1" w:styleId="86">
    <w:name w:val="样式 宋体"/>
    <w:qFormat/>
    <w:uiPriority w:val="0"/>
    <w:rPr>
      <w:rFonts w:ascii="宋体" w:eastAsia="宋体"/>
      <w:sz w:val="28"/>
    </w:rPr>
  </w:style>
  <w:style w:type="character" w:customStyle="1" w:styleId="87">
    <w:name w:val="标题 2 字符1"/>
    <w:qFormat/>
    <w:uiPriority w:val="0"/>
    <w:rPr>
      <w:rFonts w:ascii="宋体" w:eastAsia="宋体" w:cs="Times New Roman"/>
      <w:kern w:val="2"/>
      <w:sz w:val="28"/>
    </w:rPr>
  </w:style>
  <w:style w:type="character" w:customStyle="1" w:styleId="88">
    <w:name w:val="Char Char5"/>
    <w:qFormat/>
    <w:uiPriority w:val="0"/>
    <w:rPr>
      <w:rFonts w:ascii="Arial" w:hAnsi="Arial" w:eastAsia="宋体"/>
      <w:b/>
      <w:smallCaps/>
      <w:kern w:val="28"/>
      <w:sz w:val="36"/>
      <w:lang w:val="en-US"/>
    </w:rPr>
  </w:style>
  <w:style w:type="paragraph" w:styleId="89">
    <w:name w:val="List Paragraph"/>
    <w:basedOn w:val="1"/>
    <w:qFormat/>
    <w:uiPriority w:val="0"/>
    <w:pPr>
      <w:ind w:firstLine="200" w:firstLineChars="200"/>
    </w:pPr>
    <w:rPr>
      <w:sz w:val="21"/>
      <w:szCs w:val="22"/>
    </w:rPr>
  </w:style>
  <w:style w:type="character" w:customStyle="1" w:styleId="90">
    <w:name w:val="Char Char2"/>
    <w:qFormat/>
    <w:uiPriority w:val="0"/>
    <w:rPr>
      <w:rFonts w:eastAsia="宋体"/>
      <w:kern w:val="2"/>
      <w:sz w:val="18"/>
      <w:lang w:val="en-US" w:eastAsia="zh-CN"/>
    </w:rPr>
  </w:style>
  <w:style w:type="character" w:customStyle="1" w:styleId="91">
    <w:name w:val="标题 2 Char"/>
    <w:qFormat/>
    <w:uiPriority w:val="0"/>
    <w:rPr>
      <w:rFonts w:ascii="Arial" w:hAnsi="Arial" w:eastAsia="黑体"/>
      <w:b/>
      <w:kern w:val="2"/>
      <w:sz w:val="32"/>
    </w:rPr>
  </w:style>
  <w:style w:type="character" w:customStyle="1" w:styleId="92">
    <w:name w:val="Table Text Char1 Char"/>
    <w:qFormat/>
    <w:uiPriority w:val="0"/>
    <w:rPr>
      <w:rFonts w:ascii="Arial" w:hAnsi="Arial"/>
      <w:kern w:val="2"/>
      <w:sz w:val="18"/>
      <w:lang w:val="en-US" w:eastAsia="zh-CN" w:bidi="ar-SA"/>
    </w:rPr>
  </w:style>
  <w:style w:type="character" w:customStyle="1" w:styleId="93">
    <w:name w:val="Char Char6"/>
    <w:qFormat/>
    <w:uiPriority w:val="0"/>
    <w:rPr>
      <w:rFonts w:ascii="仿宋_GB2312" w:eastAsia="仿宋_GB2312"/>
      <w:kern w:val="2"/>
      <w:sz w:val="32"/>
    </w:rPr>
  </w:style>
  <w:style w:type="character" w:customStyle="1" w:styleId="94">
    <w:name w:val="content-white1"/>
    <w:qFormat/>
    <w:uiPriority w:val="0"/>
    <w:rPr>
      <w:rFonts w:ascii="_x000B__x000C_" w:hAnsi="_x000B__x000C_"/>
      <w:color w:val="auto"/>
      <w:sz w:val="18"/>
      <w:u w:val="none"/>
    </w:rPr>
  </w:style>
  <w:style w:type="character" w:customStyle="1" w:styleId="95">
    <w:name w:val="fontstyle01"/>
    <w:qFormat/>
    <w:uiPriority w:val="0"/>
    <w:rPr>
      <w:rFonts w:ascii="宋体" w:eastAsia="宋体"/>
      <w:color w:val="000000"/>
      <w:sz w:val="24"/>
      <w:szCs w:val="24"/>
    </w:rPr>
  </w:style>
  <w:style w:type="character" w:customStyle="1" w:styleId="96">
    <w:name w:val="Char Char7"/>
    <w:qFormat/>
    <w:uiPriority w:val="0"/>
    <w:rPr>
      <w:rFonts w:ascii="宋体" w:eastAsia="宋体"/>
      <w:kern w:val="2"/>
      <w:sz w:val="28"/>
    </w:rPr>
  </w:style>
  <w:style w:type="character" w:customStyle="1" w:styleId="97">
    <w:name w:val="标题 3 Char"/>
    <w:qFormat/>
    <w:uiPriority w:val="0"/>
    <w:rPr>
      <w:rFonts w:eastAsia="宋体"/>
      <w:b/>
      <w:kern w:val="2"/>
      <w:sz w:val="32"/>
      <w:lang w:val="en-US" w:eastAsia="zh-CN"/>
    </w:rPr>
  </w:style>
  <w:style w:type="character" w:customStyle="1" w:styleId="98">
    <w:name w:val="crowed11"/>
    <w:qFormat/>
    <w:uiPriority w:val="0"/>
    <w:rPr>
      <w:rFonts w:ascii="_x000B__x000C_" w:hAnsi="_x000B__x000C_"/>
      <w:sz w:val="24"/>
    </w:rPr>
  </w:style>
  <w:style w:type="paragraph" w:customStyle="1" w:styleId="99">
    <w:name w:val="文字"/>
    <w:basedOn w:val="1"/>
    <w:qFormat/>
    <w:uiPriority w:val="0"/>
    <w:pPr>
      <w:tabs>
        <w:tab w:val="left" w:pos="8520"/>
      </w:tabs>
      <w:spacing w:line="312" w:lineRule="auto"/>
      <w:ind w:right="-210" w:firstLine="556"/>
    </w:pPr>
    <w:rPr>
      <w:rFonts w:ascii="宋体"/>
    </w:rPr>
  </w:style>
  <w:style w:type="character" w:customStyle="1" w:styleId="100">
    <w:name w:val="Char Char3"/>
    <w:qFormat/>
    <w:uiPriority w:val="0"/>
    <w:rPr>
      <w:rFonts w:eastAsia="宋体"/>
      <w:kern w:val="2"/>
      <w:sz w:val="18"/>
      <w:lang w:val="en-US" w:eastAsia="zh-CN"/>
    </w:rPr>
  </w:style>
  <w:style w:type="character" w:customStyle="1" w:styleId="101">
    <w:name w:val="font1"/>
    <w:qFormat/>
    <w:uiPriority w:val="0"/>
    <w:rPr>
      <w:color w:val="000000"/>
      <w:sz w:val="18"/>
    </w:rPr>
  </w:style>
  <w:style w:type="character" w:customStyle="1" w:styleId="102">
    <w:name w:val="v151"/>
    <w:qFormat/>
    <w:uiPriority w:val="0"/>
    <w:rPr>
      <w:sz w:val="18"/>
    </w:rPr>
  </w:style>
  <w:style w:type="character" w:customStyle="1" w:styleId="103">
    <w:name w:val="Char Char11"/>
    <w:qFormat/>
    <w:uiPriority w:val="0"/>
    <w:rPr>
      <w:rFonts w:ascii="宋体"/>
      <w:kern w:val="2"/>
      <w:sz w:val="28"/>
    </w:rPr>
  </w:style>
  <w:style w:type="character" w:customStyle="1" w:styleId="104">
    <w:name w:val="Char Char"/>
    <w:qFormat/>
    <w:uiPriority w:val="0"/>
    <w:rPr>
      <w:rFonts w:ascii="宋体" w:eastAsia="宋体"/>
      <w:kern w:val="2"/>
      <w:sz w:val="24"/>
      <w:lang w:val="en-US" w:eastAsia="zh-CN" w:bidi="ar-SA"/>
    </w:rPr>
  </w:style>
  <w:style w:type="paragraph" w:customStyle="1" w:styleId="105">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6">
    <w:name w:val="_Style 121"/>
    <w:qFormat/>
    <w:uiPriority w:val="0"/>
    <w:rPr>
      <w:color w:val="605E5C"/>
      <w:shd w:val="clear" w:color="auto" w:fill="E1DFDD"/>
    </w:rPr>
  </w:style>
  <w:style w:type="character" w:customStyle="1" w:styleId="107">
    <w:name w:val="top-det1"/>
    <w:qFormat/>
    <w:uiPriority w:val="0"/>
    <w:rPr>
      <w:b/>
      <w:color w:val="000000"/>
    </w:rPr>
  </w:style>
  <w:style w:type="paragraph" w:customStyle="1" w:styleId="108">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首行缩进 1"/>
    <w:basedOn w:val="1"/>
    <w:qFormat/>
    <w:uiPriority w:val="0"/>
    <w:pPr>
      <w:spacing w:after="120" w:line="360" w:lineRule="auto"/>
      <w:ind w:firstLine="200" w:firstLineChars="200"/>
    </w:pPr>
    <w:rPr>
      <w:sz w:val="24"/>
    </w:rPr>
  </w:style>
  <w:style w:type="paragraph" w:customStyle="1" w:styleId="111">
    <w:name w:val="IN Feature"/>
    <w:next w:val="11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3">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4">
    <w:name w:val="Table Contents"/>
    <w:basedOn w:val="2"/>
    <w:qFormat/>
    <w:uiPriority w:val="0"/>
    <w:pPr>
      <w:suppressAutoHyphens/>
      <w:jc w:val="left"/>
    </w:pPr>
    <w:rPr>
      <w:rFonts w:ascii="Times New Roman" w:hAnsi="Times New Roman" w:eastAsia="Times New Roman"/>
      <w:kern w:val="0"/>
      <w:sz w:val="24"/>
    </w:rPr>
  </w:style>
  <w:style w:type="paragraph" w:customStyle="1" w:styleId="11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6">
    <w:name w:val="1.正文"/>
    <w:basedOn w:val="1"/>
    <w:qFormat/>
    <w:uiPriority w:val="0"/>
    <w:pPr>
      <w:spacing w:line="360" w:lineRule="auto"/>
      <w:ind w:left="225" w:leftChars="225" w:firstLine="225" w:firstLineChars="225"/>
    </w:pPr>
    <w:rPr>
      <w:sz w:val="24"/>
    </w:rPr>
  </w:style>
  <w:style w:type="paragraph" w:customStyle="1" w:styleId="117">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18">
    <w:name w:val="正文文本 21"/>
    <w:basedOn w:val="1"/>
    <w:qFormat/>
    <w:uiPriority w:val="0"/>
    <w:pPr>
      <w:adjustRightInd w:val="0"/>
      <w:spacing w:before="120" w:line="360" w:lineRule="auto"/>
      <w:ind w:firstLine="480"/>
      <w:textAlignment w:val="baseline"/>
    </w:pPr>
    <w:rPr>
      <w:sz w:val="24"/>
    </w:r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标准正文"/>
    <w:basedOn w:val="27"/>
    <w:qFormat/>
    <w:uiPriority w:val="0"/>
    <w:pPr>
      <w:spacing w:before="60" w:after="60" w:line="360" w:lineRule="auto"/>
      <w:ind w:left="0" w:firstLine="482"/>
    </w:pPr>
    <w:rPr>
      <w:rFonts w:ascii="Arial" w:hAnsi="Arial"/>
      <w:sz w:val="24"/>
    </w:rPr>
  </w:style>
  <w:style w:type="paragraph" w:customStyle="1" w:styleId="121">
    <w:name w:val="段落正文"/>
    <w:basedOn w:val="1"/>
    <w:qFormat/>
    <w:uiPriority w:val="0"/>
    <w:pPr>
      <w:spacing w:beforeLines="50" w:line="360" w:lineRule="auto"/>
      <w:ind w:firstLine="200" w:firstLineChars="200"/>
    </w:pPr>
    <w:rPr>
      <w:spacing w:val="2"/>
      <w:sz w:val="24"/>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二级列表"/>
    <w:basedOn w:val="121"/>
    <w:next w:val="121"/>
    <w:qFormat/>
    <w:uiPriority w:val="0"/>
    <w:pPr>
      <w:tabs>
        <w:tab w:val="left" w:pos="2120"/>
      </w:tabs>
      <w:ind w:firstLine="0" w:firstLineChars="0"/>
    </w:pPr>
    <w:rPr>
      <w:b/>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6">
    <w:name w:val="摘要"/>
    <w:basedOn w:val="1"/>
    <w:next w:val="5"/>
    <w:qFormat/>
    <w:uiPriority w:val="0"/>
    <w:pPr>
      <w:spacing w:line="360" w:lineRule="auto"/>
    </w:pPr>
    <w:rPr>
      <w:rFonts w:eastAsia="黑体"/>
      <w:sz w:val="20"/>
    </w:rPr>
  </w:style>
  <w:style w:type="paragraph" w:customStyle="1" w:styleId="127">
    <w:name w:val="正文文本缩进 21"/>
    <w:basedOn w:val="1"/>
    <w:qFormat/>
    <w:uiPriority w:val="0"/>
    <w:pPr>
      <w:adjustRightInd w:val="0"/>
      <w:spacing w:before="120"/>
      <w:ind w:firstLine="420"/>
      <w:textAlignment w:val="baseline"/>
    </w:pPr>
    <w:rPr>
      <w:sz w:val="24"/>
    </w:rPr>
  </w:style>
  <w:style w:type="paragraph" w:customStyle="1" w:styleId="128">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29">
    <w:name w:val="正文4"/>
    <w:basedOn w:val="1"/>
    <w:qFormat/>
    <w:uiPriority w:val="0"/>
    <w:pPr>
      <w:tabs>
        <w:tab w:val="left" w:pos="1275"/>
      </w:tabs>
      <w:spacing w:before="60" w:after="60" w:line="360" w:lineRule="auto"/>
      <w:ind w:left="1105" w:leftChars="400" w:hanging="705"/>
    </w:pPr>
    <w:rPr>
      <w:sz w:val="24"/>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1">
    <w:name w:val="Style Heading 3h3Heading 3 - oldLevel 3 HeadH3level_3PIM 3se..."/>
    <w:basedOn w:val="6"/>
    <w:qFormat/>
    <w:uiPriority w:val="0"/>
    <w:pPr>
      <w:tabs>
        <w:tab w:val="left" w:pos="0"/>
        <w:tab w:val="left" w:pos="709"/>
      </w:tabs>
      <w:ind w:left="1620" w:hanging="360"/>
    </w:pPr>
  </w:style>
  <w:style w:type="paragraph" w:customStyle="1" w:styleId="13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3">
    <w:name w:val="样式 标题 1 + 居中 段前: 6 磅 段后: 6 磅 行距: 1.5 倍行距"/>
    <w:basedOn w:val="4"/>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5">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6">
    <w:name w:val="00"/>
    <w:basedOn w:val="1"/>
    <w:qFormat/>
    <w:uiPriority w:val="0"/>
    <w:pPr>
      <w:autoSpaceDE w:val="0"/>
      <w:autoSpaceDN w:val="0"/>
      <w:adjustRightInd w:val="0"/>
      <w:jc w:val="left"/>
    </w:pPr>
    <w:rPr>
      <w:rFonts w:ascii="黑体" w:eastAsia="黑体"/>
      <w:b/>
      <w:kern w:val="0"/>
      <w:sz w:val="20"/>
    </w:rPr>
  </w:style>
  <w:style w:type="paragraph" w:customStyle="1" w:styleId="137">
    <w:name w:val="正文 + 三号"/>
    <w:basedOn w:val="1"/>
    <w:qFormat/>
    <w:uiPriority w:val="0"/>
    <w:rPr>
      <w:sz w:val="21"/>
    </w:rPr>
  </w:style>
  <w:style w:type="paragraph" w:customStyle="1" w:styleId="138">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39">
    <w:name w:val="一级条标题"/>
    <w:basedOn w:val="138"/>
    <w:next w:val="122"/>
    <w:qFormat/>
    <w:uiPriority w:val="0"/>
    <w:pPr>
      <w:numPr>
        <w:ilvl w:val="0"/>
        <w:numId w:val="0"/>
      </w:numPr>
      <w:spacing w:beforeLines="0" w:afterLines="0"/>
      <w:ind w:left="525"/>
      <w:outlineLvl w:val="2"/>
    </w:pPr>
    <w:rPr>
      <w:sz w:val="21"/>
    </w:rPr>
  </w:style>
  <w:style w:type="paragraph" w:customStyle="1" w:styleId="140">
    <w:name w:val="二级条标题"/>
    <w:basedOn w:val="139"/>
    <w:next w:val="122"/>
    <w:qFormat/>
    <w:uiPriority w:val="0"/>
    <w:pPr>
      <w:ind w:left="840"/>
      <w:outlineLvl w:val="3"/>
    </w:pPr>
  </w:style>
  <w:style w:type="paragraph" w:customStyle="1" w:styleId="141">
    <w:name w:val="文本框样式1"/>
    <w:basedOn w:val="1"/>
    <w:qFormat/>
    <w:uiPriority w:val="0"/>
    <w:pPr>
      <w:adjustRightInd w:val="0"/>
      <w:snapToGrid w:val="0"/>
      <w:spacing w:before="60" w:line="180" w:lineRule="exact"/>
      <w:jc w:val="center"/>
    </w:pPr>
    <w:rPr>
      <w:sz w:val="21"/>
    </w:rPr>
  </w:style>
  <w:style w:type="paragraph" w:customStyle="1" w:styleId="14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3">
    <w:name w:val="af"/>
    <w:basedOn w:val="1"/>
    <w:qFormat/>
    <w:uiPriority w:val="0"/>
    <w:pPr>
      <w:widowControl/>
      <w:spacing w:line="300" w:lineRule="atLeast"/>
      <w:jc w:val="left"/>
    </w:pPr>
    <w:rPr>
      <w:rFonts w:ascii="宋体"/>
      <w:kern w:val="0"/>
      <w:sz w:val="18"/>
    </w:rPr>
  </w:style>
  <w:style w:type="paragraph" w:customStyle="1" w:styleId="144">
    <w:name w:val="Char Char1"/>
    <w:basedOn w:val="1"/>
    <w:qFormat/>
    <w:uiPriority w:val="0"/>
    <w:pPr>
      <w:widowControl/>
      <w:spacing w:after="160" w:line="240" w:lineRule="exact"/>
      <w:jc w:val="left"/>
    </w:pPr>
    <w:rPr>
      <w:rFonts w:ascii="Verdana" w:hAnsi="Verdana"/>
      <w:kern w:val="0"/>
      <w:sz w:val="20"/>
    </w:rPr>
  </w:style>
  <w:style w:type="paragraph" w:customStyle="1" w:styleId="145">
    <w:name w:val="没有缩进（为图形使用）"/>
    <w:basedOn w:val="1"/>
    <w:qFormat/>
    <w:uiPriority w:val="0"/>
    <w:pPr>
      <w:spacing w:before="120" w:after="120" w:line="360" w:lineRule="auto"/>
    </w:pPr>
    <w:rPr>
      <w:sz w:val="24"/>
    </w:rPr>
  </w:style>
  <w:style w:type="paragraph" w:customStyle="1" w:styleId="146">
    <w:name w:val="样式1"/>
    <w:basedOn w:val="7"/>
    <w:qFormat/>
    <w:uiPriority w:val="0"/>
    <w:pPr>
      <w:tabs>
        <w:tab w:val="left" w:pos="720"/>
      </w:tabs>
      <w:spacing w:before="500" w:after="260" w:line="560" w:lineRule="atLeast"/>
      <w:ind w:left="420" w:hanging="420"/>
    </w:pPr>
  </w:style>
  <w:style w:type="paragraph" w:customStyle="1" w:styleId="147">
    <w:name w:val="文章正文"/>
    <w:basedOn w:val="1"/>
    <w:qFormat/>
    <w:uiPriority w:val="0"/>
    <w:pPr>
      <w:ind w:firstLine="200" w:firstLineChars="200"/>
    </w:pPr>
    <w:rPr>
      <w:rFonts w:ascii="仿宋_GB2312" w:eastAsia="仿宋_GB2312"/>
      <w:color w:val="000000"/>
    </w:rPr>
  </w:style>
  <w:style w:type="paragraph" w:customStyle="1" w:styleId="14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9">
    <w:name w:val="Char Char Char Char Char"/>
    <w:basedOn w:val="1"/>
    <w:qFormat/>
    <w:uiPriority w:val="0"/>
    <w:pPr>
      <w:tabs>
        <w:tab w:val="left" w:pos="425"/>
      </w:tabs>
      <w:ind w:left="1620" w:hanging="360"/>
    </w:pPr>
    <w:rPr>
      <w:rFonts w:ascii="Tahoma" w:hAnsi="Tahoma"/>
      <w:sz w:val="24"/>
    </w:rPr>
  </w:style>
  <w:style w:type="paragraph" w:customStyle="1" w:styleId="150">
    <w:name w:val="默认段落字体 Para Char Char Char Char Char Char Char"/>
    <w:basedOn w:val="1"/>
    <w:qFormat/>
    <w:uiPriority w:val="0"/>
    <w:rPr>
      <w:rFonts w:ascii="Tahoma" w:hAnsi="Tahoma"/>
      <w:sz w:val="24"/>
    </w:rPr>
  </w:style>
  <w:style w:type="paragraph" w:customStyle="1" w:styleId="151">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Char"/>
    <w:basedOn w:val="1"/>
    <w:qFormat/>
    <w:uiPriority w:val="0"/>
    <w:pPr>
      <w:spacing w:line="240" w:lineRule="atLeast"/>
      <w:ind w:left="420" w:firstLine="420"/>
    </w:pPr>
    <w:rPr>
      <w:kern w:val="0"/>
      <w:sz w:val="21"/>
    </w:rPr>
  </w:style>
  <w:style w:type="paragraph" w:customStyle="1" w:styleId="154">
    <w:name w:val="图片文字"/>
    <w:basedOn w:val="1"/>
    <w:qFormat/>
    <w:uiPriority w:val="0"/>
    <w:pPr>
      <w:spacing w:line="240" w:lineRule="atLeast"/>
      <w:jc w:val="center"/>
    </w:pPr>
    <w:rPr>
      <w:sz w:val="21"/>
    </w:rPr>
  </w:style>
  <w:style w:type="paragraph" w:customStyle="1" w:styleId="155">
    <w:name w:val="样式 宋体 五号 两端对齐 行距: 单倍行距"/>
    <w:basedOn w:val="1"/>
    <w:qFormat/>
    <w:uiPriority w:val="0"/>
    <w:pPr>
      <w:adjustRightInd w:val="0"/>
      <w:textAlignment w:val="baseline"/>
    </w:pPr>
    <w:rPr>
      <w:rFonts w:ascii="宋体"/>
      <w:kern w:val="0"/>
      <w:sz w:val="21"/>
    </w:rPr>
  </w:style>
  <w:style w:type="paragraph" w:customStyle="1" w:styleId="156">
    <w:name w:val="_Style 173"/>
    <w:qFormat/>
    <w:uiPriority w:val="0"/>
    <w:rPr>
      <w:rFonts w:ascii="Calibri" w:hAnsi="Calibri" w:eastAsia="宋体" w:cs="Times New Roman"/>
      <w:kern w:val="2"/>
      <w:sz w:val="21"/>
      <w:lang w:val="en-US" w:eastAsia="zh-CN" w:bidi="ar-SA"/>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Title - Date"/>
    <w:basedOn w:val="59"/>
    <w:next w:val="1"/>
    <w:qFormat/>
    <w:uiPriority w:val="0"/>
    <w:pPr>
      <w:spacing w:before="240" w:after="720"/>
    </w:pPr>
    <w:rPr>
      <w:sz w:val="28"/>
    </w:r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1">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2">
    <w:name w:val="Note"/>
    <w:basedOn w:val="1"/>
    <w:qFormat/>
    <w:uiPriority w:val="0"/>
    <w:pPr>
      <w:pBdr>
        <w:top w:val="single" w:color="auto" w:sz="12" w:space="3"/>
        <w:bottom w:val="single" w:color="auto" w:sz="12" w:space="3"/>
      </w:pBdr>
      <w:spacing w:line="360" w:lineRule="auto"/>
    </w:pPr>
    <w:rPr>
      <w:sz w:val="24"/>
    </w:rPr>
  </w:style>
  <w:style w:type="paragraph" w:customStyle="1" w:styleId="163">
    <w:name w:val="Bullets"/>
    <w:basedOn w:val="1"/>
    <w:qFormat/>
    <w:uiPriority w:val="0"/>
    <w:pPr>
      <w:widowControl/>
      <w:adjustRightInd w:val="0"/>
      <w:snapToGrid w:val="0"/>
      <w:spacing w:before="60" w:after="60"/>
    </w:pPr>
    <w:rPr>
      <w:kern w:val="0"/>
      <w:sz w:val="24"/>
      <w:lang w:val="en-GB"/>
    </w:rPr>
  </w:style>
  <w:style w:type="paragraph" w:customStyle="1" w:styleId="164">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5">
    <w:name w:val="表格内文字"/>
    <w:basedOn w:val="34"/>
    <w:qFormat/>
    <w:uiPriority w:val="0"/>
    <w:pPr>
      <w:adjustRightInd w:val="0"/>
    </w:pPr>
    <w:rPr>
      <w:color w:val="000000"/>
      <w:lang w:val="en-GB"/>
    </w:rPr>
  </w:style>
  <w:style w:type="paragraph" w:customStyle="1" w:styleId="166">
    <w:name w:val="Char2 Char Char Char Char Char Char"/>
    <w:basedOn w:val="1"/>
    <w:qFormat/>
    <w:uiPriority w:val="0"/>
    <w:rPr>
      <w:rFonts w:ascii="仿宋_GB2312" w:hAnsi="仿宋_GB2312"/>
      <w:b/>
      <w:sz w:val="30"/>
    </w:rPr>
  </w:style>
  <w:style w:type="paragraph" w:customStyle="1" w:styleId="167">
    <w:name w:val="样式 正文缩进正文（首行缩进两字）表正文正文非缩进特点标题4段1 + 首行缩进:  2 字符"/>
    <w:basedOn w:val="20"/>
    <w:qFormat/>
    <w:uiPriority w:val="0"/>
    <w:pPr>
      <w:ind w:firstLine="200" w:firstLineChars="200"/>
    </w:pPr>
  </w:style>
  <w:style w:type="paragraph" w:customStyle="1" w:styleId="168">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6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0">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2">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3">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4">
    <w:name w:val="Char Char1 Char"/>
    <w:basedOn w:val="1"/>
    <w:qFormat/>
    <w:uiPriority w:val="0"/>
    <w:rPr>
      <w:rFonts w:ascii="Tahoma" w:hAnsi="Tahoma"/>
      <w:sz w:val="24"/>
      <w:szCs w:val="24"/>
    </w:rPr>
  </w:style>
  <w:style w:type="paragraph" w:customStyle="1" w:styleId="17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6">
    <w:name w:val="附录1"/>
    <w:basedOn w:val="1"/>
    <w:next w:val="1"/>
    <w:qFormat/>
    <w:uiPriority w:val="0"/>
    <w:pPr>
      <w:tabs>
        <w:tab w:val="left" w:pos="1304"/>
      </w:tabs>
      <w:ind w:left="425" w:hanging="425"/>
      <w:outlineLvl w:val="0"/>
    </w:pPr>
    <w:rPr>
      <w:rFonts w:ascii="黑体" w:eastAsia="黑体"/>
      <w:b/>
      <w:sz w:val="44"/>
    </w:rPr>
  </w:style>
  <w:style w:type="paragraph" w:customStyle="1" w:styleId="177">
    <w:name w:val="样式2"/>
    <w:basedOn w:val="7"/>
    <w:qFormat/>
    <w:uiPriority w:val="0"/>
    <w:pPr>
      <w:numPr>
        <w:ilvl w:val="0"/>
        <w:numId w:val="9"/>
      </w:numPr>
      <w:spacing w:before="560" w:line="400" w:lineRule="exact"/>
      <w:jc w:val="center"/>
      <w:outlineLvl w:val="0"/>
    </w:pPr>
    <w:rPr>
      <w:b w:val="0"/>
      <w:sz w:val="44"/>
    </w:rPr>
  </w:style>
  <w:style w:type="paragraph" w:customStyle="1" w:styleId="178">
    <w:name w:val="样式 首行缩进:  0.74 厘米"/>
    <w:basedOn w:val="1"/>
    <w:qFormat/>
    <w:uiPriority w:val="0"/>
    <w:pPr>
      <w:spacing w:line="360" w:lineRule="auto"/>
      <w:ind w:firstLine="420"/>
    </w:pPr>
    <w:rPr>
      <w:sz w:val="24"/>
    </w:rPr>
  </w:style>
  <w:style w:type="paragraph" w:customStyle="1" w:styleId="179">
    <w:name w:val="简单回函地址"/>
    <w:basedOn w:val="1"/>
    <w:qFormat/>
    <w:uiPriority w:val="0"/>
    <w:pPr>
      <w:adjustRightInd w:val="0"/>
      <w:snapToGrid w:val="0"/>
      <w:spacing w:line="360" w:lineRule="auto"/>
    </w:pPr>
    <w:rPr>
      <w:sz w:val="24"/>
    </w:rPr>
  </w:style>
  <w:style w:type="paragraph" w:customStyle="1" w:styleId="180">
    <w:name w:val="内容标题"/>
    <w:basedOn w:val="22"/>
    <w:qFormat/>
    <w:uiPriority w:val="0"/>
    <w:rPr>
      <w:rFonts w:ascii="Tahoma" w:hAnsi="Tahoma"/>
      <w:sz w:val="24"/>
    </w:rPr>
  </w:style>
  <w:style w:type="paragraph" w:customStyle="1" w:styleId="181">
    <w:name w:val="1"/>
    <w:basedOn w:val="1"/>
    <w:next w:val="34"/>
    <w:qFormat/>
    <w:uiPriority w:val="0"/>
    <w:rPr>
      <w:rFonts w:ascii="宋体"/>
      <w:sz w:val="21"/>
    </w:rPr>
  </w:style>
  <w:style w:type="paragraph" w:customStyle="1" w:styleId="182">
    <w:name w:val="_Style 3"/>
    <w:basedOn w:val="1"/>
    <w:qFormat/>
    <w:uiPriority w:val="0"/>
    <w:pPr>
      <w:ind w:firstLine="200" w:firstLineChars="200"/>
    </w:pPr>
    <w:rPr>
      <w:sz w:val="21"/>
      <w:szCs w:val="24"/>
    </w:rPr>
  </w:style>
  <w:style w:type="paragraph" w:customStyle="1" w:styleId="183">
    <w:name w:val="关键词"/>
    <w:basedOn w:val="1"/>
    <w:next w:val="1"/>
    <w:qFormat/>
    <w:uiPriority w:val="0"/>
    <w:pPr>
      <w:spacing w:line="360" w:lineRule="auto"/>
    </w:pPr>
    <w:rPr>
      <w:rFonts w:eastAsia="黑体"/>
      <w:sz w:val="20"/>
    </w:rPr>
  </w:style>
  <w:style w:type="paragraph" w:customStyle="1" w:styleId="184">
    <w:name w:val="style1"/>
    <w:basedOn w:val="1"/>
    <w:qFormat/>
    <w:uiPriority w:val="0"/>
    <w:pPr>
      <w:widowControl/>
      <w:spacing w:before="100" w:beforeAutospacing="1" w:after="100" w:afterAutospacing="1"/>
      <w:jc w:val="left"/>
    </w:pPr>
    <w:rPr>
      <w:rFonts w:ascii="宋体"/>
      <w:kern w:val="0"/>
      <w:sz w:val="21"/>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6">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8">
    <w:name w:val="Title - Revision"/>
    <w:basedOn w:val="59"/>
    <w:qFormat/>
    <w:uiPriority w:val="0"/>
    <w:pPr>
      <w:spacing w:before="720"/>
    </w:pPr>
  </w:style>
  <w:style w:type="paragraph" w:customStyle="1" w:styleId="189">
    <w:name w:val="标题3——2"/>
    <w:basedOn w:val="6"/>
    <w:next w:val="17"/>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0">
    <w:name w:val="列出段落1"/>
    <w:basedOn w:val="1"/>
    <w:qFormat/>
    <w:uiPriority w:val="0"/>
    <w:pPr>
      <w:ind w:firstLine="200" w:firstLineChars="200"/>
    </w:pPr>
    <w:rPr>
      <w:sz w:val="21"/>
      <w:szCs w:val="24"/>
    </w:rPr>
  </w:style>
  <w:style w:type="paragraph" w:customStyle="1" w:styleId="191">
    <w:name w:val="Char1 Char Char Char"/>
    <w:basedOn w:val="1"/>
    <w:qFormat/>
    <w:uiPriority w:val="0"/>
    <w:rPr>
      <w:rFonts w:ascii="Tahoma" w:hAnsi="Tahoma"/>
      <w:sz w:val="30"/>
    </w:rPr>
  </w:style>
  <w:style w:type="paragraph" w:customStyle="1" w:styleId="192">
    <w:name w:val="移动五期"/>
    <w:basedOn w:val="1"/>
    <w:qFormat/>
    <w:uiPriority w:val="0"/>
    <w:pPr>
      <w:spacing w:line="360" w:lineRule="auto"/>
      <w:ind w:firstLine="454"/>
    </w:pPr>
    <w:rPr>
      <w:rFonts w:ascii="宋体"/>
      <w:sz w:val="24"/>
    </w:rPr>
  </w:style>
  <w:style w:type="paragraph" w:customStyle="1" w:styleId="19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4">
    <w:name w:val="Char Char Char Char Char Char Char"/>
    <w:basedOn w:val="22"/>
    <w:qFormat/>
    <w:uiPriority w:val="0"/>
    <w:rPr>
      <w:rFonts w:ascii="宋体"/>
    </w:rPr>
  </w:style>
  <w:style w:type="paragraph" w:customStyle="1" w:styleId="195">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6">
    <w:name w:val="Char Char Char Char Char Char Char Char Char Char Char Char Char Char Char Char"/>
    <w:basedOn w:val="1"/>
    <w:qFormat/>
    <w:uiPriority w:val="0"/>
    <w:pPr>
      <w:tabs>
        <w:tab w:val="left" w:pos="360"/>
      </w:tabs>
    </w:pPr>
    <w:rPr>
      <w:sz w:val="24"/>
    </w:rPr>
  </w:style>
  <w:style w:type="paragraph" w:customStyle="1" w:styleId="197">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9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0">
    <w:name w:val="标题2"/>
    <w:basedOn w:val="5"/>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1">
    <w:name w:val="正文1"/>
    <w:basedOn w:val="1"/>
    <w:qFormat/>
    <w:uiPriority w:val="0"/>
    <w:pPr>
      <w:spacing w:line="300" w:lineRule="auto"/>
      <w:ind w:firstLine="200" w:firstLineChars="200"/>
    </w:pPr>
    <w:rPr>
      <w:sz w:val="24"/>
    </w:rPr>
  </w:style>
  <w:style w:type="paragraph" w:customStyle="1" w:styleId="202">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3">
    <w:name w:val="标书正文:  0.74 厘米"/>
    <w:basedOn w:val="1"/>
    <w:qFormat/>
    <w:uiPriority w:val="0"/>
    <w:pPr>
      <w:snapToGrid w:val="0"/>
      <w:spacing w:line="360" w:lineRule="auto"/>
      <w:ind w:firstLine="420"/>
    </w:pPr>
    <w:rPr>
      <w:sz w:val="24"/>
    </w:rPr>
  </w:style>
  <w:style w:type="paragraph" w:customStyle="1" w:styleId="204">
    <w:name w:val="Char1"/>
    <w:basedOn w:val="1"/>
    <w:qFormat/>
    <w:uiPriority w:val="0"/>
    <w:rPr>
      <w:sz w:val="21"/>
    </w:rPr>
  </w:style>
  <w:style w:type="paragraph" w:customStyle="1" w:styleId="205">
    <w:name w:val="正文（首行不缩进）"/>
    <w:basedOn w:val="1"/>
    <w:qFormat/>
    <w:uiPriority w:val="0"/>
    <w:pPr>
      <w:autoSpaceDE w:val="0"/>
      <w:autoSpaceDN w:val="0"/>
      <w:adjustRightInd w:val="0"/>
      <w:spacing w:line="360" w:lineRule="auto"/>
      <w:jc w:val="left"/>
    </w:pPr>
    <w:rPr>
      <w:kern w:val="0"/>
      <w:sz w:val="21"/>
    </w:rPr>
  </w:style>
  <w:style w:type="paragraph" w:customStyle="1" w:styleId="20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7">
    <w:name w:val="标题无"/>
    <w:basedOn w:val="1"/>
    <w:qFormat/>
    <w:uiPriority w:val="0"/>
    <w:pPr>
      <w:spacing w:line="360" w:lineRule="auto"/>
    </w:pPr>
    <w:rPr>
      <w:sz w:val="24"/>
    </w:rPr>
  </w:style>
  <w:style w:type="paragraph" w:customStyle="1" w:styleId="208">
    <w:name w:val="首行缩进"/>
    <w:basedOn w:val="1"/>
    <w:qFormat/>
    <w:uiPriority w:val="0"/>
    <w:pPr>
      <w:numPr>
        <w:ilvl w:val="0"/>
        <w:numId w:val="12"/>
      </w:numPr>
      <w:spacing w:line="360" w:lineRule="auto"/>
    </w:pPr>
    <w:rPr>
      <w:rFonts w:eastAsia="仿宋_GB2312"/>
    </w:rPr>
  </w:style>
  <w:style w:type="paragraph" w:customStyle="1" w:styleId="209">
    <w:name w:val="附录3"/>
    <w:basedOn w:val="1"/>
    <w:next w:val="1"/>
    <w:qFormat/>
    <w:uiPriority w:val="0"/>
    <w:pPr>
      <w:tabs>
        <w:tab w:val="left" w:pos="851"/>
      </w:tabs>
      <w:ind w:left="425" w:hanging="425"/>
      <w:outlineLvl w:val="2"/>
    </w:pPr>
    <w:rPr>
      <w:rFonts w:eastAsia="黑体"/>
      <w:b/>
      <w:sz w:val="32"/>
    </w:rPr>
  </w:style>
  <w:style w:type="paragraph" w:customStyle="1" w:styleId="210">
    <w:name w:val="Char Char14 Char Char"/>
    <w:basedOn w:val="1"/>
    <w:qFormat/>
    <w:uiPriority w:val="0"/>
    <w:rPr>
      <w:sz w:val="21"/>
      <w:szCs w:val="24"/>
    </w:rPr>
  </w:style>
  <w:style w:type="paragraph" w:customStyle="1" w:styleId="211">
    <w:name w:val="样式1xz"/>
    <w:basedOn w:val="1"/>
    <w:qFormat/>
    <w:uiPriority w:val="0"/>
    <w:pPr>
      <w:tabs>
        <w:tab w:val="left" w:pos="1050"/>
        <w:tab w:val="right" w:leader="dot" w:pos="8296"/>
      </w:tabs>
    </w:pPr>
    <w:rPr>
      <w:caps/>
      <w:spacing w:val="20"/>
      <w:sz w:val="24"/>
    </w:rPr>
  </w:style>
  <w:style w:type="paragraph" w:customStyle="1" w:styleId="212">
    <w:name w:val="表头文本"/>
    <w:qFormat/>
    <w:uiPriority w:val="0"/>
    <w:pPr>
      <w:jc w:val="center"/>
    </w:pPr>
    <w:rPr>
      <w:rFonts w:ascii="Arial" w:hAnsi="Arial" w:eastAsia="宋体" w:cs="Times New Roman"/>
      <w:b/>
      <w:sz w:val="21"/>
      <w:lang w:val="en-US" w:eastAsia="zh-CN" w:bidi="ar-SA"/>
    </w:rPr>
  </w:style>
  <w:style w:type="paragraph" w:customStyle="1" w:styleId="213">
    <w:name w:val="Char Char Char"/>
    <w:basedOn w:val="1"/>
    <w:qFormat/>
    <w:uiPriority w:val="0"/>
    <w:rPr>
      <w:rFonts w:ascii="Tahoma" w:hAnsi="Tahoma"/>
      <w:sz w:val="24"/>
    </w:rPr>
  </w:style>
  <w:style w:type="paragraph" w:customStyle="1" w:styleId="214">
    <w:name w:val="Char Char 字元 字元 字元 Char Char Char Char"/>
    <w:basedOn w:val="1"/>
    <w:qFormat/>
    <w:uiPriority w:val="0"/>
    <w:pPr>
      <w:adjustRightInd w:val="0"/>
      <w:spacing w:line="360" w:lineRule="auto"/>
    </w:pPr>
    <w:rPr>
      <w:kern w:val="0"/>
      <w:sz w:val="24"/>
    </w:rPr>
  </w:style>
  <w:style w:type="paragraph" w:customStyle="1" w:styleId="21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1">
    <w:name w:val="Char Char Char Char Char Char Char1"/>
    <w:basedOn w:val="1"/>
    <w:qFormat/>
    <w:uiPriority w:val="0"/>
    <w:rPr>
      <w:rFonts w:ascii="Tahoma" w:hAnsi="Tahoma"/>
      <w:sz w:val="24"/>
    </w:rPr>
  </w:style>
  <w:style w:type="paragraph" w:customStyle="1" w:styleId="22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5">
    <w:name w:val="表头样式"/>
    <w:basedOn w:val="1"/>
    <w:qFormat/>
    <w:uiPriority w:val="0"/>
    <w:pPr>
      <w:autoSpaceDE w:val="0"/>
      <w:autoSpaceDN w:val="0"/>
      <w:adjustRightInd w:val="0"/>
      <w:spacing w:line="360" w:lineRule="auto"/>
      <w:jc w:val="left"/>
    </w:pPr>
    <w:rPr>
      <w:b/>
      <w:kern w:val="0"/>
      <w:sz w:val="21"/>
    </w:rPr>
  </w:style>
  <w:style w:type="paragraph" w:customStyle="1" w:styleId="22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7">
    <w:name w:val="CSS1级正文 Char"/>
    <w:basedOn w:val="2"/>
    <w:qFormat/>
    <w:uiPriority w:val="0"/>
    <w:pPr>
      <w:adjustRightInd w:val="0"/>
      <w:snapToGrid w:val="0"/>
      <w:spacing w:line="360" w:lineRule="auto"/>
      <w:ind w:firstLine="480"/>
    </w:pPr>
    <w:rPr>
      <w:rFonts w:ascii="Times New Roman" w:hAnsi="Times New Roman" w:eastAsia="宋体"/>
      <w:sz w:val="24"/>
    </w:rPr>
  </w:style>
  <w:style w:type="paragraph" w:customStyle="1" w:styleId="22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9">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0">
    <w:name w:val="文本1"/>
    <w:basedOn w:val="1"/>
    <w:qFormat/>
    <w:uiPriority w:val="0"/>
    <w:pPr>
      <w:adjustRightInd w:val="0"/>
      <w:spacing w:line="312" w:lineRule="atLeast"/>
      <w:jc w:val="center"/>
      <w:textAlignment w:val="baseline"/>
    </w:pPr>
    <w:rPr>
      <w:kern w:val="0"/>
      <w:sz w:val="18"/>
    </w:rPr>
  </w:style>
  <w:style w:type="paragraph" w:customStyle="1" w:styleId="231">
    <w:name w:val="图例"/>
    <w:basedOn w:val="1"/>
    <w:qFormat/>
    <w:uiPriority w:val="0"/>
    <w:pPr>
      <w:spacing w:before="120" w:after="120" w:line="360" w:lineRule="auto"/>
      <w:jc w:val="center"/>
    </w:pPr>
    <w:rPr>
      <w:rFonts w:eastAsia="仿宋_GB2312"/>
      <w:b/>
      <w:sz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可研正文"/>
    <w:basedOn w:val="2"/>
    <w:qFormat/>
    <w:uiPriority w:val="0"/>
    <w:pPr>
      <w:adjustRightInd w:val="0"/>
      <w:snapToGrid w:val="0"/>
      <w:spacing w:line="440" w:lineRule="exact"/>
      <w:ind w:firstLine="567"/>
    </w:pPr>
    <w:rPr>
      <w:sz w:val="28"/>
    </w:rPr>
  </w:style>
  <w:style w:type="paragraph" w:customStyle="1" w:styleId="234">
    <w:name w:val="编号正文"/>
    <w:basedOn w:val="198"/>
    <w:qFormat/>
    <w:uiPriority w:val="0"/>
    <w:pPr>
      <w:snapToGrid/>
      <w:spacing w:line="360" w:lineRule="auto"/>
      <w:ind w:left="1407" w:hanging="1047"/>
      <w:jc w:val="left"/>
    </w:pPr>
    <w:rPr>
      <w:rFonts w:eastAsia="仿宋_GB2312"/>
    </w:rPr>
  </w:style>
  <w:style w:type="paragraph" w:customStyle="1" w:styleId="23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6">
    <w:name w:val="正文表格"/>
    <w:basedOn w:val="1"/>
    <w:qFormat/>
    <w:uiPriority w:val="0"/>
    <w:pPr>
      <w:adjustRightInd w:val="0"/>
      <w:spacing w:before="40" w:after="40"/>
    </w:pPr>
    <w:rPr>
      <w:sz w:val="24"/>
    </w:rPr>
  </w:style>
  <w:style w:type="paragraph" w:customStyle="1" w:styleId="2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正文字缩2字"/>
    <w:basedOn w:val="1"/>
    <w:qFormat/>
    <w:uiPriority w:val="0"/>
    <w:pPr>
      <w:spacing w:before="60" w:after="60" w:line="360" w:lineRule="auto"/>
      <w:ind w:left="200" w:leftChars="200" w:firstLine="200" w:firstLineChars="200"/>
    </w:pPr>
    <w:rPr>
      <w:sz w:val="24"/>
    </w:rPr>
  </w:style>
  <w:style w:type="paragraph" w:customStyle="1" w:styleId="239">
    <w:name w:val="样式4"/>
    <w:basedOn w:val="7"/>
    <w:qFormat/>
    <w:uiPriority w:val="0"/>
    <w:pPr>
      <w:adjustRightInd w:val="0"/>
      <w:snapToGrid w:val="0"/>
    </w:pPr>
  </w:style>
  <w:style w:type="paragraph" w:customStyle="1" w:styleId="240">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2">
    <w:name w:val="样式 宋体 五号 行距: 单倍行距"/>
    <w:basedOn w:val="1"/>
    <w:qFormat/>
    <w:uiPriority w:val="0"/>
    <w:pPr>
      <w:adjustRightInd w:val="0"/>
      <w:jc w:val="left"/>
    </w:pPr>
    <w:rPr>
      <w:rFonts w:ascii="宋体"/>
      <w:kern w:val="0"/>
      <w:sz w:val="21"/>
    </w:rPr>
  </w:style>
  <w:style w:type="paragraph" w:customStyle="1" w:styleId="243">
    <w:name w:val="表格文本"/>
    <w:qFormat/>
    <w:uiPriority w:val="0"/>
    <w:pPr>
      <w:tabs>
        <w:tab w:val="decimal" w:pos="0"/>
      </w:tabs>
    </w:pPr>
    <w:rPr>
      <w:rFonts w:ascii="Arial" w:hAnsi="Arial" w:eastAsia="宋体" w:cs="Times New Roman"/>
      <w:sz w:val="21"/>
      <w:lang w:val="en-US" w:eastAsia="zh-CN" w:bidi="ar-SA"/>
    </w:rPr>
  </w:style>
  <w:style w:type="paragraph" w:customStyle="1" w:styleId="244">
    <w:name w:val="Char1 Char Char Char1"/>
    <w:basedOn w:val="1"/>
    <w:qFormat/>
    <w:uiPriority w:val="0"/>
    <w:rPr>
      <w:rFonts w:ascii="Tahoma" w:hAnsi="Tahoma"/>
      <w:sz w:val="24"/>
    </w:rPr>
  </w:style>
  <w:style w:type="paragraph" w:customStyle="1" w:styleId="245">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6">
    <w:name w:val="样式 行距: 1.5 倍行距1"/>
    <w:basedOn w:val="1"/>
    <w:qFormat/>
    <w:uiPriority w:val="0"/>
    <w:pPr>
      <w:snapToGrid w:val="0"/>
    </w:pPr>
    <w:rPr>
      <w:sz w:val="21"/>
    </w:rPr>
  </w:style>
  <w:style w:type="paragraph" w:customStyle="1" w:styleId="247">
    <w:name w:val="正文缩进_0"/>
    <w:basedOn w:val="1"/>
    <w:qFormat/>
    <w:uiPriority w:val="0"/>
    <w:pPr>
      <w:ind w:firstLine="420"/>
    </w:pPr>
    <w:rPr>
      <w:rFonts w:ascii="Times New Roman" w:hAnsi="Times New Roman" w:eastAsia="Times New Roman"/>
      <w:kern w:val="0"/>
      <w:sz w:val="24"/>
      <w:szCs w:val="24"/>
    </w:rPr>
  </w:style>
  <w:style w:type="character" w:customStyle="1" w:styleId="248">
    <w:name w:val="正文缩进 字符"/>
    <w:qFormat/>
    <w:uiPriority w:val="0"/>
    <w:rPr>
      <w:kern w:val="2"/>
      <w:sz w:val="24"/>
    </w:rPr>
  </w:style>
  <w:style w:type="character" w:customStyle="1" w:styleId="249">
    <w:name w:val="批注文字 字符"/>
    <w:qFormat/>
    <w:uiPriority w:val="0"/>
    <w:rPr>
      <w:sz w:val="24"/>
    </w:rPr>
  </w:style>
  <w:style w:type="character" w:customStyle="1" w:styleId="250">
    <w:name w:val="正文文本缩进 字符"/>
    <w:qFormat/>
    <w:uiPriority w:val="0"/>
    <w:rPr>
      <w:kern w:val="2"/>
      <w:sz w:val="44"/>
    </w:rPr>
  </w:style>
  <w:style w:type="character" w:customStyle="1" w:styleId="251">
    <w:name w:val="正文文本缩进 2 字符"/>
    <w:qFormat/>
    <w:uiPriority w:val="0"/>
    <w:rPr>
      <w:kern w:val="2"/>
      <w:sz w:val="28"/>
    </w:rPr>
  </w:style>
  <w:style w:type="character" w:customStyle="1" w:styleId="252">
    <w:name w:val="脚注文本 字符"/>
    <w:qFormat/>
    <w:uiPriority w:val="0"/>
    <w:rPr>
      <w:kern w:val="2"/>
      <w:sz w:val="18"/>
    </w:rPr>
  </w:style>
  <w:style w:type="character" w:customStyle="1" w:styleId="253">
    <w:name w:val="批注主题 字符"/>
    <w:qFormat/>
    <w:uiPriority w:val="0"/>
  </w:style>
  <w:style w:type="character" w:customStyle="1" w:styleId="254">
    <w:name w:val="正文文本首行缩进 2 字符"/>
    <w:qFormat/>
    <w:uiPriority w:val="0"/>
  </w:style>
  <w:style w:type="character" w:customStyle="1" w:styleId="255">
    <w:name w:val="批注文字 字符1"/>
    <w:qFormat/>
    <w:uiPriority w:val="0"/>
    <w:rPr>
      <w:rFonts w:ascii="Times New Roman" w:hAnsi="Times New Roman" w:eastAsia="宋体" w:cs="Times New Roman"/>
      <w:sz w:val="28"/>
      <w:szCs w:val="20"/>
    </w:rPr>
  </w:style>
  <w:style w:type="character" w:customStyle="1" w:styleId="256">
    <w:name w:val="NormalCharacter"/>
    <w:qFormat/>
    <w:uiPriority w:val="0"/>
  </w:style>
  <w:style w:type="character" w:customStyle="1" w:styleId="257">
    <w:name w:val="日期 字符"/>
    <w:qFormat/>
    <w:uiPriority w:val="0"/>
    <w:rPr>
      <w:kern w:val="2"/>
      <w:sz w:val="28"/>
    </w:rPr>
  </w:style>
  <w:style w:type="character" w:customStyle="1" w:styleId="258">
    <w:name w:val="标题 2 字符"/>
    <w:qFormat/>
    <w:uiPriority w:val="0"/>
    <w:rPr>
      <w:rFonts w:ascii="Arial" w:hAnsi="Arial" w:eastAsia="黑体"/>
      <w:b/>
      <w:kern w:val="2"/>
      <w:sz w:val="32"/>
    </w:rPr>
  </w:style>
  <w:style w:type="character" w:customStyle="1" w:styleId="259">
    <w:name w:val="列表段落 字符"/>
    <w:qFormat/>
    <w:uiPriority w:val="0"/>
    <w:rPr>
      <w:rFonts w:ascii="Calibri" w:hAnsi="Calibri"/>
      <w:kern w:val="2"/>
      <w:sz w:val="21"/>
      <w:szCs w:val="22"/>
    </w:rPr>
  </w:style>
  <w:style w:type="character" w:customStyle="1" w:styleId="260">
    <w:name w:val="标题 3 字符"/>
    <w:qFormat/>
    <w:uiPriority w:val="0"/>
    <w:rPr>
      <w:b/>
      <w:kern w:val="2"/>
      <w:sz w:val="32"/>
    </w:rPr>
  </w:style>
  <w:style w:type="paragraph" w:customStyle="1" w:styleId="261">
    <w:name w:val="TOC 标题1"/>
    <w:basedOn w:val="4"/>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2">
    <w:name w:val="正文文本 字符"/>
    <w:qFormat/>
    <w:uiPriority w:val="0"/>
    <w:rPr>
      <w:rFonts w:ascii="仿宋_GB2312" w:eastAsia="仿宋_GB2312"/>
      <w:kern w:val="2"/>
      <w:sz w:val="32"/>
    </w:rPr>
  </w:style>
  <w:style w:type="character" w:customStyle="1" w:styleId="263">
    <w:name w:val="font01"/>
    <w:qFormat/>
    <w:uiPriority w:val="0"/>
    <w:rPr>
      <w:rFonts w:ascii="Times New Roman" w:hAnsi="Times New Roman" w:cs="Times New Roman"/>
      <w:color w:val="000000"/>
      <w:sz w:val="18"/>
      <w:szCs w:val="18"/>
      <w:u w:val="none"/>
    </w:rPr>
  </w:style>
  <w:style w:type="character" w:customStyle="1" w:styleId="264">
    <w:name w:val="font11"/>
    <w:qFormat/>
    <w:uiPriority w:val="0"/>
    <w:rPr>
      <w:rFonts w:ascii="宋体" w:eastAsia="宋体" w:cs="宋体"/>
      <w:b/>
      <w:color w:val="000000"/>
      <w:sz w:val="18"/>
      <w:szCs w:val="18"/>
      <w:u w:val="none"/>
    </w:rPr>
  </w:style>
  <w:style w:type="character" w:customStyle="1" w:styleId="265">
    <w:name w:val="font61"/>
    <w:qFormat/>
    <w:uiPriority w:val="0"/>
    <w:rPr>
      <w:rFonts w:ascii="宋体" w:eastAsia="宋体" w:cs="宋体"/>
      <w:color w:val="000000"/>
      <w:sz w:val="20"/>
      <w:szCs w:val="20"/>
      <w:u w:val="none"/>
    </w:rPr>
  </w:style>
  <w:style w:type="character" w:customStyle="1" w:styleId="266">
    <w:name w:val="文字 Char Char"/>
    <w:qFormat/>
    <w:locked/>
    <w:uiPriority w:val="0"/>
    <w:rPr>
      <w:rFonts w:ascii="宋体" w:eastAsia="宋体"/>
      <w:sz w:val="28"/>
    </w:rPr>
  </w:style>
  <w:style w:type="character" w:customStyle="1" w:styleId="267">
    <w:name w:val="font81"/>
    <w:qFormat/>
    <w:uiPriority w:val="0"/>
    <w:rPr>
      <w:rFonts w:ascii="宋体" w:eastAsia="宋体" w:cs="宋体"/>
      <w:color w:val="000000"/>
      <w:sz w:val="18"/>
      <w:szCs w:val="18"/>
      <w:u w:val="none"/>
    </w:rPr>
  </w:style>
  <w:style w:type="character" w:customStyle="1" w:styleId="268">
    <w:name w:val="Char Char Char Char Char Char Char Char Char"/>
    <w:qFormat/>
    <w:uiPriority w:val="0"/>
    <w:rPr>
      <w:rFonts w:ascii="宋体" w:eastAsia="宋体"/>
      <w:kern w:val="2"/>
      <w:sz w:val="24"/>
      <w:lang w:val="en-US" w:eastAsia="zh-CN" w:bidi="ar-SA"/>
    </w:rPr>
  </w:style>
  <w:style w:type="character" w:customStyle="1" w:styleId="269">
    <w:name w:val="fontstyle11"/>
    <w:qFormat/>
    <w:uiPriority w:val="0"/>
    <w:rPr>
      <w:rFonts w:ascii="FrutigerNextLT-Light" w:hAnsi="FrutigerNextLT-Light"/>
      <w:color w:val="000000"/>
      <w:sz w:val="18"/>
      <w:szCs w:val="18"/>
    </w:rPr>
  </w:style>
  <w:style w:type="character" w:customStyle="1" w:styleId="270">
    <w:name w:val="font31"/>
    <w:qFormat/>
    <w:uiPriority w:val="0"/>
    <w:rPr>
      <w:rFonts w:ascii="宋体" w:eastAsia="宋体" w:cs="宋体"/>
      <w:color w:val="000000"/>
      <w:sz w:val="18"/>
      <w:szCs w:val="18"/>
      <w:u w:val="none"/>
    </w:rPr>
  </w:style>
  <w:style w:type="character" w:customStyle="1" w:styleId="271">
    <w:name w:val="font21"/>
    <w:qFormat/>
    <w:uiPriority w:val="0"/>
    <w:rPr>
      <w:rFonts w:ascii="宋体" w:eastAsia="宋体" w:cs="宋体"/>
      <w:color w:val="000000"/>
      <w:sz w:val="18"/>
      <w:szCs w:val="18"/>
      <w:u w:val="none"/>
    </w:rPr>
  </w:style>
  <w:style w:type="character" w:customStyle="1" w:styleId="272">
    <w:name w:val="副标题 Char"/>
    <w:qFormat/>
    <w:uiPriority w:val="0"/>
    <w:rPr>
      <w:rFonts w:ascii="Cambria" w:hAnsi="Cambria" w:eastAsia="宋体" w:cs="Times New Roman"/>
      <w:b/>
      <w:bCs/>
      <w:kern w:val="28"/>
      <w:sz w:val="32"/>
      <w:szCs w:val="32"/>
    </w:rPr>
  </w:style>
  <w:style w:type="paragraph" w:customStyle="1" w:styleId="273">
    <w:name w:val="标题1级"/>
    <w:basedOn w:val="4"/>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4">
    <w:name w:val="样式6"/>
    <w:basedOn w:val="273"/>
    <w:qFormat/>
    <w:uiPriority w:val="0"/>
    <w:pPr>
      <w:ind w:left="2524" w:hanging="397"/>
    </w:pPr>
    <w:rPr>
      <w:sz w:val="36"/>
      <w:szCs w:val="36"/>
    </w:rPr>
  </w:style>
  <w:style w:type="paragraph" w:customStyle="1" w:styleId="275">
    <w:name w:val="样式5"/>
    <w:basedOn w:val="1"/>
    <w:qFormat/>
    <w:uiPriority w:val="0"/>
    <w:pPr>
      <w:widowControl/>
      <w:spacing w:line="360" w:lineRule="auto"/>
      <w:ind w:firstLine="311" w:firstLineChars="311"/>
      <w:jc w:val="left"/>
    </w:pPr>
    <w:rPr>
      <w:rFonts w:ascii="宋体" w:cs="宋体"/>
      <w:color w:val="000000"/>
      <w:kern w:val="0"/>
      <w:sz w:val="24"/>
      <w:szCs w:val="22"/>
    </w:rPr>
  </w:style>
  <w:style w:type="paragraph" w:customStyle="1" w:styleId="276">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7">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8">
    <w:name w:val="纯文本1"/>
    <w:basedOn w:val="1"/>
    <w:qFormat/>
    <w:uiPriority w:val="0"/>
    <w:pPr>
      <w:spacing w:beforeLines="50" w:afterLines="50" w:line="400" w:lineRule="atLeast"/>
    </w:pPr>
    <w:rPr>
      <w:rFonts w:ascii="宋体"/>
      <w:sz w:val="24"/>
    </w:rPr>
  </w:style>
  <w:style w:type="paragraph" w:customStyle="1" w:styleId="27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0">
    <w:name w:val="标题2级"/>
    <w:basedOn w:val="5"/>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1">
    <w:name w:val="_Style 16"/>
    <w:basedOn w:val="1"/>
    <w:qFormat/>
    <w:uiPriority w:val="0"/>
    <w:rPr>
      <w:rFonts w:ascii="Times New Roman" w:hAnsi="Times New Roman"/>
    </w:rPr>
  </w:style>
  <w:style w:type="paragraph" w:customStyle="1" w:styleId="282">
    <w:name w:val="List Paragraph1"/>
    <w:basedOn w:val="1"/>
    <w:qFormat/>
    <w:uiPriority w:val="0"/>
    <w:pPr>
      <w:ind w:firstLine="200" w:firstLineChars="200"/>
    </w:pPr>
    <w:rPr>
      <w:sz w:val="21"/>
      <w:szCs w:val="22"/>
    </w:rPr>
  </w:style>
  <w:style w:type="paragraph" w:customStyle="1" w:styleId="283">
    <w:name w:val="标题4级"/>
    <w:basedOn w:val="7"/>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4">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5">
    <w:name w:val="正文newnewnew"/>
    <w:basedOn w:val="284"/>
    <w:qFormat/>
    <w:uiPriority w:val="0"/>
    <w:rPr>
      <w:rFonts w:ascii="Times New Roman" w:hAnsi="Times New Roman" w:cs="Times New Roman"/>
      <w:sz w:val="24"/>
      <w:szCs w:val="24"/>
    </w:rPr>
  </w:style>
  <w:style w:type="paragraph" w:customStyle="1" w:styleId="286">
    <w:name w:val="列出段落2"/>
    <w:basedOn w:val="1"/>
    <w:qFormat/>
    <w:uiPriority w:val="0"/>
    <w:pPr>
      <w:ind w:firstLine="200" w:firstLineChars="200"/>
    </w:pPr>
    <w:rPr>
      <w:sz w:val="21"/>
      <w:szCs w:val="22"/>
    </w:rPr>
  </w:style>
  <w:style w:type="paragraph" w:styleId="28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WPSOffice手动目录 1"/>
    <w:qFormat/>
    <w:uiPriority w:val="0"/>
    <w:rPr>
      <w:rFonts w:ascii="Times New Roman" w:hAnsi="Times New Roman" w:eastAsia="宋体" w:cs="Times New Roman"/>
      <w:lang w:val="en-US" w:eastAsia="zh-CN" w:bidi="ar-SA"/>
    </w:rPr>
  </w:style>
  <w:style w:type="paragraph" w:customStyle="1" w:styleId="289">
    <w:name w:val="二级标题"/>
    <w:basedOn w:val="5"/>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0">
    <w:name w:val="Char Char Char Char Char1"/>
    <w:basedOn w:val="1"/>
    <w:qFormat/>
    <w:uiPriority w:val="0"/>
    <w:pPr>
      <w:tabs>
        <w:tab w:val="left" w:pos="425"/>
      </w:tabs>
      <w:ind w:left="425" w:hanging="425"/>
    </w:pPr>
    <w:rPr>
      <w:rFonts w:ascii="Tahoma" w:hAnsi="Tahoma"/>
      <w:sz w:val="24"/>
    </w:rPr>
  </w:style>
  <w:style w:type="paragraph" w:customStyle="1" w:styleId="291">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2">
    <w:name w:val="页眉 Char"/>
    <w:qFormat/>
    <w:locked/>
    <w:uiPriority w:val="0"/>
    <w:rPr>
      <w:rFonts w:eastAsia="宋体"/>
      <w:kern w:val="2"/>
      <w:sz w:val="18"/>
      <w:lang w:val="en-US" w:eastAsia="zh-CN" w:bidi="ar-SA"/>
    </w:rPr>
  </w:style>
  <w:style w:type="paragraph" w:customStyle="1" w:styleId="293">
    <w:name w:val="修订1"/>
    <w:qFormat/>
    <w:uiPriority w:val="0"/>
    <w:rPr>
      <w:rFonts w:ascii="Calibri" w:hAnsi="Calibri" w:eastAsia="宋体" w:cs="Times New Roman"/>
      <w:kern w:val="2"/>
      <w:sz w:val="28"/>
      <w:lang w:val="en-US" w:eastAsia="zh-CN" w:bidi="ar-SA"/>
    </w:rPr>
  </w:style>
  <w:style w:type="character" w:customStyle="1" w:styleId="294">
    <w:name w:val="页脚 字符"/>
    <w:link w:val="39"/>
    <w:qFormat/>
    <w:uiPriority w:val="99"/>
    <w:rPr>
      <w:rFonts w:ascii="Calibri" w:hAnsi="Calibri"/>
      <w:kern w:val="2"/>
      <w:sz w:val="18"/>
    </w:rPr>
  </w:style>
  <w:style w:type="character" w:customStyle="1" w:styleId="295">
    <w:name w:val="页眉 字符"/>
    <w:link w:val="41"/>
    <w:qFormat/>
    <w:uiPriority w:val="99"/>
    <w:rPr>
      <w:rFonts w:ascii="Calibri" w:hAnsi="Calibri"/>
      <w:kern w:val="2"/>
      <w:sz w:val="18"/>
    </w:rPr>
  </w:style>
  <w:style w:type="paragraph" w:customStyle="1" w:styleId="296">
    <w:name w:val="修订2"/>
    <w:hidden/>
    <w:semiHidden/>
    <w:qFormat/>
    <w:uiPriority w:val="99"/>
    <w:rPr>
      <w:rFonts w:ascii="Calibri" w:hAnsi="Calibri" w:eastAsia="宋体" w:cs="Times New Roman"/>
      <w:kern w:val="2"/>
      <w:sz w:val="28"/>
      <w:lang w:val="en-US" w:eastAsia="zh-CN" w:bidi="ar-SA"/>
    </w:rPr>
  </w:style>
  <w:style w:type="paragraph" w:customStyle="1" w:styleId="297">
    <w:name w:val="Revision"/>
    <w:hidden/>
    <w:semiHidden/>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3732</Words>
  <Characters>21279</Characters>
  <Lines>177</Lines>
  <Paragraphs>49</Paragraphs>
  <TotalTime>5</TotalTime>
  <ScaleCrop>false</ScaleCrop>
  <LinksUpToDate>false</LinksUpToDate>
  <CharactersWithSpaces>24962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2021-08-02T07:23:00Z</dcterms:created>
  <dc:creator>罗成</dc:creator>
  <cp:lastModifiedBy>hp</cp:lastModifiedBy>
  <cp:lastPrinted>2020-09-18T07:14:00Z</cp:lastPrinted>
  <dcterms:modified xsi:type="dcterms:W3CDTF">2024-12-13T08:33:25Z</dcterms:modified>
  <dc:title>竞争性谈判文件</dc:title>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9B1DC41553AE4076AAA362FD9C2D5C6D_13</vt:lpwstr>
  </property>
</Properties>
</file>