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p>
    <w:p>
      <w:pPr>
        <w:jc w:val="center"/>
      </w:pPr>
    </w:p>
    <w:p>
      <w:pPr>
        <w:jc w:val="center"/>
        <w:outlineLvl w:val="0"/>
        <w:rPr>
          <w:sz w:val="44"/>
          <w:szCs w:val="44"/>
        </w:rPr>
      </w:pPr>
    </w:p>
    <w:p>
      <w:pPr>
        <w:jc w:val="center"/>
        <w:outlineLvl w:val="0"/>
        <w:rPr>
          <w:rFonts w:ascii="宋体"/>
          <w:b/>
          <w:sz w:val="52"/>
          <w:szCs w:val="52"/>
        </w:rPr>
      </w:pPr>
      <w:r>
        <w:rPr>
          <w:rFonts w:hint="eastAsia" w:ascii="宋体"/>
          <w:b/>
          <w:sz w:val="52"/>
          <w:szCs w:val="52"/>
        </w:rPr>
        <w:t>2023年重庆市无线电监测技术演练服务</w:t>
      </w:r>
    </w:p>
    <w:p>
      <w:pPr>
        <w:jc w:val="center"/>
        <w:outlineLvl w:val="0"/>
        <w:rPr>
          <w:rFonts w:ascii="宋体"/>
          <w:b/>
          <w:sz w:val="52"/>
          <w:szCs w:val="52"/>
        </w:rPr>
      </w:pPr>
      <w:r>
        <w:rPr>
          <w:rFonts w:hint="eastAsia" w:ascii="宋体"/>
          <w:b/>
          <w:sz w:val="52"/>
          <w:szCs w:val="52"/>
        </w:rPr>
        <w:t>政府采购项目</w:t>
      </w:r>
    </w:p>
    <w:p>
      <w:pPr>
        <w:outlineLvl w:val="0"/>
        <w:rPr>
          <w:rFonts w:ascii="宋体"/>
          <w:spacing w:val="80"/>
          <w:sz w:val="72"/>
          <w:szCs w:val="72"/>
        </w:rPr>
      </w:pPr>
    </w:p>
    <w:p>
      <w:pPr>
        <w:pStyle w:val="2"/>
      </w:pPr>
    </w:p>
    <w:p>
      <w:pPr>
        <w:jc w:val="center"/>
        <w:outlineLvl w:val="0"/>
        <w:rPr>
          <w:rFonts w:ascii="宋体"/>
          <w:spacing w:val="80"/>
          <w:sz w:val="72"/>
          <w:szCs w:val="72"/>
        </w:rPr>
      </w:pPr>
    </w:p>
    <w:p>
      <w:pPr>
        <w:jc w:val="center"/>
        <w:outlineLvl w:val="0"/>
        <w:rPr>
          <w:spacing w:val="80"/>
          <w:sz w:val="72"/>
          <w:szCs w:val="72"/>
        </w:rPr>
      </w:pPr>
      <w:r>
        <w:rPr>
          <w:spacing w:val="80"/>
          <w:sz w:val="72"/>
          <w:szCs w:val="72"/>
        </w:rPr>
        <w:t>竞争性磋商文件</w:t>
      </w:r>
    </w:p>
    <w:p>
      <w:pPr>
        <w:spacing w:line="700" w:lineRule="exact"/>
        <w:jc w:val="center"/>
        <w:rPr>
          <w:sz w:val="36"/>
          <w:szCs w:val="30"/>
        </w:rPr>
      </w:pPr>
      <w:r>
        <w:rPr>
          <w:sz w:val="36"/>
          <w:szCs w:val="30"/>
        </w:rPr>
        <w:t>项目号</w:t>
      </w:r>
      <w:r>
        <w:rPr>
          <w:rFonts w:hint="eastAsia"/>
          <w:sz w:val="36"/>
          <w:szCs w:val="30"/>
        </w:rPr>
        <w:t>：</w:t>
      </w:r>
      <w:r>
        <w:rPr>
          <w:sz w:val="36"/>
          <w:szCs w:val="30"/>
        </w:rPr>
        <w:t>CQCBJQ2303-088</w:t>
      </w:r>
    </w:p>
    <w:p>
      <w:pPr>
        <w:spacing w:line="700" w:lineRule="exact"/>
        <w:ind w:firstLine="2700" w:firstLineChars="750"/>
        <w:rPr>
          <w:rFonts w:ascii="宋体"/>
          <w:sz w:val="36"/>
          <w:szCs w:val="30"/>
        </w:rPr>
      </w:pPr>
    </w:p>
    <w:p>
      <w:pPr>
        <w:spacing w:line="700" w:lineRule="exact"/>
        <w:jc w:val="center"/>
        <w:rPr>
          <w:rFonts w:ascii="宋体"/>
          <w:b/>
          <w:sz w:val="30"/>
          <w:szCs w:val="30"/>
        </w:rPr>
      </w:pPr>
    </w:p>
    <w:p>
      <w:pPr>
        <w:spacing w:line="700" w:lineRule="exact"/>
        <w:jc w:val="center"/>
        <w:rPr>
          <w:rFonts w:ascii="宋体"/>
          <w:b/>
          <w:sz w:val="30"/>
          <w:szCs w:val="30"/>
        </w:rPr>
      </w:pPr>
    </w:p>
    <w:p>
      <w:pPr>
        <w:spacing w:line="700" w:lineRule="exact"/>
        <w:jc w:val="center"/>
        <w:rPr>
          <w:rFonts w:ascii="宋体"/>
          <w:b/>
          <w:sz w:val="30"/>
          <w:szCs w:val="30"/>
        </w:rPr>
      </w:pPr>
    </w:p>
    <w:p>
      <w:pPr>
        <w:spacing w:line="700" w:lineRule="exact"/>
        <w:jc w:val="center"/>
        <w:rPr>
          <w:rFonts w:ascii="宋体"/>
          <w:b/>
          <w:sz w:val="30"/>
          <w:szCs w:val="30"/>
        </w:rPr>
      </w:pPr>
    </w:p>
    <w:p>
      <w:pPr>
        <w:pStyle w:val="2"/>
      </w:pPr>
    </w:p>
    <w:p>
      <w:pPr>
        <w:spacing w:line="700" w:lineRule="exact"/>
        <w:rPr>
          <w:rFonts w:ascii="宋体"/>
          <w:b/>
          <w:sz w:val="30"/>
          <w:szCs w:val="30"/>
        </w:rPr>
      </w:pPr>
    </w:p>
    <w:p>
      <w:pPr>
        <w:spacing w:line="700" w:lineRule="exact"/>
        <w:rPr>
          <w:rFonts w:ascii="宋体"/>
          <w:b/>
          <w:sz w:val="30"/>
          <w:szCs w:val="30"/>
        </w:rPr>
      </w:pPr>
    </w:p>
    <w:p>
      <w:pPr>
        <w:spacing w:line="700" w:lineRule="exact"/>
        <w:ind w:firstLine="1440" w:firstLineChars="400"/>
        <w:jc w:val="left"/>
        <w:rPr>
          <w:sz w:val="36"/>
          <w:szCs w:val="30"/>
        </w:rPr>
      </w:pPr>
      <w:r>
        <w:rPr>
          <w:sz w:val="36"/>
          <w:szCs w:val="30"/>
        </w:rPr>
        <w:t>采</w:t>
      </w:r>
      <w:r>
        <w:rPr>
          <w:rFonts w:hint="eastAsia"/>
          <w:sz w:val="36"/>
          <w:szCs w:val="30"/>
        </w:rPr>
        <w:t xml:space="preserve"> </w:t>
      </w:r>
      <w:r>
        <w:rPr>
          <w:sz w:val="36"/>
          <w:szCs w:val="30"/>
        </w:rPr>
        <w:t xml:space="preserve">  购</w:t>
      </w:r>
      <w:r>
        <w:rPr>
          <w:rFonts w:hint="eastAsia"/>
          <w:sz w:val="36"/>
          <w:szCs w:val="30"/>
        </w:rPr>
        <w:t xml:space="preserve"> </w:t>
      </w:r>
      <w:r>
        <w:rPr>
          <w:sz w:val="36"/>
          <w:szCs w:val="30"/>
        </w:rPr>
        <w:t xml:space="preserve">  人：</w:t>
      </w:r>
      <w:r>
        <w:rPr>
          <w:rFonts w:hint="eastAsia"/>
          <w:sz w:val="36"/>
          <w:szCs w:val="30"/>
        </w:rPr>
        <w:t>重庆市无线电监测站</w:t>
      </w:r>
    </w:p>
    <w:p>
      <w:pPr>
        <w:spacing w:line="700" w:lineRule="exact"/>
        <w:ind w:firstLine="1440" w:firstLineChars="400"/>
        <w:rPr>
          <w:sz w:val="36"/>
          <w:szCs w:val="30"/>
        </w:rPr>
      </w:pPr>
      <w:r>
        <w:rPr>
          <w:sz w:val="36"/>
          <w:szCs w:val="30"/>
        </w:rPr>
        <w:t>采购代理机构：重庆市中基致信招标代理有限公司</w:t>
      </w:r>
    </w:p>
    <w:p>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4"/>
        </w:sectPr>
      </w:pPr>
      <w:r>
        <w:rPr>
          <w:sz w:val="36"/>
          <w:szCs w:val="30"/>
        </w:rPr>
        <w:t>二</w:t>
      </w:r>
      <w:r>
        <w:rPr>
          <w:rFonts w:hint="eastAsia"/>
          <w:sz w:val="36"/>
          <w:szCs w:val="30"/>
        </w:rPr>
        <w:t>〇</w:t>
      </w:r>
      <w:r>
        <w:rPr>
          <w:sz w:val="36"/>
          <w:szCs w:val="30"/>
        </w:rPr>
        <w:t>二</w:t>
      </w:r>
      <w:r>
        <w:rPr>
          <w:rFonts w:hint="eastAsia"/>
          <w:sz w:val="36"/>
          <w:szCs w:val="30"/>
        </w:rPr>
        <w:t>三</w:t>
      </w:r>
      <w:r>
        <w:rPr>
          <w:sz w:val="36"/>
          <w:szCs w:val="30"/>
        </w:rPr>
        <w:t>年</w:t>
      </w:r>
      <w:r>
        <w:rPr>
          <w:rFonts w:hint="eastAsia"/>
          <w:sz w:val="36"/>
          <w:szCs w:val="30"/>
        </w:rPr>
        <w:t>三</w:t>
      </w:r>
      <w:r>
        <w:rPr>
          <w:sz w:val="36"/>
          <w:szCs w:val="30"/>
        </w:rPr>
        <w:t>月</w:t>
      </w:r>
    </w:p>
    <w:p>
      <w:pPr>
        <w:pageBreakBefore/>
        <w:spacing w:line="480" w:lineRule="exact"/>
        <w:jc w:val="center"/>
        <w:outlineLvl w:val="0"/>
        <w:rPr>
          <w:rFonts w:ascii="宋体"/>
          <w:sz w:val="44"/>
          <w:szCs w:val="28"/>
        </w:rPr>
      </w:pPr>
      <w:r>
        <w:rPr>
          <w:rFonts w:hint="eastAsia" w:ascii="宋体"/>
          <w:sz w:val="44"/>
          <w:szCs w:val="28"/>
        </w:rPr>
        <w:t>目   录</w:t>
      </w:r>
    </w:p>
    <w:p>
      <w:pPr>
        <w:pStyle w:val="51"/>
        <w:tabs>
          <w:tab w:val="right" w:leader="dot" w:pos="9515"/>
        </w:tabs>
        <w:ind w:left="560"/>
        <w:rPr>
          <w:rFonts w:asciiTheme="minorHAnsi" w:hAnsiTheme="minorHAnsi" w:eastAsiaTheme="minorEastAsia" w:cstheme="minorBidi"/>
          <w:sz w:val="21"/>
          <w:szCs w:val="22"/>
        </w:rPr>
      </w:pPr>
      <w:r>
        <w:rPr>
          <w:rFonts w:hint="eastAsia" w:ascii="宋体"/>
          <w:sz w:val="24"/>
          <w:szCs w:val="24"/>
        </w:rPr>
        <w:fldChar w:fldCharType="begin"/>
      </w:r>
      <w:r>
        <w:rPr>
          <w:rFonts w:hint="eastAsia" w:ascii="宋体"/>
          <w:sz w:val="24"/>
          <w:szCs w:val="24"/>
        </w:rPr>
        <w:instrText xml:space="preserve"> TOC \o "1-3" \h \z </w:instrText>
      </w:r>
      <w:r>
        <w:rPr>
          <w:rFonts w:hint="eastAsia" w:ascii="宋体"/>
          <w:sz w:val="24"/>
          <w:szCs w:val="24"/>
        </w:rPr>
        <w:fldChar w:fldCharType="separate"/>
      </w:r>
      <w:r>
        <w:fldChar w:fldCharType="begin"/>
      </w:r>
      <w:r>
        <w:instrText xml:space="preserve"> HYPERLINK \l "_Toc131145252" </w:instrText>
      </w:r>
      <w:r>
        <w:fldChar w:fldCharType="separate"/>
      </w:r>
      <w:r>
        <w:rPr>
          <w:rStyle w:val="65"/>
          <w:rFonts w:ascii="宋体"/>
        </w:rPr>
        <w:t>第一篇  采购邀请书</w:t>
      </w:r>
      <w:r>
        <w:tab/>
      </w:r>
      <w:r>
        <w:fldChar w:fldCharType="begin"/>
      </w:r>
      <w:r>
        <w:instrText xml:space="preserve"> PAGEREF _Toc131145252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"_Toc131145253" </w:instrText>
      </w:r>
      <w:r>
        <w:fldChar w:fldCharType="separate"/>
      </w:r>
      <w:r>
        <w:rPr>
          <w:rStyle w:val="65"/>
          <w:rFonts w:ascii="宋体"/>
        </w:rPr>
        <w:t>一、竞争性磋商内容</w:t>
      </w:r>
      <w:r>
        <w:tab/>
      </w:r>
      <w:r>
        <w:fldChar w:fldCharType="begin"/>
      </w:r>
      <w:r>
        <w:instrText xml:space="preserve"> PAGEREF _Toc131145253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"_Toc131145254" </w:instrText>
      </w:r>
      <w:r>
        <w:fldChar w:fldCharType="separate"/>
      </w:r>
      <w:r>
        <w:rPr>
          <w:rStyle w:val="65"/>
          <w:rFonts w:ascii="宋体"/>
        </w:rPr>
        <w:t>二、资金来源</w:t>
      </w:r>
      <w:r>
        <w:tab/>
      </w:r>
      <w:r>
        <w:fldChar w:fldCharType="begin"/>
      </w:r>
      <w:r>
        <w:instrText xml:space="preserve"> PAGEREF _Toc131145254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"_Toc131145255" </w:instrText>
      </w:r>
      <w:r>
        <w:fldChar w:fldCharType="separate"/>
      </w:r>
      <w:r>
        <w:rPr>
          <w:rStyle w:val="65"/>
          <w:rFonts w:ascii="宋体"/>
        </w:rPr>
        <w:t>三、供应商资格条件</w:t>
      </w:r>
      <w:r>
        <w:tab/>
      </w:r>
      <w:r>
        <w:fldChar w:fldCharType="begin"/>
      </w:r>
      <w:r>
        <w:instrText xml:space="preserve"> PAGEREF _Toc131145255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"_Toc131145256" </w:instrText>
      </w:r>
      <w:r>
        <w:fldChar w:fldCharType="separate"/>
      </w:r>
      <w:r>
        <w:rPr>
          <w:rStyle w:val="65"/>
          <w:rFonts w:ascii="宋体"/>
        </w:rPr>
        <w:t>四、磋商有关说明</w:t>
      </w:r>
      <w:r>
        <w:tab/>
      </w:r>
      <w:r>
        <w:fldChar w:fldCharType="begin"/>
      </w:r>
      <w:r>
        <w:instrText xml:space="preserve"> PAGEREF _Toc131145256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"_Toc131145257" </w:instrText>
      </w:r>
      <w:r>
        <w:fldChar w:fldCharType="separate"/>
      </w:r>
      <w:r>
        <w:rPr>
          <w:rStyle w:val="65"/>
          <w:rFonts w:ascii="宋体"/>
        </w:rPr>
        <w:t>五、磋商保证金</w:t>
      </w:r>
      <w:r>
        <w:tab/>
      </w:r>
      <w:r>
        <w:fldChar w:fldCharType="begin"/>
      </w:r>
      <w:r>
        <w:instrText xml:space="preserve"> PAGEREF _Toc131145257 \h </w:instrText>
      </w:r>
      <w:r>
        <w:fldChar w:fldCharType="separate"/>
      </w:r>
      <w:r>
        <w:t>- 4 -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"_Toc131145258" </w:instrText>
      </w:r>
      <w:r>
        <w:fldChar w:fldCharType="separate"/>
      </w:r>
      <w:r>
        <w:rPr>
          <w:rStyle w:val="65"/>
          <w:rFonts w:ascii="宋体"/>
        </w:rPr>
        <w:t>六、采购项目需落实的政府采购政策</w:t>
      </w:r>
      <w:r>
        <w:tab/>
      </w:r>
      <w:r>
        <w:fldChar w:fldCharType="begin"/>
      </w:r>
      <w:r>
        <w:instrText xml:space="preserve"> PAGEREF _Toc131145258 \h </w:instrText>
      </w:r>
      <w:r>
        <w:fldChar w:fldCharType="separate"/>
      </w:r>
      <w:r>
        <w:t>- 5 -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"_Toc131145259" </w:instrText>
      </w:r>
      <w:r>
        <w:fldChar w:fldCharType="separate"/>
      </w:r>
      <w:r>
        <w:rPr>
          <w:rStyle w:val="65"/>
          <w:rFonts w:ascii="宋体"/>
        </w:rPr>
        <w:t>七、其它有关规定</w:t>
      </w:r>
      <w:r>
        <w:tab/>
      </w:r>
      <w:r>
        <w:fldChar w:fldCharType="begin"/>
      </w:r>
      <w:r>
        <w:instrText xml:space="preserve"> PAGEREF _Toc131145259 \h </w:instrText>
      </w:r>
      <w:r>
        <w:fldChar w:fldCharType="separate"/>
      </w:r>
      <w:r>
        <w:t>- 5 -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"_Toc131145260" </w:instrText>
      </w:r>
      <w:r>
        <w:fldChar w:fldCharType="separate"/>
      </w:r>
      <w:r>
        <w:rPr>
          <w:rStyle w:val="65"/>
          <w:rFonts w:ascii="宋体"/>
        </w:rPr>
        <w:t>八、联系方式</w:t>
      </w:r>
      <w:r>
        <w:tab/>
      </w:r>
      <w:r>
        <w:fldChar w:fldCharType="begin"/>
      </w:r>
      <w:r>
        <w:instrText xml:space="preserve"> PAGEREF _Toc131145260 \h </w:instrText>
      </w:r>
      <w:r>
        <w:fldChar w:fldCharType="separate"/>
      </w:r>
      <w:r>
        <w:t>- 6 -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"_Toc131145261" </w:instrText>
      </w:r>
      <w:r>
        <w:fldChar w:fldCharType="separate"/>
      </w:r>
      <w:r>
        <w:rPr>
          <w:rStyle w:val="65"/>
          <w:rFonts w:ascii="宋体"/>
        </w:rPr>
        <w:t>第二篇  项目服务需求</w:t>
      </w:r>
      <w:r>
        <w:tab/>
      </w:r>
      <w:r>
        <w:fldChar w:fldCharType="begin"/>
      </w:r>
      <w:r>
        <w:instrText xml:space="preserve"> PAGEREF _Toc131145261 \h </w:instrText>
      </w:r>
      <w:r>
        <w:fldChar w:fldCharType="separate"/>
      </w:r>
      <w:r>
        <w:t>- 7 -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"_Toc131145262" </w:instrText>
      </w:r>
      <w:r>
        <w:fldChar w:fldCharType="separate"/>
      </w:r>
      <w:r>
        <w:rPr>
          <w:rStyle w:val="65"/>
          <w:rFonts w:ascii="宋体"/>
        </w:rPr>
        <w:t>一、项目技术要求</w:t>
      </w:r>
      <w:r>
        <w:tab/>
      </w:r>
      <w:r>
        <w:fldChar w:fldCharType="begin"/>
      </w:r>
      <w:r>
        <w:instrText xml:space="preserve"> PAGEREF _Toc131145262 \h </w:instrText>
      </w:r>
      <w:r>
        <w:fldChar w:fldCharType="separate"/>
      </w:r>
      <w:r>
        <w:t>- 7 -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"_Toc131145263" </w:instrText>
      </w:r>
      <w:r>
        <w:fldChar w:fldCharType="separate"/>
      </w:r>
      <w:r>
        <w:rPr>
          <w:rStyle w:val="65"/>
        </w:rPr>
        <w:t>二、服务标准</w:t>
      </w:r>
      <w:r>
        <w:tab/>
      </w:r>
      <w:r>
        <w:fldChar w:fldCharType="begin"/>
      </w:r>
      <w:r>
        <w:instrText xml:space="preserve"> PAGEREF _Toc131145263 \h </w:instrText>
      </w:r>
      <w:r>
        <w:fldChar w:fldCharType="separate"/>
      </w:r>
      <w:r>
        <w:t>- 9 -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"_Toc131145264" </w:instrText>
      </w:r>
      <w:r>
        <w:fldChar w:fldCharType="separate"/>
      </w:r>
      <w:r>
        <w:rPr>
          <w:rStyle w:val="65"/>
        </w:rPr>
        <w:t>三、其他</w:t>
      </w:r>
      <w:r>
        <w:tab/>
      </w:r>
      <w:r>
        <w:fldChar w:fldCharType="begin"/>
      </w:r>
      <w:r>
        <w:instrText xml:space="preserve"> PAGEREF _Toc131145264 \h </w:instrText>
      </w:r>
      <w:r>
        <w:fldChar w:fldCharType="separate"/>
      </w:r>
      <w:r>
        <w:t>- 9 -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"_Toc131145265" </w:instrText>
      </w:r>
      <w:r>
        <w:fldChar w:fldCharType="separate"/>
      </w:r>
      <w:r>
        <w:rPr>
          <w:rStyle w:val="65"/>
          <w:rFonts w:ascii="宋体"/>
        </w:rPr>
        <w:t>第三篇  项目商务需求</w:t>
      </w:r>
      <w:r>
        <w:tab/>
      </w:r>
      <w:r>
        <w:fldChar w:fldCharType="begin"/>
      </w:r>
      <w:r>
        <w:instrText xml:space="preserve"> PAGEREF _Toc131145265 \h </w:instrText>
      </w:r>
      <w:r>
        <w:fldChar w:fldCharType="separate"/>
      </w:r>
      <w:r>
        <w:t>- 10 -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"_Toc131145266" </w:instrText>
      </w:r>
      <w:r>
        <w:fldChar w:fldCharType="separate"/>
      </w:r>
      <w:r>
        <w:rPr>
          <w:rStyle w:val="65"/>
          <w:rFonts w:hint="eastAsia" w:ascii="宋体" w:hAnsi="宋体" w:cs="宋体"/>
        </w:rPr>
        <w:t>※</w:t>
      </w:r>
      <w:r>
        <w:rPr>
          <w:rStyle w:val="65"/>
        </w:rPr>
        <w:t>一、服务时间、地点及验收方式</w:t>
      </w:r>
      <w:r>
        <w:tab/>
      </w:r>
      <w:r>
        <w:fldChar w:fldCharType="begin"/>
      </w:r>
      <w:r>
        <w:instrText xml:space="preserve"> PAGEREF _Toc131145266 \h </w:instrText>
      </w:r>
      <w:r>
        <w:fldChar w:fldCharType="separate"/>
      </w:r>
      <w:r>
        <w:t>- 10 -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"_Toc131145267" </w:instrText>
      </w:r>
      <w:r>
        <w:fldChar w:fldCharType="separate"/>
      </w:r>
      <w:r>
        <w:rPr>
          <w:rStyle w:val="65"/>
          <w:rFonts w:hint="eastAsia" w:ascii="宋体" w:hAnsi="宋体" w:cs="宋体"/>
        </w:rPr>
        <w:t>※</w:t>
      </w:r>
      <w:r>
        <w:rPr>
          <w:rStyle w:val="65"/>
        </w:rPr>
        <w:t>二、报价要求</w:t>
      </w:r>
      <w:r>
        <w:tab/>
      </w:r>
      <w:r>
        <w:fldChar w:fldCharType="begin"/>
      </w:r>
      <w:r>
        <w:instrText xml:space="preserve"> PAGEREF _Toc131145267 \h </w:instrText>
      </w:r>
      <w:r>
        <w:fldChar w:fldCharType="separate"/>
      </w:r>
      <w:r>
        <w:t>- 10 -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"_Toc131145268"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_Toc131145268 \h </w:instrText>
      </w:r>
      <w:r>
        <w:fldChar w:fldCharType="separate"/>
      </w:r>
      <w:r>
        <w:t>- 10 -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"_Toc131145269" </w:instrText>
      </w:r>
      <w:r>
        <w:fldChar w:fldCharType="separate"/>
      </w:r>
      <w:r>
        <w:rPr>
          <w:rStyle w:val="65"/>
        </w:rPr>
        <w:t>四、知识产权</w:t>
      </w:r>
      <w:r>
        <w:tab/>
      </w:r>
      <w:r>
        <w:fldChar w:fldCharType="begin"/>
      </w:r>
      <w:r>
        <w:instrText xml:space="preserve"> PAGEREF _Toc131145269 \h </w:instrText>
      </w:r>
      <w:r>
        <w:fldChar w:fldCharType="separate"/>
      </w:r>
      <w:r>
        <w:t>- 10 -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"_Toc131145270" </w:instrText>
      </w:r>
      <w:r>
        <w:fldChar w:fldCharType="separate"/>
      </w:r>
      <w:r>
        <w:rPr>
          <w:rStyle w:val="65"/>
        </w:rPr>
        <w:t>五、其他</w:t>
      </w:r>
      <w:r>
        <w:tab/>
      </w:r>
      <w:r>
        <w:fldChar w:fldCharType="begin"/>
      </w:r>
      <w:r>
        <w:instrText xml:space="preserve"> PAGEREF _Toc131145270 \h </w:instrText>
      </w:r>
      <w:r>
        <w:fldChar w:fldCharType="separate"/>
      </w:r>
      <w:r>
        <w:t>- 11 -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"_Toc131145271" </w:instrText>
      </w:r>
      <w:r>
        <w:fldChar w:fldCharType="separate"/>
      </w:r>
      <w:r>
        <w:rPr>
          <w:rStyle w:val="65"/>
          <w:rFonts w:ascii="宋体"/>
        </w:rPr>
        <w:t>第四篇  磋商程序及方法、评审标准、无效响应和采购终止</w:t>
      </w:r>
      <w:r>
        <w:tab/>
      </w:r>
      <w:r>
        <w:fldChar w:fldCharType="begin"/>
      </w:r>
      <w:r>
        <w:instrText xml:space="preserve"> PAGEREF _Toc131145271 \h </w:instrText>
      </w:r>
      <w:r>
        <w:fldChar w:fldCharType="separate"/>
      </w:r>
      <w:r>
        <w:t>- 12 -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"_Toc131145272" </w:instrText>
      </w:r>
      <w:r>
        <w:fldChar w:fldCharType="separate"/>
      </w:r>
      <w:r>
        <w:rPr>
          <w:rStyle w:val="65"/>
          <w:rFonts w:ascii="宋体" w:hAnsi="宋体"/>
        </w:rPr>
        <w:t>一、磋商程序及方法</w:t>
      </w:r>
      <w:r>
        <w:tab/>
      </w:r>
      <w:r>
        <w:fldChar w:fldCharType="begin"/>
      </w:r>
      <w:r>
        <w:instrText xml:space="preserve"> PAGEREF _Toc131145272 \h </w:instrText>
      </w:r>
      <w:r>
        <w:fldChar w:fldCharType="separate"/>
      </w:r>
      <w:r>
        <w:t>- 12 -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"_Toc131145273" </w:instrText>
      </w:r>
      <w:r>
        <w:fldChar w:fldCharType="separate"/>
      </w:r>
      <w:r>
        <w:rPr>
          <w:rStyle w:val="65"/>
          <w:rFonts w:ascii="宋体"/>
        </w:rPr>
        <w:t>二、评审标准</w:t>
      </w:r>
      <w:r>
        <w:tab/>
      </w:r>
      <w:r>
        <w:fldChar w:fldCharType="begin"/>
      </w:r>
      <w:r>
        <w:instrText xml:space="preserve"> PAGEREF _Toc131145273 \h </w:instrText>
      </w:r>
      <w:r>
        <w:fldChar w:fldCharType="separate"/>
      </w:r>
      <w:r>
        <w:t>- 14 -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"_Toc131145274" </w:instrText>
      </w:r>
      <w:r>
        <w:fldChar w:fldCharType="separate"/>
      </w:r>
      <w:r>
        <w:rPr>
          <w:rStyle w:val="65"/>
          <w:rFonts w:ascii="宋体"/>
        </w:rPr>
        <w:t>三、无效响应</w:t>
      </w:r>
      <w:r>
        <w:tab/>
      </w:r>
      <w:r>
        <w:fldChar w:fldCharType="begin"/>
      </w:r>
      <w:r>
        <w:instrText xml:space="preserve"> PAGEREF _Toc131145274 \h </w:instrText>
      </w:r>
      <w:r>
        <w:fldChar w:fldCharType="separate"/>
      </w:r>
      <w:r>
        <w:t>- 16 -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"_Toc131145275" </w:instrText>
      </w:r>
      <w:r>
        <w:fldChar w:fldCharType="separate"/>
      </w:r>
      <w:r>
        <w:rPr>
          <w:rStyle w:val="65"/>
          <w:rFonts w:ascii="宋体"/>
        </w:rPr>
        <w:t>四、采购终止</w:t>
      </w:r>
      <w:r>
        <w:tab/>
      </w:r>
      <w:r>
        <w:fldChar w:fldCharType="begin"/>
      </w:r>
      <w:r>
        <w:instrText xml:space="preserve"> PAGEREF _Toc131145275 \h </w:instrText>
      </w:r>
      <w:r>
        <w:fldChar w:fldCharType="separate"/>
      </w:r>
      <w:r>
        <w:t>- 16 -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"_Toc131145276" </w:instrText>
      </w:r>
      <w:r>
        <w:fldChar w:fldCharType="separate"/>
      </w:r>
      <w:r>
        <w:rPr>
          <w:rStyle w:val="65"/>
          <w:rFonts w:ascii="宋体"/>
        </w:rPr>
        <w:t>第五篇  供应商须知</w:t>
      </w:r>
      <w:r>
        <w:tab/>
      </w:r>
      <w:r>
        <w:fldChar w:fldCharType="begin"/>
      </w:r>
      <w:r>
        <w:instrText xml:space="preserve"> PAGEREF _Toc131145276 \h </w:instrText>
      </w:r>
      <w:r>
        <w:fldChar w:fldCharType="separate"/>
      </w:r>
      <w:r>
        <w:t>- 18 -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"_Toc131145277" </w:instrText>
      </w:r>
      <w:r>
        <w:fldChar w:fldCharType="separate"/>
      </w:r>
      <w:r>
        <w:rPr>
          <w:rStyle w:val="65"/>
          <w:rFonts w:ascii="宋体"/>
        </w:rPr>
        <w:t>一、磋商费用</w:t>
      </w:r>
      <w:r>
        <w:tab/>
      </w:r>
      <w:r>
        <w:fldChar w:fldCharType="begin"/>
      </w:r>
      <w:r>
        <w:instrText xml:space="preserve"> PAGEREF _Toc131145277 \h </w:instrText>
      </w:r>
      <w:r>
        <w:fldChar w:fldCharType="separate"/>
      </w:r>
      <w:r>
        <w:t>- 18 -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"_Toc131145278" </w:instrText>
      </w:r>
      <w:r>
        <w:fldChar w:fldCharType="separate"/>
      </w:r>
      <w:r>
        <w:rPr>
          <w:rStyle w:val="65"/>
          <w:rFonts w:ascii="宋体"/>
        </w:rPr>
        <w:t>二、竞争性磋商文件</w:t>
      </w:r>
      <w:r>
        <w:tab/>
      </w:r>
      <w:r>
        <w:fldChar w:fldCharType="begin"/>
      </w:r>
      <w:r>
        <w:instrText xml:space="preserve"> PAGEREF _Toc131145278 \h </w:instrText>
      </w:r>
      <w:r>
        <w:fldChar w:fldCharType="separate"/>
      </w:r>
      <w:r>
        <w:t>- 18 -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"_Toc131145279" </w:instrText>
      </w:r>
      <w:r>
        <w:fldChar w:fldCharType="separate"/>
      </w:r>
      <w:r>
        <w:rPr>
          <w:rStyle w:val="65"/>
          <w:rFonts w:ascii="宋体"/>
        </w:rPr>
        <w:t>三、磋商要求</w:t>
      </w:r>
      <w:r>
        <w:tab/>
      </w:r>
      <w:r>
        <w:fldChar w:fldCharType="begin"/>
      </w:r>
      <w:r>
        <w:instrText xml:space="preserve"> PAGEREF _Toc131145279 \h </w:instrText>
      </w:r>
      <w:r>
        <w:fldChar w:fldCharType="separate"/>
      </w:r>
      <w:r>
        <w:t>- 18 -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"_Toc131145280" </w:instrText>
      </w:r>
      <w:r>
        <w:fldChar w:fldCharType="separate"/>
      </w:r>
      <w:r>
        <w:rPr>
          <w:rStyle w:val="65"/>
          <w:rFonts w:ascii="宋体"/>
        </w:rPr>
        <w:t>四、成交供应商的确认和变更</w:t>
      </w:r>
      <w:r>
        <w:tab/>
      </w:r>
      <w:r>
        <w:fldChar w:fldCharType="begin"/>
      </w:r>
      <w:r>
        <w:instrText xml:space="preserve"> PAGEREF _Toc131145280 \h </w:instrText>
      </w:r>
      <w:r>
        <w:fldChar w:fldCharType="separate"/>
      </w:r>
      <w:r>
        <w:t>- 20 -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"_Toc131145281" </w:instrText>
      </w:r>
      <w:r>
        <w:fldChar w:fldCharType="separate"/>
      </w:r>
      <w:r>
        <w:rPr>
          <w:rStyle w:val="65"/>
          <w:rFonts w:ascii="宋体"/>
        </w:rPr>
        <w:t>五、成交通知</w:t>
      </w:r>
      <w:r>
        <w:tab/>
      </w:r>
      <w:r>
        <w:fldChar w:fldCharType="begin"/>
      </w:r>
      <w:r>
        <w:instrText xml:space="preserve"> PAGEREF _Toc131145281 \h </w:instrText>
      </w:r>
      <w:r>
        <w:fldChar w:fldCharType="separate"/>
      </w:r>
      <w:r>
        <w:t>- 20 -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"_Toc131145282" </w:instrText>
      </w:r>
      <w:r>
        <w:fldChar w:fldCharType="separate"/>
      </w:r>
      <w:r>
        <w:rPr>
          <w:rStyle w:val="65"/>
          <w:rFonts w:ascii="宋体"/>
        </w:rPr>
        <w:t>六、关于质疑和投诉</w:t>
      </w:r>
      <w:r>
        <w:tab/>
      </w:r>
      <w:r>
        <w:fldChar w:fldCharType="begin"/>
      </w:r>
      <w:r>
        <w:instrText xml:space="preserve"> PAGEREF _Toc131145282 \h </w:instrText>
      </w:r>
      <w:r>
        <w:fldChar w:fldCharType="separate"/>
      </w:r>
      <w:r>
        <w:t>- 20 -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"_Toc131145283" </w:instrText>
      </w:r>
      <w:r>
        <w:fldChar w:fldCharType="separate"/>
      </w:r>
      <w:r>
        <w:rPr>
          <w:rStyle w:val="65"/>
          <w:rFonts w:ascii="宋体"/>
        </w:rPr>
        <w:t>七、采购代理服务费</w:t>
      </w:r>
      <w:r>
        <w:tab/>
      </w:r>
      <w:r>
        <w:fldChar w:fldCharType="begin"/>
      </w:r>
      <w:r>
        <w:instrText xml:space="preserve"> PAGEREF _Toc131145283 \h </w:instrText>
      </w:r>
      <w:r>
        <w:fldChar w:fldCharType="separate"/>
      </w:r>
      <w:r>
        <w:t>- 22 -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"_Toc131145284" </w:instrText>
      </w:r>
      <w:r>
        <w:fldChar w:fldCharType="separate"/>
      </w:r>
      <w:r>
        <w:rPr>
          <w:rStyle w:val="65"/>
          <w:rFonts w:ascii="宋体"/>
        </w:rPr>
        <w:t>八、签订合同</w:t>
      </w:r>
      <w:r>
        <w:tab/>
      </w:r>
      <w:r>
        <w:fldChar w:fldCharType="begin"/>
      </w:r>
      <w:r>
        <w:instrText xml:space="preserve"> PAGEREF _Toc131145284 \h </w:instrText>
      </w:r>
      <w:r>
        <w:fldChar w:fldCharType="separate"/>
      </w:r>
      <w:r>
        <w:t>- 22 -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"_Toc131145285" </w:instrText>
      </w:r>
      <w:r>
        <w:fldChar w:fldCharType="separate"/>
      </w:r>
      <w:r>
        <w:rPr>
          <w:rStyle w:val="65"/>
          <w:rFonts w:ascii="宋体"/>
        </w:rPr>
        <w:t>第六篇  合同草案条款</w:t>
      </w:r>
      <w:r>
        <w:tab/>
      </w:r>
      <w:r>
        <w:fldChar w:fldCharType="begin"/>
      </w:r>
      <w:r>
        <w:instrText xml:space="preserve"> PAGEREF _Toc131145285 \h </w:instrText>
      </w:r>
      <w:r>
        <w:fldChar w:fldCharType="separate"/>
      </w:r>
      <w:r>
        <w:t>- 23 -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"_Toc131145286" </w:instrText>
      </w:r>
      <w:r>
        <w:fldChar w:fldCharType="separate"/>
      </w:r>
      <w:r>
        <w:rPr>
          <w:rStyle w:val="65"/>
          <w:rFonts w:ascii="宋体"/>
        </w:rPr>
        <w:t>一、合同主要条款</w:t>
      </w:r>
      <w:r>
        <w:tab/>
      </w:r>
      <w:r>
        <w:fldChar w:fldCharType="begin"/>
      </w:r>
      <w:r>
        <w:instrText xml:space="preserve"> PAGEREF _Toc131145286 \h </w:instrText>
      </w:r>
      <w:r>
        <w:fldChar w:fldCharType="separate"/>
      </w:r>
      <w:r>
        <w:t>- 23 -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"_Toc131145287" </w:instrText>
      </w:r>
      <w:r>
        <w:fldChar w:fldCharType="separate"/>
      </w:r>
      <w:r>
        <w:rPr>
          <w:rStyle w:val="65"/>
          <w:rFonts w:ascii="宋体"/>
        </w:rPr>
        <w:t>二、政府采购合同（格式）</w:t>
      </w:r>
      <w:r>
        <w:tab/>
      </w:r>
      <w:r>
        <w:fldChar w:fldCharType="begin"/>
      </w:r>
      <w:r>
        <w:instrText xml:space="preserve"> PAGEREF _Toc131145287 \h </w:instrText>
      </w:r>
      <w:r>
        <w:fldChar w:fldCharType="separate"/>
      </w:r>
      <w:r>
        <w:t>- 25 -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"_Toc131145288" </w:instrText>
      </w:r>
      <w:r>
        <w:fldChar w:fldCharType="separate"/>
      </w:r>
      <w:r>
        <w:rPr>
          <w:rStyle w:val="65"/>
          <w:rFonts w:ascii="宋体"/>
        </w:rPr>
        <w:t>第七篇  响应文件编制要求</w:t>
      </w:r>
      <w:r>
        <w:tab/>
      </w:r>
      <w:r>
        <w:fldChar w:fldCharType="begin"/>
      </w:r>
      <w:r>
        <w:instrText xml:space="preserve"> PAGEREF _Toc131145288 \h </w:instrText>
      </w:r>
      <w:r>
        <w:fldChar w:fldCharType="separate"/>
      </w:r>
      <w:r>
        <w:t>- 27 -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"_Toc131145289" </w:instrText>
      </w:r>
      <w:r>
        <w:fldChar w:fldCharType="separate"/>
      </w:r>
      <w:r>
        <w:rPr>
          <w:rStyle w:val="65"/>
          <w:rFonts w:ascii="宋体" w:hAnsi="宋体"/>
        </w:rPr>
        <w:t>一、经济部分</w:t>
      </w:r>
      <w:r>
        <w:tab/>
      </w:r>
      <w:r>
        <w:fldChar w:fldCharType="begin"/>
      </w:r>
      <w:r>
        <w:instrText xml:space="preserve"> PAGEREF _Toc131145289 \h </w:instrText>
      </w:r>
      <w:r>
        <w:fldChar w:fldCharType="separate"/>
      </w:r>
      <w:r>
        <w:t>- 27 -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"_Toc131145290" </w:instrText>
      </w:r>
      <w:r>
        <w:fldChar w:fldCharType="separate"/>
      </w:r>
      <w:r>
        <w:rPr>
          <w:rStyle w:val="65"/>
          <w:rFonts w:ascii="宋体" w:hAnsi="宋体"/>
        </w:rPr>
        <w:t>二、服务部分</w:t>
      </w:r>
      <w:r>
        <w:tab/>
      </w:r>
      <w:r>
        <w:fldChar w:fldCharType="begin"/>
      </w:r>
      <w:r>
        <w:instrText xml:space="preserve"> PAGEREF _Toc131145290 \h </w:instrText>
      </w:r>
      <w:r>
        <w:fldChar w:fldCharType="separate"/>
      </w:r>
      <w:r>
        <w:t>- 27 -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"_Toc131145291" </w:instrText>
      </w:r>
      <w:r>
        <w:fldChar w:fldCharType="separate"/>
      </w:r>
      <w:r>
        <w:rPr>
          <w:rStyle w:val="65"/>
          <w:rFonts w:ascii="宋体" w:hAnsi="宋体"/>
        </w:rPr>
        <w:t>三、商务部分</w:t>
      </w:r>
      <w:r>
        <w:tab/>
      </w:r>
      <w:r>
        <w:fldChar w:fldCharType="begin"/>
      </w:r>
      <w:r>
        <w:instrText xml:space="preserve"> PAGEREF _Toc131145291 \h </w:instrText>
      </w:r>
      <w:r>
        <w:fldChar w:fldCharType="separate"/>
      </w:r>
      <w:r>
        <w:t>- 27 -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"_Toc131145292" </w:instrText>
      </w:r>
      <w:r>
        <w:fldChar w:fldCharType="separate"/>
      </w:r>
      <w:r>
        <w:rPr>
          <w:rStyle w:val="65"/>
          <w:rFonts w:ascii="宋体" w:hAnsi="宋体"/>
        </w:rPr>
        <w:t>四、资格条件及其他</w:t>
      </w:r>
      <w:r>
        <w:tab/>
      </w:r>
      <w:r>
        <w:fldChar w:fldCharType="begin"/>
      </w:r>
      <w:r>
        <w:instrText xml:space="preserve"> PAGEREF _Toc131145292 \h </w:instrText>
      </w:r>
      <w:r>
        <w:fldChar w:fldCharType="separate"/>
      </w:r>
      <w:r>
        <w:t>- 27 -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"_Toc131145293" </w:instrText>
      </w:r>
      <w:r>
        <w:fldChar w:fldCharType="separate"/>
      </w:r>
      <w:r>
        <w:rPr>
          <w:rStyle w:val="65"/>
        </w:rPr>
        <w:t>五、其他资料</w:t>
      </w:r>
      <w:r>
        <w:tab/>
      </w:r>
      <w:r>
        <w:fldChar w:fldCharType="begin"/>
      </w:r>
      <w:r>
        <w:instrText xml:space="preserve"> PAGEREF _Toc131145293 \h </w:instrText>
      </w:r>
      <w:r>
        <w:fldChar w:fldCharType="separate"/>
      </w:r>
      <w:r>
        <w:t>- 35 -</w:t>
      </w:r>
      <w:r>
        <w:fldChar w:fldCharType="end"/>
      </w:r>
      <w:r>
        <w:fldChar w:fldCharType="end"/>
      </w:r>
    </w:p>
    <w:p>
      <w:pPr>
        <w:pStyle w:val="51"/>
        <w:tabs>
          <w:tab w:val="right" w:leader="dot" w:pos="9402"/>
        </w:tabs>
        <w:spacing w:line="480" w:lineRule="exact"/>
        <w:ind w:left="560"/>
        <w:jc w:val="center"/>
        <w:rPr>
          <w:rFonts w:ascii="宋体"/>
          <w:sz w:val="24"/>
          <w:szCs w:val="24"/>
        </w:rPr>
        <w:sectPr>
          <w:footerReference r:id="rId7" w:type="default"/>
          <w:pgSz w:w="11907" w:h="16840"/>
          <w:pgMar w:top="1134" w:right="1191" w:bottom="1134" w:left="1191" w:header="851" w:footer="992" w:gutter="0"/>
          <w:pgNumType w:fmt="numberInDash" w:start="1"/>
          <w:cols w:space="720" w:num="1"/>
          <w:docGrid w:linePitch="380" w:charSpace="-5734"/>
        </w:sectPr>
      </w:pPr>
      <w:r>
        <w:rPr>
          <w:rFonts w:hint="eastAsia" w:ascii="宋体"/>
          <w:sz w:val="24"/>
          <w:szCs w:val="24"/>
        </w:rPr>
        <w:fldChar w:fldCharType="end"/>
      </w:r>
    </w:p>
    <w:p>
      <w:pPr>
        <w:pStyle w:val="5"/>
        <w:spacing w:line="360" w:lineRule="auto"/>
        <w:jc w:val="center"/>
        <w:rPr>
          <w:rFonts w:ascii="宋体" w:eastAsia="宋体"/>
          <w:sz w:val="36"/>
          <w:szCs w:val="30"/>
        </w:rPr>
      </w:pPr>
      <w:bookmarkStart w:id="0" w:name="_Toc12789052"/>
      <w:bookmarkStart w:id="1" w:name="_Toc131145252"/>
      <w:bookmarkStart w:id="2" w:name="_Toc11641050"/>
      <w:r>
        <w:rPr>
          <w:rFonts w:hint="eastAsia" w:ascii="宋体" w:eastAsia="宋体"/>
          <w:sz w:val="36"/>
          <w:szCs w:val="30"/>
        </w:rPr>
        <w:t>第一篇  采购邀请书</w:t>
      </w:r>
      <w:bookmarkEnd w:id="0"/>
      <w:bookmarkEnd w:id="1"/>
      <w:bookmarkEnd w:id="2"/>
    </w:p>
    <w:p>
      <w:pPr>
        <w:spacing w:line="360" w:lineRule="auto"/>
        <w:ind w:firstLine="480" w:firstLineChars="200"/>
        <w:rPr>
          <w:rFonts w:ascii="宋体"/>
          <w:sz w:val="24"/>
          <w:szCs w:val="24"/>
        </w:rPr>
      </w:pPr>
      <w:r>
        <w:rPr>
          <w:rFonts w:hint="eastAsia" w:ascii="宋体"/>
          <w:sz w:val="24"/>
          <w:szCs w:val="24"/>
        </w:rPr>
        <w:t>重庆市中基致信招标代理有限公司（以下简称：采购代理机构）接</w:t>
      </w:r>
      <w:r>
        <w:rPr>
          <w:rFonts w:ascii="宋体"/>
          <w:sz w:val="24"/>
          <w:szCs w:val="24"/>
        </w:rPr>
        <w:t>受</w:t>
      </w:r>
      <w:r>
        <w:rPr>
          <w:rFonts w:hint="eastAsia" w:ascii="宋体"/>
          <w:sz w:val="24"/>
          <w:szCs w:val="24"/>
        </w:rPr>
        <w:t>重庆市无线电监测站的委托，对2023年重庆市无线电监测技术演练服务政府采购项目（项目号：</w:t>
      </w:r>
      <w:r>
        <w:rPr>
          <w:rFonts w:ascii="宋体"/>
          <w:sz w:val="24"/>
          <w:szCs w:val="24"/>
        </w:rPr>
        <w:t>CQCBJQ2303-088</w:t>
      </w:r>
      <w:r>
        <w:rPr>
          <w:rFonts w:hint="eastAsia" w:ascii="宋体"/>
          <w:sz w:val="24"/>
          <w:szCs w:val="24"/>
        </w:rPr>
        <w:t>）进行竞争性磋商采购。欢迎有资格的供应商前来参与磋商。</w:t>
      </w:r>
    </w:p>
    <w:p>
      <w:pPr>
        <w:pStyle w:val="6"/>
        <w:spacing w:before="0" w:after="0" w:line="360" w:lineRule="auto"/>
        <w:ind w:firstLine="482" w:firstLineChars="200"/>
        <w:rPr>
          <w:rFonts w:ascii="宋体"/>
          <w:sz w:val="24"/>
          <w:szCs w:val="24"/>
        </w:rPr>
      </w:pPr>
      <w:bookmarkStart w:id="3" w:name="_Toc317775175"/>
      <w:bookmarkStart w:id="4" w:name="_Toc131145253"/>
      <w:bookmarkStart w:id="5" w:name="_Toc313893526"/>
      <w:r>
        <w:rPr>
          <w:rFonts w:hint="eastAsia" w:ascii="宋体"/>
          <w:sz w:val="24"/>
          <w:szCs w:val="24"/>
        </w:rPr>
        <w:t>一、竞争性磋商内容</w:t>
      </w:r>
      <w:bookmarkEnd w:id="3"/>
      <w:bookmarkEnd w:id="4"/>
      <w:bookmarkEnd w:id="5"/>
    </w:p>
    <w:tbl>
      <w:tblPr>
        <w:tblStyle w:val="6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417"/>
        <w:gridCol w:w="1418"/>
        <w:gridCol w:w="1276"/>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3119" w:type="dxa"/>
            <w:tcBorders>
              <w:top w:val="single" w:color="auto" w:sz="4" w:space="0"/>
              <w:left w:val="single" w:color="auto" w:sz="4" w:space="0"/>
              <w:right w:val="single" w:color="auto" w:sz="4" w:space="0"/>
            </w:tcBorders>
            <w:vAlign w:val="center"/>
          </w:tcPr>
          <w:p>
            <w:pPr>
              <w:widowControl/>
              <w:jc w:val="center"/>
              <w:rPr>
                <w:rFonts w:ascii="宋体" w:cs="宋体"/>
                <w:b/>
                <w:bCs/>
                <w:kern w:val="0"/>
                <w:sz w:val="21"/>
                <w:szCs w:val="24"/>
              </w:rPr>
            </w:pPr>
            <w:bookmarkStart w:id="6" w:name="_Toc373860293"/>
            <w:bookmarkStart w:id="7" w:name="_Toc317775178"/>
            <w:r>
              <w:rPr>
                <w:rFonts w:hint="eastAsia" w:ascii="宋体" w:cs="宋体"/>
                <w:b/>
                <w:bCs/>
                <w:kern w:val="0"/>
                <w:sz w:val="21"/>
                <w:szCs w:val="24"/>
              </w:rPr>
              <w:t>项目内容</w:t>
            </w:r>
          </w:p>
        </w:tc>
        <w:tc>
          <w:tcPr>
            <w:tcW w:w="1417" w:type="dxa"/>
            <w:tcBorders>
              <w:top w:val="single" w:color="auto" w:sz="4" w:space="0"/>
              <w:left w:val="single" w:color="auto" w:sz="4" w:space="0"/>
              <w:right w:val="single" w:color="auto" w:sz="4" w:space="0"/>
            </w:tcBorders>
            <w:vAlign w:val="center"/>
          </w:tcPr>
          <w:p>
            <w:pPr>
              <w:widowControl/>
              <w:jc w:val="center"/>
              <w:rPr>
                <w:rFonts w:ascii="宋体" w:cs="宋体"/>
                <w:b/>
                <w:bCs/>
                <w:kern w:val="0"/>
                <w:sz w:val="21"/>
                <w:szCs w:val="24"/>
              </w:rPr>
            </w:pPr>
            <w:r>
              <w:rPr>
                <w:rFonts w:hint="eastAsia" w:ascii="宋体" w:cs="宋体"/>
                <w:b/>
                <w:bCs/>
                <w:kern w:val="0"/>
                <w:sz w:val="21"/>
                <w:szCs w:val="24"/>
              </w:rPr>
              <w:t>最高限价</w:t>
            </w:r>
          </w:p>
          <w:p>
            <w:pPr>
              <w:widowControl/>
              <w:jc w:val="center"/>
              <w:rPr>
                <w:rFonts w:ascii="宋体" w:cs="宋体"/>
                <w:b/>
                <w:bCs/>
                <w:kern w:val="0"/>
                <w:sz w:val="21"/>
                <w:szCs w:val="24"/>
              </w:rPr>
            </w:pPr>
            <w:r>
              <w:rPr>
                <w:rFonts w:hint="eastAsia" w:ascii="宋体" w:cs="宋体"/>
                <w:b/>
                <w:bCs/>
                <w:kern w:val="0"/>
                <w:sz w:val="21"/>
                <w:szCs w:val="24"/>
              </w:rPr>
              <w:t>（万元）</w:t>
            </w:r>
          </w:p>
        </w:tc>
        <w:tc>
          <w:tcPr>
            <w:tcW w:w="1418" w:type="dxa"/>
            <w:tcBorders>
              <w:top w:val="single" w:color="auto" w:sz="4" w:space="0"/>
              <w:left w:val="single" w:color="auto" w:sz="4" w:space="0"/>
              <w:right w:val="single" w:color="auto" w:sz="4" w:space="0"/>
            </w:tcBorders>
            <w:vAlign w:val="center"/>
          </w:tcPr>
          <w:p>
            <w:pPr>
              <w:widowControl/>
              <w:jc w:val="center"/>
              <w:rPr>
                <w:rFonts w:ascii="宋体" w:cs="宋体"/>
                <w:b/>
                <w:bCs/>
                <w:kern w:val="0"/>
                <w:sz w:val="21"/>
                <w:szCs w:val="24"/>
              </w:rPr>
            </w:pPr>
            <w:r>
              <w:rPr>
                <w:rFonts w:hint="eastAsia" w:ascii="宋体" w:cs="宋体"/>
                <w:b/>
                <w:bCs/>
                <w:kern w:val="0"/>
                <w:sz w:val="21"/>
                <w:szCs w:val="24"/>
              </w:rPr>
              <w:t>磋商保证金</w:t>
            </w:r>
          </w:p>
          <w:p>
            <w:pPr>
              <w:widowControl/>
              <w:jc w:val="center"/>
              <w:rPr>
                <w:rFonts w:ascii="宋体" w:cs="宋体"/>
                <w:b/>
                <w:bCs/>
                <w:kern w:val="0"/>
                <w:sz w:val="21"/>
                <w:szCs w:val="24"/>
              </w:rPr>
            </w:pPr>
            <w:r>
              <w:rPr>
                <w:rFonts w:hint="eastAsia" w:ascii="宋体" w:cs="宋体"/>
                <w:b/>
                <w:bCs/>
                <w:kern w:val="0"/>
                <w:sz w:val="21"/>
                <w:szCs w:val="24"/>
              </w:rPr>
              <w:t>（万元）</w:t>
            </w:r>
          </w:p>
        </w:tc>
        <w:tc>
          <w:tcPr>
            <w:tcW w:w="1276" w:type="dxa"/>
            <w:tcBorders>
              <w:top w:val="single" w:color="auto" w:sz="4" w:space="0"/>
              <w:left w:val="single" w:color="auto" w:sz="4" w:space="0"/>
              <w:right w:val="single" w:color="auto" w:sz="4" w:space="0"/>
            </w:tcBorders>
            <w:vAlign w:val="center"/>
          </w:tcPr>
          <w:p>
            <w:pPr>
              <w:widowControl/>
              <w:jc w:val="center"/>
              <w:rPr>
                <w:rFonts w:ascii="宋体" w:cs="宋体"/>
                <w:b/>
                <w:bCs/>
                <w:kern w:val="0"/>
                <w:sz w:val="21"/>
                <w:szCs w:val="24"/>
              </w:rPr>
            </w:pPr>
            <w:r>
              <w:rPr>
                <w:rFonts w:hint="eastAsia" w:ascii="宋体" w:cs="宋体"/>
                <w:b/>
                <w:bCs/>
                <w:kern w:val="0"/>
                <w:sz w:val="21"/>
                <w:szCs w:val="24"/>
              </w:rPr>
              <w:t>成交供应商数量（名）</w:t>
            </w:r>
          </w:p>
        </w:tc>
        <w:tc>
          <w:tcPr>
            <w:tcW w:w="2409" w:type="dxa"/>
            <w:tcBorders>
              <w:top w:val="single" w:color="auto" w:sz="4" w:space="0"/>
              <w:left w:val="single" w:color="auto" w:sz="4" w:space="0"/>
              <w:right w:val="single" w:color="auto" w:sz="4" w:space="0"/>
            </w:tcBorders>
            <w:vAlign w:val="center"/>
          </w:tcPr>
          <w:p>
            <w:pPr>
              <w:widowControl/>
              <w:jc w:val="center"/>
              <w:rPr>
                <w:rFonts w:ascii="宋体" w:cs="宋体"/>
                <w:b/>
                <w:bCs/>
                <w:kern w:val="0"/>
                <w:sz w:val="21"/>
                <w:szCs w:val="24"/>
              </w:rPr>
            </w:pPr>
            <w:r>
              <w:rPr>
                <w:rFonts w:hint="eastAsia" w:ascii="宋体" w:cs="宋体"/>
                <w:b/>
                <w:bCs/>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3119" w:type="dxa"/>
            <w:tcBorders>
              <w:top w:val="single" w:color="auto" w:sz="4" w:space="0"/>
              <w:left w:val="single" w:color="auto" w:sz="4" w:space="0"/>
              <w:right w:val="single" w:color="auto" w:sz="4" w:space="0"/>
            </w:tcBorders>
            <w:vAlign w:val="center"/>
          </w:tcPr>
          <w:p>
            <w:pPr>
              <w:pStyle w:val="27"/>
              <w:spacing w:line="240" w:lineRule="atLeast"/>
              <w:ind w:left="0"/>
              <w:jc w:val="center"/>
              <w:outlineLvl w:val="0"/>
              <w:rPr>
                <w:rFonts w:ascii="宋体"/>
                <w:sz w:val="21"/>
                <w:szCs w:val="21"/>
              </w:rPr>
            </w:pPr>
            <w:bookmarkStart w:id="8" w:name="_Hlk344477914"/>
            <w:r>
              <w:rPr>
                <w:rFonts w:hint="eastAsia" w:ascii="宋体"/>
                <w:sz w:val="21"/>
                <w:szCs w:val="21"/>
              </w:rPr>
              <w:t>2023年重庆市无线电监测技术演练服务</w:t>
            </w:r>
          </w:p>
        </w:tc>
        <w:tc>
          <w:tcPr>
            <w:tcW w:w="1417" w:type="dxa"/>
            <w:tcBorders>
              <w:top w:val="single" w:color="auto" w:sz="4" w:space="0"/>
              <w:left w:val="single" w:color="auto" w:sz="4" w:space="0"/>
              <w:right w:val="single" w:color="auto" w:sz="4" w:space="0"/>
            </w:tcBorders>
            <w:vAlign w:val="center"/>
          </w:tcPr>
          <w:p>
            <w:pPr>
              <w:pStyle w:val="27"/>
              <w:spacing w:line="240" w:lineRule="atLeast"/>
              <w:ind w:left="0"/>
              <w:jc w:val="center"/>
              <w:outlineLvl w:val="0"/>
              <w:rPr>
                <w:rFonts w:ascii="宋体"/>
                <w:sz w:val="21"/>
                <w:szCs w:val="21"/>
              </w:rPr>
            </w:pPr>
            <w:r>
              <w:rPr>
                <w:rFonts w:ascii="宋体"/>
                <w:color w:val="000000" w:themeColor="text1"/>
                <w:sz w:val="21"/>
                <w:szCs w:val="21"/>
              </w:rPr>
              <w:t>49.</w:t>
            </w:r>
            <w:r>
              <w:rPr>
                <w:rFonts w:hint="eastAsia" w:ascii="宋体"/>
                <w:color w:val="000000" w:themeColor="text1"/>
                <w:sz w:val="21"/>
                <w:szCs w:val="21"/>
              </w:rPr>
              <w:t>8</w:t>
            </w:r>
          </w:p>
        </w:tc>
        <w:tc>
          <w:tcPr>
            <w:tcW w:w="1418" w:type="dxa"/>
            <w:tcBorders>
              <w:top w:val="single" w:color="auto" w:sz="4" w:space="0"/>
              <w:left w:val="single" w:color="auto" w:sz="4" w:space="0"/>
              <w:right w:val="single" w:color="auto" w:sz="4" w:space="0"/>
            </w:tcBorders>
            <w:vAlign w:val="center"/>
          </w:tcPr>
          <w:p>
            <w:pPr>
              <w:pStyle w:val="27"/>
              <w:spacing w:line="240" w:lineRule="atLeast"/>
              <w:ind w:left="0"/>
              <w:jc w:val="center"/>
              <w:outlineLvl w:val="0"/>
              <w:rPr>
                <w:rFonts w:ascii="宋体"/>
                <w:sz w:val="21"/>
                <w:szCs w:val="21"/>
              </w:rPr>
            </w:pPr>
            <w:r>
              <w:rPr>
                <w:rFonts w:ascii="宋体"/>
                <w:sz w:val="21"/>
                <w:szCs w:val="21"/>
              </w:rPr>
              <w:t>0</w:t>
            </w:r>
            <w:r>
              <w:rPr>
                <w:rFonts w:hint="eastAsia" w:ascii="宋体"/>
                <w:sz w:val="21"/>
                <w:szCs w:val="21"/>
              </w:rPr>
              <w:t>.</w:t>
            </w:r>
            <w:r>
              <w:rPr>
                <w:rFonts w:ascii="宋体"/>
                <w:sz w:val="21"/>
                <w:szCs w:val="21"/>
              </w:rPr>
              <w:t>9</w:t>
            </w:r>
          </w:p>
        </w:tc>
        <w:tc>
          <w:tcPr>
            <w:tcW w:w="1276" w:type="dxa"/>
            <w:tcBorders>
              <w:top w:val="single" w:color="auto" w:sz="4" w:space="0"/>
              <w:left w:val="single" w:color="auto" w:sz="4" w:space="0"/>
              <w:right w:val="single" w:color="auto" w:sz="4" w:space="0"/>
            </w:tcBorders>
            <w:vAlign w:val="center"/>
          </w:tcPr>
          <w:p>
            <w:pPr>
              <w:pStyle w:val="27"/>
              <w:spacing w:line="240" w:lineRule="atLeast"/>
              <w:ind w:left="0"/>
              <w:jc w:val="center"/>
              <w:outlineLvl w:val="0"/>
              <w:rPr>
                <w:rFonts w:ascii="宋体"/>
                <w:sz w:val="21"/>
                <w:szCs w:val="21"/>
              </w:rPr>
            </w:pPr>
            <w:r>
              <w:rPr>
                <w:rFonts w:ascii="宋体"/>
                <w:sz w:val="21"/>
                <w:szCs w:val="21"/>
              </w:rPr>
              <w:t>1</w:t>
            </w:r>
          </w:p>
        </w:tc>
        <w:tc>
          <w:tcPr>
            <w:tcW w:w="2409" w:type="dxa"/>
            <w:tcBorders>
              <w:top w:val="single" w:color="auto" w:sz="4" w:space="0"/>
              <w:left w:val="single" w:color="auto" w:sz="4" w:space="0"/>
              <w:right w:val="single" w:color="auto" w:sz="4" w:space="0"/>
            </w:tcBorders>
            <w:vAlign w:val="center"/>
          </w:tcPr>
          <w:p>
            <w:pPr>
              <w:pStyle w:val="27"/>
              <w:spacing w:line="240" w:lineRule="atLeast"/>
              <w:ind w:left="0"/>
              <w:jc w:val="center"/>
              <w:outlineLvl w:val="0"/>
              <w:rPr>
                <w:rFonts w:ascii="宋体"/>
                <w:sz w:val="21"/>
                <w:szCs w:val="21"/>
              </w:rPr>
            </w:pPr>
            <w:r>
              <w:rPr>
                <w:rFonts w:hint="eastAsia" w:ascii="宋体"/>
                <w:sz w:val="21"/>
                <w:szCs w:val="21"/>
              </w:rPr>
              <w:t>其他未列明行业</w:t>
            </w:r>
          </w:p>
        </w:tc>
      </w:tr>
      <w:bookmarkEnd w:id="8"/>
    </w:tbl>
    <w:p>
      <w:pPr>
        <w:pStyle w:val="6"/>
        <w:spacing w:before="0" w:after="0" w:line="360" w:lineRule="auto"/>
        <w:ind w:firstLine="482" w:firstLineChars="200"/>
        <w:rPr>
          <w:rFonts w:ascii="宋体"/>
          <w:sz w:val="24"/>
          <w:szCs w:val="24"/>
        </w:rPr>
      </w:pPr>
      <w:bookmarkStart w:id="9" w:name="_Toc131145254"/>
      <w:r>
        <w:rPr>
          <w:rFonts w:hint="eastAsia" w:ascii="宋体"/>
          <w:sz w:val="24"/>
          <w:szCs w:val="24"/>
        </w:rPr>
        <w:t>二、资金来源</w:t>
      </w:r>
      <w:bookmarkEnd w:id="9"/>
    </w:p>
    <w:p>
      <w:pPr>
        <w:spacing w:line="360" w:lineRule="auto"/>
        <w:ind w:firstLine="480" w:firstLineChars="200"/>
        <w:rPr>
          <w:rFonts w:ascii="宋体"/>
          <w:sz w:val="24"/>
          <w:szCs w:val="24"/>
        </w:rPr>
      </w:pPr>
      <w:r>
        <w:rPr>
          <w:rFonts w:hint="eastAsia" w:ascii="宋体"/>
          <w:sz w:val="24"/>
          <w:szCs w:val="24"/>
        </w:rPr>
        <w:t>财政预算资金,预算金额</w:t>
      </w:r>
      <w:r>
        <w:rPr>
          <w:rFonts w:hint="eastAsia" w:ascii="宋体"/>
          <w:color w:val="000000" w:themeColor="text1"/>
          <w:sz w:val="24"/>
          <w:szCs w:val="24"/>
        </w:rPr>
        <w:t>为</w:t>
      </w:r>
      <w:r>
        <w:rPr>
          <w:rFonts w:ascii="宋体"/>
          <w:color w:val="000000" w:themeColor="text1"/>
          <w:sz w:val="24"/>
          <w:szCs w:val="24"/>
        </w:rPr>
        <w:t>49.</w:t>
      </w:r>
      <w:r>
        <w:rPr>
          <w:rFonts w:hint="eastAsia" w:ascii="宋体"/>
          <w:color w:val="000000" w:themeColor="text1"/>
          <w:sz w:val="24"/>
          <w:szCs w:val="24"/>
        </w:rPr>
        <w:t>8</w:t>
      </w:r>
      <w:r>
        <w:rPr>
          <w:rFonts w:hint="eastAsia" w:ascii="宋体"/>
          <w:sz w:val="24"/>
          <w:szCs w:val="24"/>
        </w:rPr>
        <w:t>万元。</w:t>
      </w:r>
    </w:p>
    <w:bookmarkEnd w:id="6"/>
    <w:bookmarkEnd w:id="7"/>
    <w:p>
      <w:pPr>
        <w:pStyle w:val="6"/>
        <w:spacing w:before="0" w:after="0" w:line="360" w:lineRule="auto"/>
        <w:ind w:firstLine="482" w:firstLineChars="200"/>
        <w:rPr>
          <w:rFonts w:ascii="宋体"/>
          <w:sz w:val="24"/>
          <w:szCs w:val="24"/>
        </w:rPr>
      </w:pPr>
      <w:bookmarkStart w:id="10" w:name="_Toc131145255"/>
      <w:bookmarkStart w:id="11" w:name="_Toc75258773"/>
      <w:r>
        <w:rPr>
          <w:rFonts w:hint="eastAsia" w:ascii="宋体"/>
          <w:sz w:val="24"/>
          <w:szCs w:val="24"/>
        </w:rPr>
        <w:t>三、供应商资格条件</w:t>
      </w:r>
      <w:bookmarkEnd w:id="10"/>
      <w:bookmarkEnd w:id="11"/>
    </w:p>
    <w:p>
      <w:pPr>
        <w:spacing w:line="360" w:lineRule="auto"/>
        <w:ind w:firstLine="480" w:firstLineChars="200"/>
        <w:rPr>
          <w:rFonts w:ascii="宋体"/>
          <w:sz w:val="24"/>
          <w:szCs w:val="24"/>
        </w:rPr>
      </w:pPr>
      <w:bookmarkStart w:id="12" w:name="_Toc75258774"/>
      <w:r>
        <w:rPr>
          <w:rFonts w:hint="eastAsia" w:ascii="宋体"/>
          <w:sz w:val="24"/>
          <w:szCs w:val="24"/>
        </w:rPr>
        <w:t>（一）合格供应商应满足《中华人民共和国政府采购法》第二十二条规定；</w:t>
      </w:r>
    </w:p>
    <w:p>
      <w:pPr>
        <w:spacing w:line="360" w:lineRule="auto"/>
        <w:ind w:firstLine="480" w:firstLineChars="200"/>
        <w:rPr>
          <w:rFonts w:ascii="宋体"/>
          <w:sz w:val="24"/>
          <w:szCs w:val="24"/>
        </w:rPr>
      </w:pPr>
      <w:r>
        <w:rPr>
          <w:rFonts w:hint="eastAsia" w:ascii="宋体"/>
          <w:sz w:val="24"/>
          <w:szCs w:val="24"/>
        </w:rPr>
        <w:t>（二）本项目的特定资格条件：无；</w:t>
      </w:r>
    </w:p>
    <w:p>
      <w:pPr>
        <w:spacing w:line="360" w:lineRule="auto"/>
        <w:ind w:firstLine="480" w:firstLineChars="200"/>
        <w:rPr>
          <w:rFonts w:ascii="宋体"/>
          <w:sz w:val="24"/>
          <w:szCs w:val="24"/>
        </w:rPr>
      </w:pPr>
      <w:r>
        <w:rPr>
          <w:rFonts w:hint="eastAsia" w:ascii="宋体"/>
          <w:sz w:val="24"/>
          <w:szCs w:val="24"/>
        </w:rPr>
        <w:t>（三）落实政府采购政策需满足的资格要求：无。</w:t>
      </w:r>
    </w:p>
    <w:p>
      <w:pPr>
        <w:pStyle w:val="6"/>
        <w:spacing w:before="0" w:after="0" w:line="360" w:lineRule="auto"/>
        <w:ind w:firstLine="482" w:firstLineChars="200"/>
        <w:rPr>
          <w:rFonts w:ascii="宋体"/>
          <w:sz w:val="24"/>
          <w:szCs w:val="24"/>
        </w:rPr>
      </w:pPr>
      <w:bookmarkStart w:id="13" w:name="_Toc131145256"/>
      <w:r>
        <w:rPr>
          <w:rFonts w:hint="eastAsia" w:ascii="宋体"/>
          <w:sz w:val="24"/>
          <w:szCs w:val="24"/>
        </w:rPr>
        <w:t>四、磋商有关说明</w:t>
      </w:r>
      <w:bookmarkEnd w:id="12"/>
      <w:bookmarkEnd w:id="13"/>
    </w:p>
    <w:p>
      <w:pPr>
        <w:spacing w:line="360" w:lineRule="auto"/>
        <w:ind w:firstLine="480" w:firstLineChars="200"/>
        <w:rPr>
          <w:rFonts w:ascii="宋体"/>
          <w:sz w:val="24"/>
          <w:szCs w:val="24"/>
        </w:rPr>
      </w:pPr>
      <w:r>
        <w:rPr>
          <w:rFonts w:hint="eastAsia" w:ascii="宋体"/>
          <w:sz w:val="24"/>
          <w:szCs w:val="24"/>
        </w:rPr>
        <w:t>（一）凡有意参加磋商的供应商，</w:t>
      </w:r>
      <w:r>
        <w:rPr>
          <w:rFonts w:hint="eastAsia" w:ascii="宋体" w:cs="宋体"/>
          <w:sz w:val="24"/>
          <w:szCs w:val="24"/>
        </w:rPr>
        <w:t>请到重庆市经济和信息化委员会网上（https://jjxxw.cq.gov.cn/）下载本项目磋商文件以及图纸、澄清等开标前公布的所有项目资料，无论供应商领取或下载与否，均视为已知晓所有招标内容。</w:t>
      </w:r>
    </w:p>
    <w:p>
      <w:pPr>
        <w:spacing w:line="360" w:lineRule="auto"/>
        <w:ind w:firstLine="480" w:firstLineChars="200"/>
        <w:rPr>
          <w:rFonts w:ascii="宋体"/>
          <w:sz w:val="24"/>
          <w:szCs w:val="24"/>
        </w:rPr>
      </w:pPr>
      <w:r>
        <w:rPr>
          <w:rFonts w:hint="eastAsia" w:ascii="宋体"/>
          <w:sz w:val="24"/>
          <w:szCs w:val="24"/>
        </w:rPr>
        <w:t>（二）竞争性磋商文件报名期限：</w:t>
      </w:r>
      <w:r>
        <w:rPr>
          <w:rFonts w:ascii="宋体"/>
          <w:sz w:val="24"/>
          <w:szCs w:val="24"/>
        </w:rPr>
        <w:t>202</w:t>
      </w:r>
      <w:r>
        <w:rPr>
          <w:rFonts w:hint="eastAsia" w:ascii="宋体"/>
          <w:sz w:val="24"/>
          <w:szCs w:val="24"/>
        </w:rPr>
        <w:t>3年</w:t>
      </w:r>
      <w:r>
        <w:rPr>
          <w:rFonts w:ascii="宋体"/>
          <w:sz w:val="24"/>
          <w:szCs w:val="24"/>
        </w:rPr>
        <w:t>3</w:t>
      </w:r>
      <w:r>
        <w:rPr>
          <w:rFonts w:hint="eastAsia" w:ascii="宋体"/>
          <w:sz w:val="24"/>
          <w:szCs w:val="24"/>
        </w:rPr>
        <w:t>月</w:t>
      </w:r>
      <w:r>
        <w:rPr>
          <w:rFonts w:ascii="宋体"/>
          <w:sz w:val="24"/>
          <w:szCs w:val="24"/>
        </w:rPr>
        <w:t>31</w:t>
      </w:r>
      <w:r>
        <w:rPr>
          <w:rFonts w:hint="eastAsia" w:ascii="宋体"/>
          <w:sz w:val="24"/>
          <w:szCs w:val="24"/>
        </w:rPr>
        <w:t>日</w:t>
      </w:r>
      <w:r>
        <w:rPr>
          <w:rFonts w:ascii="宋体"/>
          <w:sz w:val="24"/>
          <w:szCs w:val="24"/>
        </w:rPr>
        <w:t>-202</w:t>
      </w:r>
      <w:r>
        <w:rPr>
          <w:rFonts w:hint="eastAsia" w:ascii="宋体"/>
          <w:sz w:val="24"/>
          <w:szCs w:val="24"/>
        </w:rPr>
        <w:t>3年</w:t>
      </w:r>
      <w:r>
        <w:rPr>
          <w:rFonts w:ascii="宋体"/>
          <w:sz w:val="24"/>
          <w:szCs w:val="24"/>
        </w:rPr>
        <w:t>4</w:t>
      </w:r>
      <w:r>
        <w:rPr>
          <w:rFonts w:hint="eastAsia" w:ascii="宋体"/>
          <w:sz w:val="24"/>
          <w:szCs w:val="24"/>
        </w:rPr>
        <w:t>月</w:t>
      </w:r>
      <w:r>
        <w:rPr>
          <w:rFonts w:ascii="宋体"/>
          <w:sz w:val="24"/>
          <w:szCs w:val="24"/>
        </w:rPr>
        <w:t>10</w:t>
      </w:r>
      <w:r>
        <w:rPr>
          <w:rFonts w:hint="eastAsia" w:ascii="宋体"/>
          <w:sz w:val="24"/>
          <w:szCs w:val="24"/>
        </w:rPr>
        <w:t>日（9:</w:t>
      </w:r>
      <w:r>
        <w:rPr>
          <w:rFonts w:ascii="宋体"/>
          <w:sz w:val="24"/>
          <w:szCs w:val="24"/>
        </w:rPr>
        <w:t>00</w:t>
      </w:r>
      <w:r>
        <w:rPr>
          <w:rFonts w:hint="eastAsia" w:ascii="宋体"/>
          <w:sz w:val="24"/>
          <w:szCs w:val="24"/>
        </w:rPr>
        <w:t>-</w:t>
      </w:r>
      <w:r>
        <w:rPr>
          <w:rFonts w:ascii="宋体"/>
          <w:sz w:val="24"/>
          <w:szCs w:val="24"/>
        </w:rPr>
        <w:t>17</w:t>
      </w:r>
      <w:r>
        <w:rPr>
          <w:rFonts w:hint="eastAsia" w:ascii="宋体"/>
          <w:sz w:val="24"/>
          <w:szCs w:val="24"/>
        </w:rPr>
        <w:t>:0</w:t>
      </w:r>
      <w:r>
        <w:rPr>
          <w:rFonts w:ascii="宋体"/>
          <w:sz w:val="24"/>
          <w:szCs w:val="24"/>
        </w:rPr>
        <w:t>0</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（三）竞争性磋商文件发售</w:t>
      </w:r>
    </w:p>
    <w:p>
      <w:pPr>
        <w:spacing w:line="360" w:lineRule="auto"/>
        <w:ind w:firstLine="480" w:firstLineChars="200"/>
        <w:rPr>
          <w:rFonts w:ascii="宋体"/>
          <w:sz w:val="24"/>
          <w:szCs w:val="24"/>
        </w:rPr>
      </w:pPr>
      <w:r>
        <w:rPr>
          <w:rFonts w:hint="eastAsia" w:ascii="宋体"/>
          <w:sz w:val="24"/>
          <w:szCs w:val="24"/>
        </w:rPr>
        <w:t>1.竞争性磋商文件报名期限内，供应商</w:t>
      </w:r>
      <w:r>
        <w:rPr>
          <w:rFonts w:hint="eastAsia" w:ascii="宋体" w:cs="宋体"/>
          <w:sz w:val="24"/>
          <w:szCs w:val="24"/>
        </w:rPr>
        <w:t>将《采购文件发售登记表》（加盖供应商公章）</w:t>
      </w:r>
      <w:r>
        <w:fldChar w:fldCharType="begin"/>
      </w:r>
      <w:r>
        <w:instrText xml:space="preserve"> HYPERLINK "mailto:及标书费转账凭证扫描后发送至hulin@cqchinabase.com" </w:instrText>
      </w:r>
      <w:r>
        <w:fldChar w:fldCharType="separate"/>
      </w:r>
      <w:r>
        <w:rPr>
          <w:rFonts w:hint="eastAsia" w:ascii="宋体" w:cs="宋体"/>
          <w:sz w:val="24"/>
          <w:szCs w:val="24"/>
        </w:rPr>
        <w:t>及标书费转账凭证扫描后发送至hulin@cqchinabase.com</w:t>
      </w:r>
      <w:r>
        <w:rPr>
          <w:rFonts w:hint="eastAsia" w:ascii="宋体" w:cs="宋体"/>
          <w:sz w:val="24"/>
          <w:szCs w:val="24"/>
        </w:rPr>
        <w:fldChar w:fldCharType="end"/>
      </w:r>
      <w:r>
        <w:rPr>
          <w:rFonts w:hint="eastAsia" w:ascii="宋体" w:cs="宋体"/>
          <w:sz w:val="24"/>
          <w:szCs w:val="24"/>
        </w:rPr>
        <w:t>。</w:t>
      </w:r>
    </w:p>
    <w:p>
      <w:pPr>
        <w:spacing w:line="360" w:lineRule="auto"/>
        <w:ind w:firstLine="480" w:firstLineChars="200"/>
        <w:rPr>
          <w:rFonts w:ascii="宋体"/>
          <w:sz w:val="24"/>
          <w:szCs w:val="24"/>
        </w:rPr>
      </w:pPr>
      <w:r>
        <w:rPr>
          <w:rFonts w:hint="eastAsia" w:ascii="宋体"/>
          <w:sz w:val="24"/>
          <w:szCs w:val="24"/>
        </w:rPr>
        <w:t>2.售价：人民币</w:t>
      </w:r>
      <w:r>
        <w:rPr>
          <w:rFonts w:hint="eastAsia" w:ascii="宋体"/>
          <w:sz w:val="24"/>
          <w:szCs w:val="24"/>
          <w:u w:val="single"/>
        </w:rPr>
        <w:t xml:space="preserve"> 300 </w:t>
      </w:r>
      <w:r>
        <w:rPr>
          <w:rFonts w:hint="eastAsia" w:ascii="宋体"/>
          <w:sz w:val="24"/>
          <w:szCs w:val="24"/>
        </w:rPr>
        <w:t>元/分包（售后不退）</w:t>
      </w:r>
    </w:p>
    <w:p>
      <w:pPr>
        <w:spacing w:line="360" w:lineRule="auto"/>
        <w:ind w:firstLine="480" w:firstLineChars="200"/>
        <w:rPr>
          <w:rFonts w:ascii="宋体" w:cs="宋体"/>
          <w:sz w:val="24"/>
          <w:szCs w:val="24"/>
        </w:rPr>
      </w:pPr>
      <w:r>
        <w:rPr>
          <w:rFonts w:hint="eastAsia" w:ascii="宋体" w:cs="宋体"/>
          <w:sz w:val="24"/>
          <w:szCs w:val="24"/>
        </w:rPr>
        <w:t>3.收款账户：</w:t>
      </w:r>
    </w:p>
    <w:p>
      <w:pPr>
        <w:spacing w:line="360" w:lineRule="auto"/>
        <w:ind w:firstLine="720" w:firstLineChars="300"/>
        <w:rPr>
          <w:rFonts w:ascii="宋体" w:cs="宋体"/>
          <w:sz w:val="24"/>
          <w:szCs w:val="24"/>
        </w:rPr>
      </w:pPr>
      <w:r>
        <w:rPr>
          <w:rFonts w:hint="eastAsia" w:ascii="宋体" w:cs="宋体"/>
          <w:sz w:val="24"/>
          <w:szCs w:val="24"/>
        </w:rPr>
        <w:t>户  名：重庆市中基致信招标代理有限公司</w:t>
      </w:r>
    </w:p>
    <w:p>
      <w:pPr>
        <w:spacing w:line="360" w:lineRule="auto"/>
        <w:ind w:firstLine="720" w:firstLineChars="300"/>
        <w:rPr>
          <w:rFonts w:ascii="宋体" w:cs="宋体"/>
          <w:sz w:val="24"/>
          <w:szCs w:val="24"/>
        </w:rPr>
      </w:pPr>
      <w:r>
        <w:rPr>
          <w:rFonts w:hint="eastAsia" w:ascii="宋体" w:cs="宋体"/>
          <w:sz w:val="24"/>
          <w:szCs w:val="24"/>
        </w:rPr>
        <w:t>开户 行：中国银行重庆江北支行</w:t>
      </w:r>
    </w:p>
    <w:p>
      <w:pPr>
        <w:spacing w:line="360" w:lineRule="auto"/>
        <w:ind w:firstLine="720" w:firstLineChars="300"/>
        <w:rPr>
          <w:rFonts w:ascii="宋体" w:cs="宋体"/>
          <w:sz w:val="24"/>
          <w:szCs w:val="24"/>
        </w:rPr>
      </w:pPr>
      <w:r>
        <w:rPr>
          <w:rFonts w:hint="eastAsia" w:ascii="宋体" w:cs="宋体"/>
          <w:sz w:val="24"/>
          <w:szCs w:val="24"/>
        </w:rPr>
        <w:t>账  号：1144 6718 4234</w:t>
      </w:r>
    </w:p>
    <w:p>
      <w:pPr>
        <w:spacing w:line="360" w:lineRule="auto"/>
        <w:ind w:firstLine="480" w:firstLineChars="200"/>
        <w:rPr>
          <w:rFonts w:ascii="宋体"/>
          <w:sz w:val="24"/>
          <w:szCs w:val="24"/>
        </w:rPr>
      </w:pPr>
      <w:r>
        <w:rPr>
          <w:rFonts w:hint="eastAsia" w:ascii="宋体"/>
          <w:sz w:val="24"/>
          <w:szCs w:val="24"/>
        </w:rPr>
        <w:t>4.未进行报名的潜在供应商将不得参与磋商。</w:t>
      </w:r>
    </w:p>
    <w:p>
      <w:pPr>
        <w:spacing w:line="360" w:lineRule="auto"/>
        <w:ind w:firstLine="480" w:firstLineChars="200"/>
        <w:rPr>
          <w:rFonts w:ascii="宋体"/>
          <w:sz w:val="24"/>
          <w:szCs w:val="24"/>
        </w:rPr>
      </w:pPr>
      <w:r>
        <w:rPr>
          <w:rFonts w:hint="eastAsia" w:ascii="宋体"/>
          <w:sz w:val="24"/>
          <w:szCs w:val="24"/>
        </w:rPr>
        <w:t>（四）供应商须满足以下三种要件，其响应文件才被接受：</w:t>
      </w:r>
    </w:p>
    <w:p>
      <w:pPr>
        <w:spacing w:line="360" w:lineRule="auto"/>
        <w:ind w:firstLine="480" w:firstLineChars="200"/>
        <w:rPr>
          <w:rFonts w:ascii="宋体"/>
          <w:sz w:val="24"/>
          <w:szCs w:val="24"/>
        </w:rPr>
      </w:pPr>
      <w:r>
        <w:rPr>
          <w:rFonts w:ascii="宋体"/>
          <w:sz w:val="24"/>
          <w:szCs w:val="24"/>
        </w:rPr>
        <w:t>1.</w:t>
      </w:r>
      <w:r>
        <w:rPr>
          <w:rFonts w:hint="eastAsia" w:ascii="宋体"/>
          <w:sz w:val="24"/>
          <w:szCs w:val="24"/>
        </w:rPr>
        <w:t>完成报名；</w:t>
      </w:r>
    </w:p>
    <w:p>
      <w:pPr>
        <w:spacing w:line="360" w:lineRule="auto"/>
        <w:ind w:firstLine="480" w:firstLineChars="200"/>
        <w:rPr>
          <w:rFonts w:ascii="宋体"/>
          <w:sz w:val="24"/>
          <w:szCs w:val="24"/>
        </w:rPr>
      </w:pPr>
      <w:r>
        <w:rPr>
          <w:rFonts w:ascii="宋体"/>
          <w:sz w:val="24"/>
          <w:szCs w:val="24"/>
        </w:rPr>
        <w:t>2.</w:t>
      </w:r>
      <w:r>
        <w:rPr>
          <w:rFonts w:hint="eastAsia" w:ascii="宋体"/>
          <w:sz w:val="24"/>
          <w:szCs w:val="24"/>
        </w:rPr>
        <w:t>按时递交了响应文件；</w:t>
      </w:r>
    </w:p>
    <w:p>
      <w:pPr>
        <w:spacing w:line="360" w:lineRule="auto"/>
        <w:ind w:firstLine="480" w:firstLineChars="200"/>
        <w:rPr>
          <w:rFonts w:ascii="宋体"/>
          <w:sz w:val="24"/>
          <w:szCs w:val="24"/>
        </w:rPr>
      </w:pPr>
      <w:r>
        <w:rPr>
          <w:rFonts w:ascii="宋体"/>
          <w:sz w:val="24"/>
          <w:szCs w:val="24"/>
        </w:rPr>
        <w:t>3.</w:t>
      </w:r>
      <w:r>
        <w:rPr>
          <w:rFonts w:hint="eastAsia" w:ascii="宋体"/>
          <w:sz w:val="24"/>
          <w:szCs w:val="24"/>
        </w:rPr>
        <w:t>按时签到。</w:t>
      </w:r>
    </w:p>
    <w:p>
      <w:pPr>
        <w:spacing w:line="360" w:lineRule="auto"/>
        <w:ind w:firstLine="480" w:firstLineChars="200"/>
        <w:rPr>
          <w:rFonts w:ascii="宋体"/>
          <w:sz w:val="24"/>
          <w:szCs w:val="24"/>
        </w:rPr>
      </w:pPr>
      <w:r>
        <w:rPr>
          <w:rFonts w:hint="eastAsia" w:ascii="宋体"/>
          <w:sz w:val="24"/>
          <w:szCs w:val="24"/>
        </w:rPr>
        <w:t>（五）递交响应文件地点：重庆市中基致信招标代理有限公司会议室</w:t>
      </w:r>
    </w:p>
    <w:p>
      <w:pPr>
        <w:spacing w:line="360" w:lineRule="auto"/>
        <w:ind w:firstLine="480" w:firstLineChars="200"/>
        <w:rPr>
          <w:rFonts w:ascii="宋体"/>
          <w:sz w:val="24"/>
          <w:szCs w:val="24"/>
        </w:rPr>
      </w:pPr>
      <w:r>
        <w:rPr>
          <w:rFonts w:hint="eastAsia" w:ascii="宋体"/>
          <w:sz w:val="24"/>
          <w:szCs w:val="24"/>
        </w:rPr>
        <w:t>（六）响应文件递交开始和截止时间：</w:t>
      </w:r>
      <w:r>
        <w:rPr>
          <w:rFonts w:ascii="宋体"/>
          <w:sz w:val="24"/>
          <w:szCs w:val="24"/>
        </w:rPr>
        <w:t>2023</w:t>
      </w:r>
      <w:r>
        <w:rPr>
          <w:rFonts w:hint="eastAsia" w:ascii="宋体"/>
          <w:sz w:val="24"/>
          <w:szCs w:val="24"/>
        </w:rPr>
        <w:t>年</w:t>
      </w:r>
      <w:r>
        <w:rPr>
          <w:rFonts w:ascii="宋体"/>
          <w:sz w:val="24"/>
          <w:szCs w:val="24"/>
        </w:rPr>
        <w:t>4</w:t>
      </w:r>
      <w:r>
        <w:rPr>
          <w:rFonts w:hint="eastAsia" w:ascii="宋体"/>
          <w:sz w:val="24"/>
          <w:szCs w:val="24"/>
        </w:rPr>
        <w:t>月</w:t>
      </w:r>
      <w:r>
        <w:rPr>
          <w:rFonts w:ascii="宋体"/>
          <w:sz w:val="24"/>
          <w:szCs w:val="24"/>
        </w:rPr>
        <w:t>11</w:t>
      </w:r>
      <w:r>
        <w:rPr>
          <w:rFonts w:hint="eastAsia" w:ascii="宋体"/>
          <w:sz w:val="24"/>
          <w:szCs w:val="24"/>
        </w:rPr>
        <w:t>日北京时间</w:t>
      </w:r>
      <w:r>
        <w:rPr>
          <w:rFonts w:ascii="宋体"/>
          <w:sz w:val="24"/>
          <w:szCs w:val="24"/>
        </w:rPr>
        <w:t>13</w:t>
      </w:r>
      <w:r>
        <w:rPr>
          <w:rFonts w:hint="eastAsia" w:ascii="宋体"/>
          <w:sz w:val="24"/>
          <w:szCs w:val="24"/>
        </w:rPr>
        <w:t>:</w:t>
      </w:r>
      <w:r>
        <w:rPr>
          <w:rFonts w:ascii="宋体"/>
          <w:sz w:val="24"/>
          <w:szCs w:val="24"/>
        </w:rPr>
        <w:t>30</w:t>
      </w:r>
      <w:r>
        <w:rPr>
          <w:rFonts w:hint="eastAsia" w:ascii="宋体"/>
          <w:sz w:val="24"/>
          <w:szCs w:val="24"/>
        </w:rPr>
        <w:t>-</w:t>
      </w:r>
      <w:r>
        <w:rPr>
          <w:rFonts w:ascii="宋体"/>
          <w:sz w:val="24"/>
          <w:szCs w:val="24"/>
        </w:rPr>
        <w:t>14</w:t>
      </w:r>
      <w:r>
        <w:rPr>
          <w:rFonts w:hint="eastAsia" w:ascii="宋体"/>
          <w:sz w:val="24"/>
          <w:szCs w:val="24"/>
        </w:rPr>
        <w:t>:</w:t>
      </w:r>
      <w:r>
        <w:rPr>
          <w:rFonts w:ascii="宋体"/>
          <w:sz w:val="24"/>
          <w:szCs w:val="24"/>
        </w:rPr>
        <w:t>0</w:t>
      </w:r>
      <w:r>
        <w:rPr>
          <w:rFonts w:hint="eastAsia" w:ascii="宋体"/>
          <w:sz w:val="24"/>
          <w:szCs w:val="24"/>
        </w:rPr>
        <w:t>0</w:t>
      </w:r>
    </w:p>
    <w:p>
      <w:pPr>
        <w:spacing w:line="360" w:lineRule="auto"/>
        <w:ind w:firstLine="480" w:firstLineChars="200"/>
        <w:rPr>
          <w:rFonts w:ascii="宋体"/>
          <w:sz w:val="24"/>
          <w:szCs w:val="24"/>
        </w:rPr>
      </w:pPr>
      <w:r>
        <w:rPr>
          <w:rFonts w:hint="eastAsia" w:ascii="宋体"/>
          <w:sz w:val="24"/>
          <w:szCs w:val="24"/>
        </w:rPr>
        <w:t>（七）响应文件开启时间：</w:t>
      </w:r>
      <w:r>
        <w:rPr>
          <w:rFonts w:ascii="宋体"/>
          <w:sz w:val="24"/>
          <w:szCs w:val="24"/>
        </w:rPr>
        <w:t>2023</w:t>
      </w:r>
      <w:r>
        <w:rPr>
          <w:rFonts w:hint="eastAsia" w:ascii="宋体"/>
          <w:sz w:val="24"/>
          <w:szCs w:val="24"/>
        </w:rPr>
        <w:t>年</w:t>
      </w:r>
      <w:r>
        <w:rPr>
          <w:rFonts w:ascii="宋体"/>
          <w:sz w:val="24"/>
          <w:szCs w:val="24"/>
        </w:rPr>
        <w:t>4</w:t>
      </w:r>
      <w:r>
        <w:rPr>
          <w:rFonts w:hint="eastAsia" w:ascii="宋体"/>
          <w:sz w:val="24"/>
          <w:szCs w:val="24"/>
        </w:rPr>
        <w:t>月</w:t>
      </w:r>
      <w:r>
        <w:rPr>
          <w:rFonts w:ascii="宋体"/>
          <w:sz w:val="24"/>
          <w:szCs w:val="24"/>
        </w:rPr>
        <w:t>11</w:t>
      </w:r>
      <w:r>
        <w:rPr>
          <w:rFonts w:hint="eastAsia" w:ascii="宋体"/>
          <w:sz w:val="24"/>
          <w:szCs w:val="24"/>
        </w:rPr>
        <w:t>日北京时间</w:t>
      </w:r>
      <w:r>
        <w:rPr>
          <w:rFonts w:ascii="宋体"/>
          <w:sz w:val="24"/>
          <w:szCs w:val="24"/>
        </w:rPr>
        <w:t>14</w:t>
      </w:r>
      <w:r>
        <w:rPr>
          <w:rFonts w:hint="eastAsia" w:ascii="宋体"/>
          <w:sz w:val="24"/>
          <w:szCs w:val="24"/>
        </w:rPr>
        <w:t>:</w:t>
      </w:r>
      <w:r>
        <w:rPr>
          <w:rFonts w:ascii="宋体"/>
          <w:sz w:val="24"/>
          <w:szCs w:val="24"/>
        </w:rPr>
        <w:t>0</w:t>
      </w:r>
      <w:r>
        <w:rPr>
          <w:rFonts w:hint="eastAsia" w:ascii="宋体"/>
          <w:sz w:val="24"/>
          <w:szCs w:val="24"/>
        </w:rPr>
        <w:t>0</w:t>
      </w:r>
    </w:p>
    <w:p>
      <w:pPr>
        <w:pStyle w:val="6"/>
        <w:spacing w:before="0" w:after="0" w:line="360" w:lineRule="auto"/>
        <w:ind w:firstLine="482" w:firstLineChars="200"/>
        <w:rPr>
          <w:rFonts w:ascii="宋体"/>
          <w:sz w:val="24"/>
          <w:szCs w:val="24"/>
        </w:rPr>
      </w:pPr>
      <w:bookmarkStart w:id="14" w:name="_Toc373860294"/>
      <w:bookmarkStart w:id="15" w:name="_Toc75258775"/>
      <w:bookmarkStart w:id="16" w:name="_Toc131145257"/>
      <w:r>
        <w:rPr>
          <w:rFonts w:hint="eastAsia" w:ascii="宋体"/>
          <w:sz w:val="24"/>
          <w:szCs w:val="24"/>
        </w:rPr>
        <w:t>五、磋商保证金</w:t>
      </w:r>
      <w:bookmarkEnd w:id="14"/>
      <w:bookmarkEnd w:id="15"/>
      <w:bookmarkEnd w:id="16"/>
    </w:p>
    <w:p>
      <w:pPr>
        <w:snapToGrid w:val="0"/>
        <w:spacing w:line="360" w:lineRule="auto"/>
        <w:ind w:firstLine="480" w:firstLineChars="200"/>
        <w:rPr>
          <w:rFonts w:ascii="宋体"/>
          <w:sz w:val="24"/>
          <w:szCs w:val="24"/>
        </w:rPr>
      </w:pPr>
      <w:bookmarkStart w:id="17" w:name="_Toc530038692"/>
      <w:r>
        <w:rPr>
          <w:rFonts w:hint="eastAsia" w:ascii="宋体"/>
          <w:sz w:val="24"/>
          <w:szCs w:val="24"/>
        </w:rPr>
        <w:t>（一）磋商保证金递交</w:t>
      </w:r>
    </w:p>
    <w:p>
      <w:pPr>
        <w:snapToGrid w:val="0"/>
        <w:spacing w:line="360" w:lineRule="auto"/>
        <w:ind w:firstLine="480" w:firstLineChars="200"/>
        <w:rPr>
          <w:rFonts w:ascii="宋体"/>
          <w:sz w:val="24"/>
          <w:szCs w:val="24"/>
        </w:rPr>
      </w:pPr>
      <w:r>
        <w:rPr>
          <w:rFonts w:hint="eastAsia" w:ascii="宋体"/>
          <w:sz w:val="24"/>
          <w:szCs w:val="24"/>
        </w:rPr>
        <w:t>供应商须按本项目规定的磋商保证金金额进行缴纳（</w:t>
      </w:r>
      <w:r>
        <w:rPr>
          <w:rFonts w:hint="eastAsia" w:ascii="宋体"/>
          <w:b/>
          <w:bCs/>
          <w:sz w:val="24"/>
          <w:szCs w:val="24"/>
        </w:rPr>
        <w:t>保证金金额详见本篇，一、竞争性磋商内容</w:t>
      </w:r>
      <w:r>
        <w:rPr>
          <w:rFonts w:hint="eastAsia" w:ascii="宋体"/>
          <w:sz w:val="24"/>
          <w:szCs w:val="24"/>
        </w:rPr>
        <w:t>），由供应商从其单位账户将磋商保证金汇至以下任一账户，磋商保证金的到账截止时间为</w:t>
      </w:r>
      <w:r>
        <w:rPr>
          <w:rFonts w:ascii="宋体"/>
          <w:sz w:val="24"/>
          <w:szCs w:val="24"/>
        </w:rPr>
        <w:t>2023</w:t>
      </w:r>
      <w:r>
        <w:rPr>
          <w:rFonts w:hint="eastAsia" w:ascii="宋体"/>
          <w:sz w:val="24"/>
          <w:szCs w:val="24"/>
        </w:rPr>
        <w:t>年</w:t>
      </w:r>
      <w:r>
        <w:rPr>
          <w:rFonts w:ascii="宋体"/>
          <w:sz w:val="24"/>
          <w:szCs w:val="24"/>
        </w:rPr>
        <w:t>4</w:t>
      </w:r>
      <w:r>
        <w:rPr>
          <w:rFonts w:hint="eastAsia" w:ascii="宋体"/>
          <w:sz w:val="24"/>
          <w:szCs w:val="24"/>
        </w:rPr>
        <w:t>月</w:t>
      </w:r>
      <w:r>
        <w:rPr>
          <w:rFonts w:ascii="宋体"/>
          <w:sz w:val="24"/>
          <w:szCs w:val="24"/>
        </w:rPr>
        <w:t>10</w:t>
      </w:r>
      <w:r>
        <w:rPr>
          <w:rFonts w:hint="eastAsia" w:ascii="宋体"/>
          <w:sz w:val="24"/>
          <w:szCs w:val="24"/>
        </w:rPr>
        <w:t>日17:00。缴纳保证金时必须备注项目号。</w:t>
      </w:r>
    </w:p>
    <w:p>
      <w:pPr>
        <w:snapToGrid w:val="0"/>
        <w:spacing w:line="360" w:lineRule="auto"/>
        <w:ind w:firstLine="480" w:firstLineChars="200"/>
        <w:rPr>
          <w:rFonts w:ascii="宋体"/>
          <w:sz w:val="24"/>
          <w:szCs w:val="24"/>
        </w:rPr>
      </w:pPr>
      <w:r>
        <w:rPr>
          <w:rFonts w:hint="eastAsia" w:ascii="宋体"/>
          <w:sz w:val="24"/>
          <w:szCs w:val="24"/>
        </w:rPr>
        <w:t>投标保证金账户：</w:t>
      </w:r>
    </w:p>
    <w:p>
      <w:pPr>
        <w:snapToGrid w:val="0"/>
        <w:spacing w:line="360" w:lineRule="auto"/>
        <w:ind w:firstLine="480" w:firstLineChars="200"/>
        <w:rPr>
          <w:rFonts w:ascii="宋体"/>
          <w:sz w:val="24"/>
          <w:szCs w:val="24"/>
        </w:rPr>
      </w:pPr>
      <w:r>
        <w:rPr>
          <w:rFonts w:hint="eastAsia" w:ascii="宋体"/>
          <w:sz w:val="24"/>
          <w:szCs w:val="24"/>
        </w:rPr>
        <w:t>户  名：重庆市中基致信招标代理有限公司</w:t>
      </w:r>
    </w:p>
    <w:p>
      <w:pPr>
        <w:snapToGrid w:val="0"/>
        <w:spacing w:line="360" w:lineRule="auto"/>
        <w:ind w:firstLine="480" w:firstLineChars="200"/>
        <w:rPr>
          <w:rFonts w:ascii="宋体"/>
          <w:sz w:val="24"/>
          <w:szCs w:val="24"/>
        </w:rPr>
      </w:pPr>
      <w:r>
        <w:rPr>
          <w:rFonts w:hint="eastAsia" w:ascii="宋体"/>
          <w:sz w:val="24"/>
          <w:szCs w:val="24"/>
        </w:rPr>
        <w:t>开户行：中国银行重庆江北支行</w:t>
      </w:r>
    </w:p>
    <w:p>
      <w:pPr>
        <w:snapToGrid w:val="0"/>
        <w:spacing w:line="360" w:lineRule="auto"/>
        <w:ind w:firstLine="480" w:firstLineChars="200"/>
        <w:rPr>
          <w:rFonts w:ascii="宋体"/>
          <w:sz w:val="24"/>
          <w:szCs w:val="24"/>
        </w:rPr>
      </w:pPr>
      <w:r>
        <w:rPr>
          <w:rFonts w:hint="eastAsia" w:ascii="宋体"/>
          <w:sz w:val="24"/>
          <w:szCs w:val="24"/>
        </w:rPr>
        <w:t>账  号：1144 6718 4234</w:t>
      </w:r>
    </w:p>
    <w:p>
      <w:pPr>
        <w:snapToGrid w:val="0"/>
        <w:spacing w:line="360" w:lineRule="auto"/>
        <w:ind w:firstLine="480" w:firstLineChars="200"/>
        <w:rPr>
          <w:rFonts w:ascii="宋体"/>
          <w:sz w:val="24"/>
          <w:szCs w:val="24"/>
        </w:rPr>
      </w:pPr>
      <w:r>
        <w:rPr>
          <w:rFonts w:hint="eastAsia" w:ascii="宋体"/>
          <w:sz w:val="24"/>
          <w:szCs w:val="24"/>
        </w:rPr>
        <w:t>（二）保证金退还方式</w:t>
      </w:r>
    </w:p>
    <w:p>
      <w:pPr>
        <w:snapToGrid w:val="0"/>
        <w:spacing w:line="360" w:lineRule="auto"/>
        <w:ind w:firstLine="480" w:firstLineChars="200"/>
        <w:rPr>
          <w:rFonts w:ascii="宋体"/>
          <w:sz w:val="24"/>
          <w:szCs w:val="24"/>
        </w:rPr>
      </w:pPr>
      <w:r>
        <w:rPr>
          <w:rFonts w:hint="eastAsia" w:ascii="宋体"/>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sz w:val="24"/>
          <w:szCs w:val="24"/>
        </w:rPr>
      </w:pPr>
      <w:r>
        <w:rPr>
          <w:rFonts w:hint="eastAsia" w:ascii="宋体"/>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sz w:val="24"/>
          <w:szCs w:val="24"/>
        </w:rPr>
      </w:pPr>
      <w:r>
        <w:rPr>
          <w:rFonts w:hint="eastAsia" w:ascii="宋体"/>
          <w:sz w:val="24"/>
          <w:szCs w:val="24"/>
        </w:rPr>
        <w:t>咨询电话：（023）88758852。</w:t>
      </w:r>
    </w:p>
    <w:p>
      <w:pPr>
        <w:snapToGrid w:val="0"/>
        <w:spacing w:line="360" w:lineRule="auto"/>
        <w:ind w:firstLine="480" w:firstLineChars="200"/>
        <w:rPr>
          <w:rFonts w:ascii="宋体"/>
          <w:sz w:val="24"/>
          <w:szCs w:val="24"/>
        </w:rPr>
      </w:pPr>
      <w:r>
        <w:rPr>
          <w:rFonts w:hint="eastAsia" w:ascii="宋体"/>
          <w:sz w:val="24"/>
          <w:szCs w:val="24"/>
        </w:rPr>
        <w:t>（二）保证金退还方式</w:t>
      </w:r>
    </w:p>
    <w:p>
      <w:pPr>
        <w:snapToGrid w:val="0"/>
        <w:spacing w:line="360" w:lineRule="auto"/>
        <w:ind w:firstLine="480" w:firstLineChars="200"/>
        <w:rPr>
          <w:rFonts w:ascii="宋体"/>
          <w:sz w:val="24"/>
          <w:szCs w:val="24"/>
        </w:rPr>
      </w:pPr>
      <w:r>
        <w:rPr>
          <w:rFonts w:hint="eastAsia" w:ascii="宋体"/>
          <w:sz w:val="24"/>
          <w:szCs w:val="24"/>
        </w:rPr>
        <w:t>1.未成交供应商的保证金，在中标通知书发放后，由采购代理机构在五个工作日内按来款渠道直接退还。</w:t>
      </w:r>
    </w:p>
    <w:p>
      <w:pPr>
        <w:snapToGrid w:val="0"/>
        <w:spacing w:line="360" w:lineRule="auto"/>
        <w:ind w:firstLine="480" w:firstLineChars="200"/>
        <w:rPr>
          <w:rFonts w:ascii="宋体"/>
          <w:sz w:val="24"/>
          <w:szCs w:val="24"/>
        </w:rPr>
      </w:pPr>
      <w:r>
        <w:rPr>
          <w:rFonts w:hint="eastAsia" w:ascii="宋体"/>
          <w:sz w:val="24"/>
          <w:szCs w:val="24"/>
        </w:rPr>
        <w:t>2. 成交供应商的投标保证金，在成交供应商与采购人签订合同并将合同复印件递交采购代理机构后，由采购代理机构扣除中标服务费后在五个工作日内按资金来款渠道直接退还。</w:t>
      </w:r>
    </w:p>
    <w:p>
      <w:pPr>
        <w:snapToGrid w:val="0"/>
        <w:spacing w:line="360" w:lineRule="auto"/>
        <w:ind w:firstLine="480" w:firstLineChars="200"/>
        <w:jc w:val="left"/>
        <w:rPr>
          <w:rFonts w:ascii="宋体"/>
          <w:sz w:val="24"/>
          <w:szCs w:val="24"/>
        </w:rPr>
      </w:pPr>
      <w:r>
        <w:rPr>
          <w:rFonts w:hint="eastAsia" w:ascii="宋体"/>
          <w:sz w:val="24"/>
          <w:szCs w:val="24"/>
        </w:rPr>
        <w:t>咨询电话：（023）88758852。</w:t>
      </w:r>
    </w:p>
    <w:p>
      <w:pPr>
        <w:pStyle w:val="6"/>
        <w:spacing w:before="0" w:after="0" w:line="360" w:lineRule="auto"/>
        <w:ind w:firstLine="482" w:firstLineChars="200"/>
        <w:rPr>
          <w:rFonts w:ascii="宋体"/>
          <w:sz w:val="24"/>
          <w:szCs w:val="24"/>
        </w:rPr>
      </w:pPr>
      <w:bookmarkStart w:id="18" w:name="_Toc131145258"/>
      <w:bookmarkStart w:id="19" w:name="_Toc75258776"/>
      <w:r>
        <w:rPr>
          <w:rFonts w:hint="eastAsia" w:ascii="宋体"/>
          <w:sz w:val="24"/>
          <w:szCs w:val="24"/>
        </w:rPr>
        <w:t>六、采购项目需落实的政府采购政策</w:t>
      </w:r>
      <w:bookmarkEnd w:id="17"/>
      <w:bookmarkEnd w:id="18"/>
      <w:bookmarkEnd w:id="19"/>
    </w:p>
    <w:p>
      <w:pPr>
        <w:snapToGrid w:val="0"/>
        <w:spacing w:line="360" w:lineRule="auto"/>
        <w:ind w:firstLine="480" w:firstLineChars="200"/>
        <w:rPr>
          <w:rFonts w:ascii="宋体"/>
          <w:sz w:val="24"/>
          <w:szCs w:val="24"/>
        </w:rPr>
      </w:pPr>
      <w:r>
        <w:rPr>
          <w:rFonts w:hint="eastAsia" w:ascii="宋体"/>
          <w:sz w:val="24"/>
          <w:szCs w:val="24"/>
        </w:rPr>
        <w:t>（一）按照《财政部生态环境部关于印发环境标志产品政府采购品目清单的通知》（财库〔</w:t>
      </w:r>
      <w:r>
        <w:rPr>
          <w:rFonts w:ascii="宋体"/>
          <w:sz w:val="24"/>
          <w:szCs w:val="24"/>
        </w:rPr>
        <w:t>2019</w:t>
      </w:r>
      <w:r>
        <w:rPr>
          <w:rFonts w:hint="eastAsia" w:ascii="宋体"/>
          <w:sz w:val="24"/>
          <w:szCs w:val="24"/>
        </w:rPr>
        <w:t>〕</w:t>
      </w:r>
      <w:r>
        <w:rPr>
          <w:rFonts w:ascii="宋体"/>
          <w:sz w:val="24"/>
          <w:szCs w:val="24"/>
        </w:rPr>
        <w:t>18</w:t>
      </w:r>
      <w:r>
        <w:rPr>
          <w:rFonts w:hint="eastAsia" w:ascii="宋体"/>
          <w:sz w:val="24"/>
          <w:szCs w:val="24"/>
        </w:rPr>
        <w:t>号）和《财政部发展改革委关于印发节能产品政府采购品目清单的通知》（财库〔</w:t>
      </w:r>
      <w:r>
        <w:rPr>
          <w:rFonts w:ascii="宋体"/>
          <w:sz w:val="24"/>
          <w:szCs w:val="24"/>
        </w:rPr>
        <w:t>2019</w:t>
      </w:r>
      <w:r>
        <w:rPr>
          <w:rFonts w:hint="eastAsia" w:ascii="宋体"/>
          <w:sz w:val="24"/>
          <w:szCs w:val="24"/>
        </w:rPr>
        <w:t>〕</w:t>
      </w:r>
      <w:r>
        <w:rPr>
          <w:rFonts w:ascii="宋体"/>
          <w:sz w:val="24"/>
          <w:szCs w:val="24"/>
        </w:rPr>
        <w:t>19</w:t>
      </w:r>
      <w:r>
        <w:rPr>
          <w:rFonts w:hint="eastAsia" w:ascii="宋体"/>
          <w:sz w:val="24"/>
          <w:szCs w:val="24"/>
        </w:rPr>
        <w:t>号）的规定，落实国家节能环保政策。</w:t>
      </w:r>
    </w:p>
    <w:p>
      <w:pPr>
        <w:snapToGrid w:val="0"/>
        <w:spacing w:line="360" w:lineRule="auto"/>
        <w:ind w:firstLine="480" w:firstLineChars="200"/>
        <w:rPr>
          <w:rFonts w:ascii="宋体"/>
          <w:sz w:val="24"/>
          <w:szCs w:val="24"/>
        </w:rPr>
      </w:pPr>
      <w:r>
        <w:rPr>
          <w:rFonts w:hint="eastAsia" w:ascii="宋体"/>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sz w:val="24"/>
          <w:szCs w:val="24"/>
        </w:rPr>
      </w:pPr>
      <w:r>
        <w:rPr>
          <w:rFonts w:hint="eastAsia" w:ascii="宋体"/>
          <w:sz w:val="24"/>
          <w:szCs w:val="24"/>
        </w:rPr>
        <w:t>（三）按照《财政部、司法部关于政府采购支持监狱企业发展有关问题的通知》（财库〔</w:t>
      </w:r>
      <w:r>
        <w:rPr>
          <w:rFonts w:ascii="宋体"/>
          <w:sz w:val="24"/>
          <w:szCs w:val="24"/>
        </w:rPr>
        <w:t>2014</w:t>
      </w:r>
      <w:r>
        <w:rPr>
          <w:rFonts w:hint="eastAsia" w:ascii="宋体"/>
          <w:sz w:val="24"/>
          <w:szCs w:val="24"/>
        </w:rPr>
        <w:t>〕</w:t>
      </w:r>
      <w:r>
        <w:rPr>
          <w:rFonts w:ascii="宋体"/>
          <w:sz w:val="24"/>
          <w:szCs w:val="24"/>
        </w:rPr>
        <w:t>68</w:t>
      </w:r>
      <w:r>
        <w:rPr>
          <w:rFonts w:hint="eastAsia" w:ascii="宋体"/>
          <w:sz w:val="24"/>
          <w:szCs w:val="24"/>
        </w:rPr>
        <w:t>号）的规定，落实支持监狱企业发展政策。</w:t>
      </w:r>
    </w:p>
    <w:p>
      <w:pPr>
        <w:snapToGrid w:val="0"/>
        <w:spacing w:line="360" w:lineRule="auto"/>
        <w:ind w:firstLine="480" w:firstLineChars="200"/>
        <w:rPr>
          <w:rFonts w:ascii="宋体"/>
          <w:sz w:val="24"/>
          <w:szCs w:val="24"/>
        </w:rPr>
      </w:pPr>
      <w:r>
        <w:rPr>
          <w:rFonts w:hint="eastAsia" w:ascii="宋体"/>
          <w:sz w:val="24"/>
          <w:szCs w:val="24"/>
        </w:rPr>
        <w:t>（四）按照《三部门联合发布关于促进残疾人就业政府采购政策的通知》（财库〔</w:t>
      </w:r>
      <w:r>
        <w:rPr>
          <w:rFonts w:ascii="宋体"/>
          <w:sz w:val="24"/>
          <w:szCs w:val="24"/>
        </w:rPr>
        <w:t>2017</w:t>
      </w:r>
      <w:r>
        <w:rPr>
          <w:rFonts w:hint="eastAsia" w:ascii="宋体"/>
          <w:sz w:val="24"/>
          <w:szCs w:val="24"/>
        </w:rPr>
        <w:t>〕</w:t>
      </w:r>
      <w:r>
        <w:rPr>
          <w:rFonts w:ascii="宋体"/>
          <w:sz w:val="24"/>
          <w:szCs w:val="24"/>
        </w:rPr>
        <w:t xml:space="preserve"> 141</w:t>
      </w:r>
      <w:r>
        <w:rPr>
          <w:rFonts w:hint="eastAsia" w:ascii="宋体"/>
          <w:sz w:val="24"/>
          <w:szCs w:val="24"/>
        </w:rPr>
        <w:t>号）的规定，落实支持残疾人福利性单位发展政策。</w:t>
      </w:r>
    </w:p>
    <w:p>
      <w:pPr>
        <w:pStyle w:val="6"/>
        <w:spacing w:before="0" w:after="0" w:line="360" w:lineRule="auto"/>
        <w:ind w:firstLine="482" w:firstLineChars="200"/>
        <w:rPr>
          <w:rFonts w:ascii="宋体"/>
          <w:sz w:val="24"/>
          <w:szCs w:val="24"/>
        </w:rPr>
      </w:pPr>
      <w:bookmarkStart w:id="20" w:name="_Toc75258777"/>
      <w:bookmarkStart w:id="21" w:name="_Toc131145259"/>
      <w:r>
        <w:rPr>
          <w:rFonts w:hint="eastAsia" w:ascii="宋体"/>
          <w:sz w:val="24"/>
          <w:szCs w:val="24"/>
        </w:rPr>
        <w:t>七、其它有关规定</w:t>
      </w:r>
      <w:bookmarkEnd w:id="20"/>
      <w:bookmarkEnd w:id="21"/>
    </w:p>
    <w:p>
      <w:pPr>
        <w:snapToGrid w:val="0"/>
        <w:spacing w:line="360" w:lineRule="auto"/>
        <w:ind w:firstLine="480" w:firstLineChars="200"/>
        <w:rPr>
          <w:rFonts w:ascii="宋体"/>
          <w:sz w:val="24"/>
          <w:szCs w:val="24"/>
        </w:rPr>
      </w:pPr>
      <w:r>
        <w:rPr>
          <w:rFonts w:hint="eastAsia" w:ascii="宋体"/>
          <w:sz w:val="24"/>
          <w:szCs w:val="24"/>
        </w:rPr>
        <w:t>（一）单位负责人为同一人或者存在直接控股、管理关系的不同供应商，不得参加同一合同项下的采购活动，否则均为无效响应。</w:t>
      </w:r>
    </w:p>
    <w:p>
      <w:pPr>
        <w:snapToGrid w:val="0"/>
        <w:spacing w:line="360" w:lineRule="auto"/>
        <w:ind w:firstLine="480" w:firstLineChars="200"/>
        <w:rPr>
          <w:rFonts w:ascii="宋体"/>
          <w:sz w:val="24"/>
          <w:szCs w:val="24"/>
        </w:rPr>
      </w:pPr>
      <w:r>
        <w:rPr>
          <w:rFonts w:hint="eastAsia" w:ascii="宋体"/>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sz w:val="24"/>
          <w:szCs w:val="24"/>
        </w:rPr>
      </w:pPr>
      <w:r>
        <w:rPr>
          <w:rFonts w:hint="eastAsia" w:ascii="宋体"/>
          <w:sz w:val="24"/>
          <w:szCs w:val="24"/>
        </w:rPr>
        <w:t>（三）本项目在响应文件提交截止时间前发布的竞争性磋商文件及补遗文件（如果有）一律在重庆市经济和信息化委员会网上（https://jjxxw.cq.gov.cn/）发布，请各供应商注意下载；无论供应商下载与否，均视同供应商已知晓本项目竞争性磋商文件、补遗文件（如果有）的内容。</w:t>
      </w:r>
    </w:p>
    <w:p>
      <w:pPr>
        <w:snapToGrid w:val="0"/>
        <w:spacing w:line="360" w:lineRule="auto"/>
        <w:ind w:firstLine="480" w:firstLineChars="200"/>
        <w:rPr>
          <w:rFonts w:ascii="宋体"/>
          <w:sz w:val="24"/>
          <w:szCs w:val="24"/>
        </w:rPr>
      </w:pPr>
      <w:r>
        <w:rPr>
          <w:rFonts w:hint="eastAsia" w:ascii="宋体"/>
          <w:sz w:val="24"/>
          <w:szCs w:val="24"/>
        </w:rPr>
        <w:t>（四）超过响应文件截止时间递交的响应文件为无效文件，恕不接收。</w:t>
      </w:r>
    </w:p>
    <w:p>
      <w:pPr>
        <w:snapToGrid w:val="0"/>
        <w:spacing w:line="360" w:lineRule="auto"/>
        <w:ind w:firstLine="480" w:firstLineChars="200"/>
        <w:rPr>
          <w:rFonts w:ascii="宋体"/>
          <w:sz w:val="24"/>
          <w:szCs w:val="24"/>
        </w:rPr>
      </w:pPr>
      <w:r>
        <w:rPr>
          <w:rFonts w:hint="eastAsia" w:ascii="宋体"/>
          <w:sz w:val="24"/>
          <w:szCs w:val="24"/>
        </w:rPr>
        <w:t>（五）磋商费用：无论磋商结果如何，供应商参与本项目磋商的所有费用均应由供应商自行承担。</w:t>
      </w:r>
    </w:p>
    <w:p>
      <w:pPr>
        <w:snapToGrid w:val="0"/>
        <w:spacing w:line="360" w:lineRule="auto"/>
        <w:ind w:firstLine="480" w:firstLineChars="200"/>
        <w:rPr>
          <w:rFonts w:ascii="宋体"/>
          <w:sz w:val="24"/>
          <w:szCs w:val="24"/>
        </w:rPr>
      </w:pPr>
      <w:r>
        <w:rPr>
          <w:rFonts w:hint="eastAsia" w:ascii="宋体"/>
          <w:sz w:val="24"/>
          <w:szCs w:val="24"/>
        </w:rPr>
        <w:t>（六）本项目不接受联合体形式磋商。</w:t>
      </w:r>
    </w:p>
    <w:p>
      <w:pPr>
        <w:snapToGrid w:val="0"/>
        <w:spacing w:line="360" w:lineRule="auto"/>
        <w:ind w:firstLine="480" w:firstLineChars="200"/>
        <w:rPr>
          <w:rFonts w:ascii="宋体"/>
          <w:sz w:val="24"/>
          <w:szCs w:val="24"/>
        </w:rPr>
      </w:pPr>
      <w:r>
        <w:rPr>
          <w:rFonts w:hint="eastAsia" w:ascii="宋体"/>
          <w:sz w:val="24"/>
          <w:szCs w:val="24"/>
        </w:rPr>
        <w:t>（七）本项目不接受合同分包。</w:t>
      </w:r>
    </w:p>
    <w:p>
      <w:pPr>
        <w:snapToGrid w:val="0"/>
        <w:spacing w:line="360" w:lineRule="auto"/>
        <w:ind w:firstLine="480" w:firstLineChars="200"/>
        <w:rPr>
          <w:rFonts w:ascii="宋体"/>
          <w:sz w:val="24"/>
          <w:szCs w:val="24"/>
        </w:rPr>
      </w:pPr>
      <w:r>
        <w:rPr>
          <w:rFonts w:hint="eastAsia" w:ascii="宋体"/>
          <w:sz w:val="24"/>
          <w:szCs w:val="24"/>
        </w:rPr>
        <w:t>（八）按照《财政部关于在政府采购活动中查询及使用信用记录有关问题的通知》财库〔</w:t>
      </w:r>
      <w:r>
        <w:rPr>
          <w:rFonts w:ascii="宋体"/>
          <w:sz w:val="24"/>
          <w:szCs w:val="24"/>
        </w:rPr>
        <w:t>2016</w:t>
      </w:r>
      <w:r>
        <w:rPr>
          <w:rFonts w:hint="eastAsia" w:ascii="宋体"/>
          <w:sz w:val="24"/>
          <w:szCs w:val="24"/>
        </w:rPr>
        <w:t>〕</w:t>
      </w:r>
      <w:r>
        <w:rPr>
          <w:rFonts w:ascii="宋体"/>
          <w:sz w:val="24"/>
          <w:szCs w:val="24"/>
        </w:rPr>
        <w:t>125</w:t>
      </w:r>
      <w:r>
        <w:rPr>
          <w:rFonts w:hint="eastAsia" w:asci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before="0" w:after="0" w:line="360" w:lineRule="auto"/>
        <w:ind w:firstLine="482" w:firstLineChars="200"/>
        <w:rPr>
          <w:rFonts w:ascii="宋体"/>
          <w:sz w:val="24"/>
          <w:szCs w:val="24"/>
        </w:rPr>
      </w:pPr>
      <w:bookmarkStart w:id="22" w:name="_Toc131145260"/>
      <w:r>
        <w:rPr>
          <w:rFonts w:hint="eastAsia" w:ascii="宋体"/>
          <w:sz w:val="24"/>
          <w:szCs w:val="24"/>
        </w:rPr>
        <w:t>八、联系方式</w:t>
      </w:r>
      <w:bookmarkEnd w:id="22"/>
    </w:p>
    <w:p>
      <w:pPr>
        <w:snapToGrid w:val="0"/>
        <w:spacing w:line="360" w:lineRule="auto"/>
        <w:ind w:firstLine="480" w:firstLineChars="200"/>
        <w:rPr>
          <w:rFonts w:ascii="宋体"/>
          <w:sz w:val="24"/>
          <w:szCs w:val="24"/>
        </w:rPr>
      </w:pPr>
      <w:r>
        <w:rPr>
          <w:rFonts w:hint="eastAsia" w:ascii="宋体"/>
          <w:sz w:val="24"/>
          <w:szCs w:val="24"/>
        </w:rPr>
        <w:t>（一）采购人：</w:t>
      </w:r>
      <w:r>
        <w:rPr>
          <w:rFonts w:ascii="宋体"/>
          <w:sz w:val="24"/>
          <w:szCs w:val="24"/>
        </w:rPr>
        <w:t>重庆市无线电监测站</w:t>
      </w:r>
    </w:p>
    <w:p>
      <w:pPr>
        <w:snapToGrid w:val="0"/>
        <w:spacing w:line="360" w:lineRule="auto"/>
        <w:ind w:firstLine="480" w:firstLineChars="200"/>
        <w:rPr>
          <w:rFonts w:ascii="宋体"/>
          <w:sz w:val="24"/>
          <w:szCs w:val="24"/>
        </w:rPr>
      </w:pPr>
      <w:r>
        <w:rPr>
          <w:rFonts w:hint="eastAsia" w:ascii="宋体"/>
          <w:sz w:val="24"/>
          <w:szCs w:val="24"/>
        </w:rPr>
        <w:t xml:space="preserve">联系人：罗老师 </w:t>
      </w:r>
    </w:p>
    <w:p>
      <w:pPr>
        <w:snapToGrid w:val="0"/>
        <w:spacing w:line="360" w:lineRule="auto"/>
        <w:ind w:firstLine="480" w:firstLineChars="200"/>
        <w:rPr>
          <w:rFonts w:ascii="宋体"/>
          <w:sz w:val="24"/>
          <w:szCs w:val="24"/>
        </w:rPr>
      </w:pPr>
      <w:r>
        <w:rPr>
          <w:rFonts w:hint="eastAsia" w:ascii="宋体"/>
          <w:sz w:val="24"/>
          <w:szCs w:val="24"/>
        </w:rPr>
        <w:t xml:space="preserve">电  话：023-67710873 </w:t>
      </w:r>
    </w:p>
    <w:p>
      <w:pPr>
        <w:snapToGrid w:val="0"/>
        <w:spacing w:line="360" w:lineRule="auto"/>
        <w:ind w:firstLine="480" w:firstLineChars="200"/>
        <w:rPr>
          <w:rFonts w:ascii="宋体"/>
          <w:sz w:val="24"/>
          <w:szCs w:val="24"/>
        </w:rPr>
      </w:pPr>
      <w:r>
        <w:rPr>
          <w:rFonts w:hint="eastAsia" w:ascii="宋体"/>
          <w:sz w:val="24"/>
          <w:szCs w:val="24"/>
        </w:rPr>
        <w:t>传  真：023-67710873</w:t>
      </w:r>
    </w:p>
    <w:p>
      <w:pPr>
        <w:snapToGrid w:val="0"/>
        <w:spacing w:line="360" w:lineRule="auto"/>
        <w:ind w:firstLine="480" w:firstLineChars="200"/>
        <w:rPr>
          <w:rFonts w:ascii="宋体"/>
          <w:sz w:val="24"/>
          <w:szCs w:val="24"/>
        </w:rPr>
      </w:pPr>
      <w:r>
        <w:rPr>
          <w:rFonts w:hint="eastAsia" w:ascii="宋体"/>
          <w:sz w:val="24"/>
          <w:szCs w:val="24"/>
        </w:rPr>
        <w:t>地  址：重庆市江北区兴隆路26号数码大厦16楼</w:t>
      </w:r>
    </w:p>
    <w:p>
      <w:pPr>
        <w:snapToGrid w:val="0"/>
        <w:spacing w:line="360" w:lineRule="auto"/>
        <w:ind w:firstLine="480" w:firstLineChars="200"/>
        <w:rPr>
          <w:rFonts w:ascii="宋体"/>
          <w:sz w:val="24"/>
          <w:szCs w:val="24"/>
        </w:rPr>
      </w:pPr>
      <w:r>
        <w:rPr>
          <w:rFonts w:hint="eastAsia" w:ascii="宋体"/>
          <w:sz w:val="24"/>
          <w:szCs w:val="24"/>
        </w:rPr>
        <w:t>（二）采购代理机构：重庆市中基致信招标代理有限公司</w:t>
      </w:r>
    </w:p>
    <w:p>
      <w:pPr>
        <w:snapToGrid w:val="0"/>
        <w:spacing w:line="360" w:lineRule="auto"/>
        <w:ind w:firstLine="480" w:firstLineChars="200"/>
        <w:rPr>
          <w:rFonts w:ascii="宋体"/>
          <w:sz w:val="24"/>
          <w:szCs w:val="24"/>
        </w:rPr>
      </w:pPr>
      <w:r>
        <w:rPr>
          <w:rFonts w:hint="eastAsia" w:ascii="宋体"/>
          <w:sz w:val="24"/>
          <w:szCs w:val="24"/>
        </w:rPr>
        <w:t>联系人：游建伟、胡琳</w:t>
      </w:r>
    </w:p>
    <w:p>
      <w:pPr>
        <w:snapToGrid w:val="0"/>
        <w:spacing w:line="360" w:lineRule="auto"/>
        <w:ind w:firstLine="480" w:firstLineChars="200"/>
        <w:rPr>
          <w:rFonts w:ascii="宋体"/>
          <w:sz w:val="24"/>
          <w:szCs w:val="24"/>
        </w:rPr>
      </w:pPr>
      <w:r>
        <w:rPr>
          <w:rFonts w:hint="eastAsia" w:ascii="宋体"/>
          <w:sz w:val="24"/>
          <w:szCs w:val="24"/>
        </w:rPr>
        <w:t>电  话：（023）8</w:t>
      </w:r>
      <w:r>
        <w:rPr>
          <w:rFonts w:ascii="宋体"/>
          <w:sz w:val="24"/>
          <w:szCs w:val="24"/>
        </w:rPr>
        <w:t>8758847</w:t>
      </w:r>
      <w:r>
        <w:rPr>
          <w:rFonts w:hint="eastAsia" w:ascii="宋体"/>
          <w:sz w:val="24"/>
          <w:szCs w:val="24"/>
        </w:rPr>
        <w:t>、88758852</w:t>
      </w:r>
    </w:p>
    <w:p>
      <w:pPr>
        <w:snapToGrid w:val="0"/>
        <w:spacing w:line="360" w:lineRule="auto"/>
        <w:ind w:firstLine="480" w:firstLineChars="200"/>
        <w:rPr>
          <w:rFonts w:ascii="宋体"/>
          <w:sz w:val="24"/>
          <w:szCs w:val="24"/>
        </w:rPr>
      </w:pPr>
      <w:r>
        <w:rPr>
          <w:rFonts w:hint="eastAsia" w:ascii="宋体"/>
          <w:sz w:val="24"/>
          <w:szCs w:val="24"/>
        </w:rPr>
        <w:t>传  真：（023）88505947</w:t>
      </w:r>
    </w:p>
    <w:p>
      <w:pPr>
        <w:snapToGrid w:val="0"/>
        <w:spacing w:line="360" w:lineRule="auto"/>
        <w:ind w:firstLine="480" w:firstLineChars="200"/>
        <w:rPr>
          <w:rFonts w:ascii="宋体"/>
          <w:sz w:val="24"/>
          <w:szCs w:val="24"/>
        </w:rPr>
      </w:pPr>
      <w:bookmarkStart w:id="23" w:name="_Toc178828108"/>
      <w:bookmarkStart w:id="24" w:name="_Toc180051219"/>
      <w:bookmarkStart w:id="25" w:name="_Toc216163282"/>
      <w:r>
        <w:rPr>
          <w:rFonts w:hint="eastAsia" w:ascii="宋体"/>
          <w:sz w:val="24"/>
          <w:szCs w:val="24"/>
        </w:rPr>
        <w:t>地  址：重庆市渝北区财富大道2号财富大厦A座9楼</w:t>
      </w:r>
    </w:p>
    <w:p>
      <w:pPr>
        <w:pStyle w:val="2"/>
      </w:pPr>
    </w:p>
    <w:p>
      <w:pPr>
        <w:pStyle w:val="3"/>
      </w:pPr>
    </w:p>
    <w:bookmarkEnd w:id="23"/>
    <w:bookmarkEnd w:id="24"/>
    <w:bookmarkEnd w:id="25"/>
    <w:p>
      <w:pPr>
        <w:pStyle w:val="5"/>
        <w:pageBreakBefore/>
        <w:spacing w:line="360" w:lineRule="auto"/>
        <w:jc w:val="center"/>
        <w:rPr>
          <w:rFonts w:ascii="宋体" w:eastAsia="宋体"/>
          <w:sz w:val="36"/>
          <w:szCs w:val="30"/>
        </w:rPr>
      </w:pPr>
      <w:bookmarkStart w:id="26" w:name="_Toc131145261"/>
      <w:r>
        <w:rPr>
          <w:rFonts w:hint="eastAsia" w:ascii="宋体" w:eastAsia="宋体"/>
          <w:sz w:val="36"/>
          <w:szCs w:val="30"/>
        </w:rPr>
        <w:t>第二篇  项目服务需求</w:t>
      </w:r>
      <w:bookmarkEnd w:id="26"/>
    </w:p>
    <w:p>
      <w:pPr>
        <w:snapToGrid w:val="0"/>
        <w:spacing w:line="360" w:lineRule="auto"/>
        <w:ind w:firstLine="480" w:firstLineChars="200"/>
        <w:rPr>
          <w:color w:val="000000"/>
          <w:sz w:val="24"/>
          <w:szCs w:val="24"/>
        </w:rPr>
      </w:pPr>
      <w:bookmarkStart w:id="27" w:name="_Toc12789058"/>
      <w:r>
        <w:rPr>
          <w:rFonts w:hint="eastAsia"/>
          <w:color w:val="000000"/>
          <w:sz w:val="24"/>
          <w:szCs w:val="24"/>
        </w:rPr>
        <w:t>“※”标注的要求为符合性审查中的实质性要求，响应文件若不满足按无效投标处理。</w:t>
      </w:r>
    </w:p>
    <w:p>
      <w:pPr>
        <w:snapToGrid w:val="0"/>
        <w:spacing w:line="360" w:lineRule="auto"/>
        <w:ind w:firstLine="480" w:firstLineChars="200"/>
        <w:rPr>
          <w:color w:val="000000"/>
          <w:sz w:val="24"/>
          <w:szCs w:val="24"/>
        </w:rPr>
      </w:pPr>
      <w:r>
        <w:rPr>
          <w:rFonts w:hint="eastAsia"/>
          <w:color w:val="000000"/>
          <w:sz w:val="24"/>
          <w:szCs w:val="24"/>
        </w:rPr>
        <w:t>“</w:t>
      </w:r>
      <w:r>
        <w:rPr>
          <w:rFonts w:hint="eastAsia" w:ascii="宋体" w:hAnsi="宋体"/>
          <w:color w:val="000000"/>
          <w:sz w:val="24"/>
          <w:szCs w:val="24"/>
        </w:rPr>
        <w:t>★</w:t>
      </w:r>
      <w:r>
        <w:rPr>
          <w:rFonts w:hint="eastAsia"/>
          <w:color w:val="000000"/>
          <w:sz w:val="24"/>
          <w:szCs w:val="24"/>
        </w:rPr>
        <w:t>”</w:t>
      </w:r>
      <w:r>
        <w:rPr>
          <w:color w:val="000000"/>
          <w:sz w:val="24"/>
          <w:szCs w:val="24"/>
        </w:rPr>
        <w:t>标注的技术需求为重要技术需求，若不满足将按照评标因素中相关规定处理。</w:t>
      </w:r>
    </w:p>
    <w:p>
      <w:pPr>
        <w:pStyle w:val="6"/>
        <w:spacing w:before="0" w:after="0" w:line="360" w:lineRule="auto"/>
        <w:ind w:firstLine="482" w:firstLineChars="200"/>
        <w:rPr>
          <w:rFonts w:ascii="宋体"/>
          <w:sz w:val="24"/>
          <w:szCs w:val="24"/>
        </w:rPr>
      </w:pPr>
      <w:bookmarkStart w:id="28" w:name="_Toc51854592"/>
      <w:bookmarkStart w:id="29" w:name="_Toc98855992"/>
      <w:bookmarkStart w:id="30" w:name="_Toc131145262"/>
      <w:bookmarkStart w:id="31" w:name="_Toc82422009"/>
      <w:bookmarkStart w:id="32" w:name="_Toc51854594"/>
      <w:r>
        <w:rPr>
          <w:rFonts w:hint="eastAsia" w:ascii="宋体"/>
          <w:sz w:val="24"/>
          <w:szCs w:val="24"/>
        </w:rPr>
        <w:t>一、项目技术要求</w:t>
      </w:r>
      <w:bookmarkEnd w:id="28"/>
      <w:bookmarkEnd w:id="29"/>
      <w:bookmarkEnd w:id="30"/>
    </w:p>
    <w:p>
      <w:pPr>
        <w:snapToGrid w:val="0"/>
        <w:spacing w:line="360" w:lineRule="auto"/>
        <w:ind w:firstLine="480" w:firstLineChars="200"/>
        <w:rPr>
          <w:color w:val="000000"/>
          <w:sz w:val="24"/>
          <w:szCs w:val="24"/>
        </w:rPr>
      </w:pPr>
      <w:r>
        <w:rPr>
          <w:rFonts w:hint="eastAsia"/>
          <w:color w:val="000000"/>
          <w:sz w:val="24"/>
          <w:szCs w:val="24"/>
        </w:rPr>
        <w:t>（一）项目基本概况介绍</w:t>
      </w:r>
    </w:p>
    <w:p>
      <w:pPr>
        <w:snapToGrid w:val="0"/>
        <w:spacing w:line="360" w:lineRule="auto"/>
        <w:ind w:firstLine="480" w:firstLineChars="200"/>
        <w:rPr>
          <w:sz w:val="24"/>
          <w:szCs w:val="24"/>
        </w:rPr>
      </w:pPr>
      <w:r>
        <w:rPr>
          <w:rFonts w:hint="eastAsia"/>
          <w:color w:val="000000"/>
          <w:sz w:val="24"/>
          <w:szCs w:val="24"/>
        </w:rPr>
        <w:t>按照工信部无管局关于“建立长效机制，持续加强能力建设”的工作要求，结合我市无线电管理工作实际需要，将举行2</w:t>
      </w:r>
      <w:r>
        <w:rPr>
          <w:color w:val="000000"/>
          <w:sz w:val="24"/>
          <w:szCs w:val="24"/>
        </w:rPr>
        <w:t>02</w:t>
      </w:r>
      <w:r>
        <w:rPr>
          <w:rFonts w:hint="eastAsia"/>
          <w:color w:val="000000"/>
          <w:sz w:val="24"/>
          <w:szCs w:val="24"/>
        </w:rPr>
        <w:t>3年重庆市无线电监测技术演练（具体时间以采购人最终确定的为准），旨在提高我市无线电监测队伍业务能力水平。</w:t>
      </w:r>
      <w:r>
        <w:rPr>
          <w:rFonts w:hint="eastAsia"/>
          <w:color w:val="000000" w:themeColor="text1"/>
          <w:sz w:val="24"/>
          <w:szCs w:val="24"/>
        </w:rPr>
        <w:t>本次演练拟分两个阶段开展，</w:t>
      </w:r>
      <w:r>
        <w:rPr>
          <w:rFonts w:hint="eastAsia"/>
          <w:sz w:val="24"/>
          <w:szCs w:val="24"/>
        </w:rPr>
        <w:t>第一阶段参与人员40人，持续10天；第二阶段参与人员60人，持续5天（具体人员数量和持续时间可能会根据实际情况有小幅调整），供应商需配合采购人做好本次演练的服务工作。</w:t>
      </w:r>
    </w:p>
    <w:p>
      <w:pPr>
        <w:snapToGrid w:val="0"/>
        <w:spacing w:line="360" w:lineRule="auto"/>
        <w:ind w:firstLine="480" w:firstLineChars="200"/>
        <w:rPr>
          <w:color w:val="000000"/>
          <w:sz w:val="24"/>
          <w:szCs w:val="24"/>
        </w:rPr>
      </w:pPr>
      <w:r>
        <w:rPr>
          <w:rFonts w:hint="eastAsia"/>
          <w:color w:val="000000"/>
          <w:sz w:val="24"/>
          <w:szCs w:val="24"/>
        </w:rPr>
        <w:t>（二）服务内容及质量要求</w:t>
      </w:r>
    </w:p>
    <w:p>
      <w:pPr>
        <w:snapToGrid w:val="0"/>
        <w:spacing w:line="360" w:lineRule="auto"/>
        <w:ind w:firstLine="480" w:firstLineChars="200"/>
        <w:rPr>
          <w:color w:val="000000"/>
          <w:sz w:val="24"/>
          <w:szCs w:val="24"/>
        </w:rPr>
      </w:pPr>
      <w:r>
        <w:rPr>
          <w:rFonts w:hint="eastAsia"/>
          <w:color w:val="000000"/>
          <w:sz w:val="24"/>
          <w:szCs w:val="24"/>
        </w:rPr>
        <w:t>供应商须按照以下工作要求，配合完成本次演练筹备组织工作，包括演练总体筹备组织、演练指挥调度、软件定制开发及技术支持、场景搭建、演练音视频拍摄及后期制作、会务服务及后勤保障、媒体宣传、演练辅助设备器材提供、信息技术服务等所有工作。</w:t>
      </w:r>
    </w:p>
    <w:p>
      <w:pPr>
        <w:snapToGrid w:val="0"/>
        <w:spacing w:line="360" w:lineRule="auto"/>
        <w:ind w:firstLine="482" w:firstLineChars="200"/>
        <w:rPr>
          <w:b/>
          <w:bCs/>
          <w:color w:val="000000"/>
          <w:sz w:val="24"/>
          <w:szCs w:val="24"/>
        </w:rPr>
      </w:pPr>
      <w:r>
        <w:rPr>
          <w:rFonts w:hint="eastAsia"/>
          <w:b/>
          <w:bCs/>
          <w:color w:val="000000"/>
          <w:sz w:val="24"/>
          <w:szCs w:val="24"/>
        </w:rPr>
        <w:t>1</w:t>
      </w:r>
      <w:r>
        <w:rPr>
          <w:b/>
          <w:bCs/>
          <w:color w:val="000000"/>
          <w:sz w:val="24"/>
          <w:szCs w:val="24"/>
        </w:rPr>
        <w:t>.</w:t>
      </w:r>
      <w:r>
        <w:rPr>
          <w:rFonts w:hint="eastAsia"/>
          <w:b/>
          <w:bCs/>
          <w:color w:val="000000"/>
          <w:sz w:val="24"/>
          <w:szCs w:val="24"/>
        </w:rPr>
        <w:t>会务保障</w:t>
      </w:r>
    </w:p>
    <w:p>
      <w:pPr>
        <w:snapToGrid w:val="0"/>
        <w:spacing w:line="360" w:lineRule="auto"/>
        <w:ind w:firstLine="480" w:firstLineChars="200"/>
        <w:rPr>
          <w:color w:val="000000"/>
          <w:sz w:val="24"/>
          <w:szCs w:val="24"/>
        </w:rPr>
      </w:pPr>
      <w:r>
        <w:rPr>
          <w:rFonts w:hint="eastAsia"/>
          <w:color w:val="000000"/>
          <w:sz w:val="24"/>
          <w:szCs w:val="24"/>
        </w:rPr>
        <w:t>供应商需按照政府部门接待相关规定制定住宿、餐饮、会议室租赁、会场布置、医疗及其他后勤保障服务方案，规格不得超过相关接待标准要求。</w:t>
      </w:r>
    </w:p>
    <w:p>
      <w:pPr>
        <w:snapToGrid w:val="0"/>
        <w:spacing w:line="360" w:lineRule="auto"/>
        <w:ind w:firstLine="480" w:firstLineChars="200"/>
        <w:rPr>
          <w:color w:val="000000"/>
          <w:sz w:val="24"/>
          <w:szCs w:val="24"/>
        </w:rPr>
      </w:pPr>
      <w:r>
        <w:rPr>
          <w:rFonts w:hint="eastAsia" w:ascii="宋体" w:hAnsi="宋体"/>
          <w:color w:val="000000"/>
          <w:sz w:val="24"/>
          <w:szCs w:val="24"/>
        </w:rPr>
        <w:t>★</w:t>
      </w:r>
      <w:r>
        <w:rPr>
          <w:rFonts w:hint="eastAsia"/>
          <w:color w:val="000000"/>
          <w:sz w:val="24"/>
          <w:szCs w:val="24"/>
        </w:rPr>
        <w:t>1</w:t>
      </w:r>
      <w:r>
        <w:rPr>
          <w:color w:val="000000"/>
          <w:sz w:val="24"/>
          <w:szCs w:val="24"/>
        </w:rPr>
        <w:t>.1</w:t>
      </w:r>
      <w:r>
        <w:rPr>
          <w:rFonts w:hint="eastAsia"/>
          <w:color w:val="000000"/>
          <w:sz w:val="24"/>
          <w:szCs w:val="24"/>
        </w:rPr>
        <w:t>住宿及餐饮</w:t>
      </w:r>
    </w:p>
    <w:p>
      <w:pPr>
        <w:snapToGrid w:val="0"/>
        <w:spacing w:line="360" w:lineRule="auto"/>
        <w:ind w:firstLine="480" w:firstLineChars="200"/>
        <w:rPr>
          <w:color w:val="000000"/>
          <w:sz w:val="24"/>
          <w:szCs w:val="24"/>
        </w:rPr>
      </w:pPr>
      <w:r>
        <w:rPr>
          <w:rFonts w:hint="eastAsia"/>
          <w:color w:val="000000"/>
          <w:sz w:val="24"/>
          <w:szCs w:val="24"/>
        </w:rPr>
        <w:t>负责安排演练期间所有相关人员住宿、餐饮等，</w:t>
      </w:r>
      <w:r>
        <w:rPr>
          <w:rFonts w:hint="eastAsia"/>
          <w:sz w:val="24"/>
          <w:szCs w:val="24"/>
        </w:rPr>
        <w:t>第一阶段参与人员40人，持续10天；第二阶段参与人员60人，持续5天</w:t>
      </w:r>
      <w:r>
        <w:rPr>
          <w:rFonts w:hint="eastAsia"/>
          <w:color w:val="000000"/>
          <w:sz w:val="24"/>
          <w:szCs w:val="24"/>
        </w:rPr>
        <w:t>（</w:t>
      </w:r>
      <w:r>
        <w:rPr>
          <w:rFonts w:hint="eastAsia"/>
          <w:sz w:val="24"/>
          <w:szCs w:val="24"/>
        </w:rPr>
        <w:t>具体人员数量和持续时间可能会根据实际情况有小幅调整）</w:t>
      </w:r>
      <w:r>
        <w:rPr>
          <w:rFonts w:hint="eastAsia"/>
          <w:color w:val="000000"/>
          <w:sz w:val="24"/>
          <w:szCs w:val="24"/>
        </w:rPr>
        <w:t>。</w:t>
      </w:r>
    </w:p>
    <w:p>
      <w:pPr>
        <w:snapToGrid w:val="0"/>
        <w:spacing w:line="360" w:lineRule="auto"/>
        <w:ind w:firstLine="480" w:firstLineChars="200"/>
        <w:rPr>
          <w:color w:val="000000"/>
          <w:sz w:val="24"/>
          <w:szCs w:val="24"/>
        </w:rPr>
      </w:pPr>
      <w:r>
        <w:rPr>
          <w:rFonts w:hint="eastAsia" w:ascii="宋体" w:hAnsi="宋体"/>
          <w:color w:val="000000"/>
          <w:sz w:val="24"/>
          <w:szCs w:val="24"/>
        </w:rPr>
        <w:t>★</w:t>
      </w:r>
      <w:r>
        <w:rPr>
          <w:rFonts w:hint="eastAsia"/>
          <w:color w:val="000000"/>
          <w:sz w:val="24"/>
          <w:szCs w:val="24"/>
        </w:rPr>
        <w:t>1</w:t>
      </w:r>
      <w:r>
        <w:rPr>
          <w:color w:val="000000"/>
          <w:sz w:val="24"/>
          <w:szCs w:val="24"/>
        </w:rPr>
        <w:t>.</w:t>
      </w:r>
      <w:r>
        <w:rPr>
          <w:rFonts w:hint="eastAsia"/>
          <w:color w:val="000000"/>
          <w:sz w:val="24"/>
          <w:szCs w:val="24"/>
        </w:rPr>
        <w:t>2会议室租用及会场布置</w:t>
      </w:r>
    </w:p>
    <w:p>
      <w:pPr>
        <w:snapToGrid w:val="0"/>
        <w:spacing w:line="360" w:lineRule="auto"/>
        <w:ind w:firstLine="480" w:firstLineChars="200"/>
        <w:rPr>
          <w:color w:val="000000"/>
          <w:sz w:val="24"/>
          <w:szCs w:val="24"/>
        </w:rPr>
      </w:pPr>
      <w:r>
        <w:rPr>
          <w:rFonts w:hint="eastAsia"/>
          <w:color w:val="000000"/>
          <w:sz w:val="24"/>
          <w:szCs w:val="24"/>
        </w:rPr>
        <w:t>（1）会议室租用</w:t>
      </w:r>
    </w:p>
    <w:p>
      <w:pPr>
        <w:snapToGrid w:val="0"/>
        <w:spacing w:line="360" w:lineRule="auto"/>
        <w:ind w:firstLine="480" w:firstLineChars="200"/>
        <w:rPr>
          <w:color w:val="000000"/>
          <w:sz w:val="24"/>
          <w:szCs w:val="24"/>
        </w:rPr>
      </w:pPr>
      <w:r>
        <w:rPr>
          <w:rFonts w:hint="eastAsia"/>
          <w:color w:val="000000"/>
          <w:sz w:val="24"/>
          <w:szCs w:val="24"/>
        </w:rPr>
        <w:t>第一阶段提供能容纳至少5</w:t>
      </w:r>
      <w:r>
        <w:rPr>
          <w:color w:val="000000"/>
          <w:sz w:val="24"/>
          <w:szCs w:val="24"/>
        </w:rPr>
        <w:t>0</w:t>
      </w:r>
      <w:r>
        <w:rPr>
          <w:rFonts w:hint="eastAsia"/>
          <w:color w:val="000000"/>
          <w:sz w:val="24"/>
          <w:szCs w:val="24"/>
        </w:rPr>
        <w:t>人的会议室1间，供业务综合培训与技能培训使用。</w:t>
      </w:r>
    </w:p>
    <w:p>
      <w:pPr>
        <w:snapToGrid w:val="0"/>
        <w:spacing w:line="360" w:lineRule="auto"/>
        <w:ind w:firstLine="480" w:firstLineChars="200"/>
        <w:rPr>
          <w:color w:val="000000"/>
          <w:sz w:val="24"/>
          <w:szCs w:val="24"/>
        </w:rPr>
      </w:pPr>
      <w:r>
        <w:rPr>
          <w:rFonts w:hint="eastAsia"/>
          <w:color w:val="000000"/>
          <w:sz w:val="24"/>
          <w:szCs w:val="24"/>
        </w:rPr>
        <w:t>第二阶段提供能容纳至少</w:t>
      </w:r>
      <w:r>
        <w:rPr>
          <w:color w:val="000000"/>
          <w:sz w:val="24"/>
          <w:szCs w:val="24"/>
        </w:rPr>
        <w:t>50</w:t>
      </w:r>
      <w:r>
        <w:rPr>
          <w:rFonts w:hint="eastAsia"/>
          <w:color w:val="000000"/>
          <w:sz w:val="24"/>
          <w:szCs w:val="24"/>
        </w:rPr>
        <w:t>人的会议室2间，供领队及队员会议、临时会议、理论考试、赛前候场、</w:t>
      </w:r>
      <w:r>
        <w:rPr>
          <w:rFonts w:hint="eastAsia"/>
          <w:sz w:val="24"/>
          <w:szCs w:val="24"/>
        </w:rPr>
        <w:t>赛后休息</w:t>
      </w:r>
      <w:r>
        <w:rPr>
          <w:rFonts w:hint="eastAsia"/>
          <w:color w:val="000000"/>
          <w:sz w:val="24"/>
          <w:szCs w:val="24"/>
        </w:rPr>
        <w:t>等使用；</w:t>
      </w:r>
      <w:r>
        <w:rPr>
          <w:rFonts w:hint="eastAsia"/>
          <w:sz w:val="24"/>
          <w:szCs w:val="24"/>
        </w:rPr>
        <w:t>提供能容纳至少1</w:t>
      </w:r>
      <w:r>
        <w:rPr>
          <w:sz w:val="24"/>
          <w:szCs w:val="24"/>
        </w:rPr>
        <w:t>0</w:t>
      </w:r>
      <w:r>
        <w:rPr>
          <w:rFonts w:hint="eastAsia"/>
          <w:sz w:val="24"/>
          <w:szCs w:val="24"/>
        </w:rPr>
        <w:t>0人的大会议室1间，供开（闭）幕式及彩排使用、信号分析科目、演练观摩等使用。</w:t>
      </w:r>
    </w:p>
    <w:p>
      <w:pPr>
        <w:snapToGrid w:val="0"/>
        <w:spacing w:line="360" w:lineRule="auto"/>
        <w:ind w:firstLine="480" w:firstLineChars="200"/>
        <w:rPr>
          <w:color w:val="000000"/>
          <w:sz w:val="24"/>
          <w:szCs w:val="24"/>
        </w:rPr>
      </w:pPr>
      <w:r>
        <w:rPr>
          <w:rFonts w:hint="eastAsia" w:ascii="宋体" w:hAnsi="宋体"/>
          <w:color w:val="000000"/>
          <w:sz w:val="24"/>
          <w:szCs w:val="24"/>
        </w:rPr>
        <w:t>★</w:t>
      </w:r>
      <w:r>
        <w:rPr>
          <w:rFonts w:hint="eastAsia"/>
          <w:color w:val="000000"/>
          <w:sz w:val="24"/>
          <w:szCs w:val="24"/>
        </w:rPr>
        <w:t>（2）会场布置</w:t>
      </w:r>
    </w:p>
    <w:p>
      <w:pPr>
        <w:snapToGrid w:val="0"/>
        <w:spacing w:line="360" w:lineRule="auto"/>
        <w:ind w:firstLine="480" w:firstLineChars="200"/>
        <w:rPr>
          <w:color w:val="000000"/>
          <w:sz w:val="24"/>
          <w:szCs w:val="24"/>
        </w:rPr>
      </w:pPr>
      <w:r>
        <w:rPr>
          <w:rFonts w:hint="eastAsia"/>
          <w:color w:val="000000"/>
          <w:sz w:val="24"/>
          <w:szCs w:val="24"/>
        </w:rPr>
        <w:t>演练培训期间的场地搭建；提供满足本次演练所有活动现场搭建要求所必备的投影屏幕或LED屏搭建，提供音响设备；负责提供培训手册、宣传资料等，及相关材料排版设计、打印装订等。</w:t>
      </w:r>
    </w:p>
    <w:p>
      <w:pPr>
        <w:snapToGrid w:val="0"/>
        <w:spacing w:line="360" w:lineRule="auto"/>
        <w:ind w:firstLine="480" w:firstLineChars="200"/>
        <w:rPr>
          <w:color w:val="000000"/>
          <w:sz w:val="24"/>
          <w:szCs w:val="24"/>
        </w:rPr>
      </w:pPr>
      <w:r>
        <w:rPr>
          <w:rFonts w:hint="eastAsia"/>
          <w:color w:val="000000"/>
          <w:sz w:val="24"/>
          <w:szCs w:val="24"/>
        </w:rPr>
        <w:t>1</w:t>
      </w:r>
      <w:r>
        <w:rPr>
          <w:color w:val="000000"/>
          <w:sz w:val="24"/>
          <w:szCs w:val="24"/>
        </w:rPr>
        <w:t>.</w:t>
      </w:r>
      <w:r>
        <w:rPr>
          <w:rFonts w:hint="eastAsia"/>
          <w:color w:val="000000"/>
          <w:sz w:val="24"/>
          <w:szCs w:val="24"/>
        </w:rPr>
        <w:t>3交通</w:t>
      </w:r>
    </w:p>
    <w:p>
      <w:pPr>
        <w:snapToGrid w:val="0"/>
        <w:spacing w:line="360" w:lineRule="auto"/>
        <w:ind w:firstLine="480" w:firstLineChars="200"/>
        <w:rPr>
          <w:color w:val="000000"/>
          <w:sz w:val="24"/>
          <w:szCs w:val="24"/>
        </w:rPr>
      </w:pPr>
      <w:r>
        <w:rPr>
          <w:rFonts w:hint="eastAsia"/>
          <w:color w:val="000000"/>
          <w:sz w:val="24"/>
          <w:szCs w:val="24"/>
        </w:rPr>
        <w:t>负责安排本次演练期间参赛队员及相关人员接送，负责演练所需设备、仪器等物资的运送。演练期间，需提供2辆车辆驻场供参训人员使用(含驾驶员)。</w:t>
      </w:r>
    </w:p>
    <w:p>
      <w:pPr>
        <w:snapToGrid w:val="0"/>
        <w:spacing w:line="360" w:lineRule="auto"/>
        <w:ind w:firstLine="480" w:firstLineChars="200"/>
        <w:rPr>
          <w:color w:val="000000"/>
          <w:sz w:val="24"/>
          <w:szCs w:val="24"/>
        </w:rPr>
      </w:pPr>
      <w:r>
        <w:rPr>
          <w:rFonts w:hint="eastAsia"/>
          <w:color w:val="000000"/>
          <w:sz w:val="24"/>
          <w:szCs w:val="24"/>
        </w:rPr>
        <w:t>1</w:t>
      </w:r>
      <w:r>
        <w:rPr>
          <w:color w:val="000000"/>
          <w:sz w:val="24"/>
          <w:szCs w:val="24"/>
        </w:rPr>
        <w:t>.</w:t>
      </w:r>
      <w:r>
        <w:rPr>
          <w:rFonts w:hint="eastAsia"/>
          <w:color w:val="000000"/>
          <w:sz w:val="24"/>
          <w:szCs w:val="24"/>
        </w:rPr>
        <w:t>4医疗服务及其他</w:t>
      </w:r>
    </w:p>
    <w:p>
      <w:pPr>
        <w:snapToGrid w:val="0"/>
        <w:spacing w:line="360" w:lineRule="auto"/>
        <w:ind w:firstLine="480" w:firstLineChars="200"/>
        <w:rPr>
          <w:color w:val="000000"/>
          <w:sz w:val="24"/>
          <w:szCs w:val="24"/>
        </w:rPr>
      </w:pPr>
      <w:r>
        <w:rPr>
          <w:rFonts w:hint="eastAsia"/>
          <w:color w:val="000000"/>
          <w:sz w:val="24"/>
          <w:szCs w:val="24"/>
        </w:rPr>
        <w:t>在演练期间，提供常用药品和饮用水（根据实际情况提供开水、矿泉水）等必备物资及配套基础医疗服务。</w:t>
      </w:r>
    </w:p>
    <w:p>
      <w:pPr>
        <w:snapToGrid w:val="0"/>
        <w:spacing w:line="360" w:lineRule="auto"/>
        <w:ind w:firstLine="482" w:firstLineChars="200"/>
        <w:rPr>
          <w:b/>
          <w:bCs/>
          <w:color w:val="000000"/>
          <w:sz w:val="24"/>
          <w:szCs w:val="24"/>
        </w:rPr>
      </w:pPr>
      <w:r>
        <w:rPr>
          <w:rFonts w:hint="eastAsia"/>
          <w:b/>
          <w:bCs/>
          <w:color w:val="000000"/>
          <w:sz w:val="24"/>
          <w:szCs w:val="24"/>
        </w:rPr>
        <w:t>2</w:t>
      </w:r>
      <w:r>
        <w:rPr>
          <w:b/>
          <w:bCs/>
          <w:color w:val="000000"/>
          <w:sz w:val="24"/>
          <w:szCs w:val="24"/>
        </w:rPr>
        <w:t>.</w:t>
      </w:r>
      <w:r>
        <w:rPr>
          <w:rFonts w:hint="eastAsia"/>
          <w:b/>
          <w:bCs/>
          <w:color w:val="000000"/>
          <w:sz w:val="24"/>
          <w:szCs w:val="24"/>
        </w:rPr>
        <w:t>设备与系统</w:t>
      </w:r>
    </w:p>
    <w:p>
      <w:pPr>
        <w:snapToGrid w:val="0"/>
        <w:spacing w:line="360" w:lineRule="auto"/>
        <w:ind w:firstLine="480" w:firstLineChars="200"/>
        <w:rPr>
          <w:color w:val="000000"/>
          <w:sz w:val="24"/>
          <w:szCs w:val="24"/>
        </w:rPr>
      </w:pPr>
      <w:r>
        <w:rPr>
          <w:rFonts w:hint="eastAsia"/>
          <w:color w:val="000000"/>
          <w:sz w:val="24"/>
          <w:szCs w:val="24"/>
        </w:rPr>
        <w:t>2.1辅助设备</w:t>
      </w:r>
    </w:p>
    <w:p>
      <w:pPr>
        <w:snapToGrid w:val="0"/>
        <w:spacing w:line="360" w:lineRule="auto"/>
        <w:ind w:firstLine="480" w:firstLineChars="200"/>
        <w:rPr>
          <w:color w:val="000000"/>
          <w:sz w:val="24"/>
          <w:szCs w:val="24"/>
        </w:rPr>
      </w:pPr>
      <w:r>
        <w:rPr>
          <w:rFonts w:hint="eastAsia"/>
          <w:color w:val="000000"/>
          <w:sz w:val="24"/>
          <w:szCs w:val="24"/>
        </w:rPr>
        <w:t>提供各演练科目所需辅助设备，包括演练信号源、转接头、射频线缆、稳压源、三角架、适配器等辅助设备。</w:t>
      </w:r>
    </w:p>
    <w:p>
      <w:pPr>
        <w:snapToGrid w:val="0"/>
        <w:spacing w:line="360" w:lineRule="auto"/>
        <w:ind w:firstLine="480" w:firstLineChars="200"/>
        <w:rPr>
          <w:color w:val="000000"/>
          <w:sz w:val="24"/>
          <w:szCs w:val="24"/>
        </w:rPr>
      </w:pPr>
      <w:r>
        <w:rPr>
          <w:rFonts w:hint="eastAsia"/>
          <w:color w:val="000000"/>
          <w:sz w:val="24"/>
          <w:szCs w:val="24"/>
        </w:rPr>
        <w:t>2</w:t>
      </w:r>
      <w:r>
        <w:rPr>
          <w:color w:val="000000"/>
          <w:sz w:val="24"/>
          <w:szCs w:val="24"/>
        </w:rPr>
        <w:t>.</w:t>
      </w:r>
      <w:r>
        <w:rPr>
          <w:rFonts w:hint="eastAsia"/>
          <w:color w:val="000000"/>
          <w:sz w:val="24"/>
          <w:szCs w:val="24"/>
        </w:rPr>
        <w:t>2演练实时展示与信息发布</w:t>
      </w:r>
    </w:p>
    <w:p>
      <w:pPr>
        <w:snapToGrid w:val="0"/>
        <w:spacing w:line="360" w:lineRule="auto"/>
        <w:ind w:firstLine="480" w:firstLineChars="200"/>
        <w:rPr>
          <w:color w:val="000000"/>
          <w:sz w:val="24"/>
          <w:szCs w:val="24"/>
        </w:rPr>
      </w:pPr>
      <w:r>
        <w:rPr>
          <w:rFonts w:hint="eastAsia"/>
          <w:color w:val="000000"/>
          <w:sz w:val="24"/>
          <w:szCs w:val="24"/>
        </w:rPr>
        <w:t>（1）演练实时展示与信息发布系统</w:t>
      </w:r>
    </w:p>
    <w:p>
      <w:pPr>
        <w:snapToGrid w:val="0"/>
        <w:spacing w:line="360" w:lineRule="auto"/>
        <w:ind w:firstLine="480" w:firstLineChars="200"/>
        <w:rPr>
          <w:color w:val="000000"/>
          <w:sz w:val="24"/>
          <w:szCs w:val="24"/>
        </w:rPr>
      </w:pPr>
      <w:r>
        <w:rPr>
          <w:rFonts w:hint="eastAsia"/>
          <w:color w:val="000000"/>
          <w:sz w:val="24"/>
          <w:szCs w:val="24"/>
        </w:rPr>
        <w:t>为本次演练提供演练实时展示与信息发布系统，包括基于GIS的人员定位、可视化展示、演练相关信息发布、演练比分统计等相关功能。</w:t>
      </w:r>
    </w:p>
    <w:p>
      <w:pPr>
        <w:snapToGrid w:val="0"/>
        <w:spacing w:line="360" w:lineRule="auto"/>
        <w:ind w:firstLine="480" w:firstLineChars="200"/>
        <w:rPr>
          <w:color w:val="000000"/>
          <w:sz w:val="24"/>
          <w:szCs w:val="24"/>
        </w:rPr>
      </w:pPr>
      <w:r>
        <w:rPr>
          <w:rFonts w:hint="eastAsia"/>
          <w:color w:val="000000"/>
          <w:sz w:val="24"/>
          <w:szCs w:val="24"/>
        </w:rPr>
        <w:t>（2）系统调试与技术支持</w:t>
      </w:r>
    </w:p>
    <w:p>
      <w:pPr>
        <w:snapToGrid w:val="0"/>
        <w:spacing w:line="360" w:lineRule="auto"/>
        <w:ind w:firstLine="480" w:firstLineChars="200"/>
        <w:rPr>
          <w:color w:val="000000"/>
          <w:sz w:val="24"/>
          <w:szCs w:val="24"/>
        </w:rPr>
      </w:pPr>
      <w:r>
        <w:rPr>
          <w:rFonts w:hint="eastAsia"/>
          <w:color w:val="000000"/>
          <w:sz w:val="24"/>
          <w:szCs w:val="24"/>
        </w:rPr>
        <w:t>对演练指挥调度系统、大屏显示系统等进行联调，并派出专业技术人员实际操作并提供技术支持。</w:t>
      </w:r>
    </w:p>
    <w:p>
      <w:pPr>
        <w:numPr>
          <w:ilvl w:val="0"/>
          <w:numId w:val="14"/>
        </w:numPr>
        <w:snapToGrid w:val="0"/>
        <w:spacing w:line="360" w:lineRule="auto"/>
        <w:ind w:firstLine="480" w:firstLineChars="200"/>
        <w:rPr>
          <w:color w:val="000000"/>
          <w:sz w:val="24"/>
          <w:szCs w:val="24"/>
        </w:rPr>
      </w:pPr>
      <w:r>
        <w:rPr>
          <w:rFonts w:hint="eastAsia"/>
          <w:color w:val="000000"/>
          <w:sz w:val="24"/>
          <w:szCs w:val="24"/>
        </w:rPr>
        <w:t>对本次演练科目所涉及信号源进行检查、功能测试及实时监控，如信号源出现故障，及时更换备用信号源。</w:t>
      </w:r>
    </w:p>
    <w:p>
      <w:pPr>
        <w:numPr>
          <w:ilvl w:val="0"/>
          <w:numId w:val="14"/>
        </w:numPr>
        <w:snapToGrid w:val="0"/>
        <w:spacing w:line="360" w:lineRule="auto"/>
        <w:ind w:firstLine="480" w:firstLineChars="200"/>
        <w:rPr>
          <w:color w:val="000000"/>
          <w:sz w:val="24"/>
          <w:szCs w:val="24"/>
        </w:rPr>
      </w:pPr>
      <w:r>
        <w:rPr>
          <w:rFonts w:hint="eastAsia"/>
          <w:color w:val="000000"/>
          <w:sz w:val="24"/>
          <w:szCs w:val="24"/>
        </w:rPr>
        <w:t>根据招标人要求，提供本次演练理论考试科目题库。</w:t>
      </w:r>
    </w:p>
    <w:p>
      <w:pPr>
        <w:snapToGrid w:val="0"/>
        <w:spacing w:line="360" w:lineRule="auto"/>
        <w:ind w:firstLine="480" w:firstLineChars="200"/>
        <w:rPr>
          <w:color w:val="000000"/>
          <w:sz w:val="24"/>
          <w:szCs w:val="24"/>
        </w:rPr>
      </w:pPr>
      <w:r>
        <w:rPr>
          <w:rFonts w:hint="eastAsia"/>
          <w:color w:val="000000"/>
          <w:sz w:val="24"/>
          <w:szCs w:val="24"/>
        </w:rPr>
        <w:t>2</w:t>
      </w:r>
      <w:r>
        <w:rPr>
          <w:color w:val="000000"/>
          <w:sz w:val="24"/>
          <w:szCs w:val="24"/>
        </w:rPr>
        <w:t>.</w:t>
      </w:r>
      <w:r>
        <w:rPr>
          <w:rFonts w:hint="eastAsia"/>
          <w:color w:val="000000"/>
          <w:sz w:val="24"/>
          <w:szCs w:val="24"/>
        </w:rPr>
        <w:t>3演练语音调度指挥设备</w:t>
      </w:r>
    </w:p>
    <w:p>
      <w:pPr>
        <w:snapToGrid w:val="0"/>
        <w:spacing w:line="360" w:lineRule="auto"/>
        <w:ind w:firstLine="480" w:firstLineChars="200"/>
        <w:rPr>
          <w:color w:val="000000"/>
          <w:sz w:val="24"/>
          <w:szCs w:val="24"/>
        </w:rPr>
      </w:pPr>
      <w:r>
        <w:rPr>
          <w:rFonts w:hint="eastAsia"/>
          <w:color w:val="000000"/>
          <w:sz w:val="24"/>
          <w:szCs w:val="24"/>
        </w:rPr>
        <w:t>在训练及演练开展期间，提供基于SIM卡的公网对讲机（不少于20个，包括耳机、充电器等配套设备）作为外场与内场之间指挥调度的语音通信设备。</w:t>
      </w:r>
    </w:p>
    <w:p>
      <w:pPr>
        <w:snapToGrid w:val="0"/>
        <w:spacing w:line="360" w:lineRule="auto"/>
        <w:ind w:firstLine="482" w:firstLineChars="200"/>
        <w:rPr>
          <w:b/>
          <w:bCs/>
          <w:color w:val="000000"/>
          <w:sz w:val="24"/>
          <w:szCs w:val="24"/>
        </w:rPr>
      </w:pPr>
      <w:r>
        <w:rPr>
          <w:rFonts w:hint="eastAsia"/>
          <w:b/>
          <w:bCs/>
          <w:color w:val="000000"/>
          <w:sz w:val="24"/>
          <w:szCs w:val="24"/>
        </w:rPr>
        <w:t>3.演练总体筹备和组织</w:t>
      </w:r>
    </w:p>
    <w:p>
      <w:pPr>
        <w:snapToGrid w:val="0"/>
        <w:spacing w:line="360" w:lineRule="auto"/>
        <w:ind w:firstLine="480" w:firstLineChars="200"/>
        <w:rPr>
          <w:color w:val="000000"/>
          <w:sz w:val="24"/>
          <w:szCs w:val="24"/>
        </w:rPr>
      </w:pPr>
      <w:r>
        <w:rPr>
          <w:rFonts w:hint="eastAsia"/>
          <w:color w:val="000000"/>
          <w:sz w:val="24"/>
          <w:szCs w:val="24"/>
        </w:rPr>
        <w:t>协助制定演练方案、明确演练内容和演练流程，协助组建专门的演练实施领导小组，协助组织召开演练动员部署会，高效务实推动演练前期筹备工作。协助招标人做好本次演练活动整体规划，包括演练方案制定、演练科目及规则</w:t>
      </w:r>
      <w:r>
        <w:rPr>
          <w:rFonts w:hint="eastAsia"/>
          <w:color w:val="000000"/>
          <w:sz w:val="24"/>
          <w:szCs w:val="24"/>
        </w:rPr>
        <w:tab/>
      </w:r>
      <w:r>
        <w:rPr>
          <w:rFonts w:hint="eastAsia"/>
          <w:color w:val="000000"/>
          <w:sz w:val="24"/>
          <w:szCs w:val="24"/>
        </w:rPr>
        <w:t>制定、演练评分标准制定、演练后勤保障方案制定等。</w:t>
      </w:r>
    </w:p>
    <w:p>
      <w:pPr>
        <w:snapToGrid w:val="0"/>
        <w:spacing w:line="360" w:lineRule="auto"/>
        <w:ind w:firstLine="482" w:firstLineChars="200"/>
        <w:rPr>
          <w:b/>
          <w:bCs/>
          <w:color w:val="000000"/>
          <w:sz w:val="24"/>
          <w:szCs w:val="24"/>
        </w:rPr>
      </w:pPr>
      <w:r>
        <w:rPr>
          <w:rFonts w:hint="eastAsia"/>
          <w:b/>
          <w:bCs/>
          <w:color w:val="000000"/>
          <w:sz w:val="24"/>
          <w:szCs w:val="24"/>
        </w:rPr>
        <w:t>※4.演练场地及场景搭建</w:t>
      </w:r>
    </w:p>
    <w:p>
      <w:pPr>
        <w:snapToGrid w:val="0"/>
        <w:spacing w:line="360" w:lineRule="auto"/>
        <w:ind w:firstLine="480" w:firstLineChars="200"/>
        <w:rPr>
          <w:color w:val="000000"/>
          <w:sz w:val="24"/>
          <w:szCs w:val="24"/>
        </w:rPr>
      </w:pPr>
      <w:r>
        <w:rPr>
          <w:rFonts w:hint="eastAsia"/>
          <w:color w:val="000000"/>
          <w:sz w:val="24"/>
          <w:szCs w:val="24"/>
        </w:rPr>
        <w:t>4</w:t>
      </w:r>
      <w:r>
        <w:rPr>
          <w:color w:val="000000"/>
          <w:sz w:val="24"/>
          <w:szCs w:val="24"/>
        </w:rPr>
        <w:t>.1</w:t>
      </w:r>
      <w:r>
        <w:rPr>
          <w:rFonts w:hint="eastAsia"/>
          <w:color w:val="000000"/>
          <w:sz w:val="24"/>
          <w:szCs w:val="24"/>
        </w:rPr>
        <w:t>演练场地勘查与协调</w:t>
      </w:r>
    </w:p>
    <w:p>
      <w:pPr>
        <w:snapToGrid w:val="0"/>
        <w:spacing w:line="360" w:lineRule="auto"/>
        <w:ind w:firstLine="480" w:firstLineChars="200"/>
        <w:rPr>
          <w:color w:val="000000"/>
          <w:sz w:val="24"/>
          <w:szCs w:val="24"/>
        </w:rPr>
      </w:pPr>
      <w:r>
        <w:rPr>
          <w:rFonts w:hint="eastAsia"/>
          <w:color w:val="000000"/>
          <w:sz w:val="24"/>
          <w:szCs w:val="24"/>
        </w:rPr>
        <w:t>按照国家无线电监测技术演练场地要求，进行实地勘察，确定演练场地，并负责与当地街道、政府相关部门的协调和报备等工作。</w:t>
      </w:r>
    </w:p>
    <w:p>
      <w:pPr>
        <w:snapToGrid w:val="0"/>
        <w:spacing w:line="360" w:lineRule="auto"/>
        <w:ind w:firstLine="480" w:firstLineChars="200"/>
        <w:rPr>
          <w:color w:val="000000"/>
          <w:sz w:val="24"/>
          <w:szCs w:val="24"/>
        </w:rPr>
      </w:pPr>
      <w:r>
        <w:rPr>
          <w:rFonts w:hint="eastAsia"/>
          <w:color w:val="000000"/>
          <w:sz w:val="24"/>
          <w:szCs w:val="24"/>
        </w:rPr>
        <w:t>4</w:t>
      </w:r>
      <w:r>
        <w:rPr>
          <w:color w:val="000000"/>
          <w:sz w:val="24"/>
          <w:szCs w:val="24"/>
        </w:rPr>
        <w:t>.2</w:t>
      </w:r>
      <w:r>
        <w:rPr>
          <w:rFonts w:hint="eastAsia"/>
          <w:color w:val="000000"/>
          <w:sz w:val="24"/>
          <w:szCs w:val="24"/>
        </w:rPr>
        <w:t>演练信号源放置场地勘察选址布置</w:t>
      </w:r>
    </w:p>
    <w:p>
      <w:pPr>
        <w:snapToGrid w:val="0"/>
        <w:spacing w:line="360" w:lineRule="auto"/>
        <w:ind w:firstLine="480" w:firstLineChars="200"/>
        <w:rPr>
          <w:color w:val="000000"/>
          <w:sz w:val="24"/>
          <w:szCs w:val="24"/>
        </w:rPr>
      </w:pPr>
      <w:r>
        <w:rPr>
          <w:rFonts w:hint="eastAsia"/>
          <w:color w:val="000000"/>
          <w:sz w:val="24"/>
          <w:szCs w:val="24"/>
        </w:rPr>
        <w:t>提供满足国家演练场景中要求的信号源场地布置，并负责与当地街道、政府相关部门的协调和报备工作。</w:t>
      </w:r>
    </w:p>
    <w:p>
      <w:pPr>
        <w:snapToGrid w:val="0"/>
        <w:spacing w:line="360" w:lineRule="auto"/>
        <w:ind w:firstLine="480" w:firstLineChars="200"/>
        <w:rPr>
          <w:color w:val="000000"/>
          <w:sz w:val="24"/>
          <w:szCs w:val="24"/>
        </w:rPr>
      </w:pPr>
      <w:r>
        <w:rPr>
          <w:rFonts w:hint="eastAsia"/>
          <w:color w:val="000000"/>
          <w:sz w:val="24"/>
          <w:szCs w:val="24"/>
        </w:rPr>
        <w:t>4.3演练场地电磁环境测试</w:t>
      </w:r>
    </w:p>
    <w:p>
      <w:pPr>
        <w:snapToGrid w:val="0"/>
        <w:spacing w:line="360" w:lineRule="auto"/>
        <w:ind w:firstLine="480" w:firstLineChars="200"/>
        <w:rPr>
          <w:color w:val="000000"/>
          <w:sz w:val="24"/>
          <w:szCs w:val="24"/>
        </w:rPr>
      </w:pPr>
      <w:r>
        <w:rPr>
          <w:rFonts w:hint="eastAsia"/>
          <w:color w:val="000000"/>
          <w:sz w:val="24"/>
          <w:szCs w:val="24"/>
        </w:rPr>
        <w:t>对演练场地进行前期测试以及在彩排和演练活动开展期间进行电磁环境测试不少于3次（需具备进行电磁环境测试的专业能力）。</w:t>
      </w:r>
    </w:p>
    <w:p>
      <w:pPr>
        <w:snapToGrid w:val="0"/>
        <w:spacing w:line="360" w:lineRule="auto"/>
        <w:ind w:firstLine="480" w:firstLineChars="200"/>
        <w:rPr>
          <w:color w:val="000000"/>
          <w:sz w:val="24"/>
          <w:szCs w:val="24"/>
        </w:rPr>
      </w:pPr>
      <w:r>
        <w:rPr>
          <w:rFonts w:hint="eastAsia"/>
          <w:color w:val="000000"/>
          <w:sz w:val="24"/>
          <w:szCs w:val="24"/>
        </w:rPr>
        <w:t>4.</w:t>
      </w:r>
      <w:r>
        <w:rPr>
          <w:color w:val="000000"/>
          <w:sz w:val="24"/>
          <w:szCs w:val="24"/>
        </w:rPr>
        <w:t>4</w:t>
      </w:r>
      <w:r>
        <w:rPr>
          <w:rFonts w:hint="eastAsia"/>
          <w:color w:val="000000"/>
          <w:sz w:val="24"/>
          <w:szCs w:val="24"/>
        </w:rPr>
        <w:t>负责演练场氛围布置、道具准备等。</w:t>
      </w:r>
    </w:p>
    <w:p>
      <w:pPr>
        <w:snapToGrid w:val="0"/>
        <w:spacing w:line="360" w:lineRule="auto"/>
        <w:ind w:firstLine="482" w:firstLineChars="200"/>
        <w:rPr>
          <w:b/>
          <w:bCs/>
          <w:color w:val="000000"/>
          <w:sz w:val="24"/>
          <w:szCs w:val="24"/>
        </w:rPr>
      </w:pPr>
      <w:r>
        <w:rPr>
          <w:rFonts w:hint="eastAsia"/>
          <w:b/>
          <w:bCs/>
          <w:color w:val="000000"/>
          <w:sz w:val="24"/>
          <w:szCs w:val="24"/>
        </w:rPr>
        <w:t>5</w:t>
      </w:r>
      <w:r>
        <w:rPr>
          <w:b/>
          <w:bCs/>
          <w:color w:val="000000"/>
          <w:sz w:val="24"/>
          <w:szCs w:val="24"/>
        </w:rPr>
        <w:t>.</w:t>
      </w:r>
      <w:bookmarkStart w:id="33" w:name="_Hlk51249169"/>
      <w:r>
        <w:rPr>
          <w:rFonts w:hint="eastAsia"/>
          <w:b/>
          <w:bCs/>
          <w:color w:val="000000"/>
          <w:sz w:val="24"/>
          <w:szCs w:val="24"/>
        </w:rPr>
        <w:t>其他服务内容</w:t>
      </w:r>
      <w:bookmarkEnd w:id="33"/>
    </w:p>
    <w:p>
      <w:pPr>
        <w:snapToGrid w:val="0"/>
        <w:spacing w:line="360" w:lineRule="auto"/>
        <w:ind w:firstLine="480" w:firstLineChars="200"/>
        <w:rPr>
          <w:color w:val="000000"/>
          <w:sz w:val="24"/>
          <w:szCs w:val="24"/>
        </w:rPr>
      </w:pPr>
      <w:r>
        <w:rPr>
          <w:rFonts w:hint="eastAsia"/>
          <w:color w:val="000000"/>
          <w:sz w:val="24"/>
          <w:szCs w:val="24"/>
        </w:rPr>
        <w:t>5.1</w:t>
      </w:r>
      <w:r>
        <w:rPr>
          <w:color w:val="000000"/>
          <w:sz w:val="24"/>
          <w:szCs w:val="24"/>
        </w:rPr>
        <w:t>负责</w:t>
      </w:r>
      <w:r>
        <w:rPr>
          <w:rFonts w:hint="eastAsia"/>
          <w:color w:val="000000"/>
          <w:sz w:val="24"/>
          <w:szCs w:val="24"/>
        </w:rPr>
        <w:t>演练期间的视频策划、拍摄、后期制作，形成演练总结视频1部。在中国无线电期刊、华龙网等官方宣传渠道上刊登新闻报道不少于2篇。</w:t>
      </w:r>
    </w:p>
    <w:p>
      <w:pPr>
        <w:snapToGrid w:val="0"/>
        <w:spacing w:line="360" w:lineRule="auto"/>
        <w:ind w:firstLine="480" w:firstLineChars="200"/>
        <w:rPr>
          <w:color w:val="000000"/>
          <w:sz w:val="24"/>
          <w:szCs w:val="24"/>
        </w:rPr>
      </w:pPr>
      <w:r>
        <w:rPr>
          <w:rFonts w:hint="eastAsia"/>
          <w:color w:val="000000"/>
          <w:sz w:val="24"/>
          <w:szCs w:val="24"/>
        </w:rPr>
        <w:t>5.2完成履行2023重庆市无线电监测技术演练所需的其他工作内容以及演练具体实施方案、邀请函、新闻通稿、会议议程、参会须知、基本情况介绍、解说词等演练相关材料撰写。</w:t>
      </w:r>
    </w:p>
    <w:p>
      <w:pPr>
        <w:snapToGrid w:val="0"/>
        <w:spacing w:line="360" w:lineRule="auto"/>
        <w:ind w:firstLine="480" w:firstLineChars="200"/>
        <w:rPr>
          <w:color w:val="000000"/>
          <w:sz w:val="24"/>
          <w:szCs w:val="24"/>
        </w:rPr>
      </w:pPr>
      <w:r>
        <w:rPr>
          <w:rFonts w:hint="eastAsia"/>
          <w:color w:val="000000"/>
          <w:sz w:val="24"/>
          <w:szCs w:val="24"/>
        </w:rPr>
        <w:t>5.3 需配合招标人做好综合培训的人员住宿、餐饮安排，以及培训场地选择、培训教师邀请等工作。</w:t>
      </w:r>
    </w:p>
    <w:p>
      <w:pPr>
        <w:pStyle w:val="6"/>
        <w:spacing w:before="0" w:after="0" w:line="360" w:lineRule="auto"/>
        <w:ind w:firstLine="482" w:firstLineChars="200"/>
        <w:rPr>
          <w:sz w:val="24"/>
          <w:szCs w:val="24"/>
        </w:rPr>
      </w:pPr>
      <w:bookmarkStart w:id="34" w:name="_Toc51854593"/>
      <w:bookmarkStart w:id="35" w:name="_Toc131145263"/>
      <w:bookmarkStart w:id="36" w:name="_Toc98855993"/>
      <w:r>
        <w:rPr>
          <w:rFonts w:hint="eastAsia"/>
          <w:sz w:val="24"/>
          <w:szCs w:val="24"/>
        </w:rPr>
        <w:t>二、服务标准</w:t>
      </w:r>
      <w:bookmarkEnd w:id="34"/>
      <w:bookmarkEnd w:id="35"/>
      <w:bookmarkEnd w:id="36"/>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配合完成2023重庆市无线电监测技术演练项目，并确保符合2023重庆市无线电监测技术演练方案的要求。</w:t>
      </w:r>
    </w:p>
    <w:p>
      <w:pPr>
        <w:pStyle w:val="6"/>
        <w:spacing w:before="0" w:after="0" w:line="360" w:lineRule="auto"/>
        <w:ind w:firstLine="482" w:firstLineChars="200"/>
        <w:rPr>
          <w:sz w:val="24"/>
          <w:szCs w:val="24"/>
        </w:rPr>
      </w:pPr>
      <w:bookmarkStart w:id="37" w:name="_Toc98855994"/>
      <w:bookmarkStart w:id="38" w:name="_Toc131145264"/>
      <w:r>
        <w:rPr>
          <w:rFonts w:hint="eastAsia"/>
          <w:sz w:val="24"/>
          <w:szCs w:val="24"/>
        </w:rPr>
        <w:t>三、其他</w:t>
      </w:r>
      <w:bookmarkEnd w:id="31"/>
      <w:bookmarkEnd w:id="32"/>
      <w:bookmarkEnd w:id="37"/>
      <w:bookmarkEnd w:id="38"/>
    </w:p>
    <w:p>
      <w:pPr>
        <w:snapToGrid w:val="0"/>
        <w:spacing w:line="360" w:lineRule="auto"/>
        <w:ind w:firstLine="480" w:firstLineChars="200"/>
        <w:rPr>
          <w:sz w:val="24"/>
          <w:szCs w:val="24"/>
        </w:rPr>
      </w:pPr>
      <w:r>
        <w:rPr>
          <w:rFonts w:hint="eastAsia"/>
          <w:sz w:val="24"/>
          <w:szCs w:val="24"/>
        </w:rPr>
        <w:t>（一）提供演练筹备实施计划进度表、人员分工明细表，要求安排详细合理，分工明确。</w:t>
      </w:r>
    </w:p>
    <w:p>
      <w:pPr>
        <w:snapToGrid w:val="0"/>
        <w:spacing w:line="360" w:lineRule="auto"/>
        <w:ind w:firstLine="480" w:firstLineChars="200"/>
        <w:rPr>
          <w:sz w:val="24"/>
          <w:szCs w:val="24"/>
        </w:rPr>
      </w:pPr>
      <w:r>
        <w:rPr>
          <w:rFonts w:hint="eastAsia"/>
          <w:sz w:val="24"/>
          <w:szCs w:val="24"/>
        </w:rPr>
        <w:t>※（二）成交供应商在竞争性磋商文件及合同约定服务范围以内不得向参演人收取任何有关费用。</w:t>
      </w:r>
    </w:p>
    <w:p>
      <w:pPr>
        <w:snapToGrid w:val="0"/>
        <w:spacing w:line="360" w:lineRule="auto"/>
        <w:ind w:firstLine="480" w:firstLineChars="200"/>
        <w:rPr>
          <w:rFonts w:ascii="宋体" w:hAnsi="宋体"/>
          <w:color w:val="000000"/>
          <w:sz w:val="24"/>
          <w:szCs w:val="24"/>
          <w:highlight w:val="red"/>
        </w:rPr>
        <w:sectPr>
          <w:headerReference r:id="rId8" w:type="default"/>
          <w:footerReference r:id="rId10" w:type="default"/>
          <w:headerReference r:id="rId9" w:type="even"/>
          <w:pgSz w:w="11906" w:h="16838"/>
          <w:pgMar w:top="1103" w:right="1274" w:bottom="1440" w:left="1276" w:header="851" w:footer="992" w:gutter="0"/>
          <w:pgNumType w:fmt="numberInDash"/>
          <w:cols w:space="425" w:num="1"/>
          <w:docGrid w:type="lines" w:linePitch="381" w:charSpace="0"/>
        </w:sectPr>
      </w:pPr>
    </w:p>
    <w:p>
      <w:pPr>
        <w:pStyle w:val="5"/>
        <w:pageBreakBefore/>
        <w:spacing w:line="360" w:lineRule="auto"/>
        <w:jc w:val="center"/>
        <w:rPr>
          <w:rFonts w:ascii="宋体" w:eastAsia="宋体"/>
          <w:sz w:val="36"/>
          <w:szCs w:val="30"/>
        </w:rPr>
      </w:pPr>
      <w:bookmarkStart w:id="39" w:name="_Toc131145265"/>
      <w:r>
        <w:rPr>
          <w:rFonts w:hint="eastAsia" w:ascii="宋体" w:eastAsia="宋体"/>
          <w:sz w:val="36"/>
          <w:szCs w:val="30"/>
        </w:rPr>
        <w:t>第三篇  项目商务需求</w:t>
      </w:r>
      <w:bookmarkEnd w:id="27"/>
      <w:bookmarkEnd w:id="39"/>
    </w:p>
    <w:p>
      <w:pPr>
        <w:snapToGrid w:val="0"/>
        <w:spacing w:line="360" w:lineRule="auto"/>
        <w:ind w:firstLine="480" w:firstLineChars="200"/>
        <w:rPr>
          <w:sz w:val="24"/>
          <w:szCs w:val="24"/>
        </w:rPr>
      </w:pPr>
      <w:bookmarkStart w:id="40" w:name="_Toc267320049"/>
      <w:r>
        <w:rPr>
          <w:rFonts w:hint="eastAsia"/>
          <w:sz w:val="24"/>
          <w:szCs w:val="24"/>
        </w:rPr>
        <w:t>“※”标注的要求为符合性审查中的实质性要求，响应文件若不满足按无效投标处理。</w:t>
      </w:r>
    </w:p>
    <w:bookmarkEnd w:id="40"/>
    <w:p>
      <w:pPr>
        <w:pStyle w:val="6"/>
        <w:spacing w:before="0" w:after="0" w:line="360" w:lineRule="auto"/>
        <w:ind w:firstLine="482" w:firstLineChars="200"/>
        <w:rPr>
          <w:sz w:val="24"/>
          <w:szCs w:val="24"/>
        </w:rPr>
      </w:pPr>
      <w:bookmarkStart w:id="41" w:name="_Toc82422011"/>
      <w:bookmarkStart w:id="42" w:name="_Toc131145266"/>
      <w:bookmarkStart w:id="43" w:name="_Toc14860569"/>
      <w:bookmarkStart w:id="44" w:name="_Toc484611845"/>
      <w:bookmarkStart w:id="45" w:name="_Toc98855996"/>
      <w:bookmarkStart w:id="46" w:name="_Toc51854596"/>
      <w:r>
        <w:rPr>
          <w:rFonts w:hint="eastAsia"/>
          <w:sz w:val="24"/>
          <w:szCs w:val="24"/>
        </w:rPr>
        <w:t>※一、服务时间、地点及验收方式</w:t>
      </w:r>
      <w:bookmarkEnd w:id="41"/>
      <w:bookmarkEnd w:id="42"/>
      <w:bookmarkEnd w:id="43"/>
      <w:bookmarkEnd w:id="44"/>
      <w:bookmarkEnd w:id="45"/>
      <w:bookmarkEnd w:id="46"/>
    </w:p>
    <w:p>
      <w:pPr>
        <w:snapToGrid w:val="0"/>
        <w:spacing w:line="360" w:lineRule="auto"/>
        <w:ind w:firstLine="482" w:firstLineChars="200"/>
        <w:rPr>
          <w:b/>
          <w:bCs/>
          <w:sz w:val="24"/>
          <w:szCs w:val="24"/>
        </w:rPr>
      </w:pPr>
      <w:bookmarkStart w:id="47" w:name="_Toc344475121"/>
      <w:r>
        <w:rPr>
          <w:rFonts w:hint="eastAsia"/>
          <w:b/>
          <w:bCs/>
          <w:sz w:val="24"/>
          <w:szCs w:val="24"/>
        </w:rPr>
        <w:t>（一）服务时间：</w:t>
      </w:r>
    </w:p>
    <w:p>
      <w:pPr>
        <w:snapToGrid w:val="0"/>
        <w:spacing w:line="360" w:lineRule="auto"/>
        <w:ind w:firstLine="480" w:firstLineChars="200"/>
        <w:rPr>
          <w:sz w:val="24"/>
          <w:szCs w:val="24"/>
        </w:rPr>
      </w:pPr>
      <w:r>
        <w:rPr>
          <w:rFonts w:hint="eastAsia"/>
          <w:sz w:val="24"/>
          <w:szCs w:val="24"/>
        </w:rPr>
        <w:t>合同签订之日起至第二阶段演练结束为止。</w:t>
      </w:r>
    </w:p>
    <w:p>
      <w:pPr>
        <w:snapToGrid w:val="0"/>
        <w:spacing w:line="360" w:lineRule="auto"/>
        <w:ind w:firstLine="482" w:firstLineChars="200"/>
        <w:rPr>
          <w:b/>
          <w:bCs/>
          <w:sz w:val="24"/>
          <w:szCs w:val="24"/>
        </w:rPr>
      </w:pPr>
      <w:r>
        <w:rPr>
          <w:rFonts w:hint="eastAsia"/>
          <w:b/>
          <w:bCs/>
          <w:sz w:val="24"/>
          <w:szCs w:val="24"/>
        </w:rPr>
        <w:t>（二）地点：</w:t>
      </w:r>
    </w:p>
    <w:p>
      <w:pPr>
        <w:snapToGrid w:val="0"/>
        <w:spacing w:line="360" w:lineRule="auto"/>
        <w:ind w:firstLine="480" w:firstLineChars="200"/>
        <w:rPr>
          <w:sz w:val="24"/>
          <w:szCs w:val="24"/>
        </w:rPr>
      </w:pPr>
      <w:r>
        <w:rPr>
          <w:rFonts w:hint="eastAsia"/>
          <w:sz w:val="24"/>
          <w:szCs w:val="24"/>
        </w:rPr>
        <w:t>重庆市无线电监测站同意或指定地点。</w:t>
      </w:r>
    </w:p>
    <w:p>
      <w:pPr>
        <w:snapToGrid w:val="0"/>
        <w:spacing w:line="360" w:lineRule="auto"/>
        <w:ind w:firstLine="482" w:firstLineChars="200"/>
        <w:rPr>
          <w:b/>
          <w:bCs/>
          <w:sz w:val="24"/>
          <w:szCs w:val="24"/>
        </w:rPr>
      </w:pPr>
      <w:r>
        <w:rPr>
          <w:rFonts w:hint="eastAsia"/>
          <w:b/>
          <w:bCs/>
          <w:sz w:val="24"/>
          <w:szCs w:val="24"/>
        </w:rPr>
        <w:t>（三）验收方式：</w:t>
      </w:r>
    </w:p>
    <w:p>
      <w:pPr>
        <w:snapToGrid w:val="0"/>
        <w:spacing w:line="360" w:lineRule="auto"/>
        <w:ind w:firstLine="480" w:firstLineChars="200"/>
        <w:rPr>
          <w:sz w:val="24"/>
          <w:szCs w:val="24"/>
        </w:rPr>
      </w:pPr>
      <w:r>
        <w:rPr>
          <w:rFonts w:hint="eastAsia"/>
          <w:sz w:val="24"/>
          <w:szCs w:val="24"/>
        </w:rPr>
        <w:t>1.验收单位：重庆市无线电监测站。</w:t>
      </w:r>
    </w:p>
    <w:p>
      <w:pPr>
        <w:snapToGrid w:val="0"/>
        <w:spacing w:line="360" w:lineRule="auto"/>
        <w:ind w:firstLine="480" w:firstLineChars="200"/>
        <w:rPr>
          <w:sz w:val="24"/>
          <w:szCs w:val="24"/>
        </w:rPr>
      </w:pPr>
      <w:r>
        <w:rPr>
          <w:rFonts w:hint="eastAsia"/>
          <w:sz w:val="24"/>
          <w:szCs w:val="24"/>
        </w:rPr>
        <w:t>2.验收标准：按照国家及行业相关标准、竞争性磋商文件规定对成交供应商的完成情况进行验收，如验收达不到相关规定要求，视为该项目验收不合格，采购人有权立即终止合同。由此对采购人造成一定的损失，成交供应商应承担一切责任，并赔偿所造成的损失。</w:t>
      </w:r>
    </w:p>
    <w:p>
      <w:pPr>
        <w:pStyle w:val="6"/>
        <w:spacing w:before="0" w:after="0" w:line="360" w:lineRule="auto"/>
        <w:ind w:firstLine="482" w:firstLineChars="200"/>
        <w:rPr>
          <w:sz w:val="24"/>
          <w:szCs w:val="24"/>
        </w:rPr>
      </w:pPr>
      <w:bookmarkStart w:id="48" w:name="_Toc14860570"/>
      <w:bookmarkStart w:id="49" w:name="_Toc51854597"/>
      <w:bookmarkStart w:id="50" w:name="_Toc98855997"/>
      <w:bookmarkStart w:id="51" w:name="_Toc82422012"/>
      <w:bookmarkStart w:id="52" w:name="_Toc131145267"/>
      <w:bookmarkStart w:id="53" w:name="_Toc484611846"/>
      <w:r>
        <w:rPr>
          <w:sz w:val="24"/>
          <w:szCs w:val="24"/>
        </w:rPr>
        <w:t>※</w:t>
      </w:r>
      <w:r>
        <w:rPr>
          <w:rFonts w:hint="eastAsia"/>
          <w:sz w:val="24"/>
          <w:szCs w:val="24"/>
        </w:rPr>
        <w:t>二、</w:t>
      </w:r>
      <w:bookmarkEnd w:id="47"/>
      <w:r>
        <w:rPr>
          <w:rFonts w:hint="eastAsia"/>
          <w:sz w:val="24"/>
          <w:szCs w:val="24"/>
        </w:rPr>
        <w:t>报价要求</w:t>
      </w:r>
      <w:bookmarkEnd w:id="48"/>
      <w:bookmarkEnd w:id="49"/>
      <w:bookmarkEnd w:id="50"/>
      <w:bookmarkEnd w:id="51"/>
      <w:bookmarkEnd w:id="52"/>
      <w:bookmarkEnd w:id="53"/>
    </w:p>
    <w:p>
      <w:pPr>
        <w:snapToGrid w:val="0"/>
        <w:spacing w:line="360" w:lineRule="auto"/>
        <w:ind w:firstLine="480" w:firstLineChars="200"/>
        <w:rPr>
          <w:sz w:val="24"/>
          <w:szCs w:val="24"/>
        </w:rPr>
      </w:pPr>
      <w:r>
        <w:rPr>
          <w:rFonts w:hint="eastAsia"/>
          <w:sz w:val="24"/>
          <w:szCs w:val="24"/>
        </w:rPr>
        <w:t>（一）投标报价包括完成本项目所需的包括（但不限于）会务保障费、设备与系统保障费、演练总体筹备和组织费、演练场地及场景搭建费、媒体宣传费、其他服务费、人工费、税费等所有费用。因成交供应商自身原因造成漏报、少报皆由其自行承担责任，采购人不再补偿。</w:t>
      </w:r>
    </w:p>
    <w:p>
      <w:pPr>
        <w:snapToGrid w:val="0"/>
        <w:spacing w:line="360" w:lineRule="auto"/>
        <w:ind w:firstLine="480" w:firstLineChars="200"/>
        <w:rPr>
          <w:sz w:val="24"/>
          <w:szCs w:val="24"/>
        </w:rPr>
      </w:pPr>
      <w:r>
        <w:rPr>
          <w:rFonts w:hint="eastAsia"/>
          <w:sz w:val="24"/>
          <w:szCs w:val="24"/>
        </w:rPr>
        <w:t>（二）供应商应在响应文件中提供本次活动详细的资金预算表，列明各分项活动涉及的费用明细，及其他预计会涉及的费用明细。要求列支项目详细，费用细致，预算合理。</w:t>
      </w:r>
    </w:p>
    <w:p>
      <w:pPr>
        <w:pStyle w:val="6"/>
        <w:spacing w:before="0" w:after="0" w:line="360" w:lineRule="auto"/>
        <w:ind w:firstLine="482" w:firstLineChars="200"/>
        <w:rPr>
          <w:sz w:val="24"/>
          <w:szCs w:val="24"/>
        </w:rPr>
      </w:pPr>
      <w:bookmarkStart w:id="54" w:name="_Toc131145268"/>
      <w:bookmarkStart w:id="55" w:name="_Toc484611849"/>
      <w:bookmarkStart w:id="56" w:name="_Toc344475122"/>
      <w:bookmarkStart w:id="57" w:name="_Toc51854598"/>
      <w:bookmarkStart w:id="58" w:name="_Toc98855998"/>
      <w:bookmarkStart w:id="59" w:name="_Toc14860571"/>
      <w:bookmarkStart w:id="60" w:name="_Toc82422013"/>
      <w:r>
        <w:rPr>
          <w:sz w:val="24"/>
          <w:szCs w:val="24"/>
        </w:rPr>
        <w:t>※</w:t>
      </w:r>
      <w:r>
        <w:rPr>
          <w:rFonts w:hint="eastAsia"/>
          <w:sz w:val="24"/>
          <w:szCs w:val="24"/>
        </w:rPr>
        <w:t>三、付款方式</w:t>
      </w:r>
      <w:bookmarkEnd w:id="54"/>
      <w:bookmarkEnd w:id="55"/>
      <w:bookmarkEnd w:id="56"/>
      <w:bookmarkEnd w:id="57"/>
      <w:bookmarkEnd w:id="58"/>
      <w:bookmarkEnd w:id="59"/>
      <w:bookmarkEnd w:id="60"/>
    </w:p>
    <w:p>
      <w:pPr>
        <w:snapToGrid w:val="0"/>
        <w:spacing w:line="360" w:lineRule="auto"/>
        <w:ind w:firstLine="480" w:firstLineChars="200"/>
        <w:rPr>
          <w:sz w:val="24"/>
          <w:szCs w:val="24"/>
        </w:rPr>
      </w:pPr>
      <w:bookmarkStart w:id="61" w:name="_Toc344475123"/>
      <w:r>
        <w:rPr>
          <w:rFonts w:hint="eastAsia"/>
          <w:sz w:val="24"/>
          <w:szCs w:val="24"/>
        </w:rPr>
        <w:t>（一）签订合同前，成交供应商向采购人指定账户缴纳合同金额5%的履约保证金。</w:t>
      </w:r>
    </w:p>
    <w:p>
      <w:pPr>
        <w:snapToGrid w:val="0"/>
        <w:spacing w:line="360" w:lineRule="auto"/>
        <w:ind w:firstLine="480" w:firstLineChars="200"/>
        <w:rPr>
          <w:sz w:val="24"/>
          <w:szCs w:val="24"/>
        </w:rPr>
      </w:pPr>
      <w:r>
        <w:rPr>
          <w:rFonts w:hint="eastAsia"/>
          <w:sz w:val="24"/>
          <w:szCs w:val="24"/>
        </w:rPr>
        <w:t>（二）签订合同后，采购人向成交供应商支付合同金额的50%作为预付款（成交供应商提供相应金额的保函）。</w:t>
      </w:r>
    </w:p>
    <w:p>
      <w:pPr>
        <w:snapToGrid w:val="0"/>
        <w:spacing w:line="360" w:lineRule="auto"/>
        <w:ind w:firstLine="480" w:firstLineChars="200"/>
        <w:rPr>
          <w:sz w:val="24"/>
          <w:szCs w:val="24"/>
        </w:rPr>
      </w:pPr>
      <w:r>
        <w:rPr>
          <w:rFonts w:hint="eastAsia"/>
          <w:sz w:val="24"/>
          <w:szCs w:val="24"/>
        </w:rPr>
        <w:t>（三）项目通过验收后，采购人支付给成交供应商剩余合同金额，并无息退还履约保证金。</w:t>
      </w:r>
    </w:p>
    <w:p>
      <w:pPr>
        <w:pStyle w:val="6"/>
        <w:spacing w:before="0" w:after="0" w:line="360" w:lineRule="auto"/>
        <w:ind w:firstLine="482" w:firstLineChars="200"/>
        <w:rPr>
          <w:sz w:val="24"/>
          <w:szCs w:val="24"/>
        </w:rPr>
      </w:pPr>
      <w:bookmarkStart w:id="62" w:name="_Toc82422015"/>
      <w:bookmarkStart w:id="63" w:name="_Toc14860572"/>
      <w:bookmarkStart w:id="64" w:name="_Toc98856000"/>
      <w:bookmarkStart w:id="65" w:name="_Toc131145269"/>
      <w:bookmarkStart w:id="66" w:name="_Toc484611850"/>
      <w:bookmarkStart w:id="67" w:name="_Toc51854600"/>
      <w:r>
        <w:rPr>
          <w:rFonts w:hint="eastAsia"/>
          <w:sz w:val="24"/>
          <w:szCs w:val="24"/>
        </w:rPr>
        <w:t>四、知识产权</w:t>
      </w:r>
      <w:bookmarkEnd w:id="61"/>
      <w:bookmarkEnd w:id="62"/>
      <w:bookmarkEnd w:id="63"/>
      <w:bookmarkEnd w:id="64"/>
      <w:bookmarkEnd w:id="65"/>
      <w:bookmarkEnd w:id="66"/>
      <w:bookmarkEnd w:id="67"/>
    </w:p>
    <w:p>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6"/>
        <w:spacing w:before="0" w:after="0" w:line="360" w:lineRule="auto"/>
        <w:ind w:firstLine="482" w:firstLineChars="200"/>
        <w:rPr>
          <w:sz w:val="24"/>
          <w:szCs w:val="24"/>
        </w:rPr>
      </w:pPr>
      <w:bookmarkStart w:id="68" w:name="_Toc51854601"/>
      <w:bookmarkStart w:id="69" w:name="_Toc484611852"/>
      <w:bookmarkStart w:id="70" w:name="_Toc82422016"/>
      <w:bookmarkStart w:id="71" w:name="_Toc14860573"/>
      <w:bookmarkStart w:id="72" w:name="_Toc131145270"/>
      <w:bookmarkStart w:id="73" w:name="_Toc98856001"/>
      <w:bookmarkStart w:id="74" w:name="_Toc344475125"/>
      <w:r>
        <w:rPr>
          <w:rFonts w:hint="eastAsia"/>
          <w:sz w:val="24"/>
          <w:szCs w:val="24"/>
        </w:rPr>
        <w:t>五、其他</w:t>
      </w:r>
      <w:bookmarkEnd w:id="68"/>
      <w:bookmarkEnd w:id="69"/>
      <w:bookmarkEnd w:id="70"/>
      <w:bookmarkEnd w:id="71"/>
      <w:bookmarkEnd w:id="72"/>
      <w:bookmarkEnd w:id="73"/>
    </w:p>
    <w:bookmarkEnd w:id="74"/>
    <w:p>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（一）供应商必须在响应文件中对以上条款和服务承诺明确列出，承诺内容必须达到本篇及竞争性磋商文件其他条款的要求。</w:t>
      </w:r>
    </w:p>
    <w:p>
      <w:pPr>
        <w:snapToGrid w:val="0"/>
        <w:spacing w:line="360" w:lineRule="auto"/>
        <w:ind w:firstLine="480" w:firstLineChars="200"/>
        <w:rPr>
          <w:sz w:val="24"/>
          <w:szCs w:val="24"/>
        </w:rPr>
      </w:pPr>
      <w:r>
        <w:rPr>
          <w:rFonts w:hint="eastAsia"/>
          <w:sz w:val="24"/>
          <w:szCs w:val="24"/>
        </w:rPr>
        <w:t>（二）其他未尽事宜由供需双方在采购合同中详细约定。</w:t>
      </w:r>
    </w:p>
    <w:p>
      <w:pPr>
        <w:snapToGrid w:val="0"/>
        <w:spacing w:line="360" w:lineRule="auto"/>
        <w:ind w:firstLine="480" w:firstLineChars="200"/>
        <w:rPr>
          <w:rFonts w:ascii="宋体"/>
          <w:sz w:val="24"/>
          <w:szCs w:val="24"/>
        </w:rPr>
      </w:pPr>
    </w:p>
    <w:p>
      <w:pPr>
        <w:snapToGrid w:val="0"/>
        <w:spacing w:line="360" w:lineRule="auto"/>
        <w:ind w:firstLine="480" w:firstLineChars="200"/>
        <w:rPr>
          <w:rFonts w:ascii="宋体"/>
          <w:sz w:val="24"/>
          <w:szCs w:val="24"/>
        </w:rPr>
      </w:pPr>
    </w:p>
    <w:p>
      <w:pPr>
        <w:pStyle w:val="5"/>
        <w:pageBreakBefore/>
        <w:spacing w:line="360" w:lineRule="auto"/>
        <w:jc w:val="center"/>
        <w:rPr>
          <w:rFonts w:ascii="宋体" w:eastAsia="宋体"/>
          <w:sz w:val="36"/>
          <w:szCs w:val="30"/>
        </w:rPr>
      </w:pPr>
      <w:bookmarkStart w:id="75" w:name="_Toc131145271"/>
      <w:r>
        <w:rPr>
          <w:rFonts w:hint="eastAsia" w:ascii="宋体" w:eastAsia="宋体"/>
          <w:sz w:val="36"/>
          <w:szCs w:val="30"/>
        </w:rPr>
        <w:t>第四篇  磋商程序及方法、评审标准、无效响应和采购终止</w:t>
      </w:r>
      <w:bookmarkEnd w:id="75"/>
    </w:p>
    <w:p>
      <w:pPr>
        <w:pStyle w:val="6"/>
        <w:snapToGrid w:val="0"/>
        <w:spacing w:before="0" w:after="0" w:line="360" w:lineRule="auto"/>
        <w:ind w:firstLine="482" w:firstLineChars="200"/>
        <w:rPr>
          <w:rFonts w:ascii="宋体" w:hAnsi="宋体"/>
          <w:sz w:val="24"/>
          <w:szCs w:val="24"/>
        </w:rPr>
      </w:pPr>
      <w:bookmarkStart w:id="76" w:name="_Toc131145272"/>
      <w:bookmarkStart w:id="77" w:name="_Toc130496031"/>
      <w:r>
        <w:rPr>
          <w:rFonts w:hint="eastAsia" w:ascii="宋体" w:hAnsi="宋体"/>
          <w:sz w:val="24"/>
          <w:szCs w:val="24"/>
        </w:rPr>
        <w:t>一、磋商程序及方法</w:t>
      </w:r>
      <w:bookmarkEnd w:id="76"/>
      <w:bookmarkEnd w:id="77"/>
    </w:p>
    <w:p>
      <w:pPr>
        <w:spacing w:line="360" w:lineRule="auto"/>
        <w:ind w:firstLine="480" w:firstLineChars="200"/>
        <w:rPr>
          <w:rFonts w:ascii="宋体" w:hAnsi="宋体"/>
          <w:sz w:val="24"/>
          <w:szCs w:val="24"/>
        </w:rPr>
      </w:pPr>
      <w:r>
        <w:rPr>
          <w:rFonts w:hint="eastAsia" w:ascii="宋体" w:hAnsi="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360" w:lineRule="auto"/>
        <w:ind w:firstLine="480" w:firstLineChars="200"/>
        <w:rPr>
          <w:rFonts w:ascii="宋体" w:hAnsi="宋体"/>
          <w:sz w:val="24"/>
          <w:szCs w:val="24"/>
        </w:rPr>
      </w:pPr>
      <w:r>
        <w:rPr>
          <w:rFonts w:hint="eastAsia" w:ascii="宋体" w:hAnsi="宋体"/>
          <w:sz w:val="24"/>
          <w:szCs w:val="24"/>
        </w:rPr>
        <w:t>（二）磋商小组对各供应商的资格条件、响应文件的有效性、完整性和响应程度进行审查。各供应商只有在完全符合要求的前提下，才能参与正式磋商。</w:t>
      </w:r>
    </w:p>
    <w:p>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资格性检查。依据法律法规和竞争性磋商文件的规定，对响应文件中的资格证明、磋商保证金等进行审查，以确定供应商是否具备磋商资格。资格性检查资料表如下：</w:t>
      </w:r>
    </w:p>
    <w:tbl>
      <w:tblPr>
        <w:tblStyle w:val="6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4421"/>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817" w:type="dxa"/>
            <w:vAlign w:val="center"/>
          </w:tcPr>
          <w:p>
            <w:pPr>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5272" w:type="dxa"/>
            <w:gridSpan w:val="2"/>
            <w:vAlign w:val="center"/>
          </w:tcPr>
          <w:p>
            <w:pPr>
              <w:snapToGrid w:val="0"/>
              <w:jc w:val="center"/>
              <w:rPr>
                <w:rFonts w:ascii="宋体" w:hAnsi="宋体" w:cs="宋体"/>
                <w:b/>
                <w:kern w:val="0"/>
                <w:sz w:val="21"/>
                <w:szCs w:val="21"/>
              </w:rPr>
            </w:pPr>
            <w:r>
              <w:rPr>
                <w:rFonts w:hint="eastAsia" w:ascii="宋体" w:hAnsi="宋体" w:cs="宋体"/>
                <w:b/>
                <w:kern w:val="0"/>
                <w:sz w:val="21"/>
                <w:szCs w:val="21"/>
              </w:rPr>
              <w:t>检查因素</w:t>
            </w:r>
          </w:p>
        </w:tc>
        <w:tc>
          <w:tcPr>
            <w:tcW w:w="3579" w:type="dxa"/>
            <w:vAlign w:val="center"/>
          </w:tcPr>
          <w:p>
            <w:pPr>
              <w:snapToGrid w:val="0"/>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2" w:hRule="atLeast"/>
        </w:trPr>
        <w:tc>
          <w:tcPr>
            <w:tcW w:w="817" w:type="dxa"/>
            <w:vMerge w:val="restart"/>
            <w:vAlign w:val="center"/>
          </w:tcPr>
          <w:p>
            <w:pPr>
              <w:snapToGrid w:val="0"/>
              <w:jc w:val="center"/>
              <w:rPr>
                <w:rFonts w:ascii="宋体" w:hAnsi="宋体"/>
                <w:sz w:val="21"/>
                <w:szCs w:val="21"/>
              </w:rPr>
            </w:pPr>
            <w:r>
              <w:rPr>
                <w:rFonts w:hint="eastAsia" w:ascii="宋体" w:hAnsi="宋体"/>
                <w:sz w:val="21"/>
                <w:szCs w:val="21"/>
              </w:rPr>
              <w:t>（一）</w:t>
            </w:r>
          </w:p>
        </w:tc>
        <w:tc>
          <w:tcPr>
            <w:tcW w:w="851" w:type="dxa"/>
            <w:vMerge w:val="restart"/>
            <w:vAlign w:val="center"/>
          </w:tcPr>
          <w:p>
            <w:pPr>
              <w:snapToGrid w:val="0"/>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4421" w:type="dxa"/>
            <w:vAlign w:val="center"/>
          </w:tcPr>
          <w:p>
            <w:pPr>
              <w:snapToGrid w:val="0"/>
              <w:rPr>
                <w:rFonts w:ascii="宋体" w:hAnsi="宋体"/>
                <w:sz w:val="21"/>
                <w:szCs w:val="21"/>
              </w:rPr>
            </w:pPr>
            <w:r>
              <w:rPr>
                <w:rFonts w:hint="eastAsia" w:ascii="宋体" w:hAnsi="宋体"/>
                <w:sz w:val="21"/>
                <w:szCs w:val="21"/>
              </w:rPr>
              <w:t>1.具有独立承担民事责任的能力</w:t>
            </w:r>
          </w:p>
        </w:tc>
        <w:tc>
          <w:tcPr>
            <w:tcW w:w="3579" w:type="dxa"/>
            <w:vAlign w:val="center"/>
          </w:tcPr>
          <w:p>
            <w:pPr>
              <w:snapToGrid w:val="0"/>
              <w:rPr>
                <w:rFonts w:ascii="宋体" w:hAnsi="宋体"/>
                <w:sz w:val="21"/>
                <w:szCs w:val="21"/>
              </w:rPr>
            </w:pPr>
            <w:r>
              <w:rPr>
                <w:rFonts w:hint="eastAsia" w:ascii="宋体" w:hAnsi="宋体"/>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sz w:val="21"/>
                <w:szCs w:val="21"/>
              </w:rPr>
            </w:pPr>
            <w:r>
              <w:rPr>
                <w:rFonts w:hint="eastAsia" w:ascii="宋体" w:hAnsi="宋体"/>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817" w:type="dxa"/>
            <w:vMerge w:val="continue"/>
            <w:vAlign w:val="center"/>
          </w:tcPr>
          <w:p>
            <w:pPr>
              <w:rPr>
                <w:rFonts w:ascii="宋体" w:hAnsi="宋体"/>
                <w:sz w:val="21"/>
                <w:szCs w:val="21"/>
              </w:rPr>
            </w:pPr>
          </w:p>
        </w:tc>
        <w:tc>
          <w:tcPr>
            <w:tcW w:w="851" w:type="dxa"/>
            <w:vMerge w:val="continue"/>
            <w:vAlign w:val="center"/>
          </w:tcPr>
          <w:p>
            <w:pPr>
              <w:rPr>
                <w:rFonts w:ascii="宋体" w:hAnsi="宋体"/>
                <w:sz w:val="21"/>
                <w:szCs w:val="21"/>
              </w:rPr>
            </w:pPr>
          </w:p>
        </w:tc>
        <w:tc>
          <w:tcPr>
            <w:tcW w:w="4421" w:type="dxa"/>
            <w:vAlign w:val="center"/>
          </w:tcPr>
          <w:p>
            <w:pPr>
              <w:snapToGrid w:val="0"/>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3579" w:type="dxa"/>
            <w:vMerge w:val="restart"/>
            <w:vAlign w:val="center"/>
          </w:tcPr>
          <w:p>
            <w:pPr>
              <w:snapToGrid w:val="0"/>
              <w:rPr>
                <w:rFonts w:ascii="宋体" w:hAnsi="宋体"/>
                <w:sz w:val="21"/>
                <w:szCs w:val="21"/>
              </w:rPr>
            </w:pPr>
            <w:r>
              <w:rPr>
                <w:rFonts w:hint="eastAsia" w:ascii="宋体" w:hAnsi="宋体"/>
                <w:sz w:val="21"/>
                <w:szCs w:val="21"/>
              </w:rPr>
              <w:t>供应商提供《基本资格条件承诺函》（见格式文件）</w:t>
            </w:r>
          </w:p>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trPr>
        <w:tc>
          <w:tcPr>
            <w:tcW w:w="817" w:type="dxa"/>
            <w:vMerge w:val="continue"/>
            <w:vAlign w:val="center"/>
          </w:tcPr>
          <w:p>
            <w:pPr>
              <w:rPr>
                <w:rFonts w:ascii="宋体" w:hAnsi="宋体"/>
                <w:sz w:val="21"/>
                <w:szCs w:val="21"/>
              </w:rPr>
            </w:pPr>
          </w:p>
        </w:tc>
        <w:tc>
          <w:tcPr>
            <w:tcW w:w="851" w:type="dxa"/>
            <w:vMerge w:val="continue"/>
            <w:vAlign w:val="center"/>
          </w:tcPr>
          <w:p>
            <w:pPr>
              <w:rPr>
                <w:rFonts w:ascii="宋体" w:hAnsi="宋体"/>
                <w:sz w:val="21"/>
                <w:szCs w:val="21"/>
              </w:rPr>
            </w:pPr>
          </w:p>
        </w:tc>
        <w:tc>
          <w:tcPr>
            <w:tcW w:w="4421" w:type="dxa"/>
            <w:vAlign w:val="center"/>
          </w:tcPr>
          <w:p>
            <w:pPr>
              <w:snapToGrid w:val="0"/>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3579" w:type="dxa"/>
            <w:vMerge w:val="continue"/>
            <w:vAlign w:val="center"/>
          </w:tcPr>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Merge w:val="continue"/>
            <w:vAlign w:val="center"/>
          </w:tcPr>
          <w:p>
            <w:pPr>
              <w:rPr>
                <w:rFonts w:ascii="宋体" w:hAnsi="宋体"/>
                <w:sz w:val="21"/>
                <w:szCs w:val="21"/>
              </w:rPr>
            </w:pPr>
          </w:p>
        </w:tc>
        <w:tc>
          <w:tcPr>
            <w:tcW w:w="851" w:type="dxa"/>
            <w:vMerge w:val="continue"/>
            <w:vAlign w:val="center"/>
          </w:tcPr>
          <w:p>
            <w:pPr>
              <w:rPr>
                <w:rFonts w:ascii="宋体" w:hAnsi="宋体"/>
                <w:sz w:val="21"/>
                <w:szCs w:val="21"/>
              </w:rPr>
            </w:pPr>
          </w:p>
        </w:tc>
        <w:tc>
          <w:tcPr>
            <w:tcW w:w="4421" w:type="dxa"/>
            <w:vAlign w:val="center"/>
          </w:tcPr>
          <w:p>
            <w:pPr>
              <w:snapToGrid w:val="0"/>
              <w:rPr>
                <w:rFonts w:ascii="宋体" w:hAnsi="宋体" w:cs="仿宋_GB2312"/>
                <w:sz w:val="21"/>
                <w:szCs w:val="21"/>
                <w:lang w:val="zh-CN"/>
              </w:rPr>
            </w:pPr>
            <w:r>
              <w:rPr>
                <w:rFonts w:hint="eastAsia" w:ascii="宋体" w:hAnsi="宋体" w:cs="仿宋_GB2312"/>
                <w:sz w:val="21"/>
                <w:szCs w:val="21"/>
                <w:lang w:val="zh-CN"/>
              </w:rPr>
              <w:t>4.有依法缴纳税收的良好记录</w:t>
            </w:r>
          </w:p>
        </w:tc>
        <w:tc>
          <w:tcPr>
            <w:tcW w:w="3579" w:type="dxa"/>
            <w:vMerge w:val="continue"/>
            <w:vAlign w:val="center"/>
          </w:tcPr>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trPr>
        <w:tc>
          <w:tcPr>
            <w:tcW w:w="817" w:type="dxa"/>
            <w:vMerge w:val="continue"/>
            <w:vAlign w:val="center"/>
          </w:tcPr>
          <w:p>
            <w:pPr>
              <w:rPr>
                <w:rFonts w:ascii="宋体" w:hAnsi="宋体"/>
                <w:sz w:val="21"/>
                <w:szCs w:val="21"/>
              </w:rPr>
            </w:pPr>
          </w:p>
        </w:tc>
        <w:tc>
          <w:tcPr>
            <w:tcW w:w="851" w:type="dxa"/>
            <w:vMerge w:val="continue"/>
            <w:vAlign w:val="center"/>
          </w:tcPr>
          <w:p>
            <w:pPr>
              <w:rPr>
                <w:rFonts w:ascii="宋体" w:hAnsi="宋体"/>
                <w:sz w:val="21"/>
                <w:szCs w:val="21"/>
              </w:rPr>
            </w:pPr>
          </w:p>
        </w:tc>
        <w:tc>
          <w:tcPr>
            <w:tcW w:w="4421" w:type="dxa"/>
            <w:vAlign w:val="center"/>
          </w:tcPr>
          <w:p>
            <w:pPr>
              <w:snapToGrid w:val="0"/>
              <w:rPr>
                <w:rFonts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3579" w:type="dxa"/>
            <w:vMerge w:val="continue"/>
            <w:vAlign w:val="center"/>
          </w:tcPr>
          <w:p>
            <w:pPr>
              <w:snapToGrid w:val="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Merge w:val="continue"/>
            <w:vAlign w:val="center"/>
          </w:tcPr>
          <w:p>
            <w:pPr>
              <w:rPr>
                <w:rFonts w:ascii="宋体" w:hAnsi="宋体"/>
                <w:sz w:val="21"/>
                <w:szCs w:val="21"/>
              </w:rPr>
            </w:pPr>
          </w:p>
        </w:tc>
        <w:tc>
          <w:tcPr>
            <w:tcW w:w="851" w:type="dxa"/>
            <w:vMerge w:val="continue"/>
            <w:vAlign w:val="center"/>
          </w:tcPr>
          <w:p>
            <w:pPr>
              <w:rPr>
                <w:rFonts w:ascii="宋体" w:hAnsi="宋体"/>
                <w:sz w:val="21"/>
                <w:szCs w:val="21"/>
              </w:rPr>
            </w:pPr>
          </w:p>
        </w:tc>
        <w:tc>
          <w:tcPr>
            <w:tcW w:w="4421" w:type="dxa"/>
            <w:vAlign w:val="center"/>
          </w:tcPr>
          <w:p>
            <w:pPr>
              <w:snapToGrid w:val="0"/>
              <w:rPr>
                <w:rFonts w:ascii="宋体" w:hAnsi="宋体"/>
                <w:sz w:val="21"/>
                <w:szCs w:val="21"/>
              </w:rPr>
            </w:pPr>
            <w:r>
              <w:rPr>
                <w:rFonts w:hint="eastAsia" w:ascii="宋体" w:hAnsi="宋体"/>
                <w:sz w:val="21"/>
                <w:szCs w:val="21"/>
              </w:rPr>
              <w:t>6.法律、行政法规规定的其他条件</w:t>
            </w:r>
          </w:p>
        </w:tc>
        <w:tc>
          <w:tcPr>
            <w:tcW w:w="3579" w:type="dxa"/>
            <w:vAlign w:val="center"/>
          </w:tcPr>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Align w:val="center"/>
          </w:tcPr>
          <w:p>
            <w:pPr>
              <w:rPr>
                <w:rFonts w:ascii="宋体" w:hAnsi="宋体"/>
                <w:sz w:val="21"/>
                <w:szCs w:val="21"/>
              </w:rPr>
            </w:pPr>
            <w:r>
              <w:rPr>
                <w:rFonts w:hint="eastAsia" w:ascii="宋体" w:hAnsi="宋体"/>
                <w:sz w:val="21"/>
                <w:szCs w:val="21"/>
              </w:rPr>
              <w:t>（二）</w:t>
            </w:r>
          </w:p>
        </w:tc>
        <w:tc>
          <w:tcPr>
            <w:tcW w:w="5272" w:type="dxa"/>
            <w:gridSpan w:val="2"/>
            <w:vAlign w:val="center"/>
          </w:tcPr>
          <w:p>
            <w:pPr>
              <w:snapToGrid w:val="0"/>
              <w:rPr>
                <w:rFonts w:ascii="宋体" w:hAnsi="宋体"/>
                <w:sz w:val="21"/>
                <w:szCs w:val="21"/>
              </w:rPr>
            </w:pPr>
            <w:r>
              <w:rPr>
                <w:rFonts w:hint="eastAsia" w:ascii="宋体" w:hAnsi="宋体"/>
                <w:sz w:val="21"/>
                <w:szCs w:val="21"/>
              </w:rPr>
              <w:t>本项目特定资格条件</w:t>
            </w:r>
          </w:p>
        </w:tc>
        <w:tc>
          <w:tcPr>
            <w:tcW w:w="3579" w:type="dxa"/>
            <w:vAlign w:val="center"/>
          </w:tcPr>
          <w:p>
            <w:pPr>
              <w:snapToGrid w:val="0"/>
              <w:rPr>
                <w:rFonts w:ascii="宋体" w:hAnsi="宋体"/>
                <w:sz w:val="21"/>
                <w:szCs w:val="21"/>
              </w:rPr>
            </w:pPr>
            <w:r>
              <w:rPr>
                <w:rFonts w:hint="eastAsia" w:ascii="宋体" w:hAnsi="宋体"/>
                <w:sz w:val="21"/>
                <w:szCs w:val="21"/>
              </w:rPr>
              <w:t>按第一篇“三、供应商资格要求（二）本项目的特定资格条件”的要求提交（如果有）。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sz w:val="21"/>
                <w:szCs w:val="21"/>
              </w:rPr>
            </w:pPr>
            <w:r>
              <w:rPr>
                <w:rFonts w:hint="eastAsia" w:ascii="宋体" w:hAnsi="宋体"/>
                <w:sz w:val="21"/>
                <w:szCs w:val="21"/>
              </w:rPr>
              <w:t>（三）</w:t>
            </w:r>
          </w:p>
        </w:tc>
        <w:tc>
          <w:tcPr>
            <w:tcW w:w="5272" w:type="dxa"/>
            <w:gridSpan w:val="2"/>
            <w:vAlign w:val="center"/>
          </w:tcPr>
          <w:p>
            <w:pPr>
              <w:snapToGrid w:val="0"/>
              <w:rPr>
                <w:rFonts w:ascii="宋体" w:hAnsi="宋体"/>
                <w:sz w:val="21"/>
                <w:szCs w:val="21"/>
              </w:rPr>
            </w:pPr>
            <w:r>
              <w:rPr>
                <w:rFonts w:hint="eastAsia" w:ascii="宋体" w:hAnsi="宋体"/>
                <w:sz w:val="21"/>
                <w:szCs w:val="21"/>
              </w:rPr>
              <w:t>落实政府采购政策需满足的资格要求：</w:t>
            </w:r>
          </w:p>
        </w:tc>
        <w:tc>
          <w:tcPr>
            <w:tcW w:w="3579" w:type="dxa"/>
            <w:vAlign w:val="center"/>
          </w:tcPr>
          <w:p>
            <w:pPr>
              <w:snapToGrid w:val="0"/>
              <w:rPr>
                <w:rFonts w:ascii="宋体" w:hAnsi="宋体"/>
                <w:sz w:val="21"/>
                <w:szCs w:val="21"/>
              </w:rPr>
            </w:pPr>
            <w:r>
              <w:rPr>
                <w:rFonts w:hint="eastAsia" w:ascii="宋体" w:hAnsi="宋体"/>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817" w:type="dxa"/>
            <w:vAlign w:val="center"/>
          </w:tcPr>
          <w:p>
            <w:pPr>
              <w:snapToGrid w:val="0"/>
              <w:jc w:val="center"/>
              <w:rPr>
                <w:rFonts w:ascii="宋体" w:hAnsi="宋体"/>
                <w:sz w:val="21"/>
                <w:szCs w:val="21"/>
              </w:rPr>
            </w:pPr>
            <w:r>
              <w:rPr>
                <w:rFonts w:hint="eastAsia" w:ascii="宋体" w:hAnsi="宋体"/>
                <w:sz w:val="21"/>
                <w:szCs w:val="21"/>
              </w:rPr>
              <w:t>（四）</w:t>
            </w:r>
          </w:p>
        </w:tc>
        <w:tc>
          <w:tcPr>
            <w:tcW w:w="5272" w:type="dxa"/>
            <w:gridSpan w:val="2"/>
            <w:vAlign w:val="center"/>
          </w:tcPr>
          <w:p>
            <w:pPr>
              <w:snapToGrid w:val="0"/>
              <w:rPr>
                <w:rFonts w:ascii="宋体" w:hAnsi="宋体"/>
                <w:sz w:val="21"/>
                <w:szCs w:val="21"/>
              </w:rPr>
            </w:pPr>
            <w:r>
              <w:rPr>
                <w:rFonts w:hint="eastAsia" w:ascii="宋体" w:hAnsi="宋体"/>
                <w:sz w:val="21"/>
                <w:szCs w:val="21"/>
              </w:rPr>
              <w:t>磋商保证金</w:t>
            </w:r>
          </w:p>
        </w:tc>
        <w:tc>
          <w:tcPr>
            <w:tcW w:w="3579" w:type="dxa"/>
            <w:vAlign w:val="center"/>
          </w:tcPr>
          <w:p>
            <w:pPr>
              <w:snapToGrid w:val="0"/>
              <w:rPr>
                <w:rFonts w:ascii="宋体" w:hAnsi="宋体" w:cs="宋体"/>
                <w:sz w:val="21"/>
                <w:szCs w:val="21"/>
              </w:rPr>
            </w:pPr>
            <w:r>
              <w:rPr>
                <w:rFonts w:hint="eastAsia" w:ascii="宋体" w:hAnsi="宋体"/>
                <w:sz w:val="21"/>
                <w:szCs w:val="21"/>
              </w:rPr>
              <w:t>按照采购文件的规定提交磋商保证金。</w:t>
            </w:r>
          </w:p>
        </w:tc>
      </w:tr>
    </w:tbl>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p>
    <w:p>
      <w:pPr>
        <w:snapToGrid w:val="0"/>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kern w:val="0"/>
          <w:sz w:val="24"/>
          <w:szCs w:val="24"/>
        </w:rPr>
        <w:t>符合性检查资料表如下：</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69" w:type="dxa"/>
            <w:gridSpan w:val="2"/>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220" w:type="dxa"/>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96" w:type="dxa"/>
            <w:vAlign w:val="center"/>
          </w:tcPr>
          <w:p>
            <w:pPr>
              <w:spacing w:line="240" w:lineRule="exact"/>
              <w:rPr>
                <w:rFonts w:ascii="宋体" w:hAnsi="宋体" w:cs="宋体"/>
                <w:kern w:val="0"/>
                <w:sz w:val="21"/>
                <w:szCs w:val="21"/>
              </w:rPr>
            </w:pPr>
            <w:r>
              <w:rPr>
                <w:rFonts w:hint="eastAsia" w:ascii="宋体" w:hAnsi="宋体"/>
                <w:sz w:val="21"/>
                <w:szCs w:val="21"/>
              </w:rPr>
              <w:t>响应文件签署及盖章</w:t>
            </w:r>
          </w:p>
        </w:tc>
        <w:tc>
          <w:tcPr>
            <w:tcW w:w="5220" w:type="dxa"/>
            <w:vAlign w:val="center"/>
          </w:tcPr>
          <w:p>
            <w:pPr>
              <w:spacing w:line="240" w:lineRule="exact"/>
              <w:rPr>
                <w:rFonts w:ascii="宋体" w:hAnsi="宋体" w:cs="宋体"/>
                <w:kern w:val="0"/>
                <w:sz w:val="21"/>
                <w:szCs w:val="21"/>
              </w:rPr>
            </w:pPr>
            <w:r>
              <w:rPr>
                <w:rFonts w:hint="eastAsia" w:ascii="宋体" w:hAnsi="宋体"/>
                <w:sz w:val="21"/>
                <w:szCs w:val="21"/>
              </w:rPr>
              <w:t>响应文件上法定代表人或其授权代表人的签字齐全，响应文件盖章齐全。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75" w:type="dxa"/>
            <w:vMerge w:val="continue"/>
            <w:vAlign w:val="center"/>
          </w:tcPr>
          <w:p>
            <w:pPr>
              <w:spacing w:line="240" w:lineRule="exact"/>
              <w:jc w:val="center"/>
              <w:rPr>
                <w:rFonts w:ascii="宋体" w:hAnsi="宋体" w:cs="宋体"/>
                <w:kern w:val="0"/>
                <w:sz w:val="21"/>
                <w:szCs w:val="21"/>
              </w:rPr>
            </w:pPr>
          </w:p>
        </w:tc>
        <w:tc>
          <w:tcPr>
            <w:tcW w:w="1573" w:type="dxa"/>
            <w:vMerge w:val="continue"/>
            <w:vAlign w:val="center"/>
          </w:tcPr>
          <w:p>
            <w:pPr>
              <w:spacing w:line="240" w:lineRule="exact"/>
              <w:rPr>
                <w:rFonts w:ascii="宋体" w:hAnsi="宋体" w:cs="宋体"/>
                <w:kern w:val="0"/>
                <w:sz w:val="21"/>
                <w:szCs w:val="21"/>
              </w:rPr>
            </w:pPr>
          </w:p>
        </w:tc>
        <w:tc>
          <w:tcPr>
            <w:tcW w:w="1996" w:type="dxa"/>
            <w:vAlign w:val="center"/>
          </w:tcPr>
          <w:p>
            <w:pPr>
              <w:spacing w:line="240" w:lineRule="exact"/>
              <w:rPr>
                <w:rFonts w:ascii="宋体" w:hAnsi="宋体" w:cs="仿宋_GB2312"/>
                <w:sz w:val="21"/>
                <w:szCs w:val="21"/>
                <w:lang w:val="zh-CN"/>
              </w:rPr>
            </w:pPr>
            <w:r>
              <w:rPr>
                <w:rFonts w:hint="eastAsia" w:ascii="宋体" w:hAnsi="宋体" w:cs="仿宋_GB2312"/>
                <w:sz w:val="21"/>
                <w:szCs w:val="21"/>
                <w:lang w:val="zh-CN"/>
              </w:rPr>
              <w:t>磋商方案</w:t>
            </w:r>
          </w:p>
        </w:tc>
        <w:tc>
          <w:tcPr>
            <w:tcW w:w="5220"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只能有一个方案参与磋商。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75" w:type="dxa"/>
            <w:vMerge w:val="continue"/>
            <w:vAlign w:val="center"/>
          </w:tcPr>
          <w:p>
            <w:pPr>
              <w:spacing w:line="240" w:lineRule="exact"/>
              <w:jc w:val="center"/>
              <w:rPr>
                <w:rFonts w:ascii="宋体" w:hAnsi="宋体" w:cs="宋体"/>
                <w:kern w:val="0"/>
                <w:sz w:val="21"/>
                <w:szCs w:val="21"/>
              </w:rPr>
            </w:pPr>
          </w:p>
        </w:tc>
        <w:tc>
          <w:tcPr>
            <w:tcW w:w="1573" w:type="dxa"/>
            <w:vMerge w:val="continue"/>
            <w:vAlign w:val="center"/>
          </w:tcPr>
          <w:p>
            <w:pPr>
              <w:spacing w:line="240" w:lineRule="exact"/>
              <w:rPr>
                <w:rFonts w:ascii="宋体" w:hAnsi="宋体" w:cs="宋体"/>
                <w:kern w:val="0"/>
                <w:sz w:val="21"/>
                <w:szCs w:val="21"/>
              </w:rPr>
            </w:pPr>
          </w:p>
        </w:tc>
        <w:tc>
          <w:tcPr>
            <w:tcW w:w="1996" w:type="dxa"/>
            <w:vAlign w:val="center"/>
          </w:tcPr>
          <w:p>
            <w:pPr>
              <w:spacing w:line="240" w:lineRule="exact"/>
              <w:rPr>
                <w:rFonts w:ascii="宋体" w:hAnsi="宋体" w:cs="仿宋_GB2312"/>
                <w:sz w:val="21"/>
                <w:szCs w:val="21"/>
                <w:lang w:val="zh-CN"/>
              </w:rPr>
            </w:pPr>
            <w:r>
              <w:rPr>
                <w:rFonts w:hint="eastAsia" w:ascii="宋体" w:hAnsi="宋体"/>
                <w:sz w:val="21"/>
                <w:szCs w:val="21"/>
              </w:rPr>
              <w:t>报价唯一</w:t>
            </w:r>
          </w:p>
        </w:tc>
        <w:tc>
          <w:tcPr>
            <w:tcW w:w="5220"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96"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响应文件份数</w:t>
            </w:r>
          </w:p>
        </w:tc>
        <w:tc>
          <w:tcPr>
            <w:tcW w:w="5220"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响应文件正、副本（含电子文档）数量符合竞争性磋商文件要求。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pPr>
              <w:spacing w:line="240" w:lineRule="exact"/>
              <w:rPr>
                <w:rFonts w:ascii="宋体" w:hAnsi="宋体" w:cs="仿宋_GB2312"/>
                <w:sz w:val="21"/>
                <w:szCs w:val="21"/>
                <w:lang w:val="zh-CN"/>
              </w:rPr>
            </w:pPr>
            <w:r>
              <w:rPr>
                <w:rFonts w:hint="eastAsia" w:ascii="宋体" w:hAnsi="宋体" w:cs="宋体"/>
                <w:kern w:val="0"/>
                <w:sz w:val="21"/>
                <w:szCs w:val="21"/>
              </w:rPr>
              <w:t>竞争性磋商文件的响应程度审查</w:t>
            </w:r>
          </w:p>
        </w:tc>
        <w:tc>
          <w:tcPr>
            <w:tcW w:w="1996"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220" w:type="dxa"/>
            <w:vAlign w:val="center"/>
          </w:tcPr>
          <w:p>
            <w:pPr>
              <w:pStyle w:val="36"/>
              <w:spacing w:line="240" w:lineRule="exact"/>
              <w:rPr>
                <w:rFonts w:ascii="宋体" w:hAnsi="宋体" w:cs="宋体"/>
                <w:kern w:val="0"/>
                <w:sz w:val="21"/>
                <w:szCs w:val="21"/>
              </w:rPr>
            </w:pPr>
            <w:r>
              <w:rPr>
                <w:rFonts w:hint="eastAsia" w:ascii="宋体" w:hAnsi="宋体" w:cs="仿宋_GB2312"/>
                <w:sz w:val="21"/>
                <w:szCs w:val="21"/>
                <w:lang w:val="zh-CN"/>
              </w:rPr>
              <w:t>满足本竞争性磋商文件第二篇、第三篇中（※）号标注的部分要求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5" w:type="dxa"/>
            <w:vMerge w:val="continue"/>
            <w:vAlign w:val="center"/>
          </w:tcPr>
          <w:p>
            <w:pPr>
              <w:spacing w:line="240" w:lineRule="exact"/>
              <w:jc w:val="center"/>
              <w:rPr>
                <w:rFonts w:ascii="宋体" w:hAnsi="宋体" w:cs="宋体"/>
                <w:kern w:val="0"/>
                <w:sz w:val="21"/>
                <w:szCs w:val="21"/>
              </w:rPr>
            </w:pPr>
          </w:p>
        </w:tc>
        <w:tc>
          <w:tcPr>
            <w:tcW w:w="1573" w:type="dxa"/>
            <w:vMerge w:val="continue"/>
            <w:vAlign w:val="center"/>
          </w:tcPr>
          <w:p>
            <w:pPr>
              <w:spacing w:line="240" w:lineRule="exact"/>
              <w:rPr>
                <w:rFonts w:ascii="宋体" w:hAnsi="宋体" w:cs="仿宋_GB2312"/>
                <w:sz w:val="21"/>
                <w:szCs w:val="21"/>
                <w:lang w:val="zh-CN"/>
              </w:rPr>
            </w:pPr>
          </w:p>
        </w:tc>
        <w:tc>
          <w:tcPr>
            <w:tcW w:w="1996"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磋商有效期</w:t>
            </w:r>
          </w:p>
        </w:tc>
        <w:tc>
          <w:tcPr>
            <w:tcW w:w="5220"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满足竞争性磋商文件</w:t>
            </w:r>
            <w:r>
              <w:rPr>
                <w:rFonts w:hint="eastAsia" w:ascii="宋体" w:hAnsi="宋体" w:cs="仿宋_GB2312"/>
                <w:sz w:val="21"/>
                <w:szCs w:val="21"/>
                <w:lang w:val="zh-CN"/>
              </w:rPr>
              <w:t>规定。</w:t>
            </w:r>
          </w:p>
        </w:tc>
      </w:tr>
    </w:tbl>
    <w:p>
      <w:pPr>
        <w:spacing w:line="360" w:lineRule="auto"/>
        <w:ind w:firstLine="480" w:firstLineChars="200"/>
        <w:rPr>
          <w:rFonts w:ascii="宋体" w:hAnsi="宋体"/>
          <w:sz w:val="24"/>
          <w:szCs w:val="24"/>
        </w:rPr>
      </w:pPr>
      <w:r>
        <w:rPr>
          <w:rFonts w:hint="eastAsia" w:ascii="宋体" w:hAnsi="宋体"/>
          <w:sz w:val="24"/>
          <w:szCs w:val="24"/>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360" w:lineRule="auto"/>
        <w:ind w:firstLine="480" w:firstLineChars="200"/>
        <w:rPr>
          <w:rFonts w:ascii="宋体" w:hAnsi="宋体"/>
          <w:sz w:val="24"/>
          <w:szCs w:val="24"/>
        </w:rPr>
      </w:pPr>
      <w:r>
        <w:rPr>
          <w:rFonts w:hint="eastAsia" w:ascii="宋体" w:hAnsi="宋体"/>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sz w:val="24"/>
          <w:szCs w:val="24"/>
        </w:rPr>
      </w:pPr>
      <w:r>
        <w:rPr>
          <w:rFonts w:hint="eastAsia" w:ascii="宋体" w:hAnsi="宋体"/>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360" w:lineRule="auto"/>
        <w:ind w:firstLine="480" w:firstLineChars="200"/>
        <w:rPr>
          <w:rFonts w:ascii="宋体" w:hAnsi="宋体"/>
          <w:sz w:val="24"/>
          <w:szCs w:val="24"/>
        </w:rPr>
      </w:pPr>
      <w:r>
        <w:rPr>
          <w:rFonts w:hint="eastAsia" w:ascii="宋体" w:hAnsi="宋体"/>
          <w:sz w:val="24"/>
          <w:szCs w:val="24"/>
        </w:rPr>
        <w:t>5.在磋商过程中磋商的任何一方不得向他人透露与磋商有关的技术资料、价格或其他信息。</w:t>
      </w:r>
    </w:p>
    <w:p>
      <w:pPr>
        <w:spacing w:line="360" w:lineRule="auto"/>
        <w:ind w:firstLine="480" w:firstLineChars="200"/>
        <w:rPr>
          <w:rFonts w:ascii="宋体" w:hAnsi="宋体"/>
          <w:sz w:val="24"/>
          <w:szCs w:val="24"/>
        </w:rPr>
      </w:pPr>
      <w:r>
        <w:rPr>
          <w:rFonts w:hint="eastAsia" w:ascii="宋体" w:hAnsi="宋体"/>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360" w:lineRule="auto"/>
        <w:ind w:firstLine="480" w:firstLineChars="200"/>
        <w:rPr>
          <w:rFonts w:ascii="宋体" w:hAnsi="宋体"/>
          <w:sz w:val="24"/>
          <w:szCs w:val="24"/>
        </w:rPr>
      </w:pPr>
      <w:r>
        <w:rPr>
          <w:rFonts w:hint="eastAsia" w:ascii="宋体" w:hAnsi="宋体"/>
          <w:sz w:val="24"/>
          <w:szCs w:val="24"/>
        </w:rPr>
        <w:t>7.供应商在磋商时作出的所有书面承诺须由法定代表人或其授权代表签字。</w:t>
      </w:r>
    </w:p>
    <w:p>
      <w:pPr>
        <w:spacing w:line="360" w:lineRule="auto"/>
        <w:ind w:firstLine="480" w:firstLineChars="200"/>
        <w:rPr>
          <w:rFonts w:ascii="宋体" w:hAnsi="宋体"/>
          <w:sz w:val="24"/>
          <w:szCs w:val="24"/>
        </w:rPr>
      </w:pPr>
      <w:r>
        <w:rPr>
          <w:rFonts w:hint="eastAsia" w:ascii="宋体" w:hAnsi="宋体"/>
          <w:sz w:val="24"/>
          <w:szCs w:val="24"/>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hAnsi="宋体"/>
          <w:sz w:val="24"/>
          <w:szCs w:val="24"/>
        </w:rPr>
        <w:t>已提交响应文件</w:t>
      </w:r>
      <w:r>
        <w:rPr>
          <w:rFonts w:hint="eastAsia" w:ascii="宋体" w:hAnsi="宋体"/>
          <w:sz w:val="24"/>
          <w:szCs w:val="24"/>
        </w:rPr>
        <w:t>但未在规定时间内进行最后报价</w:t>
      </w:r>
      <w:r>
        <w:rPr>
          <w:rFonts w:ascii="宋体" w:hAnsi="宋体"/>
          <w:sz w:val="24"/>
          <w:szCs w:val="24"/>
        </w:rPr>
        <w:t>的供应商，</w:t>
      </w:r>
      <w:r>
        <w:rPr>
          <w:rFonts w:hint="eastAsia" w:ascii="宋体" w:hAnsi="宋体"/>
          <w:sz w:val="24"/>
          <w:szCs w:val="24"/>
        </w:rPr>
        <w:t>视为放弃最后报价，以供应商响应文件中的报价为准。</w:t>
      </w:r>
    </w:p>
    <w:p>
      <w:pPr>
        <w:spacing w:line="360" w:lineRule="auto"/>
        <w:ind w:firstLine="480" w:firstLineChars="200"/>
        <w:rPr>
          <w:rFonts w:ascii="宋体" w:hAnsi="宋体"/>
          <w:sz w:val="24"/>
          <w:szCs w:val="24"/>
        </w:rPr>
      </w:pPr>
      <w:r>
        <w:rPr>
          <w:rFonts w:hint="eastAsia" w:ascii="宋体" w:hAnsi="宋体"/>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sz w:val="24"/>
          <w:szCs w:val="24"/>
        </w:rPr>
      </w:pPr>
      <w:r>
        <w:rPr>
          <w:rFonts w:hint="eastAsia" w:ascii="宋体" w:hAnsi="宋体"/>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pPr>
        <w:pStyle w:val="6"/>
        <w:spacing w:before="0" w:after="0" w:line="440" w:lineRule="exact"/>
        <w:ind w:firstLine="482" w:firstLineChars="200"/>
        <w:rPr>
          <w:rFonts w:ascii="宋体"/>
          <w:sz w:val="24"/>
          <w:szCs w:val="24"/>
        </w:rPr>
      </w:pPr>
      <w:bookmarkStart w:id="78" w:name="_Toc131145273"/>
      <w:r>
        <w:rPr>
          <w:rFonts w:hint="eastAsia" w:ascii="宋体"/>
          <w:sz w:val="24"/>
          <w:szCs w:val="24"/>
        </w:rPr>
        <w:t>二、</w:t>
      </w:r>
      <w:bookmarkStart w:id="79" w:name="_Toc102227320"/>
      <w:bookmarkStart w:id="80" w:name="_Toc342913394"/>
      <w:r>
        <w:rPr>
          <w:rFonts w:hint="eastAsia" w:ascii="宋体"/>
          <w:sz w:val="24"/>
          <w:szCs w:val="24"/>
        </w:rPr>
        <w:t>评审标准</w:t>
      </w:r>
      <w:bookmarkEnd w:id="78"/>
    </w:p>
    <w:tbl>
      <w:tblPr>
        <w:tblStyle w:val="68"/>
        <w:tblW w:w="98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010"/>
        <w:gridCol w:w="992"/>
        <w:gridCol w:w="708"/>
        <w:gridCol w:w="4678"/>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9" w:hRule="atLeast"/>
        </w:trPr>
        <w:tc>
          <w:tcPr>
            <w:tcW w:w="552" w:type="dxa"/>
            <w:vAlign w:val="center"/>
          </w:tcPr>
          <w:p>
            <w:pPr>
              <w:spacing w:line="240" w:lineRule="atLeast"/>
              <w:ind w:firstLine="28"/>
              <w:jc w:val="center"/>
              <w:rPr>
                <w:rFonts w:ascii="宋体" w:hAnsi="宋体"/>
                <w:b/>
                <w:color w:val="000000"/>
                <w:sz w:val="21"/>
                <w:szCs w:val="21"/>
              </w:rPr>
            </w:pPr>
            <w:bookmarkStart w:id="81" w:name="_Hlk97712090"/>
            <w:r>
              <w:rPr>
                <w:rFonts w:ascii="宋体" w:hAnsi="宋体"/>
                <w:b/>
                <w:color w:val="000000"/>
                <w:sz w:val="21"/>
                <w:szCs w:val="21"/>
              </w:rPr>
              <w:t>序号</w:t>
            </w:r>
          </w:p>
        </w:tc>
        <w:tc>
          <w:tcPr>
            <w:tcW w:w="2002" w:type="dxa"/>
            <w:gridSpan w:val="2"/>
            <w:vAlign w:val="center"/>
          </w:tcPr>
          <w:p>
            <w:pPr>
              <w:spacing w:line="240" w:lineRule="atLeast"/>
              <w:ind w:firstLine="28"/>
              <w:jc w:val="center"/>
              <w:rPr>
                <w:rFonts w:ascii="宋体" w:hAnsi="宋体"/>
                <w:b/>
                <w:color w:val="000000"/>
                <w:sz w:val="21"/>
                <w:szCs w:val="21"/>
              </w:rPr>
            </w:pPr>
            <w:r>
              <w:rPr>
                <w:rFonts w:ascii="宋体" w:hAnsi="宋体"/>
                <w:b/>
                <w:color w:val="000000"/>
                <w:sz w:val="21"/>
                <w:szCs w:val="21"/>
              </w:rPr>
              <w:t>评分因素</w:t>
            </w:r>
          </w:p>
          <w:p>
            <w:pPr>
              <w:spacing w:line="240" w:lineRule="atLeast"/>
              <w:ind w:firstLine="28"/>
              <w:jc w:val="center"/>
              <w:rPr>
                <w:rFonts w:ascii="宋体" w:hAnsi="宋体"/>
                <w:b/>
                <w:color w:val="000000"/>
                <w:sz w:val="21"/>
                <w:szCs w:val="21"/>
              </w:rPr>
            </w:pPr>
            <w:r>
              <w:rPr>
                <w:rFonts w:ascii="宋体" w:hAnsi="宋体"/>
                <w:b/>
                <w:color w:val="000000"/>
                <w:sz w:val="21"/>
                <w:szCs w:val="21"/>
              </w:rPr>
              <w:t>及权值</w:t>
            </w:r>
          </w:p>
        </w:tc>
        <w:tc>
          <w:tcPr>
            <w:tcW w:w="708" w:type="dxa"/>
            <w:vAlign w:val="center"/>
          </w:tcPr>
          <w:p>
            <w:pPr>
              <w:spacing w:line="240" w:lineRule="atLeast"/>
              <w:ind w:firstLine="28"/>
              <w:jc w:val="center"/>
              <w:rPr>
                <w:rFonts w:ascii="宋体" w:hAnsi="宋体"/>
                <w:b/>
                <w:color w:val="000000"/>
                <w:sz w:val="21"/>
                <w:szCs w:val="21"/>
              </w:rPr>
            </w:pPr>
            <w:r>
              <w:rPr>
                <w:rFonts w:ascii="宋体" w:hAnsi="宋体"/>
                <w:b/>
                <w:color w:val="000000"/>
                <w:sz w:val="21"/>
                <w:szCs w:val="21"/>
              </w:rPr>
              <w:t>分值</w:t>
            </w:r>
          </w:p>
        </w:tc>
        <w:tc>
          <w:tcPr>
            <w:tcW w:w="4678" w:type="dxa"/>
            <w:vAlign w:val="center"/>
          </w:tcPr>
          <w:p>
            <w:pPr>
              <w:spacing w:line="240" w:lineRule="atLeast"/>
              <w:ind w:firstLine="28"/>
              <w:jc w:val="center"/>
              <w:rPr>
                <w:rFonts w:ascii="宋体" w:hAnsi="宋体"/>
                <w:b/>
                <w:color w:val="000000"/>
                <w:sz w:val="21"/>
                <w:szCs w:val="21"/>
              </w:rPr>
            </w:pPr>
            <w:r>
              <w:rPr>
                <w:rFonts w:ascii="宋体" w:hAnsi="宋体"/>
                <w:b/>
                <w:color w:val="000000"/>
                <w:sz w:val="21"/>
                <w:szCs w:val="21"/>
              </w:rPr>
              <w:t>评分标准</w:t>
            </w:r>
          </w:p>
        </w:tc>
        <w:tc>
          <w:tcPr>
            <w:tcW w:w="1945" w:type="dxa"/>
            <w:vAlign w:val="center"/>
          </w:tcPr>
          <w:p>
            <w:pPr>
              <w:pStyle w:val="231"/>
              <w:spacing w:before="0" w:after="0" w:line="240" w:lineRule="atLeast"/>
              <w:rPr>
                <w:rFonts w:ascii="宋体" w:hAnsi="宋体" w:eastAsia="宋体"/>
                <w:color w:val="000000"/>
                <w:sz w:val="21"/>
                <w:szCs w:val="21"/>
              </w:rPr>
            </w:pPr>
            <w:r>
              <w:rPr>
                <w:rFonts w:ascii="宋体" w:hAnsi="宋体" w:eastAsia="宋体"/>
                <w:color w:val="00000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atLeast"/>
        </w:trPr>
        <w:tc>
          <w:tcPr>
            <w:tcW w:w="552" w:type="dxa"/>
            <w:vAlign w:val="center"/>
          </w:tcPr>
          <w:p>
            <w:pPr>
              <w:spacing w:line="240" w:lineRule="atLeast"/>
              <w:ind w:firstLine="28"/>
              <w:jc w:val="center"/>
              <w:rPr>
                <w:rFonts w:ascii="宋体" w:hAnsi="宋体"/>
                <w:color w:val="000000"/>
                <w:sz w:val="21"/>
                <w:szCs w:val="21"/>
              </w:rPr>
            </w:pPr>
            <w:r>
              <w:rPr>
                <w:rFonts w:ascii="宋体" w:hAnsi="宋体"/>
                <w:color w:val="000000"/>
                <w:sz w:val="21"/>
                <w:szCs w:val="21"/>
              </w:rPr>
              <w:t>1</w:t>
            </w:r>
          </w:p>
        </w:tc>
        <w:tc>
          <w:tcPr>
            <w:tcW w:w="2002" w:type="dxa"/>
            <w:gridSpan w:val="2"/>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磋商报价</w:t>
            </w:r>
          </w:p>
          <w:p>
            <w:pPr>
              <w:spacing w:line="240" w:lineRule="atLeast"/>
              <w:ind w:firstLine="28"/>
              <w:jc w:val="center"/>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0</w:t>
            </w:r>
            <w:r>
              <w:rPr>
                <w:rFonts w:hint="eastAsia" w:ascii="宋体" w:hAnsi="宋体"/>
                <w:color w:val="000000"/>
                <w:sz w:val="21"/>
                <w:szCs w:val="21"/>
              </w:rPr>
              <w:t>%）</w:t>
            </w:r>
          </w:p>
        </w:tc>
        <w:tc>
          <w:tcPr>
            <w:tcW w:w="708" w:type="dxa"/>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0</w:t>
            </w:r>
          </w:p>
        </w:tc>
        <w:tc>
          <w:tcPr>
            <w:tcW w:w="4678" w:type="dxa"/>
            <w:vAlign w:val="center"/>
          </w:tcPr>
          <w:p>
            <w:pPr>
              <w:spacing w:line="240" w:lineRule="atLeast"/>
              <w:rPr>
                <w:rFonts w:ascii="宋体" w:hAnsi="宋体"/>
                <w:color w:val="000000"/>
                <w:sz w:val="21"/>
                <w:szCs w:val="21"/>
              </w:rPr>
            </w:pPr>
            <w:r>
              <w:rPr>
                <w:rFonts w:ascii="宋体" w:hAnsi="宋体"/>
                <w:color w:val="000000"/>
                <w:sz w:val="21"/>
                <w:szCs w:val="21"/>
              </w:rPr>
              <w:t>满足磋商文件资格要求且最后报价最低的供应商的价格为磋商基准价，按照下列公式计算每个供应商的磋商报价得分。</w:t>
            </w:r>
          </w:p>
          <w:p>
            <w:pPr>
              <w:spacing w:line="240" w:lineRule="atLeast"/>
              <w:rPr>
                <w:rFonts w:ascii="宋体" w:hAnsi="宋体"/>
                <w:color w:val="000000"/>
                <w:sz w:val="21"/>
                <w:szCs w:val="21"/>
              </w:rPr>
            </w:pPr>
            <w:r>
              <w:rPr>
                <w:rFonts w:ascii="宋体" w:hAnsi="宋体"/>
                <w:color w:val="000000"/>
                <w:sz w:val="21"/>
                <w:szCs w:val="21"/>
              </w:rPr>
              <w:t>磋商报价得分=（磋商基准价/最后磋商报价）×价格分值×100</w:t>
            </w:r>
          </w:p>
        </w:tc>
        <w:tc>
          <w:tcPr>
            <w:tcW w:w="1945" w:type="dxa"/>
            <w:vAlign w:val="center"/>
          </w:tcPr>
          <w:p>
            <w:pPr>
              <w:spacing w:line="240" w:lineRule="atLeast"/>
              <w:ind w:left="-38"/>
              <w:rPr>
                <w:rFonts w:ascii="宋体" w:hAnsi="宋体"/>
                <w:color w:val="000000"/>
                <w:sz w:val="21"/>
                <w:szCs w:val="21"/>
              </w:rPr>
            </w:pPr>
            <w:r>
              <w:rPr>
                <w:rFonts w:hint="eastAsia" w:ascii="宋体" w:hAnsi="宋体"/>
                <w:color w:val="000000"/>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552" w:type="dxa"/>
            <w:vMerge w:val="restart"/>
            <w:vAlign w:val="center"/>
          </w:tcPr>
          <w:p>
            <w:pPr>
              <w:spacing w:line="240" w:lineRule="atLeast"/>
              <w:ind w:firstLine="28"/>
              <w:jc w:val="center"/>
              <w:rPr>
                <w:rFonts w:ascii="宋体" w:hAnsi="宋体"/>
                <w:color w:val="000000"/>
                <w:sz w:val="21"/>
                <w:szCs w:val="21"/>
              </w:rPr>
            </w:pPr>
            <w:r>
              <w:rPr>
                <w:rFonts w:ascii="宋体" w:hAnsi="宋体"/>
                <w:color w:val="000000"/>
                <w:sz w:val="21"/>
                <w:szCs w:val="21"/>
              </w:rPr>
              <w:t>2</w:t>
            </w:r>
          </w:p>
        </w:tc>
        <w:tc>
          <w:tcPr>
            <w:tcW w:w="1010" w:type="dxa"/>
            <w:vMerge w:val="restart"/>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技术部分（67%）</w:t>
            </w:r>
          </w:p>
        </w:tc>
        <w:tc>
          <w:tcPr>
            <w:tcW w:w="992" w:type="dxa"/>
            <w:vMerge w:val="restart"/>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技术响应部分（42分）</w:t>
            </w:r>
          </w:p>
        </w:tc>
        <w:tc>
          <w:tcPr>
            <w:tcW w:w="708" w:type="dxa"/>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42</w:t>
            </w:r>
          </w:p>
        </w:tc>
        <w:tc>
          <w:tcPr>
            <w:tcW w:w="4678" w:type="dxa"/>
            <w:vAlign w:val="center"/>
          </w:tcPr>
          <w:p>
            <w:pPr>
              <w:spacing w:line="240" w:lineRule="atLeast"/>
              <w:rPr>
                <w:rFonts w:ascii="宋体" w:hAnsi="宋体"/>
                <w:color w:val="000000"/>
                <w:sz w:val="21"/>
                <w:szCs w:val="21"/>
              </w:rPr>
            </w:pPr>
            <w:r>
              <w:rPr>
                <w:rFonts w:hint="eastAsia" w:ascii="宋体" w:hAnsi="宋体"/>
                <w:color w:val="000000"/>
                <w:sz w:val="21"/>
                <w:szCs w:val="21"/>
              </w:rPr>
              <w:t>A、起评分：</w:t>
            </w:r>
          </w:p>
          <w:p>
            <w:pPr>
              <w:spacing w:line="240" w:lineRule="atLeast"/>
              <w:rPr>
                <w:rFonts w:ascii="宋体" w:hAnsi="宋体"/>
                <w:color w:val="000000"/>
                <w:sz w:val="21"/>
                <w:szCs w:val="21"/>
              </w:rPr>
            </w:pPr>
            <w:r>
              <w:rPr>
                <w:rFonts w:hint="eastAsia" w:ascii="宋体" w:hAnsi="宋体"/>
                <w:color w:val="000000"/>
                <w:sz w:val="21"/>
                <w:szCs w:val="21"/>
              </w:rPr>
              <w:t>有效供应商的起评分为42分。</w:t>
            </w:r>
          </w:p>
        </w:tc>
        <w:tc>
          <w:tcPr>
            <w:tcW w:w="1945" w:type="dxa"/>
            <w:vAlign w:val="center"/>
          </w:tcPr>
          <w:p>
            <w:pPr>
              <w:spacing w:line="240" w:lineRule="atLeast"/>
              <w:ind w:left="-38"/>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4" w:hRule="atLeast"/>
        </w:trPr>
        <w:tc>
          <w:tcPr>
            <w:tcW w:w="552" w:type="dxa"/>
            <w:vMerge w:val="continue"/>
            <w:vAlign w:val="center"/>
          </w:tcPr>
          <w:p>
            <w:pPr>
              <w:spacing w:line="240" w:lineRule="atLeast"/>
              <w:ind w:firstLine="28"/>
              <w:jc w:val="center"/>
              <w:rPr>
                <w:rFonts w:ascii="宋体" w:hAnsi="宋体"/>
                <w:color w:val="000000"/>
                <w:sz w:val="21"/>
                <w:szCs w:val="21"/>
              </w:rPr>
            </w:pPr>
          </w:p>
        </w:tc>
        <w:tc>
          <w:tcPr>
            <w:tcW w:w="1010" w:type="dxa"/>
            <w:vMerge w:val="continue"/>
            <w:vAlign w:val="center"/>
          </w:tcPr>
          <w:p>
            <w:pPr>
              <w:spacing w:line="240" w:lineRule="atLeast"/>
              <w:ind w:firstLine="28"/>
              <w:jc w:val="center"/>
              <w:rPr>
                <w:rFonts w:ascii="宋体" w:hAnsi="宋体"/>
                <w:color w:val="000000"/>
                <w:sz w:val="21"/>
                <w:szCs w:val="21"/>
              </w:rPr>
            </w:pPr>
          </w:p>
        </w:tc>
        <w:tc>
          <w:tcPr>
            <w:tcW w:w="992" w:type="dxa"/>
            <w:vMerge w:val="continue"/>
            <w:vAlign w:val="center"/>
          </w:tcPr>
          <w:p>
            <w:pPr>
              <w:spacing w:line="240" w:lineRule="atLeast"/>
              <w:ind w:firstLine="28"/>
              <w:jc w:val="center"/>
              <w:rPr>
                <w:rFonts w:ascii="宋体" w:hAnsi="宋体"/>
                <w:color w:val="000000"/>
                <w:sz w:val="21"/>
                <w:szCs w:val="21"/>
              </w:rPr>
            </w:pPr>
          </w:p>
        </w:tc>
        <w:tc>
          <w:tcPr>
            <w:tcW w:w="708" w:type="dxa"/>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w:t>
            </w:r>
          </w:p>
        </w:tc>
        <w:tc>
          <w:tcPr>
            <w:tcW w:w="4678" w:type="dxa"/>
            <w:vAlign w:val="center"/>
          </w:tcPr>
          <w:p>
            <w:pPr>
              <w:spacing w:line="240" w:lineRule="atLeast"/>
              <w:rPr>
                <w:rFonts w:ascii="宋体" w:hAnsi="宋体"/>
                <w:color w:val="000000"/>
                <w:sz w:val="21"/>
                <w:szCs w:val="21"/>
              </w:rPr>
            </w:pPr>
            <w:r>
              <w:rPr>
                <w:rFonts w:hint="eastAsia" w:ascii="宋体" w:hAnsi="宋体"/>
                <w:color w:val="000000"/>
                <w:sz w:val="21"/>
                <w:szCs w:val="21"/>
              </w:rPr>
              <w:t>B、扣分条款：</w:t>
            </w:r>
          </w:p>
          <w:p>
            <w:pPr>
              <w:spacing w:line="240" w:lineRule="atLeast"/>
              <w:rPr>
                <w:rFonts w:ascii="宋体" w:hAnsi="宋体"/>
                <w:color w:val="000000"/>
                <w:sz w:val="21"/>
                <w:szCs w:val="21"/>
              </w:rPr>
            </w:pPr>
            <w:r>
              <w:rPr>
                <w:rFonts w:hint="eastAsia" w:ascii="宋体" w:hAnsi="宋体"/>
                <w:color w:val="000000"/>
                <w:sz w:val="21"/>
                <w:szCs w:val="21"/>
              </w:rPr>
              <w:t>1.重要技术参数[竞争性磋商文件第二篇 一、项目技术要求中带（★）部分</w:t>
            </w:r>
            <w:r>
              <w:rPr>
                <w:rFonts w:ascii="宋体" w:hAnsi="宋体"/>
                <w:color w:val="000000"/>
                <w:sz w:val="21"/>
                <w:szCs w:val="21"/>
              </w:rPr>
              <w:t>]</w:t>
            </w:r>
            <w:r>
              <w:rPr>
                <w:rFonts w:hint="eastAsia" w:ascii="宋体" w:hAnsi="宋体"/>
                <w:color w:val="000000"/>
                <w:sz w:val="21"/>
                <w:szCs w:val="21"/>
              </w:rPr>
              <w:t>有1条不满足的，技术响应部分得分为0分。</w:t>
            </w:r>
          </w:p>
          <w:p>
            <w:pPr>
              <w:spacing w:line="240" w:lineRule="atLeast"/>
              <w:rPr>
                <w:rFonts w:ascii="宋体" w:hAnsi="宋体"/>
                <w:color w:val="000000"/>
                <w:sz w:val="21"/>
                <w:szCs w:val="21"/>
              </w:rPr>
            </w:pPr>
            <w:r>
              <w:rPr>
                <w:rFonts w:hint="eastAsia" w:ascii="宋体" w:hAnsi="宋体"/>
                <w:color w:val="000000"/>
                <w:sz w:val="21"/>
                <w:szCs w:val="21"/>
              </w:rPr>
              <w:t>2.一般性技术参数[竞争性磋商文件第二篇 一、项目技术要求中非（★）部分</w:t>
            </w:r>
            <w:r>
              <w:rPr>
                <w:rFonts w:ascii="宋体" w:hAnsi="宋体"/>
                <w:color w:val="000000"/>
                <w:sz w:val="21"/>
                <w:szCs w:val="21"/>
              </w:rPr>
              <w:t>]</w:t>
            </w:r>
            <w:r>
              <w:rPr>
                <w:rFonts w:hint="eastAsia" w:ascii="宋体" w:hAnsi="宋体"/>
                <w:color w:val="000000"/>
                <w:sz w:val="21"/>
                <w:szCs w:val="21"/>
              </w:rPr>
              <w:t>达不到竞争性磋商文件要求的，每负偏离1条从起评分中扣除5分，5条及以上不满足技术响应部分得0分。</w:t>
            </w:r>
          </w:p>
        </w:tc>
        <w:tc>
          <w:tcPr>
            <w:tcW w:w="1945" w:type="dxa"/>
            <w:vAlign w:val="center"/>
          </w:tcPr>
          <w:p>
            <w:pPr>
              <w:spacing w:line="240" w:lineRule="atLeast"/>
              <w:ind w:left="-38"/>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trPr>
        <w:tc>
          <w:tcPr>
            <w:tcW w:w="552" w:type="dxa"/>
            <w:vMerge w:val="continue"/>
            <w:vAlign w:val="center"/>
          </w:tcPr>
          <w:p>
            <w:pPr>
              <w:spacing w:line="240" w:lineRule="atLeast"/>
              <w:ind w:firstLine="28"/>
              <w:jc w:val="center"/>
              <w:rPr>
                <w:rFonts w:ascii="宋体" w:hAnsi="宋体"/>
                <w:color w:val="000000"/>
                <w:sz w:val="21"/>
                <w:szCs w:val="21"/>
              </w:rPr>
            </w:pPr>
          </w:p>
        </w:tc>
        <w:tc>
          <w:tcPr>
            <w:tcW w:w="1010" w:type="dxa"/>
            <w:vMerge w:val="continue"/>
            <w:vAlign w:val="center"/>
          </w:tcPr>
          <w:p>
            <w:pPr>
              <w:spacing w:line="240" w:lineRule="atLeast"/>
              <w:ind w:firstLine="28"/>
              <w:jc w:val="center"/>
              <w:rPr>
                <w:rFonts w:ascii="宋体" w:hAnsi="宋体"/>
                <w:color w:val="000000"/>
                <w:sz w:val="21"/>
                <w:szCs w:val="21"/>
              </w:rPr>
            </w:pPr>
          </w:p>
        </w:tc>
        <w:tc>
          <w:tcPr>
            <w:tcW w:w="992" w:type="dxa"/>
            <w:vMerge w:val="restart"/>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技术方案</w:t>
            </w:r>
          </w:p>
          <w:p>
            <w:pPr>
              <w:spacing w:line="240" w:lineRule="atLeast"/>
              <w:ind w:firstLine="28"/>
              <w:jc w:val="center"/>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5</w:t>
            </w:r>
            <w:r>
              <w:rPr>
                <w:rFonts w:hint="eastAsia" w:ascii="宋体" w:hAnsi="宋体"/>
                <w:color w:val="000000"/>
                <w:sz w:val="21"/>
                <w:szCs w:val="21"/>
              </w:rPr>
              <w:t>分）</w:t>
            </w:r>
          </w:p>
        </w:tc>
        <w:tc>
          <w:tcPr>
            <w:tcW w:w="708" w:type="dxa"/>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10</w:t>
            </w:r>
          </w:p>
        </w:tc>
        <w:tc>
          <w:tcPr>
            <w:tcW w:w="4678" w:type="dxa"/>
            <w:vAlign w:val="center"/>
          </w:tcPr>
          <w:p>
            <w:pPr>
              <w:spacing w:line="240" w:lineRule="atLeast"/>
              <w:rPr>
                <w:rFonts w:ascii="宋体" w:hAnsi="宋体"/>
                <w:color w:val="000000"/>
                <w:sz w:val="21"/>
                <w:szCs w:val="21"/>
              </w:rPr>
            </w:pPr>
            <w:r>
              <w:rPr>
                <w:rFonts w:hint="eastAsia" w:ascii="宋体" w:hAnsi="宋体"/>
                <w:color w:val="000000"/>
                <w:sz w:val="21"/>
                <w:szCs w:val="21"/>
              </w:rPr>
              <w:t>1</w:t>
            </w:r>
            <w:r>
              <w:rPr>
                <w:rFonts w:ascii="宋体" w:hAnsi="宋体"/>
                <w:color w:val="000000"/>
                <w:sz w:val="21"/>
                <w:szCs w:val="21"/>
              </w:rPr>
              <w:t>.</w:t>
            </w:r>
            <w:r>
              <w:rPr>
                <w:rFonts w:hint="eastAsia" w:ascii="宋体" w:hAnsi="宋体"/>
                <w:color w:val="000000"/>
                <w:sz w:val="21"/>
                <w:szCs w:val="21"/>
              </w:rPr>
              <w:t>会务服务方案（</w:t>
            </w:r>
            <w:r>
              <w:rPr>
                <w:rFonts w:ascii="宋体" w:hAnsi="宋体"/>
                <w:color w:val="000000"/>
                <w:sz w:val="21"/>
                <w:szCs w:val="21"/>
              </w:rPr>
              <w:t>10</w:t>
            </w:r>
            <w:r>
              <w:rPr>
                <w:rFonts w:hint="eastAsia" w:ascii="宋体" w:hAnsi="宋体"/>
                <w:color w:val="000000"/>
                <w:sz w:val="21"/>
                <w:szCs w:val="21"/>
              </w:rPr>
              <w:t>分）</w:t>
            </w:r>
          </w:p>
          <w:p>
            <w:pPr>
              <w:spacing w:line="240" w:lineRule="atLeast"/>
              <w:rPr>
                <w:rFonts w:ascii="宋体" w:hAnsi="宋体"/>
                <w:color w:val="000000"/>
                <w:sz w:val="21"/>
                <w:szCs w:val="21"/>
              </w:rPr>
            </w:pPr>
            <w:r>
              <w:rPr>
                <w:rFonts w:hint="eastAsia" w:ascii="宋体" w:hAnsi="宋体"/>
                <w:color w:val="000000"/>
                <w:sz w:val="21"/>
                <w:szCs w:val="21"/>
              </w:rPr>
              <w:t>根据供应商提供的住宿、餐饮、会议室租赁、会场布置、服装、医疗及其他后勤保障方案进行打分。</w:t>
            </w:r>
          </w:p>
          <w:p>
            <w:pPr>
              <w:spacing w:line="240" w:lineRule="atLeast"/>
              <w:rPr>
                <w:rFonts w:ascii="宋体" w:hAnsi="宋体"/>
                <w:color w:val="000000"/>
                <w:sz w:val="21"/>
                <w:szCs w:val="21"/>
              </w:rPr>
            </w:pPr>
            <w:r>
              <w:rPr>
                <w:rFonts w:hint="eastAsia" w:ascii="宋体" w:hAnsi="宋体"/>
                <w:color w:val="000000"/>
                <w:sz w:val="21"/>
                <w:szCs w:val="21"/>
              </w:rPr>
              <w:t>保障方案完整、保障内容可操作性强，得</w:t>
            </w:r>
            <w:r>
              <w:rPr>
                <w:rFonts w:ascii="宋体" w:hAnsi="宋体"/>
                <w:color w:val="000000"/>
                <w:sz w:val="21"/>
                <w:szCs w:val="21"/>
              </w:rPr>
              <w:t>10</w:t>
            </w:r>
            <w:r>
              <w:rPr>
                <w:rFonts w:hint="eastAsia" w:ascii="宋体" w:hAnsi="宋体"/>
                <w:color w:val="000000"/>
                <w:sz w:val="21"/>
                <w:szCs w:val="21"/>
              </w:rPr>
              <w:t>分；</w:t>
            </w:r>
          </w:p>
          <w:p>
            <w:pPr>
              <w:spacing w:line="240" w:lineRule="atLeast"/>
              <w:rPr>
                <w:rFonts w:ascii="宋体" w:hAnsi="宋体"/>
                <w:color w:val="000000"/>
                <w:sz w:val="21"/>
                <w:szCs w:val="21"/>
              </w:rPr>
            </w:pPr>
            <w:r>
              <w:rPr>
                <w:rFonts w:hint="eastAsia" w:ascii="宋体" w:hAnsi="宋体"/>
                <w:color w:val="000000"/>
                <w:sz w:val="21"/>
                <w:szCs w:val="21"/>
              </w:rPr>
              <w:t>方案较完整、保障内容可操作性较强得</w:t>
            </w:r>
            <w:r>
              <w:rPr>
                <w:rFonts w:ascii="宋体" w:hAnsi="宋体"/>
                <w:color w:val="000000"/>
                <w:sz w:val="21"/>
                <w:szCs w:val="21"/>
              </w:rPr>
              <w:t>7</w:t>
            </w:r>
            <w:r>
              <w:rPr>
                <w:rFonts w:hint="eastAsia" w:ascii="宋体" w:hAnsi="宋体"/>
                <w:color w:val="000000"/>
                <w:sz w:val="21"/>
                <w:szCs w:val="21"/>
              </w:rPr>
              <w:t>分；</w:t>
            </w:r>
          </w:p>
          <w:p>
            <w:pPr>
              <w:spacing w:line="240" w:lineRule="atLeast"/>
              <w:rPr>
                <w:rFonts w:ascii="宋体" w:hAnsi="宋体"/>
                <w:color w:val="000000"/>
                <w:sz w:val="21"/>
                <w:szCs w:val="21"/>
              </w:rPr>
            </w:pPr>
            <w:r>
              <w:rPr>
                <w:rFonts w:hint="eastAsia" w:ascii="宋体" w:hAnsi="宋体"/>
                <w:color w:val="000000"/>
                <w:sz w:val="21"/>
                <w:szCs w:val="21"/>
              </w:rPr>
              <w:t>方案一般完整、保障内容可操作性一般得</w:t>
            </w:r>
            <w:r>
              <w:rPr>
                <w:rFonts w:ascii="宋体" w:hAnsi="宋体"/>
                <w:color w:val="000000"/>
                <w:sz w:val="21"/>
                <w:szCs w:val="21"/>
              </w:rPr>
              <w:t>4</w:t>
            </w:r>
            <w:r>
              <w:rPr>
                <w:rFonts w:hint="eastAsia" w:ascii="宋体" w:hAnsi="宋体"/>
                <w:color w:val="000000"/>
                <w:sz w:val="21"/>
                <w:szCs w:val="21"/>
              </w:rPr>
              <w:t>分，</w:t>
            </w:r>
          </w:p>
          <w:p>
            <w:pPr>
              <w:spacing w:line="240" w:lineRule="atLeast"/>
              <w:rPr>
                <w:rFonts w:ascii="宋体" w:hAnsi="宋体"/>
                <w:color w:val="000000"/>
                <w:sz w:val="21"/>
                <w:szCs w:val="21"/>
              </w:rPr>
            </w:pPr>
            <w:r>
              <w:rPr>
                <w:rFonts w:hint="eastAsia" w:ascii="宋体" w:hAnsi="宋体"/>
                <w:color w:val="000000"/>
                <w:sz w:val="21"/>
                <w:szCs w:val="21"/>
              </w:rPr>
              <w:t>方案不完整、保障内容可操作性不强或未提供的得0分。</w:t>
            </w:r>
          </w:p>
        </w:tc>
        <w:tc>
          <w:tcPr>
            <w:tcW w:w="1945" w:type="dxa"/>
            <w:vMerge w:val="restart"/>
            <w:vAlign w:val="center"/>
          </w:tcPr>
          <w:p>
            <w:pPr>
              <w:spacing w:line="240" w:lineRule="atLeast"/>
              <w:ind w:left="-38"/>
              <w:rPr>
                <w:rFonts w:ascii="宋体" w:hAnsi="宋体"/>
                <w:color w:val="000000"/>
                <w:sz w:val="21"/>
                <w:szCs w:val="21"/>
              </w:rPr>
            </w:pPr>
          </w:p>
          <w:p>
            <w:pPr>
              <w:spacing w:line="240" w:lineRule="atLeast"/>
              <w:ind w:left="-38"/>
              <w:rPr>
                <w:rFonts w:ascii="宋体" w:hAnsi="宋体"/>
                <w:color w:val="000000"/>
                <w:sz w:val="21"/>
                <w:szCs w:val="21"/>
              </w:rPr>
            </w:pPr>
          </w:p>
          <w:p>
            <w:pPr>
              <w:spacing w:line="240" w:lineRule="atLeast"/>
              <w:ind w:left="-38"/>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trPr>
        <w:tc>
          <w:tcPr>
            <w:tcW w:w="552" w:type="dxa"/>
            <w:vMerge w:val="continue"/>
            <w:vAlign w:val="center"/>
          </w:tcPr>
          <w:p>
            <w:pPr>
              <w:spacing w:line="240" w:lineRule="atLeast"/>
              <w:ind w:firstLine="28"/>
              <w:jc w:val="center"/>
              <w:rPr>
                <w:rFonts w:ascii="宋体" w:hAnsi="宋体"/>
                <w:color w:val="000000"/>
                <w:sz w:val="21"/>
                <w:szCs w:val="21"/>
              </w:rPr>
            </w:pPr>
          </w:p>
        </w:tc>
        <w:tc>
          <w:tcPr>
            <w:tcW w:w="1010" w:type="dxa"/>
            <w:vMerge w:val="continue"/>
            <w:vAlign w:val="center"/>
          </w:tcPr>
          <w:p>
            <w:pPr>
              <w:spacing w:line="240" w:lineRule="atLeast"/>
              <w:ind w:firstLine="28"/>
              <w:jc w:val="center"/>
              <w:rPr>
                <w:rFonts w:ascii="宋体" w:hAnsi="宋体"/>
                <w:color w:val="000000"/>
                <w:sz w:val="21"/>
                <w:szCs w:val="21"/>
              </w:rPr>
            </w:pPr>
          </w:p>
        </w:tc>
        <w:tc>
          <w:tcPr>
            <w:tcW w:w="992" w:type="dxa"/>
            <w:vMerge w:val="continue"/>
            <w:vAlign w:val="center"/>
          </w:tcPr>
          <w:p>
            <w:pPr>
              <w:spacing w:line="240" w:lineRule="atLeast"/>
              <w:ind w:firstLine="28"/>
              <w:jc w:val="center"/>
              <w:rPr>
                <w:rFonts w:ascii="宋体" w:hAnsi="宋体"/>
                <w:color w:val="000000"/>
                <w:sz w:val="21"/>
                <w:szCs w:val="21"/>
              </w:rPr>
            </w:pPr>
          </w:p>
        </w:tc>
        <w:tc>
          <w:tcPr>
            <w:tcW w:w="708" w:type="dxa"/>
            <w:vAlign w:val="center"/>
          </w:tcPr>
          <w:p>
            <w:pPr>
              <w:spacing w:line="240" w:lineRule="atLeast"/>
              <w:ind w:firstLine="28"/>
              <w:jc w:val="center"/>
              <w:rPr>
                <w:rFonts w:ascii="宋体" w:hAnsi="宋体"/>
                <w:color w:val="000000"/>
                <w:sz w:val="21"/>
                <w:szCs w:val="21"/>
              </w:rPr>
            </w:pPr>
            <w:r>
              <w:rPr>
                <w:rFonts w:ascii="宋体" w:hAnsi="宋体"/>
                <w:color w:val="000000"/>
                <w:sz w:val="21"/>
                <w:szCs w:val="21"/>
              </w:rPr>
              <w:t>5</w:t>
            </w:r>
          </w:p>
        </w:tc>
        <w:tc>
          <w:tcPr>
            <w:tcW w:w="4678" w:type="dxa"/>
            <w:vAlign w:val="center"/>
          </w:tcPr>
          <w:p>
            <w:pPr>
              <w:spacing w:line="240" w:lineRule="atLeast"/>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w:t>
            </w:r>
            <w:r>
              <w:rPr>
                <w:rFonts w:hint="eastAsia" w:ascii="宋体" w:hAnsi="宋体"/>
                <w:color w:val="000000"/>
                <w:sz w:val="21"/>
                <w:szCs w:val="21"/>
              </w:rPr>
              <w:t>演练辅助设备配置方案（5分）</w:t>
            </w:r>
          </w:p>
          <w:p>
            <w:pPr>
              <w:spacing w:line="240" w:lineRule="atLeast"/>
              <w:rPr>
                <w:rFonts w:ascii="宋体" w:hAnsi="宋体"/>
                <w:color w:val="000000"/>
                <w:sz w:val="21"/>
                <w:szCs w:val="21"/>
              </w:rPr>
            </w:pPr>
            <w:r>
              <w:rPr>
                <w:rFonts w:hint="eastAsia" w:ascii="宋体" w:hAnsi="宋体"/>
                <w:color w:val="000000"/>
                <w:sz w:val="21"/>
                <w:szCs w:val="21"/>
              </w:rPr>
              <w:t>根据供应商提供的各演练科目所需辅助设备配置方案进行打分。</w:t>
            </w:r>
          </w:p>
          <w:p>
            <w:pPr>
              <w:spacing w:line="240" w:lineRule="atLeast"/>
              <w:rPr>
                <w:rFonts w:ascii="宋体" w:hAnsi="宋体"/>
                <w:color w:val="000000"/>
                <w:sz w:val="21"/>
                <w:szCs w:val="21"/>
              </w:rPr>
            </w:pPr>
            <w:r>
              <w:rPr>
                <w:rFonts w:hint="eastAsia" w:ascii="宋体" w:hAnsi="宋体"/>
                <w:color w:val="000000"/>
                <w:sz w:val="21"/>
                <w:szCs w:val="21"/>
              </w:rPr>
              <w:t>辅助设备配置方案完整，技术先进得5分；</w:t>
            </w:r>
          </w:p>
          <w:p>
            <w:pPr>
              <w:spacing w:line="240" w:lineRule="atLeast"/>
              <w:rPr>
                <w:rFonts w:ascii="宋体" w:hAnsi="宋体"/>
                <w:color w:val="000000"/>
                <w:sz w:val="21"/>
                <w:szCs w:val="21"/>
              </w:rPr>
            </w:pPr>
            <w:r>
              <w:rPr>
                <w:rFonts w:hint="eastAsia" w:ascii="宋体" w:hAnsi="宋体"/>
                <w:color w:val="000000"/>
                <w:sz w:val="21"/>
                <w:szCs w:val="21"/>
              </w:rPr>
              <w:t>辅助设备配置方案较完整，技术较先进得3分；</w:t>
            </w:r>
          </w:p>
          <w:p>
            <w:pPr>
              <w:spacing w:line="240" w:lineRule="atLeast"/>
              <w:rPr>
                <w:rFonts w:ascii="宋体" w:hAnsi="宋体"/>
                <w:color w:val="000000"/>
                <w:sz w:val="21"/>
                <w:szCs w:val="21"/>
              </w:rPr>
            </w:pPr>
            <w:r>
              <w:rPr>
                <w:rFonts w:hint="eastAsia" w:ascii="宋体" w:hAnsi="宋体"/>
                <w:color w:val="000000"/>
                <w:sz w:val="21"/>
                <w:szCs w:val="21"/>
              </w:rPr>
              <w:t>辅助设备配置方案完整一般，技术先进性一般1分；</w:t>
            </w:r>
          </w:p>
          <w:p>
            <w:pPr>
              <w:spacing w:line="240" w:lineRule="atLeast"/>
              <w:rPr>
                <w:rFonts w:ascii="宋体" w:hAnsi="宋体"/>
                <w:color w:val="000000"/>
                <w:sz w:val="21"/>
                <w:szCs w:val="21"/>
              </w:rPr>
            </w:pPr>
            <w:r>
              <w:rPr>
                <w:rFonts w:hint="eastAsia" w:ascii="宋体" w:hAnsi="宋体"/>
                <w:color w:val="000000"/>
                <w:sz w:val="21"/>
                <w:szCs w:val="21"/>
              </w:rPr>
              <w:t>辅助设备配置方案差，技术先进性差或未提供得0分。</w:t>
            </w:r>
          </w:p>
        </w:tc>
        <w:tc>
          <w:tcPr>
            <w:tcW w:w="1945" w:type="dxa"/>
            <w:vMerge w:val="continue"/>
            <w:vAlign w:val="center"/>
          </w:tcPr>
          <w:p>
            <w:pPr>
              <w:spacing w:line="240" w:lineRule="atLeast"/>
              <w:ind w:left="-38"/>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552" w:type="dxa"/>
            <w:vMerge w:val="continue"/>
            <w:vAlign w:val="center"/>
          </w:tcPr>
          <w:p>
            <w:pPr>
              <w:spacing w:line="240" w:lineRule="atLeast"/>
              <w:ind w:firstLine="28"/>
              <w:jc w:val="center"/>
              <w:rPr>
                <w:rFonts w:ascii="宋体" w:hAnsi="宋体"/>
                <w:color w:val="000000"/>
                <w:sz w:val="21"/>
                <w:szCs w:val="21"/>
              </w:rPr>
            </w:pPr>
          </w:p>
        </w:tc>
        <w:tc>
          <w:tcPr>
            <w:tcW w:w="1010" w:type="dxa"/>
            <w:vMerge w:val="continue"/>
            <w:vAlign w:val="center"/>
          </w:tcPr>
          <w:p>
            <w:pPr>
              <w:spacing w:line="240" w:lineRule="atLeast"/>
              <w:jc w:val="center"/>
              <w:rPr>
                <w:rFonts w:ascii="宋体" w:hAnsi="宋体"/>
                <w:color w:val="000000"/>
                <w:sz w:val="21"/>
                <w:szCs w:val="21"/>
              </w:rPr>
            </w:pPr>
          </w:p>
        </w:tc>
        <w:tc>
          <w:tcPr>
            <w:tcW w:w="992" w:type="dxa"/>
            <w:vMerge w:val="continue"/>
            <w:vAlign w:val="center"/>
          </w:tcPr>
          <w:p>
            <w:pPr>
              <w:spacing w:line="240" w:lineRule="atLeast"/>
              <w:jc w:val="center"/>
              <w:rPr>
                <w:rFonts w:ascii="宋体" w:hAnsi="宋体"/>
                <w:color w:val="000000"/>
                <w:sz w:val="21"/>
                <w:szCs w:val="21"/>
              </w:rPr>
            </w:pPr>
          </w:p>
        </w:tc>
        <w:tc>
          <w:tcPr>
            <w:tcW w:w="708" w:type="dxa"/>
            <w:vAlign w:val="center"/>
          </w:tcPr>
          <w:p>
            <w:pPr>
              <w:spacing w:line="240" w:lineRule="atLeast"/>
              <w:ind w:firstLine="28"/>
              <w:jc w:val="center"/>
              <w:rPr>
                <w:rFonts w:ascii="宋体" w:hAnsi="宋体"/>
                <w:color w:val="000000"/>
                <w:sz w:val="21"/>
                <w:szCs w:val="21"/>
              </w:rPr>
            </w:pPr>
            <w:r>
              <w:rPr>
                <w:rFonts w:ascii="宋体" w:hAnsi="宋体"/>
                <w:color w:val="000000"/>
                <w:sz w:val="21"/>
                <w:szCs w:val="21"/>
              </w:rPr>
              <w:t>5</w:t>
            </w:r>
          </w:p>
        </w:tc>
        <w:tc>
          <w:tcPr>
            <w:tcW w:w="4678" w:type="dxa"/>
            <w:vAlign w:val="center"/>
          </w:tcPr>
          <w:p>
            <w:pPr>
              <w:spacing w:line="240" w:lineRule="atLeast"/>
              <w:rPr>
                <w:rFonts w:ascii="宋体" w:hAnsi="宋体"/>
                <w:color w:val="000000"/>
                <w:sz w:val="21"/>
              </w:rPr>
            </w:pPr>
            <w:r>
              <w:rPr>
                <w:rFonts w:hint="eastAsia" w:ascii="宋体" w:hAnsi="宋体"/>
                <w:color w:val="000000"/>
                <w:sz w:val="21"/>
                <w:szCs w:val="21"/>
              </w:rPr>
              <w:t>3</w:t>
            </w:r>
            <w:r>
              <w:rPr>
                <w:rFonts w:ascii="宋体" w:hAnsi="宋体"/>
                <w:color w:val="000000"/>
                <w:sz w:val="21"/>
                <w:szCs w:val="21"/>
              </w:rPr>
              <w:t>.</w:t>
            </w:r>
            <w:r>
              <w:rPr>
                <w:rFonts w:hint="eastAsia" w:ascii="宋体" w:hAnsi="宋体"/>
                <w:color w:val="000000"/>
                <w:sz w:val="21"/>
              </w:rPr>
              <w:t>演练实时展示与信息发布系统开发（</w:t>
            </w:r>
            <w:r>
              <w:rPr>
                <w:rFonts w:ascii="宋体" w:hAnsi="宋体"/>
                <w:color w:val="000000"/>
                <w:sz w:val="21"/>
              </w:rPr>
              <w:t>5</w:t>
            </w:r>
            <w:r>
              <w:rPr>
                <w:rFonts w:hint="eastAsia" w:ascii="宋体" w:hAnsi="宋体"/>
                <w:color w:val="000000"/>
                <w:sz w:val="21"/>
              </w:rPr>
              <w:t>分）</w:t>
            </w:r>
          </w:p>
          <w:p>
            <w:pPr>
              <w:spacing w:line="240" w:lineRule="atLeast"/>
              <w:rPr>
                <w:rFonts w:ascii="宋体" w:hAnsi="宋体"/>
                <w:color w:val="000000"/>
                <w:sz w:val="21"/>
                <w:szCs w:val="21"/>
              </w:rPr>
            </w:pPr>
            <w:r>
              <w:rPr>
                <w:rFonts w:hint="eastAsia" w:ascii="宋体" w:hAnsi="宋体"/>
                <w:color w:val="000000"/>
                <w:sz w:val="21"/>
                <w:szCs w:val="21"/>
              </w:rPr>
              <w:t>根据供应商提供的演练软件功能完备程度、运维保障方案等进行打分。</w:t>
            </w:r>
          </w:p>
          <w:p>
            <w:pPr>
              <w:spacing w:line="240" w:lineRule="atLeast"/>
              <w:rPr>
                <w:rFonts w:ascii="宋体" w:hAnsi="宋体"/>
                <w:color w:val="000000"/>
                <w:sz w:val="21"/>
                <w:szCs w:val="21"/>
              </w:rPr>
            </w:pPr>
            <w:r>
              <w:rPr>
                <w:rFonts w:hint="eastAsia" w:ascii="宋体" w:hAnsi="宋体"/>
                <w:color w:val="000000"/>
                <w:sz w:val="21"/>
                <w:szCs w:val="21"/>
              </w:rPr>
              <w:t>思路清晰、软件功能完备、运维方案完整得5分；</w:t>
            </w:r>
          </w:p>
          <w:p>
            <w:pPr>
              <w:spacing w:line="240" w:lineRule="atLeast"/>
              <w:rPr>
                <w:rFonts w:ascii="宋体" w:hAnsi="宋体"/>
                <w:color w:val="000000"/>
                <w:sz w:val="21"/>
                <w:szCs w:val="21"/>
              </w:rPr>
            </w:pPr>
            <w:r>
              <w:rPr>
                <w:rFonts w:hint="eastAsia" w:ascii="宋体" w:hAnsi="宋体"/>
                <w:color w:val="000000"/>
                <w:sz w:val="21"/>
                <w:szCs w:val="21"/>
              </w:rPr>
              <w:t>思路较清晰、功能较完备、运维方案较完整得</w:t>
            </w:r>
            <w:r>
              <w:rPr>
                <w:rFonts w:ascii="宋体" w:hAnsi="宋体"/>
                <w:color w:val="000000"/>
                <w:sz w:val="21"/>
                <w:szCs w:val="21"/>
              </w:rPr>
              <w:t>3</w:t>
            </w:r>
            <w:r>
              <w:rPr>
                <w:rFonts w:hint="eastAsia" w:ascii="宋体" w:hAnsi="宋体"/>
                <w:color w:val="000000"/>
                <w:sz w:val="21"/>
                <w:szCs w:val="21"/>
              </w:rPr>
              <w:t>分；</w:t>
            </w:r>
          </w:p>
          <w:p>
            <w:pPr>
              <w:spacing w:line="240" w:lineRule="atLeast"/>
              <w:rPr>
                <w:rFonts w:ascii="宋体" w:hAnsi="宋体"/>
                <w:color w:val="000000"/>
                <w:sz w:val="21"/>
                <w:szCs w:val="21"/>
              </w:rPr>
            </w:pPr>
            <w:r>
              <w:rPr>
                <w:rFonts w:hint="eastAsia" w:ascii="宋体" w:hAnsi="宋体"/>
                <w:color w:val="000000"/>
                <w:sz w:val="21"/>
                <w:szCs w:val="21"/>
              </w:rPr>
              <w:t>功能一般、运维方案一般得1分；</w:t>
            </w:r>
          </w:p>
          <w:p>
            <w:pPr>
              <w:spacing w:line="240" w:lineRule="atLeast"/>
              <w:rPr>
                <w:rFonts w:ascii="宋体" w:hAnsi="宋体"/>
                <w:color w:val="000000"/>
                <w:sz w:val="21"/>
                <w:szCs w:val="21"/>
              </w:rPr>
            </w:pPr>
            <w:r>
              <w:rPr>
                <w:rFonts w:hint="eastAsia" w:ascii="宋体" w:hAnsi="宋体"/>
                <w:color w:val="000000"/>
                <w:sz w:val="21"/>
                <w:szCs w:val="21"/>
              </w:rPr>
              <w:t>功能不完备、运维方案不完整或未提供得0分。</w:t>
            </w:r>
          </w:p>
        </w:tc>
        <w:tc>
          <w:tcPr>
            <w:tcW w:w="1945" w:type="dxa"/>
            <w:vMerge w:val="continue"/>
            <w:vAlign w:val="center"/>
          </w:tcPr>
          <w:p>
            <w:pPr>
              <w:spacing w:line="240" w:lineRule="atLeast"/>
              <w:ind w:left="-38"/>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552" w:type="dxa"/>
            <w:vMerge w:val="continue"/>
            <w:vAlign w:val="center"/>
          </w:tcPr>
          <w:p>
            <w:pPr>
              <w:spacing w:line="240" w:lineRule="atLeast"/>
              <w:ind w:firstLine="28"/>
              <w:jc w:val="center"/>
              <w:rPr>
                <w:rFonts w:ascii="宋体" w:hAnsi="宋体"/>
                <w:color w:val="000000"/>
                <w:sz w:val="21"/>
                <w:szCs w:val="21"/>
              </w:rPr>
            </w:pPr>
          </w:p>
        </w:tc>
        <w:tc>
          <w:tcPr>
            <w:tcW w:w="1010" w:type="dxa"/>
            <w:vMerge w:val="continue"/>
            <w:vAlign w:val="center"/>
          </w:tcPr>
          <w:p>
            <w:pPr>
              <w:spacing w:line="240" w:lineRule="atLeast"/>
              <w:jc w:val="center"/>
              <w:rPr>
                <w:rFonts w:ascii="宋体" w:hAnsi="宋体"/>
                <w:color w:val="000000"/>
                <w:sz w:val="21"/>
                <w:szCs w:val="21"/>
              </w:rPr>
            </w:pPr>
          </w:p>
        </w:tc>
        <w:tc>
          <w:tcPr>
            <w:tcW w:w="992" w:type="dxa"/>
            <w:vMerge w:val="continue"/>
            <w:vAlign w:val="center"/>
          </w:tcPr>
          <w:p>
            <w:pPr>
              <w:spacing w:line="240" w:lineRule="atLeast"/>
              <w:jc w:val="center"/>
              <w:rPr>
                <w:rFonts w:ascii="宋体" w:hAnsi="宋体"/>
                <w:color w:val="000000"/>
                <w:sz w:val="21"/>
                <w:szCs w:val="21"/>
              </w:rPr>
            </w:pPr>
          </w:p>
        </w:tc>
        <w:tc>
          <w:tcPr>
            <w:tcW w:w="708" w:type="dxa"/>
            <w:vAlign w:val="center"/>
          </w:tcPr>
          <w:p>
            <w:pPr>
              <w:spacing w:line="240" w:lineRule="atLeast"/>
              <w:ind w:firstLine="28"/>
              <w:jc w:val="center"/>
              <w:rPr>
                <w:rFonts w:ascii="宋体" w:hAnsi="宋体"/>
                <w:color w:val="000000"/>
                <w:sz w:val="21"/>
                <w:szCs w:val="21"/>
              </w:rPr>
            </w:pPr>
            <w:r>
              <w:rPr>
                <w:rFonts w:ascii="宋体" w:hAnsi="宋体"/>
                <w:color w:val="000000"/>
                <w:sz w:val="21"/>
                <w:szCs w:val="21"/>
              </w:rPr>
              <w:t>5</w:t>
            </w:r>
          </w:p>
        </w:tc>
        <w:tc>
          <w:tcPr>
            <w:tcW w:w="4678" w:type="dxa"/>
            <w:vAlign w:val="center"/>
          </w:tcPr>
          <w:p>
            <w:pPr>
              <w:spacing w:line="240" w:lineRule="atLeast"/>
              <w:rPr>
                <w:rFonts w:ascii="宋体" w:hAnsi="宋体"/>
                <w:color w:val="000000"/>
                <w:sz w:val="21"/>
              </w:rPr>
            </w:pPr>
            <w:r>
              <w:rPr>
                <w:rFonts w:hint="eastAsia" w:ascii="宋体" w:hAnsi="宋体"/>
                <w:color w:val="000000"/>
                <w:sz w:val="21"/>
                <w:szCs w:val="21"/>
              </w:rPr>
              <w:t>4</w:t>
            </w:r>
            <w:r>
              <w:rPr>
                <w:rFonts w:ascii="宋体" w:hAnsi="宋体"/>
                <w:color w:val="000000"/>
                <w:sz w:val="21"/>
                <w:szCs w:val="21"/>
              </w:rPr>
              <w:t>.</w:t>
            </w:r>
            <w:r>
              <w:rPr>
                <w:rFonts w:hint="eastAsia" w:ascii="宋体" w:hAnsi="宋体"/>
                <w:color w:val="000000"/>
                <w:sz w:val="21"/>
                <w:szCs w:val="21"/>
              </w:rPr>
              <w:t>应急保障方案</w:t>
            </w:r>
            <w:r>
              <w:rPr>
                <w:rFonts w:hint="eastAsia" w:ascii="宋体" w:hAnsi="宋体"/>
                <w:color w:val="000000"/>
                <w:sz w:val="21"/>
              </w:rPr>
              <w:t>（</w:t>
            </w:r>
            <w:r>
              <w:rPr>
                <w:rFonts w:ascii="宋体" w:hAnsi="宋体"/>
                <w:color w:val="000000"/>
                <w:sz w:val="21"/>
              </w:rPr>
              <w:t>5</w:t>
            </w:r>
            <w:r>
              <w:rPr>
                <w:rFonts w:hint="eastAsia" w:ascii="宋体" w:hAnsi="宋体"/>
                <w:color w:val="000000"/>
                <w:sz w:val="21"/>
              </w:rPr>
              <w:t>分）</w:t>
            </w:r>
          </w:p>
          <w:p>
            <w:pPr>
              <w:spacing w:line="240" w:lineRule="atLeast"/>
              <w:rPr>
                <w:rFonts w:ascii="宋体" w:hAnsi="宋体"/>
                <w:color w:val="000000"/>
                <w:sz w:val="21"/>
                <w:szCs w:val="21"/>
              </w:rPr>
            </w:pPr>
            <w:r>
              <w:rPr>
                <w:rFonts w:hint="eastAsia" w:ascii="宋体" w:hAnsi="宋体"/>
                <w:color w:val="000000"/>
                <w:sz w:val="21"/>
                <w:szCs w:val="21"/>
              </w:rPr>
              <w:t>对供应商提出的应急保障方案</w:t>
            </w:r>
            <w:r>
              <w:rPr>
                <w:rFonts w:hint="eastAsia" w:ascii="宋体" w:hAnsi="宋体"/>
                <w:color w:val="000000"/>
                <w:sz w:val="21"/>
              </w:rPr>
              <w:t>的</w:t>
            </w:r>
            <w:r>
              <w:rPr>
                <w:rFonts w:hint="eastAsia" w:ascii="宋体" w:hAnsi="宋体"/>
                <w:color w:val="000000"/>
                <w:sz w:val="21"/>
                <w:szCs w:val="21"/>
              </w:rPr>
              <w:t>针对性、完善程度等进行打分。</w:t>
            </w:r>
          </w:p>
          <w:p>
            <w:pPr>
              <w:spacing w:line="240" w:lineRule="atLeast"/>
              <w:rPr>
                <w:rFonts w:ascii="宋体" w:hAnsi="宋体"/>
                <w:color w:val="000000"/>
                <w:sz w:val="21"/>
              </w:rPr>
            </w:pPr>
            <w:r>
              <w:rPr>
                <w:rFonts w:hint="eastAsia" w:ascii="宋体" w:hAnsi="宋体"/>
                <w:color w:val="000000"/>
                <w:sz w:val="21"/>
              </w:rPr>
              <w:t>方案内容完整、针对性强得5分；</w:t>
            </w:r>
          </w:p>
          <w:p>
            <w:pPr>
              <w:spacing w:line="240" w:lineRule="atLeast"/>
              <w:rPr>
                <w:rFonts w:ascii="宋体" w:hAnsi="宋体"/>
                <w:color w:val="000000"/>
                <w:sz w:val="21"/>
              </w:rPr>
            </w:pPr>
            <w:r>
              <w:rPr>
                <w:rFonts w:hint="eastAsia" w:ascii="宋体" w:hAnsi="宋体"/>
                <w:color w:val="000000"/>
                <w:sz w:val="21"/>
              </w:rPr>
              <w:t>方案内容较完整、针对性较强得3分；</w:t>
            </w:r>
          </w:p>
          <w:p>
            <w:pPr>
              <w:spacing w:line="240" w:lineRule="atLeast"/>
              <w:rPr>
                <w:rFonts w:ascii="宋体" w:hAnsi="宋体"/>
                <w:color w:val="000000"/>
                <w:sz w:val="21"/>
              </w:rPr>
            </w:pPr>
            <w:r>
              <w:rPr>
                <w:rFonts w:hint="eastAsia" w:ascii="宋体" w:hAnsi="宋体"/>
                <w:color w:val="000000"/>
                <w:sz w:val="21"/>
              </w:rPr>
              <w:t>方案内容一般、针对性一般得1分；</w:t>
            </w:r>
          </w:p>
          <w:p>
            <w:pPr>
              <w:spacing w:line="240" w:lineRule="atLeast"/>
              <w:rPr>
                <w:rFonts w:ascii="宋体" w:hAnsi="宋体"/>
                <w:color w:val="000000"/>
                <w:sz w:val="21"/>
              </w:rPr>
            </w:pPr>
            <w:r>
              <w:rPr>
                <w:rFonts w:hint="eastAsia" w:ascii="宋体" w:hAnsi="宋体"/>
                <w:color w:val="000000"/>
                <w:sz w:val="21"/>
              </w:rPr>
              <w:t>方案不完整、配备不齐全得或未未提供的得0分。</w:t>
            </w:r>
          </w:p>
        </w:tc>
        <w:tc>
          <w:tcPr>
            <w:tcW w:w="1945" w:type="dxa"/>
            <w:vMerge w:val="continue"/>
            <w:vAlign w:val="center"/>
          </w:tcPr>
          <w:p>
            <w:pPr>
              <w:spacing w:line="240" w:lineRule="atLeast"/>
              <w:ind w:left="-38"/>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4" w:hRule="atLeast"/>
        </w:trPr>
        <w:tc>
          <w:tcPr>
            <w:tcW w:w="552" w:type="dxa"/>
            <w:vMerge w:val="restart"/>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3</w:t>
            </w:r>
          </w:p>
        </w:tc>
        <w:tc>
          <w:tcPr>
            <w:tcW w:w="1010" w:type="dxa"/>
            <w:vMerge w:val="restart"/>
            <w:vAlign w:val="center"/>
          </w:tcPr>
          <w:p>
            <w:pPr>
              <w:spacing w:line="240" w:lineRule="atLeast"/>
              <w:ind w:firstLine="28"/>
              <w:jc w:val="center"/>
              <w:rPr>
                <w:rFonts w:ascii="宋体" w:hAnsi="宋体"/>
                <w:color w:val="000000" w:themeColor="text1"/>
                <w:sz w:val="21"/>
                <w:szCs w:val="21"/>
              </w:rPr>
            </w:pPr>
            <w:r>
              <w:rPr>
                <w:rFonts w:hint="eastAsia" w:ascii="宋体" w:hAnsi="宋体"/>
                <w:color w:val="000000" w:themeColor="text1"/>
                <w:sz w:val="21"/>
                <w:szCs w:val="21"/>
              </w:rPr>
              <w:t>商务部分</w:t>
            </w:r>
          </w:p>
          <w:p>
            <w:pPr>
              <w:spacing w:line="240" w:lineRule="atLeast"/>
              <w:ind w:firstLine="28"/>
              <w:jc w:val="center"/>
              <w:rPr>
                <w:rFonts w:ascii="宋体" w:hAnsi="宋体"/>
                <w:color w:val="000000" w:themeColor="text1"/>
                <w:sz w:val="21"/>
                <w:szCs w:val="21"/>
              </w:rPr>
            </w:pPr>
            <w:r>
              <w:rPr>
                <w:rFonts w:hint="eastAsia" w:ascii="宋体" w:hAnsi="宋体"/>
                <w:color w:val="000000" w:themeColor="text1"/>
                <w:sz w:val="21"/>
                <w:szCs w:val="21"/>
              </w:rPr>
              <w:t>（13%）</w:t>
            </w:r>
          </w:p>
        </w:tc>
        <w:tc>
          <w:tcPr>
            <w:tcW w:w="992" w:type="dxa"/>
            <w:vAlign w:val="center"/>
          </w:tcPr>
          <w:p>
            <w:pPr>
              <w:spacing w:line="240" w:lineRule="atLeast"/>
              <w:ind w:firstLine="28"/>
              <w:jc w:val="center"/>
              <w:rPr>
                <w:rFonts w:ascii="宋体" w:hAnsi="宋体"/>
                <w:color w:val="000000" w:themeColor="text1"/>
                <w:sz w:val="21"/>
                <w:szCs w:val="21"/>
              </w:rPr>
            </w:pPr>
            <w:r>
              <w:rPr>
                <w:rFonts w:hint="eastAsia" w:ascii="宋体" w:hAnsi="宋体"/>
                <w:color w:val="000000" w:themeColor="text1"/>
                <w:sz w:val="21"/>
                <w:szCs w:val="21"/>
              </w:rPr>
              <w:t>业绩（9分）</w:t>
            </w:r>
          </w:p>
        </w:tc>
        <w:tc>
          <w:tcPr>
            <w:tcW w:w="708" w:type="dxa"/>
            <w:vAlign w:val="center"/>
          </w:tcPr>
          <w:p>
            <w:pPr>
              <w:spacing w:line="240" w:lineRule="atLeast"/>
              <w:ind w:firstLine="28"/>
              <w:jc w:val="center"/>
              <w:rPr>
                <w:rFonts w:ascii="宋体" w:hAnsi="宋体"/>
                <w:color w:val="000000" w:themeColor="text1"/>
                <w:sz w:val="21"/>
                <w:szCs w:val="21"/>
              </w:rPr>
            </w:pPr>
            <w:r>
              <w:rPr>
                <w:rFonts w:hint="eastAsia" w:ascii="宋体" w:hAnsi="宋体"/>
                <w:color w:val="000000" w:themeColor="text1"/>
                <w:sz w:val="21"/>
                <w:szCs w:val="21"/>
              </w:rPr>
              <w:t>9</w:t>
            </w:r>
          </w:p>
        </w:tc>
        <w:tc>
          <w:tcPr>
            <w:tcW w:w="4678" w:type="dxa"/>
            <w:vAlign w:val="center"/>
          </w:tcPr>
          <w:p>
            <w:pPr>
              <w:spacing w:line="240" w:lineRule="atLeast"/>
              <w:rPr>
                <w:rFonts w:ascii="宋体" w:hAnsi="宋体"/>
                <w:color w:val="000000" w:themeColor="text1"/>
                <w:sz w:val="21"/>
                <w:szCs w:val="21"/>
              </w:rPr>
            </w:pPr>
            <w:r>
              <w:rPr>
                <w:rFonts w:hint="eastAsia" w:ascii="宋体" w:hAnsi="宋体"/>
                <w:color w:val="000000" w:themeColor="text1"/>
                <w:sz w:val="21"/>
                <w:szCs w:val="21"/>
              </w:rPr>
              <w:t>2</w:t>
            </w:r>
            <w:r>
              <w:rPr>
                <w:rFonts w:ascii="宋体" w:hAnsi="宋体"/>
                <w:color w:val="000000" w:themeColor="text1"/>
                <w:sz w:val="21"/>
                <w:szCs w:val="21"/>
              </w:rPr>
              <w:t>0</w:t>
            </w:r>
            <w:r>
              <w:rPr>
                <w:rFonts w:hint="eastAsia" w:ascii="宋体" w:hAnsi="宋体"/>
                <w:color w:val="000000" w:themeColor="text1"/>
                <w:sz w:val="21"/>
                <w:szCs w:val="21"/>
              </w:rPr>
              <w:t>20年</w:t>
            </w:r>
            <w:r>
              <w:rPr>
                <w:rFonts w:ascii="宋体" w:hAnsi="宋体"/>
                <w:color w:val="000000" w:themeColor="text1"/>
                <w:sz w:val="21"/>
                <w:szCs w:val="21"/>
              </w:rPr>
              <w:t>1</w:t>
            </w:r>
            <w:r>
              <w:rPr>
                <w:rFonts w:hint="eastAsia" w:ascii="宋体" w:hAnsi="宋体"/>
                <w:color w:val="000000" w:themeColor="text1"/>
                <w:sz w:val="21"/>
                <w:szCs w:val="21"/>
              </w:rPr>
              <w:t>月1日至今，供应商承办过省级及以上信息通信类比赛或演练或培训的，每提供1个有效合同得</w:t>
            </w:r>
            <w:r>
              <w:rPr>
                <w:rFonts w:ascii="宋体" w:hAnsi="宋体"/>
                <w:color w:val="000000" w:themeColor="text1"/>
                <w:sz w:val="21"/>
                <w:szCs w:val="21"/>
              </w:rPr>
              <w:t>3</w:t>
            </w:r>
            <w:r>
              <w:rPr>
                <w:rFonts w:hint="eastAsia" w:ascii="宋体" w:hAnsi="宋体"/>
                <w:color w:val="000000" w:themeColor="text1"/>
                <w:sz w:val="21"/>
                <w:szCs w:val="21"/>
              </w:rPr>
              <w:t>分，满分为9分。</w:t>
            </w:r>
          </w:p>
        </w:tc>
        <w:tc>
          <w:tcPr>
            <w:tcW w:w="1945" w:type="dxa"/>
            <w:vAlign w:val="center"/>
          </w:tcPr>
          <w:p>
            <w:pPr>
              <w:spacing w:line="240" w:lineRule="atLeast"/>
              <w:ind w:left="-38"/>
              <w:rPr>
                <w:rFonts w:ascii="宋体" w:hAnsi="宋体"/>
                <w:color w:val="000000"/>
                <w:sz w:val="21"/>
                <w:szCs w:val="21"/>
              </w:rPr>
            </w:pPr>
            <w:r>
              <w:rPr>
                <w:rFonts w:hint="eastAsia" w:ascii="宋体" w:hAnsi="宋体"/>
                <w:color w:val="000000"/>
                <w:sz w:val="21"/>
                <w:szCs w:val="21"/>
              </w:rPr>
              <w:t>提供合同或其他业绩证明材料复印件，加盖供应商公章。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trPr>
        <w:tc>
          <w:tcPr>
            <w:tcW w:w="552" w:type="dxa"/>
            <w:vMerge w:val="continue"/>
            <w:vAlign w:val="center"/>
          </w:tcPr>
          <w:p>
            <w:pPr>
              <w:spacing w:line="240" w:lineRule="atLeast"/>
              <w:ind w:firstLine="28"/>
              <w:jc w:val="center"/>
              <w:rPr>
                <w:rFonts w:ascii="宋体" w:hAnsi="宋体"/>
                <w:color w:val="000000"/>
                <w:sz w:val="21"/>
                <w:szCs w:val="21"/>
              </w:rPr>
            </w:pPr>
          </w:p>
        </w:tc>
        <w:tc>
          <w:tcPr>
            <w:tcW w:w="1010" w:type="dxa"/>
            <w:vMerge w:val="continue"/>
            <w:vAlign w:val="center"/>
          </w:tcPr>
          <w:p>
            <w:pPr>
              <w:spacing w:line="240" w:lineRule="atLeast"/>
              <w:ind w:firstLine="28"/>
              <w:jc w:val="center"/>
              <w:rPr>
                <w:rFonts w:ascii="宋体" w:hAnsi="宋体"/>
                <w:color w:val="000000"/>
                <w:sz w:val="21"/>
                <w:szCs w:val="21"/>
              </w:rPr>
            </w:pPr>
          </w:p>
        </w:tc>
        <w:tc>
          <w:tcPr>
            <w:tcW w:w="992" w:type="dxa"/>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资格能力</w:t>
            </w:r>
          </w:p>
          <w:p>
            <w:pPr>
              <w:spacing w:line="240" w:lineRule="atLeast"/>
              <w:ind w:firstLine="28"/>
              <w:jc w:val="center"/>
              <w:rPr>
                <w:rFonts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分）</w:t>
            </w:r>
          </w:p>
        </w:tc>
        <w:tc>
          <w:tcPr>
            <w:tcW w:w="708" w:type="dxa"/>
            <w:vAlign w:val="center"/>
          </w:tcPr>
          <w:p>
            <w:pPr>
              <w:spacing w:line="240" w:lineRule="atLeast"/>
              <w:ind w:firstLine="28"/>
              <w:jc w:val="center"/>
              <w:rPr>
                <w:rFonts w:ascii="宋体" w:hAnsi="宋体"/>
                <w:color w:val="000000"/>
                <w:sz w:val="21"/>
                <w:szCs w:val="21"/>
              </w:rPr>
            </w:pPr>
            <w:r>
              <w:rPr>
                <w:rFonts w:ascii="宋体" w:hAnsi="宋体"/>
                <w:color w:val="000000"/>
                <w:sz w:val="21"/>
                <w:szCs w:val="21"/>
              </w:rPr>
              <w:t>2</w:t>
            </w:r>
          </w:p>
        </w:tc>
        <w:tc>
          <w:tcPr>
            <w:tcW w:w="4678" w:type="dxa"/>
            <w:vAlign w:val="center"/>
          </w:tcPr>
          <w:p>
            <w:pPr>
              <w:spacing w:line="240" w:lineRule="atLeast"/>
              <w:rPr>
                <w:rFonts w:ascii="宋体" w:hAnsi="宋体"/>
                <w:color w:val="000000"/>
                <w:sz w:val="21"/>
                <w:szCs w:val="21"/>
              </w:rPr>
            </w:pPr>
            <w:r>
              <w:rPr>
                <w:rFonts w:hint="eastAsia" w:ascii="宋体" w:hAnsi="宋体"/>
                <w:color w:val="000000"/>
                <w:sz w:val="21"/>
                <w:szCs w:val="21"/>
              </w:rPr>
              <w:t>供应商通过了ISO9001质量管理体系认证的，得</w:t>
            </w:r>
            <w:r>
              <w:rPr>
                <w:rFonts w:ascii="宋体" w:hAnsi="宋体"/>
                <w:color w:val="000000"/>
                <w:sz w:val="21"/>
                <w:szCs w:val="21"/>
              </w:rPr>
              <w:t>2</w:t>
            </w:r>
            <w:r>
              <w:rPr>
                <w:rFonts w:hint="eastAsia" w:ascii="宋体" w:hAnsi="宋体"/>
                <w:color w:val="000000"/>
                <w:sz w:val="21"/>
                <w:szCs w:val="21"/>
              </w:rPr>
              <w:t>分。</w:t>
            </w:r>
          </w:p>
        </w:tc>
        <w:tc>
          <w:tcPr>
            <w:tcW w:w="1945" w:type="dxa"/>
            <w:vMerge w:val="restart"/>
            <w:vAlign w:val="center"/>
          </w:tcPr>
          <w:p>
            <w:pPr>
              <w:spacing w:line="240" w:lineRule="atLeast"/>
              <w:ind w:left="-38"/>
              <w:rPr>
                <w:rFonts w:ascii="宋体" w:hAnsi="宋体"/>
                <w:color w:val="000000"/>
                <w:sz w:val="21"/>
                <w:szCs w:val="21"/>
              </w:rPr>
            </w:pPr>
            <w:r>
              <w:rPr>
                <w:rFonts w:hint="eastAsia" w:ascii="宋体" w:hAnsi="宋体"/>
                <w:color w:val="000000"/>
                <w:sz w:val="21"/>
                <w:szCs w:val="21"/>
              </w:rPr>
              <w:t>提供证书复印件，加盖供应商公章。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trPr>
        <w:tc>
          <w:tcPr>
            <w:tcW w:w="552" w:type="dxa"/>
            <w:vMerge w:val="continue"/>
            <w:vAlign w:val="center"/>
          </w:tcPr>
          <w:p>
            <w:pPr>
              <w:spacing w:line="240" w:lineRule="atLeast"/>
              <w:ind w:firstLine="28"/>
              <w:jc w:val="center"/>
              <w:rPr>
                <w:rFonts w:ascii="宋体" w:hAnsi="宋体"/>
                <w:color w:val="000000"/>
                <w:sz w:val="21"/>
                <w:szCs w:val="21"/>
              </w:rPr>
            </w:pPr>
          </w:p>
        </w:tc>
        <w:tc>
          <w:tcPr>
            <w:tcW w:w="1010" w:type="dxa"/>
            <w:vMerge w:val="continue"/>
            <w:vAlign w:val="center"/>
          </w:tcPr>
          <w:p>
            <w:pPr>
              <w:spacing w:line="240" w:lineRule="atLeast"/>
              <w:ind w:firstLine="28"/>
              <w:jc w:val="center"/>
              <w:rPr>
                <w:rFonts w:ascii="宋体" w:hAnsi="宋体"/>
                <w:color w:val="000000"/>
                <w:sz w:val="21"/>
                <w:szCs w:val="21"/>
              </w:rPr>
            </w:pPr>
          </w:p>
        </w:tc>
        <w:tc>
          <w:tcPr>
            <w:tcW w:w="992" w:type="dxa"/>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人员能力（2分）</w:t>
            </w:r>
          </w:p>
        </w:tc>
        <w:tc>
          <w:tcPr>
            <w:tcW w:w="708" w:type="dxa"/>
            <w:vAlign w:val="center"/>
          </w:tcPr>
          <w:p>
            <w:pPr>
              <w:spacing w:line="240" w:lineRule="atLeast"/>
              <w:ind w:firstLine="28"/>
              <w:jc w:val="center"/>
              <w:rPr>
                <w:rFonts w:ascii="宋体" w:hAnsi="宋体"/>
                <w:color w:val="000000"/>
                <w:sz w:val="21"/>
                <w:szCs w:val="21"/>
              </w:rPr>
            </w:pPr>
            <w:r>
              <w:rPr>
                <w:rFonts w:ascii="宋体" w:hAnsi="宋体"/>
                <w:color w:val="000000"/>
                <w:sz w:val="21"/>
                <w:szCs w:val="21"/>
              </w:rPr>
              <w:t>2</w:t>
            </w:r>
          </w:p>
        </w:tc>
        <w:tc>
          <w:tcPr>
            <w:tcW w:w="4678" w:type="dxa"/>
            <w:vAlign w:val="center"/>
          </w:tcPr>
          <w:p>
            <w:pPr>
              <w:spacing w:line="240" w:lineRule="atLeast"/>
              <w:rPr>
                <w:rFonts w:ascii="宋体" w:hAnsi="宋体"/>
                <w:color w:val="000000"/>
                <w:sz w:val="21"/>
                <w:szCs w:val="21"/>
              </w:rPr>
            </w:pPr>
            <w:r>
              <w:rPr>
                <w:rFonts w:hint="eastAsia" w:ascii="宋体" w:hAnsi="宋体"/>
                <w:color w:val="000000"/>
                <w:sz w:val="21"/>
                <w:szCs w:val="21"/>
              </w:rPr>
              <w:t>提供的服务团队中，有两个及以上人员拥有信息通信类高级及以上职称的，得2分。</w:t>
            </w:r>
          </w:p>
        </w:tc>
        <w:tc>
          <w:tcPr>
            <w:tcW w:w="1945" w:type="dxa"/>
            <w:vMerge w:val="continue"/>
            <w:vAlign w:val="center"/>
          </w:tcPr>
          <w:p>
            <w:pPr>
              <w:spacing w:line="240" w:lineRule="atLeast"/>
              <w:ind w:left="-38"/>
              <w:rPr>
                <w:rFonts w:ascii="宋体" w:hAnsi="宋体"/>
                <w:color w:val="000000"/>
                <w:sz w:val="21"/>
                <w:szCs w:val="21"/>
              </w:rPr>
            </w:pPr>
          </w:p>
        </w:tc>
      </w:tr>
      <w:bookmarkEnd w:id="81"/>
    </w:tbl>
    <w:p>
      <w:pPr>
        <w:snapToGrid w:val="0"/>
        <w:spacing w:line="360" w:lineRule="auto"/>
        <w:ind w:firstLine="465"/>
        <w:rPr>
          <w:rFonts w:ascii="宋体"/>
          <w:b/>
          <w:sz w:val="24"/>
          <w:szCs w:val="24"/>
        </w:rPr>
      </w:pPr>
      <w:r>
        <w:rPr>
          <w:rFonts w:hint="eastAsia" w:ascii="宋体"/>
          <w:b/>
          <w:sz w:val="24"/>
          <w:szCs w:val="24"/>
        </w:rPr>
        <w:t>说明：</w:t>
      </w:r>
    </w:p>
    <w:p>
      <w:pPr>
        <w:snapToGrid w:val="0"/>
        <w:spacing w:line="360" w:lineRule="auto"/>
        <w:ind w:firstLine="465"/>
        <w:rPr>
          <w:rFonts w:ascii="宋体"/>
          <w:sz w:val="24"/>
          <w:szCs w:val="24"/>
        </w:rPr>
      </w:pPr>
      <w:r>
        <w:rPr>
          <w:rFonts w:hint="eastAsia" w:ascii="宋体"/>
          <w:sz w:val="24"/>
          <w:szCs w:val="24"/>
        </w:rPr>
        <w:t>（一）磋商小组认为，排名在前面的成交供应商候选人的磋商报价或者某些分项报价明显不合理或者低于成本，有可能影响服务质量和不能诚信履约的，将要求其在规定的期限内提供书面文件予以解释说明，并提交相关证明材料；否则，磋商小组可以取消该成交供应商候选人资格，按顺序由排在后一位的成交供应商候选人递补，以此类推。</w:t>
      </w:r>
    </w:p>
    <w:p>
      <w:pPr>
        <w:snapToGrid w:val="0"/>
        <w:spacing w:line="360" w:lineRule="auto"/>
        <w:ind w:firstLine="465"/>
        <w:rPr>
          <w:rFonts w:ascii="宋体"/>
          <w:sz w:val="24"/>
          <w:szCs w:val="24"/>
        </w:rPr>
      </w:pPr>
      <w:r>
        <w:rPr>
          <w:rFonts w:hint="eastAsia" w:ascii="宋体"/>
          <w:sz w:val="24"/>
          <w:szCs w:val="24"/>
        </w:rPr>
        <w:t>（二）关于小微企业报价扣除比例说明</w:t>
      </w:r>
    </w:p>
    <w:p>
      <w:pPr>
        <w:snapToGrid w:val="0"/>
        <w:spacing w:line="360" w:lineRule="auto"/>
        <w:ind w:firstLine="465"/>
        <w:rPr>
          <w:rFonts w:ascii="宋体"/>
          <w:sz w:val="24"/>
          <w:szCs w:val="24"/>
        </w:rPr>
      </w:pPr>
      <w:r>
        <w:rPr>
          <w:rFonts w:hint="eastAsia" w:asci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sz w:val="24"/>
          <w:szCs w:val="24"/>
        </w:rPr>
      </w:pPr>
      <w:r>
        <w:rPr>
          <w:rFonts w:hint="eastAsia" w:ascii="宋体"/>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sz w:val="24"/>
          <w:szCs w:val="24"/>
        </w:rPr>
      </w:pPr>
      <w:r>
        <w:rPr>
          <w:rFonts w:hint="eastAsia" w:ascii="宋体"/>
          <w:sz w:val="24"/>
          <w:szCs w:val="24"/>
        </w:rPr>
        <w:t>（2）在工程采购项目中，工程由中小企业承建，即工程施工单位为中小企业；</w:t>
      </w:r>
    </w:p>
    <w:p>
      <w:pPr>
        <w:snapToGrid w:val="0"/>
        <w:spacing w:line="360" w:lineRule="auto"/>
        <w:ind w:firstLine="465"/>
        <w:rPr>
          <w:rFonts w:ascii="宋体"/>
          <w:sz w:val="24"/>
          <w:szCs w:val="24"/>
        </w:rPr>
      </w:pPr>
      <w:r>
        <w:rPr>
          <w:rFonts w:hint="eastAsia" w:ascii="宋体"/>
          <w:sz w:val="24"/>
          <w:szCs w:val="24"/>
        </w:rPr>
        <w:t>（3）在服务采购项目中，服务由中小企业承接，即提供服务的人员为中小企业依照《中华人民共和国劳动合同法》订立劳动合同的从业人员。</w:t>
      </w:r>
    </w:p>
    <w:p>
      <w:pPr>
        <w:snapToGrid w:val="0"/>
        <w:spacing w:line="360" w:lineRule="auto"/>
        <w:ind w:firstLine="465"/>
        <w:rPr>
          <w:rFonts w:ascii="宋体"/>
          <w:sz w:val="24"/>
          <w:szCs w:val="24"/>
        </w:rPr>
      </w:pPr>
      <w:r>
        <w:rPr>
          <w:rFonts w:hint="eastAsia" w:ascii="宋体"/>
          <w:sz w:val="24"/>
          <w:szCs w:val="24"/>
        </w:rPr>
        <w:t>2.对小微型企业给予</w:t>
      </w:r>
      <w:r>
        <w:rPr>
          <w:rFonts w:ascii="宋体"/>
          <w:b/>
          <w:bCs/>
          <w:sz w:val="24"/>
          <w:szCs w:val="24"/>
          <w:u w:val="single"/>
        </w:rPr>
        <w:t>20</w:t>
      </w:r>
      <w:r>
        <w:rPr>
          <w:rFonts w:hint="eastAsia" w:ascii="宋体"/>
          <w:b/>
          <w:bCs/>
          <w:sz w:val="24"/>
          <w:szCs w:val="24"/>
          <w:u w:val="single"/>
        </w:rPr>
        <w:t xml:space="preserve"> %</w:t>
      </w:r>
      <w:r>
        <w:rPr>
          <w:rFonts w:hint="eastAsia" w:ascii="宋体"/>
          <w:sz w:val="24"/>
          <w:szCs w:val="24"/>
        </w:rPr>
        <w:t>的扣除，以扣除后的报价参与评审。</w:t>
      </w:r>
    </w:p>
    <w:p>
      <w:pPr>
        <w:snapToGrid w:val="0"/>
        <w:spacing w:line="360" w:lineRule="auto"/>
        <w:ind w:firstLine="465"/>
        <w:rPr>
          <w:rFonts w:ascii="宋体"/>
          <w:sz w:val="24"/>
          <w:szCs w:val="24"/>
        </w:rPr>
      </w:pPr>
      <w:r>
        <w:rPr>
          <w:rFonts w:hint="eastAsia" w:ascii="宋体"/>
          <w:sz w:val="24"/>
          <w:szCs w:val="24"/>
        </w:rPr>
        <w:t>3.监狱企业、残疾人福利性单位视同小型、微型企业。</w:t>
      </w:r>
    </w:p>
    <w:p>
      <w:pPr>
        <w:pStyle w:val="6"/>
        <w:spacing w:before="0" w:after="0" w:line="360" w:lineRule="auto"/>
        <w:ind w:firstLine="482" w:firstLineChars="200"/>
        <w:rPr>
          <w:rFonts w:ascii="宋体"/>
          <w:sz w:val="24"/>
          <w:szCs w:val="24"/>
        </w:rPr>
      </w:pPr>
      <w:bookmarkStart w:id="82" w:name="_Toc131145274"/>
      <w:r>
        <w:rPr>
          <w:rFonts w:hint="eastAsia" w:ascii="宋体"/>
          <w:sz w:val="24"/>
          <w:szCs w:val="24"/>
        </w:rPr>
        <w:t>三、无效响应</w:t>
      </w:r>
      <w:bookmarkEnd w:id="82"/>
    </w:p>
    <w:p>
      <w:pPr>
        <w:snapToGrid w:val="0"/>
        <w:spacing w:line="360" w:lineRule="auto"/>
        <w:ind w:firstLine="465"/>
        <w:rPr>
          <w:rFonts w:ascii="宋体"/>
          <w:sz w:val="24"/>
          <w:szCs w:val="24"/>
        </w:rPr>
      </w:pPr>
      <w:r>
        <w:rPr>
          <w:rFonts w:hint="eastAsia" w:ascii="宋体"/>
          <w:sz w:val="24"/>
          <w:szCs w:val="24"/>
        </w:rPr>
        <w:t>供应商发生以下条款情况之一者，视为无效响应：</w:t>
      </w:r>
    </w:p>
    <w:p>
      <w:pPr>
        <w:snapToGrid w:val="0"/>
        <w:spacing w:line="360" w:lineRule="auto"/>
        <w:ind w:firstLine="465"/>
        <w:rPr>
          <w:rFonts w:ascii="宋体"/>
          <w:sz w:val="24"/>
          <w:szCs w:val="24"/>
        </w:rPr>
      </w:pPr>
      <w:r>
        <w:rPr>
          <w:rFonts w:hint="eastAsia" w:ascii="宋体"/>
          <w:sz w:val="24"/>
          <w:szCs w:val="24"/>
        </w:rPr>
        <w:t>（一）供应商不符合规定的基本资格条件或特定资格条件的；</w:t>
      </w:r>
    </w:p>
    <w:p>
      <w:pPr>
        <w:snapToGrid w:val="0"/>
        <w:spacing w:line="360" w:lineRule="auto"/>
        <w:ind w:firstLine="465"/>
        <w:rPr>
          <w:rFonts w:ascii="宋体"/>
          <w:sz w:val="24"/>
          <w:szCs w:val="24"/>
        </w:rPr>
      </w:pPr>
      <w:r>
        <w:rPr>
          <w:rFonts w:hint="eastAsia" w:ascii="宋体"/>
          <w:sz w:val="24"/>
          <w:szCs w:val="24"/>
        </w:rPr>
        <w:t>（二）供应商的法定代表人或其授权代表未参加磋商；</w:t>
      </w:r>
    </w:p>
    <w:p>
      <w:pPr>
        <w:snapToGrid w:val="0"/>
        <w:spacing w:line="360" w:lineRule="auto"/>
        <w:ind w:firstLine="465"/>
        <w:rPr>
          <w:rFonts w:ascii="宋体"/>
          <w:sz w:val="24"/>
          <w:szCs w:val="24"/>
        </w:rPr>
      </w:pPr>
      <w:r>
        <w:rPr>
          <w:rFonts w:hint="eastAsia" w:ascii="宋体"/>
          <w:sz w:val="24"/>
          <w:szCs w:val="24"/>
        </w:rPr>
        <w:t>（三）供应商未按照竞争性磋商文件的要求缴纳磋商保证金；</w:t>
      </w:r>
    </w:p>
    <w:p>
      <w:pPr>
        <w:snapToGrid w:val="0"/>
        <w:spacing w:line="360" w:lineRule="auto"/>
        <w:ind w:firstLine="465"/>
        <w:rPr>
          <w:rFonts w:ascii="宋体"/>
          <w:sz w:val="24"/>
          <w:szCs w:val="24"/>
        </w:rPr>
      </w:pPr>
      <w:r>
        <w:rPr>
          <w:rFonts w:hint="eastAsia" w:ascii="宋体"/>
          <w:sz w:val="24"/>
          <w:szCs w:val="24"/>
        </w:rPr>
        <w:t>（四）供应商所提交的响应文件不按第七篇“响应文件编制要求”规定签字、盖章；</w:t>
      </w:r>
    </w:p>
    <w:p>
      <w:pPr>
        <w:snapToGrid w:val="0"/>
        <w:spacing w:line="360" w:lineRule="auto"/>
        <w:ind w:firstLine="465"/>
        <w:rPr>
          <w:rFonts w:ascii="宋体"/>
          <w:sz w:val="24"/>
          <w:szCs w:val="24"/>
        </w:rPr>
      </w:pPr>
      <w:r>
        <w:rPr>
          <w:rFonts w:hint="eastAsia" w:ascii="宋体"/>
          <w:sz w:val="24"/>
          <w:szCs w:val="24"/>
        </w:rPr>
        <w:t>（五）供应商的最后报价超过采购预算金额或最高限价的；</w:t>
      </w:r>
    </w:p>
    <w:p>
      <w:pPr>
        <w:snapToGrid w:val="0"/>
        <w:spacing w:line="360" w:lineRule="auto"/>
        <w:ind w:firstLine="465"/>
        <w:rPr>
          <w:rFonts w:ascii="宋体"/>
          <w:sz w:val="24"/>
          <w:szCs w:val="24"/>
        </w:rPr>
      </w:pPr>
      <w:r>
        <w:rPr>
          <w:rFonts w:hint="eastAsia" w:ascii="宋体"/>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sz w:val="24"/>
          <w:szCs w:val="24"/>
        </w:rPr>
      </w:pPr>
      <w:r>
        <w:rPr>
          <w:rFonts w:hint="eastAsia" w:ascii="宋体"/>
          <w:sz w:val="24"/>
          <w:szCs w:val="24"/>
        </w:rPr>
        <w:t>（七）</w:t>
      </w:r>
      <w:r>
        <w:rPr>
          <w:rFonts w:ascii="宋体"/>
          <w:sz w:val="24"/>
          <w:szCs w:val="24"/>
        </w:rPr>
        <w:t>为采购项目提供整体设计、规范编制或者项目管理、监理、检测等服务的供应商，再参加</w:t>
      </w:r>
      <w:r>
        <w:rPr>
          <w:rFonts w:hint="eastAsia" w:ascii="宋体"/>
          <w:sz w:val="24"/>
          <w:szCs w:val="24"/>
        </w:rPr>
        <w:t>该采购</w:t>
      </w:r>
      <w:r>
        <w:rPr>
          <w:rFonts w:ascii="宋体"/>
          <w:sz w:val="24"/>
          <w:szCs w:val="24"/>
        </w:rPr>
        <w:t>项目的</w:t>
      </w:r>
      <w:r>
        <w:rPr>
          <w:rFonts w:hint="eastAsia" w:ascii="宋体"/>
          <w:sz w:val="24"/>
          <w:szCs w:val="24"/>
        </w:rPr>
        <w:t>其他</w:t>
      </w:r>
      <w:r>
        <w:rPr>
          <w:rFonts w:ascii="宋体"/>
          <w:sz w:val="24"/>
          <w:szCs w:val="24"/>
        </w:rPr>
        <w:t>采购活动</w:t>
      </w:r>
      <w:r>
        <w:rPr>
          <w:rFonts w:hint="eastAsia" w:ascii="宋体"/>
          <w:sz w:val="24"/>
          <w:szCs w:val="24"/>
        </w:rPr>
        <w:t>；</w:t>
      </w:r>
    </w:p>
    <w:p>
      <w:pPr>
        <w:snapToGrid w:val="0"/>
        <w:spacing w:line="360" w:lineRule="auto"/>
        <w:ind w:firstLine="480" w:firstLineChars="200"/>
        <w:rPr>
          <w:rFonts w:ascii="宋体"/>
          <w:sz w:val="24"/>
          <w:szCs w:val="24"/>
        </w:rPr>
      </w:pPr>
      <w:r>
        <w:rPr>
          <w:rFonts w:hint="eastAsia" w:ascii="宋体"/>
          <w:sz w:val="24"/>
          <w:szCs w:val="24"/>
        </w:rPr>
        <w:t>（八）所提供的产品不符合必须强制执行的国家标准的；</w:t>
      </w:r>
    </w:p>
    <w:p>
      <w:pPr>
        <w:snapToGrid w:val="0"/>
        <w:spacing w:line="360" w:lineRule="auto"/>
        <w:ind w:firstLine="480" w:firstLineChars="200"/>
        <w:rPr>
          <w:rFonts w:ascii="宋体"/>
          <w:sz w:val="24"/>
          <w:szCs w:val="24"/>
        </w:rPr>
      </w:pPr>
      <w:r>
        <w:rPr>
          <w:rFonts w:hint="eastAsia" w:ascii="宋体"/>
          <w:sz w:val="24"/>
          <w:szCs w:val="24"/>
        </w:rPr>
        <w:t>（九）供应商的服务时间、服务质保期及磋商有效期不满足竞争性磋商文件要求的；</w:t>
      </w:r>
    </w:p>
    <w:p>
      <w:pPr>
        <w:snapToGrid w:val="0"/>
        <w:spacing w:line="360" w:lineRule="auto"/>
        <w:ind w:firstLine="465"/>
        <w:rPr>
          <w:rFonts w:ascii="宋体"/>
          <w:sz w:val="24"/>
          <w:szCs w:val="24"/>
        </w:rPr>
      </w:pPr>
      <w:r>
        <w:rPr>
          <w:rFonts w:hint="eastAsia" w:ascii="宋体"/>
          <w:sz w:val="24"/>
          <w:szCs w:val="24"/>
        </w:rPr>
        <w:t>（十）供应商响应文件内容有与国家现行法律法规相违背的内容，或附有采购人无法接受的条件。</w:t>
      </w:r>
    </w:p>
    <w:p>
      <w:pPr>
        <w:pStyle w:val="6"/>
        <w:spacing w:before="0" w:after="0" w:line="360" w:lineRule="auto"/>
        <w:ind w:firstLine="482" w:firstLineChars="200"/>
        <w:rPr>
          <w:rFonts w:ascii="宋体"/>
          <w:sz w:val="24"/>
          <w:szCs w:val="24"/>
        </w:rPr>
      </w:pPr>
      <w:bookmarkStart w:id="83" w:name="_Toc131145275"/>
      <w:r>
        <w:rPr>
          <w:rFonts w:hint="eastAsia" w:ascii="宋体"/>
          <w:sz w:val="24"/>
          <w:szCs w:val="24"/>
        </w:rPr>
        <w:t>四、</w:t>
      </w:r>
      <w:bookmarkEnd w:id="79"/>
      <w:bookmarkEnd w:id="80"/>
      <w:r>
        <w:rPr>
          <w:rFonts w:hint="eastAsia" w:ascii="宋体"/>
          <w:sz w:val="24"/>
          <w:szCs w:val="24"/>
        </w:rPr>
        <w:t>采购终止</w:t>
      </w:r>
      <w:bookmarkEnd w:id="83"/>
    </w:p>
    <w:p>
      <w:pPr>
        <w:snapToGrid w:val="0"/>
        <w:spacing w:line="360" w:lineRule="auto"/>
        <w:ind w:firstLine="465"/>
        <w:rPr>
          <w:rFonts w:ascii="宋体"/>
          <w:sz w:val="24"/>
          <w:szCs w:val="24"/>
        </w:rPr>
      </w:pPr>
      <w:r>
        <w:rPr>
          <w:rFonts w:hint="eastAsia" w:ascii="宋体"/>
          <w:sz w:val="24"/>
          <w:szCs w:val="24"/>
        </w:rPr>
        <w:t>出现下列情形之一的，采购人或者采购代理机构应当终止竞争性磋商采购活动，发布项目终止公告并说明原因，重新开展采购活动：</w:t>
      </w:r>
    </w:p>
    <w:p>
      <w:pPr>
        <w:snapToGrid w:val="0"/>
        <w:spacing w:line="360" w:lineRule="auto"/>
        <w:ind w:firstLine="465"/>
        <w:rPr>
          <w:rFonts w:ascii="宋体"/>
          <w:sz w:val="24"/>
          <w:szCs w:val="24"/>
        </w:rPr>
      </w:pPr>
      <w:r>
        <w:rPr>
          <w:rFonts w:hint="eastAsia" w:ascii="宋体"/>
          <w:sz w:val="24"/>
          <w:szCs w:val="24"/>
        </w:rPr>
        <w:t>（一）因情况变化，不再符合规定的竞争性磋商采购方式适用情形的；</w:t>
      </w:r>
    </w:p>
    <w:p>
      <w:pPr>
        <w:snapToGrid w:val="0"/>
        <w:spacing w:line="360" w:lineRule="auto"/>
        <w:ind w:firstLine="465"/>
        <w:rPr>
          <w:rFonts w:ascii="宋体"/>
          <w:sz w:val="24"/>
          <w:szCs w:val="24"/>
        </w:rPr>
      </w:pPr>
      <w:r>
        <w:rPr>
          <w:rFonts w:hint="eastAsia" w:ascii="宋体"/>
          <w:sz w:val="24"/>
          <w:szCs w:val="24"/>
        </w:rPr>
        <w:t>（二）出现影响采购公正的违法、违规行为的；</w:t>
      </w:r>
    </w:p>
    <w:p>
      <w:pPr>
        <w:snapToGrid w:val="0"/>
        <w:spacing w:line="360" w:lineRule="auto"/>
        <w:ind w:firstLine="465"/>
        <w:rPr>
          <w:rFonts w:ascii="宋体"/>
          <w:sz w:val="24"/>
          <w:szCs w:val="24"/>
        </w:rPr>
      </w:pPr>
      <w:r>
        <w:rPr>
          <w:rFonts w:hint="eastAsia" w:ascii="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pPr>
        <w:spacing w:line="360" w:lineRule="auto"/>
        <w:ind w:firstLine="480" w:firstLineChars="200"/>
        <w:rPr>
          <w:rFonts w:ascii="宋体"/>
          <w:sz w:val="24"/>
          <w:szCs w:val="24"/>
        </w:rPr>
        <w:sectPr>
          <w:footerReference r:id="rId11" w:type="default"/>
          <w:footerReference r:id="rId12" w:type="even"/>
          <w:pgSz w:w="11907" w:h="16840"/>
          <w:pgMar w:top="1134" w:right="1191" w:bottom="1134" w:left="1191" w:header="964" w:footer="992" w:gutter="0"/>
          <w:pgNumType w:fmt="numberInDash"/>
          <w:cols w:space="720" w:num="1"/>
          <w:docGrid w:linePitch="312" w:charSpace="0"/>
        </w:sectPr>
      </w:pPr>
    </w:p>
    <w:p>
      <w:pPr>
        <w:pStyle w:val="5"/>
        <w:spacing w:line="360" w:lineRule="auto"/>
        <w:jc w:val="center"/>
        <w:rPr>
          <w:rFonts w:ascii="宋体" w:eastAsia="宋体"/>
          <w:sz w:val="36"/>
          <w:szCs w:val="30"/>
        </w:rPr>
      </w:pPr>
      <w:bookmarkStart w:id="84" w:name="_Toc102227313"/>
      <w:bookmarkStart w:id="85" w:name="_Toc131145276"/>
      <w:r>
        <w:rPr>
          <w:rFonts w:hint="eastAsia" w:ascii="宋体" w:eastAsia="宋体"/>
          <w:sz w:val="36"/>
          <w:szCs w:val="30"/>
        </w:rPr>
        <w:t>第五篇  供应商须知</w:t>
      </w:r>
      <w:bookmarkEnd w:id="84"/>
      <w:bookmarkEnd w:id="85"/>
    </w:p>
    <w:p>
      <w:pPr>
        <w:pStyle w:val="6"/>
        <w:spacing w:before="0" w:after="0" w:line="360" w:lineRule="auto"/>
        <w:ind w:firstLine="482" w:firstLineChars="200"/>
        <w:rPr>
          <w:rFonts w:ascii="宋体"/>
          <w:sz w:val="24"/>
          <w:szCs w:val="24"/>
        </w:rPr>
      </w:pPr>
      <w:bookmarkStart w:id="86" w:name="_Toc131145277"/>
      <w:bookmarkStart w:id="87" w:name="_Toc342913389"/>
      <w:r>
        <w:rPr>
          <w:rFonts w:hint="eastAsia" w:ascii="宋体"/>
          <w:sz w:val="24"/>
          <w:szCs w:val="24"/>
        </w:rPr>
        <w:t>一、磋商费用</w:t>
      </w:r>
      <w:bookmarkEnd w:id="86"/>
      <w:bookmarkEnd w:id="87"/>
    </w:p>
    <w:p>
      <w:pPr>
        <w:pStyle w:val="181"/>
        <w:spacing w:line="360" w:lineRule="auto"/>
        <w:ind w:firstLine="480" w:firstLineChars="200"/>
        <w:rPr>
          <w:sz w:val="24"/>
          <w:szCs w:val="24"/>
        </w:rPr>
      </w:pPr>
      <w:r>
        <w:rPr>
          <w:rFonts w:hint="eastAsia"/>
          <w:sz w:val="24"/>
          <w:szCs w:val="24"/>
        </w:rPr>
        <w:t>参与磋商的供应商应承担其编制响应文件与递交响应文件所涉及的一切费用，不论磋商结果如何，采购人和采购代理机构在任何情况下无义务也无责任承担这些费用。</w:t>
      </w:r>
    </w:p>
    <w:p>
      <w:pPr>
        <w:pStyle w:val="6"/>
        <w:tabs>
          <w:tab w:val="left" w:pos="2640"/>
        </w:tabs>
        <w:spacing w:before="0" w:after="0" w:line="360" w:lineRule="auto"/>
        <w:ind w:firstLine="482" w:firstLineChars="200"/>
        <w:rPr>
          <w:rFonts w:ascii="宋体"/>
          <w:sz w:val="24"/>
          <w:szCs w:val="24"/>
        </w:rPr>
      </w:pPr>
      <w:bookmarkStart w:id="88" w:name="_Toc342913391"/>
      <w:bookmarkStart w:id="89" w:name="_Toc131145278"/>
      <w:r>
        <w:rPr>
          <w:rFonts w:hint="eastAsia" w:ascii="宋体"/>
          <w:sz w:val="24"/>
          <w:szCs w:val="24"/>
        </w:rPr>
        <w:t>二、竞争性磋商文件</w:t>
      </w:r>
      <w:bookmarkEnd w:id="88"/>
      <w:bookmarkEnd w:id="89"/>
    </w:p>
    <w:p>
      <w:pPr>
        <w:snapToGrid w:val="0"/>
        <w:spacing w:line="360" w:lineRule="auto"/>
        <w:ind w:firstLine="480" w:firstLineChars="200"/>
        <w:rPr>
          <w:rFonts w:ascii="宋体"/>
          <w:sz w:val="24"/>
          <w:szCs w:val="24"/>
        </w:rPr>
      </w:pPr>
      <w:r>
        <w:rPr>
          <w:rFonts w:hint="eastAsia" w:ascii="宋体"/>
          <w:sz w:val="24"/>
          <w:szCs w:val="24"/>
        </w:rPr>
        <w:t>（一）竞争性磋商文件由采购邀请书；采购服务需求；采购商务需求；磋商程序及方法、评审标准、无效响应和采购终止；供应商须知；合同草案条款；响应文件编制要求共七部分组成。</w:t>
      </w:r>
    </w:p>
    <w:p>
      <w:pPr>
        <w:snapToGrid w:val="0"/>
        <w:spacing w:line="360" w:lineRule="auto"/>
        <w:ind w:firstLine="480" w:firstLineChars="200"/>
        <w:rPr>
          <w:rFonts w:ascii="宋体"/>
          <w:sz w:val="24"/>
          <w:szCs w:val="24"/>
        </w:rPr>
      </w:pPr>
      <w:r>
        <w:rPr>
          <w:rFonts w:hint="eastAsia" w:ascii="宋体"/>
          <w:sz w:val="24"/>
          <w:szCs w:val="24"/>
        </w:rPr>
        <w:t>（二）采购人（或采购代理机构）所作的一切有效的书面通知、修改及补充，都是竞争性磋商文件不可分割的部分。</w:t>
      </w:r>
    </w:p>
    <w:p>
      <w:pPr>
        <w:snapToGrid w:val="0"/>
        <w:spacing w:line="360" w:lineRule="auto"/>
        <w:ind w:firstLine="480" w:firstLineChars="200"/>
        <w:rPr>
          <w:rFonts w:ascii="宋体"/>
          <w:sz w:val="24"/>
          <w:szCs w:val="24"/>
        </w:rPr>
      </w:pPr>
      <w:r>
        <w:rPr>
          <w:rFonts w:hint="eastAsia" w:ascii="宋体"/>
          <w:sz w:val="24"/>
          <w:szCs w:val="24"/>
        </w:rPr>
        <w:t>（三）竞争性磋商文件的解释</w:t>
      </w:r>
    </w:p>
    <w:p>
      <w:pPr>
        <w:spacing w:line="360" w:lineRule="auto"/>
        <w:ind w:firstLine="480" w:firstLineChars="200"/>
        <w:rPr>
          <w:rFonts w:ascii="宋体"/>
          <w:sz w:val="24"/>
          <w:szCs w:val="24"/>
        </w:rPr>
      </w:pPr>
      <w:r>
        <w:rPr>
          <w:rFonts w:hint="eastAsia" w:ascii="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90" w:name="_Toc318159160"/>
      <w:bookmarkStart w:id="91" w:name="_Toc318166429"/>
      <w:bookmarkStart w:id="92" w:name="_Toc318159349"/>
      <w:bookmarkStart w:id="93" w:name="_Toc318159780"/>
    </w:p>
    <w:p>
      <w:pPr>
        <w:spacing w:line="360" w:lineRule="auto"/>
        <w:ind w:firstLine="480" w:firstLineChars="200"/>
        <w:rPr>
          <w:rFonts w:ascii="宋体"/>
          <w:sz w:val="24"/>
          <w:szCs w:val="24"/>
        </w:rPr>
      </w:pPr>
      <w:r>
        <w:rPr>
          <w:rFonts w:hint="eastAsia" w:ascii="宋体"/>
          <w:sz w:val="24"/>
          <w:szCs w:val="24"/>
        </w:rPr>
        <w:t>（四）本竞争性磋商文件中，磋商小组根据与供应商进行磋商可能实质性变动的内容为竞争性磋商文件第二、三、六篇全部内容。</w:t>
      </w:r>
    </w:p>
    <w:p>
      <w:pPr>
        <w:spacing w:line="360" w:lineRule="auto"/>
        <w:ind w:firstLine="480" w:firstLineChars="200"/>
        <w:rPr>
          <w:rFonts w:ascii="宋体"/>
          <w:sz w:val="24"/>
          <w:szCs w:val="24"/>
        </w:rPr>
      </w:pPr>
      <w:r>
        <w:rPr>
          <w:rFonts w:hint="eastAsia" w:ascii="宋体"/>
          <w:sz w:val="24"/>
          <w:szCs w:val="24"/>
        </w:rPr>
        <w:t>（五）评审的依据为竞争性磋商文件和响应文件（含有效的书面承诺）。磋商小组判断响应文件对竞争性磋商文件的响应，仅基于响应文件本身而不靠外部证据。</w:t>
      </w:r>
    </w:p>
    <w:bookmarkEnd w:id="90"/>
    <w:bookmarkEnd w:id="91"/>
    <w:bookmarkEnd w:id="92"/>
    <w:bookmarkEnd w:id="93"/>
    <w:p>
      <w:pPr>
        <w:pStyle w:val="6"/>
        <w:spacing w:before="0" w:after="0" w:line="360" w:lineRule="auto"/>
        <w:ind w:firstLine="482" w:firstLineChars="200"/>
        <w:rPr>
          <w:rFonts w:ascii="宋体"/>
          <w:sz w:val="24"/>
          <w:szCs w:val="24"/>
        </w:rPr>
      </w:pPr>
      <w:bookmarkStart w:id="94" w:name="_Toc102227318"/>
      <w:bookmarkStart w:id="95" w:name="_Toc131145279"/>
      <w:bookmarkStart w:id="96" w:name="_Toc179714297"/>
      <w:bookmarkStart w:id="97" w:name="_Toc342913392"/>
      <w:r>
        <w:rPr>
          <w:rFonts w:hint="eastAsia" w:ascii="宋体"/>
          <w:sz w:val="24"/>
          <w:szCs w:val="24"/>
        </w:rPr>
        <w:t>三、磋商要求</w:t>
      </w:r>
      <w:bookmarkEnd w:id="94"/>
      <w:bookmarkEnd w:id="95"/>
      <w:bookmarkEnd w:id="96"/>
      <w:bookmarkEnd w:id="97"/>
    </w:p>
    <w:p>
      <w:pPr>
        <w:spacing w:line="360" w:lineRule="auto"/>
        <w:ind w:firstLine="480" w:firstLineChars="200"/>
        <w:rPr>
          <w:rFonts w:ascii="宋体"/>
          <w:sz w:val="24"/>
          <w:szCs w:val="24"/>
        </w:rPr>
      </w:pPr>
      <w:r>
        <w:rPr>
          <w:rFonts w:hint="eastAsia" w:ascii="宋体"/>
          <w:sz w:val="24"/>
          <w:szCs w:val="24"/>
        </w:rPr>
        <w:t>（一）响应文件</w:t>
      </w:r>
    </w:p>
    <w:p>
      <w:pPr>
        <w:spacing w:line="360" w:lineRule="auto"/>
        <w:ind w:firstLine="480" w:firstLineChars="200"/>
        <w:rPr>
          <w:rFonts w:ascii="宋体"/>
          <w:sz w:val="24"/>
          <w:szCs w:val="24"/>
        </w:rPr>
      </w:pPr>
      <w:r>
        <w:rPr>
          <w:rFonts w:hint="eastAsia" w:ascii="宋体"/>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360" w:lineRule="auto"/>
        <w:ind w:firstLine="480" w:firstLineChars="200"/>
        <w:rPr>
          <w:rFonts w:ascii="宋体"/>
          <w:sz w:val="24"/>
          <w:szCs w:val="24"/>
        </w:rPr>
      </w:pPr>
      <w:r>
        <w:rPr>
          <w:rFonts w:hint="eastAsia" w:ascii="宋体"/>
          <w:sz w:val="24"/>
          <w:szCs w:val="24"/>
        </w:rPr>
        <w:t>2.响应文件组成</w:t>
      </w:r>
    </w:p>
    <w:p>
      <w:pPr>
        <w:spacing w:line="360" w:lineRule="auto"/>
        <w:ind w:firstLine="480" w:firstLineChars="200"/>
        <w:rPr>
          <w:rFonts w:ascii="宋体"/>
          <w:sz w:val="24"/>
          <w:szCs w:val="24"/>
        </w:rPr>
      </w:pPr>
      <w:r>
        <w:rPr>
          <w:rFonts w:hint="eastAsia" w:asci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sz w:val="24"/>
          <w:szCs w:val="24"/>
        </w:rPr>
      </w:pPr>
      <w:r>
        <w:rPr>
          <w:rFonts w:hint="eastAsia" w:ascii="宋体"/>
          <w:sz w:val="24"/>
          <w:szCs w:val="24"/>
        </w:rPr>
        <w:t>（二）联合体</w:t>
      </w:r>
    </w:p>
    <w:p>
      <w:pPr>
        <w:spacing w:line="360" w:lineRule="auto"/>
        <w:ind w:firstLine="480" w:firstLineChars="200"/>
        <w:rPr>
          <w:rFonts w:ascii="宋体"/>
          <w:sz w:val="24"/>
          <w:szCs w:val="24"/>
        </w:rPr>
      </w:pPr>
      <w:r>
        <w:rPr>
          <w:rFonts w:hint="eastAsia" w:ascii="宋体"/>
          <w:sz w:val="24"/>
          <w:szCs w:val="24"/>
        </w:rPr>
        <w:t>本项目不接受联合体磋商。</w:t>
      </w:r>
    </w:p>
    <w:p>
      <w:pPr>
        <w:spacing w:line="360" w:lineRule="auto"/>
        <w:ind w:firstLine="480" w:firstLineChars="200"/>
        <w:rPr>
          <w:rFonts w:ascii="宋体"/>
          <w:sz w:val="24"/>
          <w:szCs w:val="24"/>
        </w:rPr>
      </w:pPr>
      <w:r>
        <w:rPr>
          <w:rFonts w:hint="eastAsia" w:ascii="宋体"/>
          <w:sz w:val="24"/>
          <w:szCs w:val="24"/>
        </w:rPr>
        <w:t>（三）磋商有效期：响应文件及有关承诺文件有效期为提交响应文件截止时间起90天。</w:t>
      </w:r>
    </w:p>
    <w:p>
      <w:pPr>
        <w:spacing w:line="360" w:lineRule="auto"/>
        <w:ind w:firstLine="480" w:firstLineChars="200"/>
        <w:rPr>
          <w:rFonts w:ascii="宋体"/>
          <w:sz w:val="24"/>
          <w:szCs w:val="24"/>
        </w:rPr>
      </w:pPr>
      <w:r>
        <w:rPr>
          <w:rFonts w:hint="eastAsia" w:ascii="宋体"/>
          <w:sz w:val="24"/>
          <w:szCs w:val="24"/>
        </w:rPr>
        <w:t>（四）磋商保证金：</w:t>
      </w:r>
    </w:p>
    <w:p>
      <w:pPr>
        <w:spacing w:line="360" w:lineRule="auto"/>
        <w:ind w:firstLine="480" w:firstLineChars="200"/>
        <w:rPr>
          <w:rFonts w:ascii="宋体"/>
          <w:sz w:val="24"/>
          <w:szCs w:val="24"/>
        </w:rPr>
      </w:pPr>
      <w:r>
        <w:rPr>
          <w:rFonts w:hint="eastAsia" w:ascii="宋体"/>
          <w:sz w:val="24"/>
          <w:szCs w:val="24"/>
        </w:rPr>
        <w:t>1.供应商提交保证金金额和方式详见本文件第一篇“五、磋商保证金”；</w:t>
      </w:r>
    </w:p>
    <w:p>
      <w:pPr>
        <w:spacing w:line="360" w:lineRule="auto"/>
        <w:ind w:firstLine="480" w:firstLineChars="200"/>
        <w:rPr>
          <w:rFonts w:ascii="宋体"/>
          <w:sz w:val="24"/>
          <w:szCs w:val="24"/>
        </w:rPr>
      </w:pPr>
      <w:r>
        <w:rPr>
          <w:rFonts w:hint="eastAsia" w:ascii="宋体"/>
          <w:sz w:val="24"/>
          <w:szCs w:val="24"/>
        </w:rPr>
        <w:t>2.发生以下情况之一者，磋商保证金不予退还：</w:t>
      </w:r>
    </w:p>
    <w:p>
      <w:pPr>
        <w:spacing w:line="360" w:lineRule="auto"/>
        <w:ind w:firstLine="480" w:firstLineChars="200"/>
        <w:rPr>
          <w:rFonts w:ascii="宋体"/>
          <w:sz w:val="24"/>
          <w:szCs w:val="24"/>
        </w:rPr>
      </w:pPr>
      <w:r>
        <w:rPr>
          <w:rFonts w:hint="eastAsia" w:ascii="宋体"/>
          <w:sz w:val="24"/>
          <w:szCs w:val="24"/>
        </w:rPr>
        <w:t>2.1 供应商在提交响应文件截止时间后撤回响应文件的；</w:t>
      </w:r>
    </w:p>
    <w:p>
      <w:pPr>
        <w:spacing w:line="360" w:lineRule="auto"/>
        <w:ind w:firstLine="480" w:firstLineChars="200"/>
        <w:rPr>
          <w:rFonts w:ascii="宋体"/>
          <w:sz w:val="24"/>
          <w:szCs w:val="24"/>
        </w:rPr>
      </w:pPr>
      <w:r>
        <w:rPr>
          <w:rFonts w:hint="eastAsia" w:ascii="宋体"/>
          <w:sz w:val="24"/>
          <w:szCs w:val="24"/>
        </w:rPr>
        <w:t>2.2 供应商在响应文件中提供虚假材料的；</w:t>
      </w:r>
    </w:p>
    <w:p>
      <w:pPr>
        <w:spacing w:line="360" w:lineRule="auto"/>
        <w:ind w:firstLine="480" w:firstLineChars="200"/>
        <w:rPr>
          <w:rFonts w:ascii="宋体"/>
          <w:sz w:val="24"/>
          <w:szCs w:val="24"/>
        </w:rPr>
      </w:pPr>
      <w:r>
        <w:rPr>
          <w:rFonts w:hint="eastAsia" w:ascii="宋体"/>
          <w:sz w:val="24"/>
          <w:szCs w:val="24"/>
        </w:rPr>
        <w:t>2.3 除因不可抗力或竞争性磋商文件认可的情形以外，成交供应商不与采购人签订合同的；</w:t>
      </w:r>
    </w:p>
    <w:p>
      <w:pPr>
        <w:spacing w:line="360" w:lineRule="auto"/>
        <w:ind w:firstLine="480" w:firstLineChars="200"/>
        <w:rPr>
          <w:rFonts w:ascii="宋体"/>
          <w:sz w:val="24"/>
          <w:szCs w:val="24"/>
        </w:rPr>
      </w:pPr>
      <w:r>
        <w:rPr>
          <w:rFonts w:hint="eastAsia" w:ascii="宋体"/>
          <w:sz w:val="24"/>
          <w:szCs w:val="24"/>
        </w:rPr>
        <w:t>2.4 供应商与采购人、其他供应商或者采购代理机构恶意串通的；</w:t>
      </w:r>
    </w:p>
    <w:p>
      <w:pPr>
        <w:spacing w:line="360" w:lineRule="auto"/>
        <w:ind w:firstLine="480" w:firstLineChars="200"/>
        <w:rPr>
          <w:rFonts w:ascii="宋体"/>
          <w:sz w:val="24"/>
          <w:szCs w:val="24"/>
        </w:rPr>
      </w:pPr>
      <w:r>
        <w:rPr>
          <w:rFonts w:hint="eastAsia" w:ascii="宋体"/>
          <w:sz w:val="24"/>
          <w:szCs w:val="24"/>
        </w:rPr>
        <w:t>2.5 成交供应商不按规定的时间或拒绝按成交状态签订合同（即不按照磋商文件确定的合同文本以及采购标的、规格型号、采购金额、采购数量、技术和服务要求等事项签订政府采购合同的）。</w:t>
      </w:r>
    </w:p>
    <w:p>
      <w:pPr>
        <w:spacing w:line="360" w:lineRule="auto"/>
        <w:ind w:firstLine="480" w:firstLineChars="200"/>
        <w:rPr>
          <w:rFonts w:ascii="宋体"/>
          <w:sz w:val="24"/>
          <w:szCs w:val="24"/>
        </w:rPr>
      </w:pPr>
      <w:r>
        <w:rPr>
          <w:rFonts w:hint="eastAsia" w:ascii="宋体"/>
          <w:sz w:val="24"/>
          <w:szCs w:val="24"/>
        </w:rPr>
        <w:t>（四）修正错误</w:t>
      </w:r>
    </w:p>
    <w:p>
      <w:pPr>
        <w:spacing w:line="360" w:lineRule="auto"/>
        <w:ind w:firstLine="480" w:firstLineChars="200"/>
        <w:rPr>
          <w:rFonts w:ascii="宋体"/>
          <w:sz w:val="24"/>
          <w:szCs w:val="24"/>
        </w:rPr>
      </w:pPr>
      <w:r>
        <w:rPr>
          <w:rFonts w:hint="eastAsia" w:ascii="宋体"/>
          <w:sz w:val="24"/>
          <w:szCs w:val="24"/>
        </w:rPr>
        <w:t>1.若供应商所递交的响应文件或最后报价中的价格出现大写金额和小写金额不一致的错误，以大写金额修正为准。</w:t>
      </w:r>
    </w:p>
    <w:p>
      <w:pPr>
        <w:spacing w:line="360" w:lineRule="auto"/>
        <w:ind w:firstLine="480" w:firstLineChars="200"/>
        <w:rPr>
          <w:rFonts w:ascii="宋体"/>
          <w:sz w:val="24"/>
          <w:szCs w:val="24"/>
        </w:rPr>
      </w:pPr>
      <w:r>
        <w:rPr>
          <w:rFonts w:hint="eastAsia" w:asci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sz w:val="24"/>
          <w:szCs w:val="24"/>
        </w:rPr>
      </w:pPr>
      <w:r>
        <w:rPr>
          <w:rFonts w:hint="eastAsia" w:ascii="宋体"/>
          <w:sz w:val="24"/>
          <w:szCs w:val="24"/>
        </w:rPr>
        <w:t>（五）提交响应文件的份数和签署</w:t>
      </w:r>
    </w:p>
    <w:p>
      <w:pPr>
        <w:snapToGrid w:val="0"/>
        <w:spacing w:line="360" w:lineRule="auto"/>
        <w:ind w:firstLine="480" w:firstLineChars="200"/>
        <w:rPr>
          <w:rFonts w:ascii="宋体"/>
          <w:sz w:val="24"/>
          <w:szCs w:val="24"/>
        </w:rPr>
      </w:pPr>
      <w:r>
        <w:rPr>
          <w:rFonts w:hint="eastAsia" w:ascii="宋体"/>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sz w:val="24"/>
          <w:szCs w:val="24"/>
        </w:rPr>
      </w:pPr>
      <w:r>
        <w:rPr>
          <w:rFonts w:hint="eastAsia" w:ascii="宋体"/>
          <w:sz w:val="24"/>
          <w:szCs w:val="24"/>
        </w:rPr>
        <w:t>2.</w:t>
      </w:r>
      <w:r>
        <w:rPr>
          <w:rFonts w:hint="eastAsia" w:ascii="宋体"/>
          <w:sz w:val="24"/>
        </w:rPr>
        <w:t>在响应文件正本中，竞争性磋商文件第七篇响应文件编制要求中规定签字、盖章的地方必须按其规定签字、盖章。</w:t>
      </w:r>
    </w:p>
    <w:p>
      <w:pPr>
        <w:snapToGrid w:val="0"/>
        <w:spacing w:line="360" w:lineRule="auto"/>
        <w:ind w:firstLine="480" w:firstLineChars="200"/>
        <w:rPr>
          <w:rFonts w:ascii="宋体"/>
          <w:sz w:val="24"/>
          <w:szCs w:val="24"/>
        </w:rPr>
      </w:pPr>
      <w:r>
        <w:rPr>
          <w:rFonts w:hint="eastAsia" w:ascii="宋体"/>
          <w:sz w:val="24"/>
          <w:szCs w:val="24"/>
        </w:rPr>
        <w:t>（六）响应文件的递交</w:t>
      </w:r>
    </w:p>
    <w:p>
      <w:pPr>
        <w:snapToGrid w:val="0"/>
        <w:spacing w:line="360" w:lineRule="auto"/>
        <w:ind w:firstLine="480" w:firstLineChars="200"/>
        <w:rPr>
          <w:rFonts w:ascii="宋体"/>
          <w:sz w:val="24"/>
          <w:szCs w:val="24"/>
        </w:rPr>
      </w:pPr>
      <w:r>
        <w:rPr>
          <w:rFonts w:hint="eastAsia" w:ascii="宋体"/>
          <w:sz w:val="24"/>
          <w:szCs w:val="24"/>
        </w:rPr>
        <w:t>1.响应文件的密封与标记</w:t>
      </w:r>
    </w:p>
    <w:p>
      <w:pPr>
        <w:snapToGrid w:val="0"/>
        <w:spacing w:line="360" w:lineRule="auto"/>
        <w:ind w:firstLine="480" w:firstLineChars="200"/>
        <w:rPr>
          <w:rFonts w:ascii="宋体"/>
          <w:sz w:val="24"/>
          <w:szCs w:val="24"/>
        </w:rPr>
      </w:pPr>
      <w:r>
        <w:rPr>
          <w:rFonts w:hint="eastAsia" w:ascii="宋体"/>
          <w:sz w:val="24"/>
          <w:szCs w:val="24"/>
        </w:rPr>
        <w:t>响应文件的正本、副本均采用信封分别密封。信封上注明项目名称、供应商名称、“正本”、“副本”字样。信封的封口应加盖供应商公章或法人授权代表签字。</w:t>
      </w:r>
    </w:p>
    <w:p>
      <w:pPr>
        <w:snapToGrid w:val="0"/>
        <w:spacing w:line="360" w:lineRule="auto"/>
        <w:ind w:firstLine="480" w:firstLineChars="200"/>
        <w:rPr>
          <w:rFonts w:ascii="宋体"/>
          <w:sz w:val="24"/>
          <w:szCs w:val="24"/>
        </w:rPr>
      </w:pPr>
      <w:r>
        <w:rPr>
          <w:rFonts w:hint="eastAsia" w:ascii="宋体"/>
          <w:sz w:val="24"/>
          <w:szCs w:val="24"/>
        </w:rPr>
        <w:t>响应文件的装订形式为</w:t>
      </w:r>
      <w:r>
        <w:rPr>
          <w:rFonts w:hint="eastAsia" w:ascii="宋体"/>
          <w:b/>
          <w:sz w:val="24"/>
          <w:szCs w:val="24"/>
        </w:rPr>
        <w:t>胶装</w:t>
      </w:r>
      <w:r>
        <w:rPr>
          <w:rFonts w:hint="eastAsia" w:ascii="宋体"/>
          <w:sz w:val="24"/>
          <w:szCs w:val="24"/>
        </w:rPr>
        <w:t>。</w:t>
      </w:r>
    </w:p>
    <w:p>
      <w:pPr>
        <w:snapToGrid w:val="0"/>
        <w:spacing w:line="360" w:lineRule="auto"/>
        <w:ind w:firstLine="480" w:firstLineChars="200"/>
        <w:rPr>
          <w:rFonts w:ascii="宋体"/>
          <w:sz w:val="24"/>
          <w:szCs w:val="24"/>
        </w:rPr>
      </w:pPr>
      <w:r>
        <w:rPr>
          <w:rFonts w:hint="eastAsia" w:ascii="宋体"/>
          <w:sz w:val="24"/>
          <w:szCs w:val="24"/>
        </w:rPr>
        <w:t>2.响应文件递交截止时间：参阅采购邀请书。</w:t>
      </w:r>
    </w:p>
    <w:p>
      <w:pPr>
        <w:snapToGrid w:val="0"/>
        <w:spacing w:line="360" w:lineRule="auto"/>
        <w:ind w:firstLine="480" w:firstLineChars="200"/>
        <w:rPr>
          <w:rFonts w:ascii="宋体"/>
          <w:sz w:val="24"/>
          <w:szCs w:val="24"/>
        </w:rPr>
      </w:pPr>
      <w:r>
        <w:rPr>
          <w:rFonts w:hint="eastAsia" w:ascii="宋体"/>
          <w:sz w:val="24"/>
          <w:szCs w:val="24"/>
        </w:rPr>
        <w:t>3.响应文件语言：简体中文</w:t>
      </w:r>
    </w:p>
    <w:p>
      <w:pPr>
        <w:snapToGrid w:val="0"/>
        <w:spacing w:line="360" w:lineRule="auto"/>
        <w:ind w:firstLine="480" w:firstLineChars="200"/>
        <w:rPr>
          <w:rFonts w:ascii="宋体"/>
          <w:sz w:val="24"/>
          <w:szCs w:val="24"/>
        </w:rPr>
      </w:pPr>
      <w:r>
        <w:rPr>
          <w:rFonts w:hint="eastAsia" w:ascii="宋体"/>
          <w:sz w:val="24"/>
          <w:szCs w:val="24"/>
        </w:rPr>
        <w:t>（七）供应商参与人员</w:t>
      </w:r>
    </w:p>
    <w:p>
      <w:pPr>
        <w:snapToGrid w:val="0"/>
        <w:spacing w:line="360" w:lineRule="auto"/>
        <w:ind w:firstLine="480" w:firstLineChars="200"/>
        <w:rPr>
          <w:rFonts w:ascii="宋体"/>
          <w:sz w:val="24"/>
          <w:szCs w:val="24"/>
        </w:rPr>
      </w:pPr>
      <w:r>
        <w:rPr>
          <w:rFonts w:hint="eastAsia" w:ascii="宋体"/>
          <w:sz w:val="24"/>
          <w:szCs w:val="24"/>
        </w:rPr>
        <w:t>各个供应商可派1-2名代表参与磋商，至少1人应为法定代表人或具有法定代表人授权委托书的授权代表。</w:t>
      </w:r>
    </w:p>
    <w:p>
      <w:pPr>
        <w:pStyle w:val="6"/>
        <w:spacing w:before="0" w:after="0" w:line="360" w:lineRule="auto"/>
        <w:ind w:firstLine="482" w:firstLineChars="200"/>
        <w:rPr>
          <w:rFonts w:ascii="宋体"/>
          <w:sz w:val="24"/>
          <w:szCs w:val="24"/>
        </w:rPr>
      </w:pPr>
      <w:bookmarkStart w:id="98" w:name="_Toc131145280"/>
      <w:r>
        <w:rPr>
          <w:rFonts w:hint="eastAsia" w:ascii="宋体"/>
          <w:sz w:val="24"/>
          <w:szCs w:val="24"/>
        </w:rPr>
        <w:t>四、成交供应商的确认和变更</w:t>
      </w:r>
      <w:bookmarkEnd w:id="98"/>
    </w:p>
    <w:p>
      <w:pPr>
        <w:snapToGrid w:val="0"/>
        <w:spacing w:line="360" w:lineRule="auto"/>
        <w:ind w:firstLine="480" w:firstLineChars="200"/>
        <w:rPr>
          <w:rFonts w:ascii="宋体"/>
          <w:sz w:val="24"/>
          <w:szCs w:val="24"/>
        </w:rPr>
      </w:pPr>
      <w:r>
        <w:rPr>
          <w:rFonts w:hint="eastAsia" w:ascii="宋体"/>
          <w:sz w:val="24"/>
          <w:szCs w:val="24"/>
        </w:rPr>
        <w:t>（一）成交供应商的确认</w:t>
      </w:r>
    </w:p>
    <w:p>
      <w:pPr>
        <w:snapToGrid w:val="0"/>
        <w:spacing w:line="360" w:lineRule="auto"/>
        <w:ind w:firstLine="480" w:firstLineChars="200"/>
        <w:rPr>
          <w:rFonts w:ascii="宋体"/>
          <w:sz w:val="24"/>
          <w:szCs w:val="24"/>
        </w:rPr>
      </w:pPr>
      <w:r>
        <w:rPr>
          <w:rFonts w:ascii="宋体"/>
          <w:sz w:val="24"/>
          <w:szCs w:val="24"/>
        </w:rPr>
        <w:t>采购代理机构应当在评审结束后2个工作日内将评审报告送采购人确认。采购人应当在收到评审报告后5个工作日内</w:t>
      </w:r>
      <w:r>
        <w:rPr>
          <w:rFonts w:hint="eastAsia" w:ascii="宋体"/>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sz w:val="24"/>
          <w:szCs w:val="24"/>
        </w:rPr>
      </w:pPr>
      <w:r>
        <w:rPr>
          <w:rFonts w:hint="eastAsia" w:ascii="宋体"/>
          <w:sz w:val="24"/>
          <w:szCs w:val="24"/>
        </w:rPr>
        <w:t>（二）成交供应商的变更</w:t>
      </w:r>
    </w:p>
    <w:p>
      <w:pPr>
        <w:snapToGrid w:val="0"/>
        <w:spacing w:line="360" w:lineRule="auto"/>
        <w:ind w:firstLine="480" w:firstLineChars="200"/>
        <w:rPr>
          <w:rFonts w:ascii="宋体"/>
          <w:sz w:val="24"/>
          <w:szCs w:val="24"/>
        </w:rPr>
      </w:pPr>
      <w:r>
        <w:rPr>
          <w:rFonts w:hint="eastAsia" w:asci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sz w:val="24"/>
          <w:szCs w:val="24"/>
        </w:rPr>
      </w:pPr>
      <w:r>
        <w:rPr>
          <w:rFonts w:hint="eastAsia" w:ascii="宋体"/>
          <w:sz w:val="24"/>
          <w:szCs w:val="24"/>
        </w:rPr>
        <w:t>2.成交供应商无充分理由放弃成交的，采购人将会同采购代理机构把相关情况报主管部门，主管部门将根据相关法律法规的规定对违规供应商进行处罚。</w:t>
      </w:r>
    </w:p>
    <w:p>
      <w:pPr>
        <w:pStyle w:val="6"/>
        <w:spacing w:before="0" w:after="0" w:line="360" w:lineRule="auto"/>
        <w:ind w:firstLine="482" w:firstLineChars="200"/>
        <w:rPr>
          <w:rFonts w:ascii="宋体"/>
          <w:sz w:val="24"/>
          <w:szCs w:val="24"/>
        </w:rPr>
      </w:pPr>
      <w:bookmarkStart w:id="99" w:name="_Toc102227321"/>
      <w:bookmarkStart w:id="100" w:name="_Toc342913395"/>
      <w:bookmarkStart w:id="101" w:name="_Toc131145281"/>
      <w:r>
        <w:rPr>
          <w:rFonts w:hint="eastAsia" w:ascii="宋体"/>
          <w:sz w:val="24"/>
          <w:szCs w:val="24"/>
        </w:rPr>
        <w:t>五、成交通知</w:t>
      </w:r>
      <w:bookmarkEnd w:id="99"/>
      <w:bookmarkEnd w:id="100"/>
      <w:bookmarkEnd w:id="101"/>
    </w:p>
    <w:p>
      <w:pPr>
        <w:spacing w:line="360" w:lineRule="auto"/>
        <w:ind w:firstLine="480" w:firstLineChars="200"/>
        <w:rPr>
          <w:rFonts w:ascii="宋体"/>
          <w:sz w:val="24"/>
          <w:szCs w:val="24"/>
        </w:rPr>
      </w:pPr>
      <w:r>
        <w:rPr>
          <w:rFonts w:hint="eastAsia" w:ascii="宋体"/>
          <w:sz w:val="24"/>
          <w:szCs w:val="24"/>
        </w:rPr>
        <w:t>（一）成交供应商确定后，采购代理机构将在重庆市无线电监测站网上发布成交结果公告。</w:t>
      </w:r>
    </w:p>
    <w:p>
      <w:pPr>
        <w:spacing w:line="360" w:lineRule="auto"/>
        <w:ind w:firstLine="480" w:firstLineChars="200"/>
        <w:rPr>
          <w:rFonts w:ascii="宋体"/>
          <w:sz w:val="24"/>
          <w:szCs w:val="24"/>
        </w:rPr>
      </w:pPr>
      <w:r>
        <w:rPr>
          <w:rFonts w:hint="eastAsia" w:ascii="宋体"/>
          <w:sz w:val="24"/>
          <w:szCs w:val="24"/>
        </w:rPr>
        <w:t>（二）结果公告期结束后，采购代理机构将以书面形式发出《成交通知书》。《成交通知书》一经发出即发生法律效力。</w:t>
      </w:r>
    </w:p>
    <w:p>
      <w:pPr>
        <w:spacing w:line="360" w:lineRule="auto"/>
        <w:ind w:firstLine="480" w:firstLineChars="200"/>
        <w:rPr>
          <w:rFonts w:ascii="宋体"/>
          <w:sz w:val="24"/>
          <w:szCs w:val="24"/>
        </w:rPr>
      </w:pPr>
      <w:r>
        <w:rPr>
          <w:rFonts w:hint="eastAsia" w:ascii="宋体"/>
          <w:sz w:val="24"/>
          <w:szCs w:val="24"/>
        </w:rPr>
        <w:t>（三）《成交通知书》将作为签订合同的依据。</w:t>
      </w:r>
    </w:p>
    <w:p>
      <w:pPr>
        <w:spacing w:line="360" w:lineRule="auto"/>
        <w:ind w:firstLine="480" w:firstLineChars="200"/>
        <w:rPr>
          <w:rFonts w:ascii="宋体"/>
        </w:rPr>
      </w:pPr>
      <w:r>
        <w:rPr>
          <w:rFonts w:hint="eastAsia" w:ascii="宋体"/>
          <w:sz w:val="24"/>
          <w:szCs w:val="24"/>
        </w:rPr>
        <w:t>（四）如有供应商对成交结果提出质疑的，在质疑处理完毕后发出成交通知书。</w:t>
      </w:r>
    </w:p>
    <w:p>
      <w:pPr>
        <w:pStyle w:val="6"/>
        <w:spacing w:before="0" w:after="0" w:line="360" w:lineRule="auto"/>
        <w:ind w:firstLine="482" w:firstLineChars="200"/>
        <w:rPr>
          <w:rFonts w:ascii="宋体"/>
          <w:sz w:val="24"/>
          <w:szCs w:val="24"/>
        </w:rPr>
      </w:pPr>
      <w:bookmarkStart w:id="102" w:name="_Toc131145282"/>
      <w:r>
        <w:rPr>
          <w:rFonts w:hint="eastAsia" w:ascii="宋体"/>
          <w:sz w:val="24"/>
          <w:szCs w:val="24"/>
        </w:rPr>
        <w:t>六、关于质疑和投诉</w:t>
      </w:r>
      <w:bookmarkEnd w:id="102"/>
    </w:p>
    <w:p>
      <w:pPr>
        <w:spacing w:line="360" w:lineRule="auto"/>
        <w:ind w:firstLine="480" w:firstLineChars="200"/>
        <w:rPr>
          <w:rFonts w:ascii="宋体"/>
          <w:sz w:val="24"/>
          <w:szCs w:val="24"/>
        </w:rPr>
      </w:pPr>
      <w:r>
        <w:rPr>
          <w:rFonts w:hint="eastAsia" w:ascii="宋体"/>
          <w:sz w:val="24"/>
          <w:szCs w:val="24"/>
        </w:rPr>
        <w:t>（一）质疑</w:t>
      </w:r>
    </w:p>
    <w:p>
      <w:pPr>
        <w:spacing w:line="360" w:lineRule="auto"/>
        <w:ind w:firstLine="570"/>
        <w:rPr>
          <w:rFonts w:ascii="宋体"/>
          <w:sz w:val="24"/>
          <w:szCs w:val="24"/>
        </w:rPr>
      </w:pPr>
      <w:r>
        <w:rPr>
          <w:rFonts w:hint="eastAsia" w:ascii="宋体"/>
          <w:sz w:val="24"/>
          <w:szCs w:val="24"/>
        </w:rPr>
        <w:t>供应商认为磋商文件、采购过程和成交结果使自己的权益受</w:t>
      </w:r>
      <w:bookmarkStart w:id="160" w:name="_GoBack"/>
      <w:bookmarkEnd w:id="160"/>
      <w:r>
        <w:rPr>
          <w:rFonts w:hint="eastAsia" w:ascii="宋体"/>
          <w:sz w:val="24"/>
          <w:szCs w:val="24"/>
        </w:rPr>
        <w:t>到伤害的，可向采购人或采购代理机构以书面形式提出质疑。</w:t>
      </w:r>
    </w:p>
    <w:p>
      <w:pPr>
        <w:spacing w:line="360" w:lineRule="auto"/>
        <w:ind w:firstLine="570"/>
        <w:rPr>
          <w:rFonts w:ascii="宋体"/>
          <w:sz w:val="24"/>
          <w:szCs w:val="24"/>
        </w:rPr>
      </w:pPr>
      <w:r>
        <w:rPr>
          <w:rFonts w:hint="eastAsia" w:ascii="宋体"/>
          <w:sz w:val="24"/>
          <w:szCs w:val="24"/>
        </w:rPr>
        <w:t>提出质疑的应当是参与所质疑项目采购活动的供应商。</w:t>
      </w:r>
    </w:p>
    <w:p>
      <w:pPr>
        <w:spacing w:line="360" w:lineRule="auto"/>
        <w:ind w:firstLine="570"/>
        <w:rPr>
          <w:rFonts w:ascii="宋体"/>
          <w:sz w:val="24"/>
          <w:szCs w:val="24"/>
        </w:rPr>
      </w:pPr>
      <w:r>
        <w:rPr>
          <w:rFonts w:hint="eastAsia" w:ascii="宋体"/>
          <w:sz w:val="24"/>
          <w:szCs w:val="24"/>
        </w:rPr>
        <w:t>1.质疑内容、时限</w:t>
      </w:r>
    </w:p>
    <w:p>
      <w:pPr>
        <w:spacing w:line="360" w:lineRule="auto"/>
        <w:ind w:firstLine="570"/>
        <w:rPr>
          <w:rFonts w:ascii="宋体"/>
          <w:sz w:val="24"/>
          <w:szCs w:val="24"/>
        </w:rPr>
      </w:pPr>
      <w:r>
        <w:rPr>
          <w:rFonts w:hint="eastAsia" w:ascii="宋体"/>
          <w:sz w:val="24"/>
          <w:szCs w:val="24"/>
        </w:rPr>
        <w:t>1.1供应商认为磋商文件、采购过程、成交结果使自己的权益受到损害的，可以在知道或者应知其权益受到损害之日起7个工作日内，以书面形式向采购人、采购代理机构提出质疑。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sz w:val="24"/>
          <w:szCs w:val="24"/>
        </w:rPr>
      </w:pPr>
      <w:r>
        <w:rPr>
          <w:rFonts w:hint="eastAsia" w:ascii="宋体"/>
          <w:sz w:val="24"/>
          <w:szCs w:val="24"/>
        </w:rPr>
        <w:t>1.2 供应商提出质疑应当提交质疑函和必要的证明材料，质疑函应当包括下列内容：</w:t>
      </w:r>
    </w:p>
    <w:p>
      <w:pPr>
        <w:spacing w:line="360" w:lineRule="auto"/>
        <w:ind w:firstLine="570"/>
        <w:rPr>
          <w:rFonts w:ascii="宋体"/>
          <w:sz w:val="24"/>
          <w:szCs w:val="24"/>
        </w:rPr>
      </w:pPr>
      <w:r>
        <w:rPr>
          <w:rFonts w:hint="eastAsia" w:ascii="宋体"/>
          <w:sz w:val="24"/>
          <w:szCs w:val="24"/>
        </w:rPr>
        <w:t>（1）供应商的姓名或者名称、地址、邮编、联系人及联系电话；</w:t>
      </w:r>
    </w:p>
    <w:p>
      <w:pPr>
        <w:spacing w:line="360" w:lineRule="auto"/>
        <w:ind w:firstLine="570"/>
        <w:rPr>
          <w:rFonts w:ascii="宋体"/>
          <w:sz w:val="24"/>
          <w:szCs w:val="24"/>
        </w:rPr>
      </w:pPr>
      <w:r>
        <w:rPr>
          <w:rFonts w:hint="eastAsia" w:ascii="宋体"/>
          <w:sz w:val="24"/>
          <w:szCs w:val="24"/>
        </w:rPr>
        <w:t>（2）质疑项目的名称、项目号以及招标项目编号；</w:t>
      </w:r>
    </w:p>
    <w:p>
      <w:pPr>
        <w:spacing w:line="360" w:lineRule="auto"/>
        <w:ind w:firstLine="570"/>
        <w:rPr>
          <w:rFonts w:ascii="宋体"/>
          <w:sz w:val="24"/>
          <w:szCs w:val="24"/>
        </w:rPr>
      </w:pPr>
      <w:r>
        <w:rPr>
          <w:rFonts w:hint="eastAsia" w:ascii="宋体"/>
          <w:sz w:val="24"/>
          <w:szCs w:val="24"/>
        </w:rPr>
        <w:t>（3）具体、明确的质疑事项和与质疑事项相关的请求；</w:t>
      </w:r>
    </w:p>
    <w:p>
      <w:pPr>
        <w:spacing w:line="360" w:lineRule="auto"/>
        <w:ind w:firstLine="570"/>
        <w:rPr>
          <w:rFonts w:ascii="宋体"/>
          <w:sz w:val="24"/>
          <w:szCs w:val="24"/>
        </w:rPr>
      </w:pPr>
      <w:r>
        <w:rPr>
          <w:rFonts w:hint="eastAsia" w:ascii="宋体"/>
          <w:sz w:val="24"/>
          <w:szCs w:val="24"/>
        </w:rPr>
        <w:t>（4）事实依据；</w:t>
      </w:r>
    </w:p>
    <w:p>
      <w:pPr>
        <w:spacing w:line="360" w:lineRule="auto"/>
        <w:ind w:firstLine="570"/>
        <w:rPr>
          <w:rFonts w:ascii="宋体"/>
          <w:sz w:val="24"/>
          <w:szCs w:val="24"/>
        </w:rPr>
      </w:pPr>
      <w:r>
        <w:rPr>
          <w:rFonts w:hint="eastAsia" w:ascii="宋体"/>
          <w:sz w:val="24"/>
          <w:szCs w:val="24"/>
        </w:rPr>
        <w:t>（5）必要的法律依据；</w:t>
      </w:r>
    </w:p>
    <w:p>
      <w:pPr>
        <w:spacing w:line="360" w:lineRule="auto"/>
        <w:ind w:firstLine="570"/>
        <w:rPr>
          <w:rFonts w:ascii="宋体"/>
          <w:sz w:val="24"/>
          <w:szCs w:val="24"/>
        </w:rPr>
      </w:pPr>
      <w:r>
        <w:rPr>
          <w:rFonts w:hint="eastAsia" w:ascii="宋体"/>
          <w:sz w:val="24"/>
          <w:szCs w:val="24"/>
        </w:rPr>
        <w:t>（6）提出质疑的日期；</w:t>
      </w:r>
    </w:p>
    <w:p>
      <w:pPr>
        <w:spacing w:line="360" w:lineRule="auto"/>
        <w:ind w:firstLine="570"/>
        <w:rPr>
          <w:rFonts w:ascii="宋体"/>
          <w:sz w:val="24"/>
          <w:szCs w:val="24"/>
        </w:rPr>
      </w:pPr>
      <w:r>
        <w:rPr>
          <w:rFonts w:hint="eastAsia" w:ascii="宋体"/>
          <w:sz w:val="24"/>
          <w:szCs w:val="24"/>
        </w:rPr>
        <w:t>（7）营业执照（或事业单位法人证书，或个体工商户营业执照或有效的自然人身份证明）复印件；</w:t>
      </w:r>
    </w:p>
    <w:p>
      <w:pPr>
        <w:spacing w:line="360" w:lineRule="auto"/>
        <w:ind w:firstLine="570"/>
        <w:rPr>
          <w:rFonts w:ascii="宋体"/>
          <w:sz w:val="24"/>
          <w:szCs w:val="24"/>
        </w:rPr>
      </w:pPr>
      <w:r>
        <w:rPr>
          <w:rFonts w:hint="eastAsia" w:ascii="宋体"/>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sz w:val="24"/>
          <w:szCs w:val="24"/>
        </w:rPr>
      </w:pPr>
      <w:r>
        <w:rPr>
          <w:rFonts w:hint="eastAsia" w:ascii="宋体"/>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sz w:val="24"/>
          <w:szCs w:val="24"/>
        </w:rPr>
      </w:pPr>
      <w:r>
        <w:rPr>
          <w:rFonts w:hint="eastAsia" w:ascii="宋体"/>
          <w:sz w:val="24"/>
          <w:szCs w:val="24"/>
        </w:rPr>
        <w:t>2.质疑答复</w:t>
      </w:r>
    </w:p>
    <w:p>
      <w:pPr>
        <w:spacing w:line="360" w:lineRule="auto"/>
        <w:ind w:firstLine="570"/>
        <w:rPr>
          <w:rFonts w:ascii="宋体"/>
          <w:sz w:val="24"/>
          <w:szCs w:val="24"/>
        </w:rPr>
      </w:pPr>
      <w:r>
        <w:rPr>
          <w:rFonts w:hint="eastAsia" w:ascii="宋体"/>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sz w:val="24"/>
          <w:szCs w:val="24"/>
        </w:rPr>
      </w:pPr>
      <w:r>
        <w:rPr>
          <w:rFonts w:hint="eastAsia" w:ascii="宋体"/>
          <w:sz w:val="24"/>
          <w:szCs w:val="24"/>
        </w:rPr>
        <w:t>3.其他</w:t>
      </w:r>
    </w:p>
    <w:p>
      <w:pPr>
        <w:spacing w:line="360" w:lineRule="auto"/>
        <w:ind w:firstLine="570"/>
        <w:rPr>
          <w:rFonts w:ascii="宋体"/>
          <w:sz w:val="24"/>
          <w:szCs w:val="24"/>
        </w:rPr>
      </w:pPr>
      <w:r>
        <w:rPr>
          <w:rFonts w:hint="eastAsia" w:ascii="宋体"/>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sz w:val="24"/>
          <w:szCs w:val="24"/>
        </w:rPr>
      </w:pPr>
      <w:r>
        <w:rPr>
          <w:rFonts w:hint="eastAsia" w:ascii="宋体"/>
          <w:sz w:val="24"/>
          <w:szCs w:val="24"/>
        </w:rPr>
        <w:t>3.2 质疑函范本可在财政部门户网站和中国政府采购网下载。</w:t>
      </w:r>
    </w:p>
    <w:p>
      <w:pPr>
        <w:spacing w:line="360" w:lineRule="auto"/>
        <w:ind w:firstLine="570"/>
        <w:rPr>
          <w:rFonts w:ascii="宋体"/>
          <w:sz w:val="24"/>
          <w:szCs w:val="24"/>
        </w:rPr>
      </w:pPr>
      <w:r>
        <w:rPr>
          <w:rFonts w:hint="eastAsia" w:ascii="宋体"/>
          <w:sz w:val="24"/>
          <w:szCs w:val="24"/>
        </w:rPr>
        <w:t>（二）投诉</w:t>
      </w:r>
    </w:p>
    <w:p>
      <w:pPr>
        <w:spacing w:line="360" w:lineRule="auto"/>
        <w:ind w:firstLine="570"/>
        <w:rPr>
          <w:rFonts w:ascii="宋体"/>
          <w:sz w:val="24"/>
          <w:szCs w:val="24"/>
        </w:rPr>
      </w:pPr>
      <w:r>
        <w:rPr>
          <w:rFonts w:ascii="宋体"/>
          <w:sz w:val="24"/>
          <w:szCs w:val="24"/>
        </w:rPr>
        <w:t>1.</w:t>
      </w:r>
      <w:r>
        <w:rPr>
          <w:rFonts w:hint="eastAsia" w:ascii="宋体"/>
          <w:sz w:val="24"/>
          <w:szCs w:val="24"/>
        </w:rPr>
        <w:t>供应商对采购人、采购代理机构的答复不满意，或者采购人、采购代理机构未在规定时间内作出答复的，可以在答复期满后</w:t>
      </w:r>
      <w:r>
        <w:rPr>
          <w:rFonts w:ascii="宋体"/>
          <w:sz w:val="24"/>
          <w:szCs w:val="24"/>
        </w:rPr>
        <w:t>15</w:t>
      </w:r>
      <w:r>
        <w:rPr>
          <w:rFonts w:hint="eastAsia" w:ascii="宋体"/>
          <w:sz w:val="24"/>
          <w:szCs w:val="24"/>
        </w:rPr>
        <w:t>个工作日内按照相关法律法规向主管部门提起投诉。</w:t>
      </w:r>
    </w:p>
    <w:p>
      <w:pPr>
        <w:spacing w:line="360" w:lineRule="auto"/>
        <w:ind w:firstLine="570"/>
        <w:rPr>
          <w:rFonts w:ascii="宋体"/>
          <w:sz w:val="24"/>
          <w:szCs w:val="24"/>
        </w:rPr>
      </w:pPr>
      <w:r>
        <w:rPr>
          <w:rFonts w:ascii="宋体"/>
          <w:sz w:val="24"/>
          <w:szCs w:val="24"/>
        </w:rPr>
        <w:t>2.</w:t>
      </w:r>
      <w:r>
        <w:rPr>
          <w:rFonts w:hint="eastAsia" w:ascii="宋体"/>
          <w:sz w:val="24"/>
          <w:szCs w:val="24"/>
        </w:rPr>
        <w:t>供应商应按照《政府采购质疑和投诉办法》（财政部令第</w:t>
      </w:r>
      <w:r>
        <w:rPr>
          <w:rFonts w:ascii="宋体"/>
          <w:sz w:val="24"/>
          <w:szCs w:val="24"/>
        </w:rPr>
        <w:t>94</w:t>
      </w:r>
      <w:r>
        <w:rPr>
          <w:rFonts w:hint="eastAsia" w:ascii="宋体"/>
          <w:sz w:val="24"/>
          <w:szCs w:val="24"/>
        </w:rPr>
        <w:t>号）及相关法律法规要求递交投诉书和必要的证明材料。投诉书范本可在财政部门户网站和中国政府采购网下载。</w:t>
      </w:r>
    </w:p>
    <w:p>
      <w:pPr>
        <w:spacing w:line="360" w:lineRule="auto"/>
        <w:ind w:firstLine="570"/>
        <w:rPr>
          <w:rFonts w:ascii="宋体"/>
          <w:sz w:val="24"/>
          <w:szCs w:val="24"/>
        </w:rPr>
      </w:pPr>
      <w:r>
        <w:rPr>
          <w:rFonts w:ascii="宋体"/>
          <w:sz w:val="24"/>
          <w:szCs w:val="24"/>
        </w:rPr>
        <w:t>3.</w:t>
      </w:r>
      <w:r>
        <w:rPr>
          <w:rFonts w:hint="eastAsia" w:ascii="宋体"/>
          <w:sz w:val="24"/>
          <w:szCs w:val="24"/>
        </w:rPr>
        <w:t>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pStyle w:val="6"/>
        <w:spacing w:before="0" w:after="0" w:line="360" w:lineRule="auto"/>
        <w:ind w:firstLine="482" w:firstLineChars="200"/>
        <w:rPr>
          <w:rFonts w:ascii="宋体"/>
          <w:sz w:val="24"/>
          <w:szCs w:val="24"/>
        </w:rPr>
      </w:pPr>
      <w:bookmarkStart w:id="103" w:name="_Toc131145283"/>
      <w:r>
        <w:rPr>
          <w:rFonts w:hint="eastAsia" w:ascii="宋体"/>
          <w:sz w:val="24"/>
          <w:szCs w:val="24"/>
        </w:rPr>
        <w:t>七、采购代理服务费</w:t>
      </w:r>
      <w:bookmarkEnd w:id="103"/>
    </w:p>
    <w:p>
      <w:pPr>
        <w:spacing w:line="360" w:lineRule="auto"/>
        <w:ind w:firstLine="480" w:firstLineChars="200"/>
        <w:rPr>
          <w:rFonts w:ascii="宋体"/>
          <w:sz w:val="24"/>
        </w:rPr>
      </w:pPr>
      <w:r>
        <w:rPr>
          <w:rFonts w:hint="eastAsia" w:ascii="宋体"/>
          <w:sz w:val="24"/>
        </w:rPr>
        <w:t>（一）招标代理服务费标准</w:t>
      </w:r>
    </w:p>
    <w:p>
      <w:pPr>
        <w:spacing w:line="360" w:lineRule="auto"/>
        <w:ind w:firstLine="480" w:firstLineChars="200"/>
        <w:rPr>
          <w:rFonts w:ascii="宋体"/>
          <w:sz w:val="24"/>
        </w:rPr>
      </w:pPr>
      <w:r>
        <w:rPr>
          <w:rFonts w:hint="eastAsia" w:ascii="宋体"/>
          <w:sz w:val="24"/>
        </w:rPr>
        <w:t>供应商中标后向采购代理机构缴纳招标代理服务费，招标代理服务费的收取标准按照以下标准执行:</w:t>
      </w:r>
    </w:p>
    <w:tbl>
      <w:tblPr>
        <w:tblStyle w:val="6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810" w:type="dxa"/>
            <w:tcBorders>
              <w:tl2br w:val="single" w:color="auto" w:sz="4" w:space="0"/>
            </w:tcBorders>
          </w:tcPr>
          <w:p>
            <w:pPr>
              <w:spacing w:line="240" w:lineRule="atLeast"/>
              <w:jc w:val="right"/>
              <w:rPr>
                <w:rFonts w:ascii="宋体"/>
                <w:sz w:val="21"/>
                <w:szCs w:val="21"/>
              </w:rPr>
            </w:pPr>
            <w:r>
              <w:rPr>
                <w:rFonts w:ascii="宋体"/>
                <w:sz w:val="21"/>
                <w:szCs w:val="21"/>
              </w:rPr>
              <w:pict>
                <v:line id="_x0000_s1026" o:spid="_x0000_s1026" o:spt="20" style="position:absolute;left:0pt;margin-left:-9pt;margin-top:-0.5pt;height:0.05pt;width:0.05pt;z-index:251659264;mso-width-relative:page;mso-height-relative:page;"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PvmD1gAAAAgBAAAPAAAAAAAAAAEAIAAA&#10;ACIAAABkcnMvZG93bnJldi54bWxQSwECFAAUAAAACACHTuJA4dXFdw4CAAAbBAAADgAAAAAAAAAB&#10;ACAAAAAlAQAAZHJzL2Uyb0RvYy54bWxQSwUGAAAAAAYABgBZAQAApQUAAAAA&#10;">
                  <v:path arrowok="t"/>
                  <v:fill focussize="0,0"/>
                  <v:stroke/>
                  <v:imagedata o:title=""/>
                  <o:lock v:ext="edit"/>
                </v:line>
              </w:pict>
            </w:r>
            <w:r>
              <w:rPr>
                <w:rFonts w:hint="eastAsia" w:ascii="宋体"/>
                <w:sz w:val="21"/>
                <w:szCs w:val="21"/>
              </w:rPr>
              <w:t>招标类型</w:t>
            </w:r>
          </w:p>
          <w:p>
            <w:pPr>
              <w:spacing w:line="240" w:lineRule="atLeast"/>
              <w:rPr>
                <w:rFonts w:ascii="宋体"/>
                <w:sz w:val="21"/>
                <w:szCs w:val="21"/>
              </w:rPr>
            </w:pPr>
            <w:r>
              <w:rPr>
                <w:rFonts w:hint="eastAsia" w:ascii="宋体"/>
                <w:sz w:val="21"/>
                <w:szCs w:val="21"/>
              </w:rPr>
              <w:t>中标金额（万元）</w:t>
            </w:r>
          </w:p>
        </w:tc>
        <w:tc>
          <w:tcPr>
            <w:tcW w:w="2273" w:type="dxa"/>
            <w:vAlign w:val="center"/>
          </w:tcPr>
          <w:p>
            <w:pPr>
              <w:spacing w:line="240" w:lineRule="atLeast"/>
              <w:jc w:val="center"/>
              <w:rPr>
                <w:rFonts w:ascii="宋体"/>
                <w:sz w:val="21"/>
                <w:szCs w:val="21"/>
              </w:rPr>
            </w:pPr>
            <w:r>
              <w:rPr>
                <w:rFonts w:hint="eastAsia" w:ascii="宋体"/>
                <w:sz w:val="21"/>
                <w:szCs w:val="21"/>
              </w:rPr>
              <w:t>货物招标</w:t>
            </w:r>
          </w:p>
        </w:tc>
        <w:tc>
          <w:tcPr>
            <w:tcW w:w="2273" w:type="dxa"/>
            <w:vAlign w:val="center"/>
          </w:tcPr>
          <w:p>
            <w:pPr>
              <w:spacing w:line="240" w:lineRule="atLeast"/>
              <w:jc w:val="center"/>
              <w:rPr>
                <w:rFonts w:ascii="宋体"/>
                <w:sz w:val="21"/>
                <w:szCs w:val="21"/>
              </w:rPr>
            </w:pPr>
            <w:r>
              <w:rPr>
                <w:rFonts w:hint="eastAsia" w:ascii="宋体"/>
                <w:sz w:val="21"/>
                <w:szCs w:val="21"/>
              </w:rPr>
              <w:t>服务招标</w:t>
            </w:r>
          </w:p>
        </w:tc>
        <w:tc>
          <w:tcPr>
            <w:tcW w:w="2272" w:type="dxa"/>
            <w:vAlign w:val="center"/>
          </w:tcPr>
          <w:p>
            <w:pPr>
              <w:pStyle w:val="193"/>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sz w:val="21"/>
                <w:szCs w:val="21"/>
              </w:rPr>
            </w:pPr>
            <w:r>
              <w:rPr>
                <w:rFonts w:hint="eastAsia" w:ascii="宋体"/>
                <w:sz w:val="21"/>
                <w:szCs w:val="21"/>
              </w:rPr>
              <w:t>100（含）以下</w:t>
            </w:r>
          </w:p>
        </w:tc>
        <w:tc>
          <w:tcPr>
            <w:tcW w:w="2273" w:type="dxa"/>
            <w:vAlign w:val="center"/>
          </w:tcPr>
          <w:p>
            <w:pPr>
              <w:spacing w:line="240" w:lineRule="atLeast"/>
              <w:jc w:val="center"/>
              <w:rPr>
                <w:rFonts w:ascii="宋体"/>
                <w:sz w:val="21"/>
                <w:szCs w:val="21"/>
              </w:rPr>
            </w:pPr>
            <w:r>
              <w:rPr>
                <w:rFonts w:hint="eastAsia" w:ascii="宋体"/>
                <w:sz w:val="21"/>
                <w:szCs w:val="21"/>
              </w:rPr>
              <w:t>1.5%</w:t>
            </w:r>
          </w:p>
        </w:tc>
        <w:tc>
          <w:tcPr>
            <w:tcW w:w="2273" w:type="dxa"/>
            <w:vAlign w:val="center"/>
          </w:tcPr>
          <w:p>
            <w:pPr>
              <w:spacing w:line="240" w:lineRule="atLeast"/>
              <w:jc w:val="center"/>
              <w:rPr>
                <w:rFonts w:ascii="宋体"/>
                <w:sz w:val="21"/>
                <w:szCs w:val="21"/>
              </w:rPr>
            </w:pPr>
            <w:r>
              <w:rPr>
                <w:rFonts w:hint="eastAsia" w:ascii="宋体"/>
                <w:sz w:val="21"/>
                <w:szCs w:val="21"/>
              </w:rPr>
              <w:t>1.5%</w:t>
            </w:r>
          </w:p>
        </w:tc>
        <w:tc>
          <w:tcPr>
            <w:tcW w:w="2272" w:type="dxa"/>
            <w:vAlign w:val="center"/>
          </w:tcPr>
          <w:p>
            <w:pPr>
              <w:spacing w:line="240" w:lineRule="atLeast"/>
              <w:jc w:val="center"/>
              <w:rPr>
                <w:rFonts w:ascii="宋体"/>
                <w:sz w:val="21"/>
                <w:szCs w:val="21"/>
              </w:rPr>
            </w:pPr>
            <w:r>
              <w:rPr>
                <w:rFonts w:hint="eastAsia" w:ascii="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sz w:val="21"/>
                <w:szCs w:val="21"/>
              </w:rPr>
            </w:pPr>
            <w:r>
              <w:rPr>
                <w:rFonts w:hint="eastAsia" w:ascii="宋体"/>
                <w:sz w:val="21"/>
                <w:szCs w:val="21"/>
              </w:rPr>
              <w:t>100以上-500</w:t>
            </w:r>
          </w:p>
        </w:tc>
        <w:tc>
          <w:tcPr>
            <w:tcW w:w="2273" w:type="dxa"/>
            <w:vAlign w:val="center"/>
          </w:tcPr>
          <w:p>
            <w:pPr>
              <w:spacing w:line="240" w:lineRule="atLeast"/>
              <w:jc w:val="center"/>
              <w:rPr>
                <w:rFonts w:ascii="宋体"/>
                <w:sz w:val="21"/>
                <w:szCs w:val="21"/>
              </w:rPr>
            </w:pPr>
            <w:r>
              <w:rPr>
                <w:rFonts w:hint="eastAsia" w:ascii="宋体"/>
                <w:sz w:val="21"/>
                <w:szCs w:val="21"/>
              </w:rPr>
              <w:t>1.1%</w:t>
            </w:r>
          </w:p>
        </w:tc>
        <w:tc>
          <w:tcPr>
            <w:tcW w:w="2273" w:type="dxa"/>
            <w:vAlign w:val="center"/>
          </w:tcPr>
          <w:p>
            <w:pPr>
              <w:spacing w:line="240" w:lineRule="atLeast"/>
              <w:jc w:val="center"/>
              <w:rPr>
                <w:rFonts w:ascii="宋体"/>
                <w:sz w:val="21"/>
                <w:szCs w:val="21"/>
              </w:rPr>
            </w:pPr>
            <w:r>
              <w:rPr>
                <w:rFonts w:hint="eastAsia" w:ascii="宋体"/>
                <w:sz w:val="21"/>
                <w:szCs w:val="21"/>
              </w:rPr>
              <w:t>0.8%</w:t>
            </w:r>
          </w:p>
        </w:tc>
        <w:tc>
          <w:tcPr>
            <w:tcW w:w="2272" w:type="dxa"/>
            <w:vAlign w:val="center"/>
          </w:tcPr>
          <w:p>
            <w:pPr>
              <w:spacing w:line="240" w:lineRule="atLeast"/>
              <w:jc w:val="center"/>
              <w:rPr>
                <w:rFonts w:ascii="宋体"/>
                <w:sz w:val="21"/>
                <w:szCs w:val="21"/>
              </w:rPr>
            </w:pPr>
            <w:r>
              <w:rPr>
                <w:rFonts w:hint="eastAsia" w:ascii="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sz w:val="21"/>
                <w:szCs w:val="21"/>
              </w:rPr>
            </w:pPr>
            <w:r>
              <w:rPr>
                <w:rFonts w:hint="eastAsia" w:ascii="宋体"/>
                <w:sz w:val="21"/>
                <w:szCs w:val="21"/>
              </w:rPr>
              <w:t>500以上-1000</w:t>
            </w:r>
          </w:p>
        </w:tc>
        <w:tc>
          <w:tcPr>
            <w:tcW w:w="2273" w:type="dxa"/>
            <w:vAlign w:val="center"/>
          </w:tcPr>
          <w:p>
            <w:pPr>
              <w:spacing w:line="240" w:lineRule="atLeast"/>
              <w:jc w:val="center"/>
              <w:rPr>
                <w:rFonts w:ascii="宋体"/>
                <w:sz w:val="21"/>
                <w:szCs w:val="21"/>
              </w:rPr>
            </w:pPr>
            <w:r>
              <w:rPr>
                <w:rFonts w:hint="eastAsia" w:ascii="宋体"/>
                <w:sz w:val="21"/>
                <w:szCs w:val="21"/>
              </w:rPr>
              <w:t>0.8%</w:t>
            </w:r>
          </w:p>
        </w:tc>
        <w:tc>
          <w:tcPr>
            <w:tcW w:w="2273" w:type="dxa"/>
            <w:vAlign w:val="center"/>
          </w:tcPr>
          <w:p>
            <w:pPr>
              <w:spacing w:line="240" w:lineRule="atLeast"/>
              <w:jc w:val="center"/>
              <w:rPr>
                <w:rFonts w:ascii="宋体"/>
                <w:sz w:val="21"/>
                <w:szCs w:val="21"/>
              </w:rPr>
            </w:pPr>
            <w:r>
              <w:rPr>
                <w:rFonts w:hint="eastAsia" w:ascii="宋体"/>
                <w:sz w:val="21"/>
                <w:szCs w:val="21"/>
              </w:rPr>
              <w:t>0.45%</w:t>
            </w:r>
          </w:p>
        </w:tc>
        <w:tc>
          <w:tcPr>
            <w:tcW w:w="2272" w:type="dxa"/>
            <w:vAlign w:val="center"/>
          </w:tcPr>
          <w:p>
            <w:pPr>
              <w:spacing w:line="240" w:lineRule="atLeast"/>
              <w:jc w:val="center"/>
              <w:rPr>
                <w:rFonts w:ascii="宋体"/>
                <w:sz w:val="21"/>
                <w:szCs w:val="21"/>
              </w:rPr>
            </w:pPr>
            <w:r>
              <w:rPr>
                <w:rFonts w:hint="eastAsia" w:ascii="宋体"/>
                <w:sz w:val="21"/>
                <w:szCs w:val="21"/>
              </w:rPr>
              <w:t>0.55%</w:t>
            </w:r>
          </w:p>
        </w:tc>
      </w:tr>
    </w:tbl>
    <w:p>
      <w:pPr>
        <w:snapToGrid w:val="0"/>
        <w:spacing w:line="360" w:lineRule="auto"/>
        <w:ind w:firstLine="480" w:firstLineChars="200"/>
        <w:rPr>
          <w:rFonts w:ascii="宋体"/>
          <w:sz w:val="24"/>
        </w:rPr>
      </w:pPr>
      <w:r>
        <w:rPr>
          <w:rFonts w:hint="eastAsia" w:ascii="宋体"/>
          <w:sz w:val="24"/>
        </w:rPr>
        <w:t>注：采购代理服务收费按差额定率累进法计算。采购代理服务费按上表计算出不足3500元的，按3500元记取。</w:t>
      </w:r>
    </w:p>
    <w:p>
      <w:pPr>
        <w:snapToGrid w:val="0"/>
        <w:spacing w:line="360" w:lineRule="auto"/>
        <w:ind w:firstLine="480" w:firstLineChars="200"/>
        <w:rPr>
          <w:rFonts w:ascii="宋体"/>
          <w:sz w:val="24"/>
          <w:szCs w:val="24"/>
        </w:rPr>
      </w:pPr>
      <w:r>
        <w:rPr>
          <w:rFonts w:hint="eastAsia" w:ascii="宋体"/>
          <w:sz w:val="24"/>
          <w:szCs w:val="24"/>
        </w:rPr>
        <w:t>（二）采购代理服务费缴纳账户信息：</w:t>
      </w:r>
    </w:p>
    <w:p>
      <w:pPr>
        <w:snapToGrid w:val="0"/>
        <w:spacing w:line="360" w:lineRule="auto"/>
        <w:ind w:firstLine="482" w:firstLineChars="200"/>
        <w:rPr>
          <w:rFonts w:ascii="宋体"/>
          <w:b/>
          <w:sz w:val="24"/>
          <w:szCs w:val="24"/>
        </w:rPr>
      </w:pPr>
      <w:r>
        <w:rPr>
          <w:rFonts w:hint="eastAsia" w:ascii="宋体"/>
          <w:b/>
          <w:sz w:val="24"/>
          <w:szCs w:val="24"/>
        </w:rPr>
        <w:t>户  名：重庆市中基致信招标代理有限公司</w:t>
      </w:r>
    </w:p>
    <w:p>
      <w:pPr>
        <w:snapToGrid w:val="0"/>
        <w:spacing w:line="360" w:lineRule="auto"/>
        <w:ind w:firstLine="482" w:firstLineChars="200"/>
        <w:rPr>
          <w:rFonts w:ascii="宋体"/>
          <w:b/>
          <w:sz w:val="24"/>
          <w:szCs w:val="24"/>
        </w:rPr>
      </w:pPr>
      <w:r>
        <w:rPr>
          <w:rFonts w:hint="eastAsia" w:ascii="宋体"/>
          <w:b/>
          <w:sz w:val="24"/>
          <w:szCs w:val="24"/>
        </w:rPr>
        <w:t>开户行：中国银行重庆江北支行</w:t>
      </w:r>
    </w:p>
    <w:p>
      <w:pPr>
        <w:snapToGrid w:val="0"/>
        <w:spacing w:line="360" w:lineRule="auto"/>
        <w:ind w:firstLine="482" w:firstLineChars="200"/>
        <w:rPr>
          <w:rFonts w:ascii="宋体"/>
          <w:b/>
          <w:sz w:val="24"/>
          <w:szCs w:val="24"/>
        </w:rPr>
      </w:pPr>
      <w:r>
        <w:rPr>
          <w:rFonts w:hint="eastAsia" w:ascii="宋体"/>
          <w:b/>
          <w:sz w:val="24"/>
          <w:szCs w:val="24"/>
        </w:rPr>
        <w:t>账  号：1144 6718 4234</w:t>
      </w:r>
    </w:p>
    <w:p>
      <w:pPr>
        <w:pStyle w:val="6"/>
        <w:spacing w:before="0" w:after="0" w:line="360" w:lineRule="auto"/>
        <w:ind w:firstLine="482" w:firstLineChars="200"/>
        <w:rPr>
          <w:rFonts w:ascii="宋体"/>
          <w:sz w:val="24"/>
          <w:szCs w:val="24"/>
        </w:rPr>
      </w:pPr>
      <w:bookmarkStart w:id="104" w:name="_Toc102227322"/>
      <w:bookmarkStart w:id="105" w:name="_Toc342913396"/>
      <w:bookmarkStart w:id="106" w:name="_Toc131145284"/>
      <w:bookmarkStart w:id="107" w:name="_Toc12789059"/>
      <w:bookmarkStart w:id="108" w:name="_Toc11641055"/>
      <w:r>
        <w:rPr>
          <w:rFonts w:hint="eastAsia" w:ascii="宋体"/>
          <w:sz w:val="24"/>
          <w:szCs w:val="24"/>
        </w:rPr>
        <w:t>八、签订</w:t>
      </w:r>
      <w:bookmarkEnd w:id="104"/>
      <w:r>
        <w:rPr>
          <w:rFonts w:hint="eastAsia" w:ascii="宋体"/>
          <w:sz w:val="24"/>
          <w:szCs w:val="24"/>
        </w:rPr>
        <w:t>合同</w:t>
      </w:r>
      <w:bookmarkEnd w:id="105"/>
      <w:bookmarkEnd w:id="106"/>
    </w:p>
    <w:p>
      <w:pPr>
        <w:spacing w:line="360" w:lineRule="auto"/>
        <w:ind w:firstLine="480" w:firstLineChars="200"/>
        <w:rPr>
          <w:rFonts w:ascii="宋体"/>
          <w:sz w:val="24"/>
          <w:szCs w:val="24"/>
        </w:rPr>
      </w:pPr>
      <w:r>
        <w:rPr>
          <w:rFonts w:hint="eastAsia" w:ascii="宋体"/>
          <w:sz w:val="24"/>
          <w:szCs w:val="24"/>
        </w:rPr>
        <w:t>（一）采购人与成交供应商应当在成交通知书发出之日起20日内，按照磋商文件确定的合同文本以及技术和服务要求等事项签订政府采购合同。</w:t>
      </w:r>
    </w:p>
    <w:p>
      <w:pPr>
        <w:spacing w:line="360" w:lineRule="auto"/>
        <w:ind w:firstLine="480" w:firstLineChars="200"/>
        <w:rPr>
          <w:rFonts w:ascii="宋体"/>
          <w:sz w:val="24"/>
          <w:szCs w:val="24"/>
        </w:rPr>
      </w:pPr>
      <w:r>
        <w:rPr>
          <w:rFonts w:hint="eastAsia" w:ascii="宋体"/>
          <w:sz w:val="24"/>
          <w:szCs w:val="24"/>
        </w:rPr>
        <w:t>（二）竞争性磋商文件、成交供应商的响应文件及有效承诺文件等，均为签订合同的依据。</w:t>
      </w:r>
    </w:p>
    <w:p>
      <w:pPr>
        <w:spacing w:line="360" w:lineRule="auto"/>
        <w:ind w:firstLine="480" w:firstLineChars="200"/>
        <w:rPr>
          <w:rFonts w:ascii="宋体"/>
          <w:sz w:val="24"/>
          <w:szCs w:val="24"/>
        </w:rPr>
      </w:pPr>
      <w:r>
        <w:rPr>
          <w:rFonts w:hint="eastAsia" w:ascii="宋体"/>
          <w:sz w:val="24"/>
          <w:szCs w:val="24"/>
        </w:rPr>
        <w:t>（三）如成交供应商放弃成交项目或在签订合同时擅自改变成交状态的，采购人将按照相关法律法规处理。</w:t>
      </w:r>
    </w:p>
    <w:p>
      <w:pPr>
        <w:spacing w:line="360" w:lineRule="auto"/>
        <w:ind w:firstLine="480" w:firstLineChars="200"/>
        <w:rPr>
          <w:rFonts w:ascii="宋体"/>
          <w:sz w:val="24"/>
          <w:szCs w:val="24"/>
        </w:rPr>
      </w:pPr>
      <w:r>
        <w:rPr>
          <w:rFonts w:hint="eastAsia" w:ascii="宋体"/>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pPr>
        <w:spacing w:line="360" w:lineRule="auto"/>
        <w:ind w:firstLine="480" w:firstLineChars="200"/>
        <w:rPr>
          <w:rFonts w:ascii="宋体"/>
          <w:sz w:val="24"/>
          <w:szCs w:val="24"/>
        </w:rPr>
      </w:pPr>
      <w:r>
        <w:rPr>
          <w:rFonts w:hint="eastAsia" w:ascii="宋体"/>
          <w:sz w:val="24"/>
          <w:szCs w:val="24"/>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ascii="宋体" w:eastAsia="宋体"/>
          <w:sz w:val="36"/>
          <w:szCs w:val="30"/>
        </w:rPr>
      </w:pPr>
      <w:bookmarkStart w:id="109" w:name="_Toc131145285"/>
      <w:r>
        <w:rPr>
          <w:rFonts w:hint="eastAsia" w:ascii="宋体" w:eastAsia="宋体"/>
          <w:sz w:val="36"/>
          <w:szCs w:val="30"/>
        </w:rPr>
        <w:t xml:space="preserve">第六篇  </w:t>
      </w:r>
      <w:bookmarkEnd w:id="107"/>
      <w:bookmarkEnd w:id="108"/>
      <w:r>
        <w:rPr>
          <w:rFonts w:hint="eastAsia" w:ascii="宋体" w:eastAsia="宋体"/>
          <w:sz w:val="36"/>
          <w:szCs w:val="30"/>
        </w:rPr>
        <w:t>合同草案条款</w:t>
      </w:r>
      <w:bookmarkEnd w:id="109"/>
    </w:p>
    <w:p>
      <w:pPr>
        <w:pStyle w:val="6"/>
        <w:spacing w:before="0" w:after="0" w:line="360" w:lineRule="auto"/>
        <w:ind w:firstLine="482" w:firstLineChars="200"/>
        <w:rPr>
          <w:rFonts w:ascii="宋体"/>
          <w:sz w:val="24"/>
          <w:szCs w:val="24"/>
        </w:rPr>
      </w:pPr>
      <w:bookmarkStart w:id="110" w:name="_Hlt41879464"/>
      <w:bookmarkEnd w:id="110"/>
      <w:bookmarkStart w:id="111" w:name="_Toc78194465"/>
      <w:bookmarkStart w:id="112" w:name="_Toc131145286"/>
      <w:bookmarkStart w:id="113" w:name="_Toc277084870"/>
      <w:bookmarkStart w:id="114" w:name="_Toc508007737"/>
      <w:bookmarkStart w:id="115" w:name="_Toc285722712"/>
      <w:bookmarkStart w:id="116" w:name="_Toc12789072"/>
      <w:r>
        <w:rPr>
          <w:rFonts w:hint="eastAsia" w:ascii="宋体"/>
          <w:sz w:val="24"/>
          <w:szCs w:val="24"/>
        </w:rPr>
        <w:t>一、合同主要条款</w:t>
      </w:r>
      <w:bookmarkEnd w:id="111"/>
      <w:bookmarkEnd w:id="112"/>
      <w:bookmarkEnd w:id="113"/>
      <w:bookmarkEnd w:id="114"/>
      <w:bookmarkEnd w:id="115"/>
    </w:p>
    <w:p>
      <w:pPr>
        <w:snapToGrid w:val="0"/>
        <w:spacing w:line="360" w:lineRule="auto"/>
        <w:ind w:firstLine="480" w:firstLineChars="200"/>
        <w:outlineLvl w:val="0"/>
        <w:rPr>
          <w:rFonts w:ascii="宋体"/>
          <w:bCs/>
          <w:sz w:val="24"/>
        </w:rPr>
      </w:pPr>
      <w:r>
        <w:rPr>
          <w:rFonts w:hint="eastAsia" w:ascii="宋体"/>
          <w:bCs/>
          <w:sz w:val="24"/>
        </w:rPr>
        <w:t>（一）定义</w:t>
      </w:r>
    </w:p>
    <w:p>
      <w:pPr>
        <w:snapToGrid w:val="0"/>
        <w:spacing w:line="360" w:lineRule="auto"/>
        <w:ind w:firstLine="480" w:firstLineChars="200"/>
        <w:outlineLvl w:val="0"/>
        <w:rPr>
          <w:rFonts w:ascii="宋体"/>
          <w:bCs/>
          <w:sz w:val="24"/>
        </w:rPr>
      </w:pPr>
      <w:r>
        <w:rPr>
          <w:rFonts w:hint="eastAsia" w:ascii="宋体"/>
          <w:bCs/>
          <w:sz w:val="24"/>
        </w:rPr>
        <w:t>1.甲方（需方）即采购人，是指通过招标采购，接受服务的各级国家机关、事业单位和团体组织。</w:t>
      </w:r>
    </w:p>
    <w:p>
      <w:pPr>
        <w:snapToGrid w:val="0"/>
        <w:spacing w:line="360" w:lineRule="auto"/>
        <w:ind w:firstLine="480" w:firstLineChars="200"/>
        <w:outlineLvl w:val="0"/>
        <w:rPr>
          <w:rFonts w:ascii="宋体"/>
          <w:bCs/>
          <w:sz w:val="24"/>
        </w:rPr>
      </w:pPr>
      <w:r>
        <w:rPr>
          <w:rFonts w:hint="eastAsia" w:ascii="宋体"/>
          <w:bCs/>
          <w:sz w:val="24"/>
        </w:rPr>
        <w:t>2.乙方（供方）即成交供应商，是指中标后提供服务的自然人、法人及其他组织。</w:t>
      </w:r>
    </w:p>
    <w:p>
      <w:pPr>
        <w:snapToGrid w:val="0"/>
        <w:spacing w:line="360" w:lineRule="auto"/>
        <w:ind w:firstLine="480" w:firstLineChars="200"/>
        <w:outlineLvl w:val="0"/>
        <w:rPr>
          <w:rFonts w:ascii="宋体"/>
          <w:bCs/>
          <w:sz w:val="24"/>
        </w:rPr>
      </w:pPr>
      <w:r>
        <w:rPr>
          <w:rFonts w:hint="eastAsia" w:ascii="宋体"/>
          <w:bCs/>
          <w:sz w:val="24"/>
        </w:rPr>
        <w:t>3.合同是指由甲乙双方按照采购文件和响应文件的实质性内容，通过协商一致达成的书面协议。</w:t>
      </w:r>
    </w:p>
    <w:p>
      <w:pPr>
        <w:snapToGrid w:val="0"/>
        <w:spacing w:line="360" w:lineRule="auto"/>
        <w:ind w:firstLine="480" w:firstLineChars="200"/>
        <w:outlineLvl w:val="0"/>
        <w:rPr>
          <w:rFonts w:ascii="宋体"/>
          <w:bCs/>
          <w:sz w:val="24"/>
        </w:rPr>
      </w:pPr>
      <w:r>
        <w:rPr>
          <w:rFonts w:hint="eastAsia" w:ascii="宋体"/>
          <w:bCs/>
          <w:sz w:val="24"/>
        </w:rPr>
        <w:t>4.合同价格指以中标价格为依据，在供方全面履行合同义务后，需方应支付给供方的金额。</w:t>
      </w:r>
    </w:p>
    <w:p>
      <w:pPr>
        <w:snapToGrid w:val="0"/>
        <w:spacing w:line="360" w:lineRule="auto"/>
        <w:ind w:firstLine="480" w:firstLineChars="200"/>
        <w:outlineLvl w:val="0"/>
        <w:rPr>
          <w:rFonts w:ascii="宋体"/>
          <w:bCs/>
          <w:sz w:val="24"/>
        </w:rPr>
      </w:pPr>
      <w:r>
        <w:rPr>
          <w:rFonts w:hint="eastAsia" w:ascii="宋体"/>
          <w:bCs/>
          <w:sz w:val="24"/>
        </w:rPr>
        <w:t>（二）服务内容</w:t>
      </w:r>
    </w:p>
    <w:p>
      <w:pPr>
        <w:snapToGrid w:val="0"/>
        <w:spacing w:line="360" w:lineRule="auto"/>
        <w:ind w:firstLine="480" w:firstLineChars="200"/>
        <w:outlineLvl w:val="0"/>
        <w:rPr>
          <w:rFonts w:ascii="宋体"/>
          <w:bCs/>
          <w:sz w:val="24"/>
        </w:rPr>
      </w:pPr>
      <w:r>
        <w:rPr>
          <w:rFonts w:hint="eastAsia" w:ascii="宋体"/>
          <w:bCs/>
          <w:sz w:val="24"/>
        </w:rPr>
        <w:t xml:space="preserve">合同包括以下服务内容： </w:t>
      </w:r>
    </w:p>
    <w:p>
      <w:pPr>
        <w:snapToGrid w:val="0"/>
        <w:spacing w:line="360" w:lineRule="auto"/>
        <w:ind w:firstLine="480" w:firstLineChars="200"/>
        <w:outlineLvl w:val="0"/>
        <w:rPr>
          <w:rFonts w:ascii="宋体"/>
          <w:bCs/>
          <w:sz w:val="24"/>
        </w:rPr>
      </w:pPr>
      <w:r>
        <w:rPr>
          <w:rFonts w:hint="eastAsia" w:ascii="宋体"/>
          <w:bCs/>
          <w:sz w:val="24"/>
        </w:rPr>
        <w:t>（三）合同价格</w:t>
      </w:r>
    </w:p>
    <w:p>
      <w:pPr>
        <w:snapToGrid w:val="0"/>
        <w:spacing w:line="360" w:lineRule="auto"/>
        <w:ind w:firstLine="480" w:firstLineChars="200"/>
        <w:outlineLvl w:val="0"/>
        <w:rPr>
          <w:rFonts w:ascii="宋体"/>
          <w:bCs/>
          <w:sz w:val="24"/>
        </w:rPr>
      </w:pPr>
      <w:r>
        <w:rPr>
          <w:rFonts w:hint="eastAsia" w:ascii="宋体"/>
          <w:bCs/>
          <w:sz w:val="24"/>
        </w:rPr>
        <w:t>1.合同价格即合同总价。</w:t>
      </w:r>
    </w:p>
    <w:p>
      <w:pPr>
        <w:snapToGrid w:val="0"/>
        <w:spacing w:line="360" w:lineRule="auto"/>
        <w:ind w:firstLine="480" w:firstLineChars="200"/>
        <w:outlineLvl w:val="0"/>
        <w:rPr>
          <w:rFonts w:ascii="宋体"/>
          <w:bCs/>
          <w:sz w:val="24"/>
        </w:rPr>
      </w:pPr>
      <w:r>
        <w:rPr>
          <w:rFonts w:hint="eastAsia" w:ascii="宋体"/>
          <w:bCs/>
          <w:sz w:val="24"/>
        </w:rPr>
        <w:t>2.合同价格</w:t>
      </w:r>
      <w:r>
        <w:rPr>
          <w:rFonts w:hint="eastAsia" w:ascii="宋体"/>
          <w:sz w:val="24"/>
          <w:szCs w:val="24"/>
        </w:rPr>
        <w:t>包括（但不限于）会务保障费、设备与系统保障费、演练总体筹备和组织费、演练场地及场景搭建费、媒体宣传费、其他服务费、人工费、税费等所有费用。因乙方供应商自身原因造成漏报、少报皆由其自行承担责任，甲方不再补偿。</w:t>
      </w:r>
    </w:p>
    <w:p>
      <w:pPr>
        <w:snapToGrid w:val="0"/>
        <w:spacing w:line="360" w:lineRule="auto"/>
        <w:ind w:firstLine="480" w:firstLineChars="200"/>
        <w:outlineLvl w:val="0"/>
        <w:rPr>
          <w:rFonts w:ascii="宋体"/>
          <w:bCs/>
          <w:sz w:val="24"/>
        </w:rPr>
      </w:pPr>
      <w:r>
        <w:rPr>
          <w:rFonts w:hint="eastAsia" w:ascii="宋体"/>
          <w:bCs/>
          <w:sz w:val="24"/>
        </w:rPr>
        <w:t>3.合同价为不变价。</w:t>
      </w:r>
    </w:p>
    <w:p>
      <w:pPr>
        <w:snapToGrid w:val="0"/>
        <w:spacing w:line="360" w:lineRule="auto"/>
        <w:ind w:firstLine="480" w:firstLineChars="200"/>
        <w:outlineLvl w:val="0"/>
        <w:rPr>
          <w:rFonts w:ascii="宋体"/>
          <w:bCs/>
          <w:sz w:val="24"/>
        </w:rPr>
      </w:pPr>
      <w:r>
        <w:rPr>
          <w:rFonts w:hint="eastAsia" w:ascii="宋体"/>
          <w:bCs/>
          <w:sz w:val="24"/>
        </w:rPr>
        <w:t>（四）转包和分包</w:t>
      </w:r>
    </w:p>
    <w:p>
      <w:pPr>
        <w:snapToGrid w:val="0"/>
        <w:spacing w:line="360" w:lineRule="auto"/>
        <w:ind w:firstLine="480" w:firstLineChars="200"/>
        <w:outlineLvl w:val="0"/>
        <w:rPr>
          <w:rFonts w:ascii="宋体"/>
          <w:bCs/>
          <w:sz w:val="24"/>
        </w:rPr>
      </w:pPr>
      <w:r>
        <w:rPr>
          <w:rFonts w:hint="eastAsia" w:ascii="宋体"/>
          <w:bCs/>
          <w:sz w:val="24"/>
        </w:rPr>
        <w:t>1.本合同范围的所有服务工作，应由乙方直接提供，不得转让他人提供。</w:t>
      </w:r>
    </w:p>
    <w:p>
      <w:pPr>
        <w:snapToGrid w:val="0"/>
        <w:spacing w:line="360" w:lineRule="auto"/>
        <w:ind w:firstLine="480" w:firstLineChars="200"/>
        <w:outlineLvl w:val="0"/>
        <w:rPr>
          <w:rFonts w:ascii="宋体"/>
          <w:bCs/>
          <w:sz w:val="24"/>
        </w:rPr>
      </w:pPr>
      <w:r>
        <w:rPr>
          <w:rFonts w:hint="eastAsia" w:ascii="宋体"/>
          <w:bCs/>
          <w:sz w:val="24"/>
        </w:rPr>
        <w:t>2.非经甲方书面同意，乙方不得将本合同范围的服务工作全部或部分转包给他人提供。</w:t>
      </w:r>
    </w:p>
    <w:p>
      <w:pPr>
        <w:snapToGrid w:val="0"/>
        <w:spacing w:line="360" w:lineRule="auto"/>
        <w:ind w:firstLine="480" w:firstLineChars="200"/>
        <w:outlineLvl w:val="0"/>
        <w:rPr>
          <w:rFonts w:ascii="宋体"/>
          <w:bCs/>
          <w:sz w:val="24"/>
        </w:rPr>
      </w:pPr>
      <w:r>
        <w:rPr>
          <w:rFonts w:hint="eastAsia" w:ascii="宋体"/>
          <w:bCs/>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ascii="宋体"/>
          <w:sz w:val="24"/>
        </w:rPr>
      </w:pPr>
      <w:r>
        <w:rPr>
          <w:rFonts w:hint="eastAsia" w:ascii="宋体"/>
          <w:bCs/>
          <w:sz w:val="24"/>
        </w:rPr>
        <w:t>（五）质量保证及售后服务</w:t>
      </w:r>
    </w:p>
    <w:p>
      <w:pPr>
        <w:adjustRightInd w:val="0"/>
        <w:snapToGrid w:val="0"/>
        <w:spacing w:line="360" w:lineRule="auto"/>
        <w:ind w:firstLine="480" w:firstLineChars="200"/>
        <w:rPr>
          <w:rFonts w:ascii="宋体"/>
          <w:sz w:val="24"/>
        </w:rPr>
      </w:pPr>
      <w:r>
        <w:rPr>
          <w:rFonts w:hint="eastAsia" w:ascii="宋体"/>
          <w:sz w:val="24"/>
        </w:rPr>
        <w:t>1.乙方应按采购文件规定要求向甲方提供服务。</w:t>
      </w:r>
    </w:p>
    <w:p>
      <w:pPr>
        <w:adjustRightInd w:val="0"/>
        <w:snapToGrid w:val="0"/>
        <w:spacing w:line="360" w:lineRule="auto"/>
        <w:ind w:firstLine="480" w:firstLineChars="200"/>
        <w:rPr>
          <w:rFonts w:ascii="宋体"/>
          <w:sz w:val="24"/>
        </w:rPr>
      </w:pPr>
      <w:r>
        <w:rPr>
          <w:rFonts w:hint="eastAsia" w:ascii="宋体"/>
          <w:sz w:val="24"/>
        </w:rPr>
        <w:t>2.在服务期内，乙方应对服务质量负责。</w:t>
      </w:r>
    </w:p>
    <w:p>
      <w:pPr>
        <w:adjustRightInd w:val="0"/>
        <w:snapToGrid w:val="0"/>
        <w:spacing w:line="360" w:lineRule="auto"/>
        <w:ind w:firstLine="480" w:firstLineChars="200"/>
        <w:rPr>
          <w:rFonts w:ascii="宋体"/>
          <w:sz w:val="24"/>
        </w:rPr>
      </w:pPr>
      <w:r>
        <w:rPr>
          <w:rFonts w:hint="eastAsia" w:ascii="宋体"/>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ascii="宋体"/>
          <w:sz w:val="24"/>
        </w:rPr>
      </w:pPr>
      <w:r>
        <w:rPr>
          <w:rFonts w:hint="eastAsia" w:ascii="宋体"/>
          <w:sz w:val="24"/>
        </w:rPr>
        <w:t>（六）付款</w:t>
      </w:r>
    </w:p>
    <w:p>
      <w:pPr>
        <w:adjustRightInd w:val="0"/>
        <w:snapToGrid w:val="0"/>
        <w:spacing w:line="360" w:lineRule="auto"/>
        <w:ind w:firstLine="480" w:firstLineChars="200"/>
        <w:rPr>
          <w:rFonts w:ascii="宋体"/>
          <w:sz w:val="24"/>
        </w:rPr>
      </w:pPr>
      <w:r>
        <w:rPr>
          <w:rFonts w:hint="eastAsia" w:ascii="宋体"/>
          <w:sz w:val="24"/>
        </w:rPr>
        <w:t>1.本合同使用货币币制如未作特别说明均为人民币。</w:t>
      </w:r>
    </w:p>
    <w:p>
      <w:pPr>
        <w:adjustRightInd w:val="0"/>
        <w:snapToGrid w:val="0"/>
        <w:spacing w:line="360" w:lineRule="auto"/>
        <w:ind w:firstLine="480" w:firstLineChars="200"/>
        <w:rPr>
          <w:rFonts w:ascii="宋体"/>
          <w:sz w:val="24"/>
        </w:rPr>
      </w:pPr>
      <w:r>
        <w:rPr>
          <w:rFonts w:hint="eastAsia" w:ascii="宋体"/>
          <w:sz w:val="24"/>
        </w:rPr>
        <w:t>2.付款方式：银行转账、现金支票。</w:t>
      </w:r>
    </w:p>
    <w:p>
      <w:pPr>
        <w:adjustRightInd w:val="0"/>
        <w:snapToGrid w:val="0"/>
        <w:spacing w:line="360" w:lineRule="auto"/>
        <w:ind w:firstLine="480" w:firstLineChars="200"/>
        <w:rPr>
          <w:rFonts w:ascii="宋体"/>
          <w:sz w:val="24"/>
        </w:rPr>
      </w:pPr>
      <w:r>
        <w:rPr>
          <w:rFonts w:hint="eastAsia" w:ascii="宋体"/>
          <w:sz w:val="24"/>
        </w:rPr>
        <w:t>3.付款方法：参照本项目采购文件第三篇“项目商务要求”中关于付款方式的约定。</w:t>
      </w:r>
    </w:p>
    <w:p>
      <w:pPr>
        <w:adjustRightInd w:val="0"/>
        <w:snapToGrid w:val="0"/>
        <w:spacing w:line="360" w:lineRule="auto"/>
        <w:ind w:firstLine="480" w:firstLineChars="200"/>
        <w:rPr>
          <w:rFonts w:ascii="宋体"/>
          <w:sz w:val="24"/>
        </w:rPr>
      </w:pPr>
      <w:r>
        <w:rPr>
          <w:rFonts w:hint="eastAsia" w:ascii="宋体"/>
          <w:sz w:val="24"/>
        </w:rPr>
        <w:t>（七）检查验收</w:t>
      </w:r>
    </w:p>
    <w:p>
      <w:pPr>
        <w:adjustRightInd w:val="0"/>
        <w:snapToGrid w:val="0"/>
        <w:spacing w:line="360" w:lineRule="auto"/>
        <w:ind w:firstLine="480" w:firstLineChars="200"/>
        <w:rPr>
          <w:rFonts w:ascii="宋体"/>
          <w:sz w:val="24"/>
        </w:rPr>
      </w:pPr>
      <w:r>
        <w:rPr>
          <w:rFonts w:hint="eastAsia" w:ascii="宋体"/>
          <w:sz w:val="24"/>
        </w:rPr>
        <w:t>（八）索赔</w:t>
      </w:r>
    </w:p>
    <w:p>
      <w:pPr>
        <w:adjustRightInd w:val="0"/>
        <w:snapToGrid w:val="0"/>
        <w:spacing w:line="360" w:lineRule="auto"/>
        <w:ind w:firstLine="480" w:firstLineChars="200"/>
        <w:rPr>
          <w:rFonts w:ascii="宋体"/>
          <w:sz w:val="24"/>
        </w:rPr>
      </w:pPr>
      <w:r>
        <w:rPr>
          <w:rFonts w:hint="eastAsia" w:ascii="宋体"/>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ascii="宋体"/>
          <w:sz w:val="24"/>
        </w:rPr>
      </w:pPr>
      <w:r>
        <w:rPr>
          <w:rFonts w:hint="eastAsia" w:ascii="宋体"/>
          <w:sz w:val="24"/>
        </w:rPr>
        <w:t>（九）知识产权</w:t>
      </w:r>
    </w:p>
    <w:p>
      <w:pPr>
        <w:adjustRightInd w:val="0"/>
        <w:snapToGrid w:val="0"/>
        <w:spacing w:line="360" w:lineRule="auto"/>
        <w:ind w:firstLine="480" w:firstLineChars="200"/>
        <w:rPr>
          <w:rFonts w:ascii="宋体"/>
          <w:sz w:val="24"/>
        </w:rPr>
      </w:pPr>
      <w:r>
        <w:rPr>
          <w:rFonts w:hint="eastAsia" w:asci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bCs/>
          <w:sz w:val="24"/>
        </w:rPr>
      </w:pPr>
      <w:r>
        <w:rPr>
          <w:rFonts w:hint="eastAsia" w:ascii="宋体"/>
          <w:bCs/>
          <w:sz w:val="24"/>
        </w:rPr>
        <w:t>（十）合同争议的解决</w:t>
      </w:r>
    </w:p>
    <w:p>
      <w:pPr>
        <w:snapToGrid w:val="0"/>
        <w:spacing w:line="360" w:lineRule="auto"/>
        <w:ind w:firstLine="480" w:firstLineChars="200"/>
        <w:outlineLvl w:val="0"/>
        <w:rPr>
          <w:rFonts w:ascii="宋体"/>
          <w:bCs/>
          <w:sz w:val="24"/>
        </w:rPr>
      </w:pPr>
      <w:r>
        <w:rPr>
          <w:rFonts w:hint="eastAsia" w:ascii="宋体"/>
          <w:bCs/>
          <w:sz w:val="24"/>
        </w:rPr>
        <w:t>1.当事人友好协商达成一致；</w:t>
      </w:r>
    </w:p>
    <w:p>
      <w:pPr>
        <w:snapToGrid w:val="0"/>
        <w:spacing w:line="360" w:lineRule="auto"/>
        <w:ind w:firstLine="480" w:firstLineChars="200"/>
        <w:outlineLvl w:val="0"/>
        <w:rPr>
          <w:rFonts w:ascii="宋体"/>
          <w:bCs/>
          <w:sz w:val="24"/>
        </w:rPr>
      </w:pPr>
      <w:r>
        <w:rPr>
          <w:rFonts w:hint="eastAsia" w:ascii="宋体"/>
          <w:bCs/>
          <w:sz w:val="24"/>
        </w:rPr>
        <w:t>2.在60天内当事人协商不能达成协议的，可提请采购人当地仲裁机构仲裁。</w:t>
      </w:r>
    </w:p>
    <w:p>
      <w:pPr>
        <w:snapToGrid w:val="0"/>
        <w:spacing w:line="360" w:lineRule="auto"/>
        <w:ind w:firstLine="480" w:firstLineChars="200"/>
        <w:outlineLvl w:val="0"/>
        <w:rPr>
          <w:rFonts w:ascii="宋体"/>
          <w:bCs/>
          <w:sz w:val="24"/>
        </w:rPr>
      </w:pPr>
      <w:r>
        <w:rPr>
          <w:rFonts w:hint="eastAsia" w:ascii="宋体"/>
          <w:bCs/>
          <w:sz w:val="24"/>
        </w:rPr>
        <w:t>（十一）违约责任</w:t>
      </w:r>
    </w:p>
    <w:p>
      <w:pPr>
        <w:snapToGrid w:val="0"/>
        <w:spacing w:line="360" w:lineRule="auto"/>
        <w:ind w:firstLine="480" w:firstLineChars="200"/>
        <w:outlineLvl w:val="0"/>
        <w:rPr>
          <w:rFonts w:ascii="宋体"/>
          <w:bCs/>
          <w:sz w:val="24"/>
        </w:rPr>
      </w:pPr>
      <w:r>
        <w:rPr>
          <w:rFonts w:hint="eastAsia" w:ascii="宋体"/>
          <w:bCs/>
          <w:sz w:val="24"/>
        </w:rPr>
        <w:t>按《中华人民共和国民法典》、《中华人民共和国政府采购法》有关条款，或由供需双方约定。</w:t>
      </w:r>
    </w:p>
    <w:p>
      <w:pPr>
        <w:snapToGrid w:val="0"/>
        <w:spacing w:line="360" w:lineRule="auto"/>
        <w:ind w:firstLine="480" w:firstLineChars="200"/>
        <w:outlineLvl w:val="0"/>
        <w:rPr>
          <w:rFonts w:ascii="宋体"/>
          <w:bCs/>
          <w:sz w:val="24"/>
        </w:rPr>
      </w:pPr>
      <w:r>
        <w:rPr>
          <w:rFonts w:hint="eastAsia" w:ascii="宋体"/>
          <w:bCs/>
          <w:sz w:val="24"/>
        </w:rPr>
        <w:t>（十二）合同生效及其它</w:t>
      </w:r>
    </w:p>
    <w:p>
      <w:pPr>
        <w:snapToGrid w:val="0"/>
        <w:spacing w:line="360" w:lineRule="auto"/>
        <w:ind w:firstLine="480" w:firstLineChars="200"/>
        <w:outlineLvl w:val="0"/>
        <w:rPr>
          <w:rFonts w:ascii="宋体"/>
          <w:bCs/>
          <w:sz w:val="24"/>
        </w:rPr>
      </w:pPr>
      <w:r>
        <w:rPr>
          <w:rFonts w:hint="eastAsia" w:ascii="宋体"/>
          <w:bCs/>
          <w:sz w:val="24"/>
        </w:rPr>
        <w:t>1.合同生效及其效力应符合《中华人民共和国民法典》有关规定。</w:t>
      </w:r>
    </w:p>
    <w:p>
      <w:pPr>
        <w:snapToGrid w:val="0"/>
        <w:spacing w:line="360" w:lineRule="auto"/>
        <w:ind w:firstLine="480" w:firstLineChars="200"/>
        <w:outlineLvl w:val="0"/>
        <w:rPr>
          <w:rFonts w:ascii="宋体"/>
          <w:bCs/>
          <w:sz w:val="24"/>
        </w:rPr>
      </w:pPr>
      <w:r>
        <w:rPr>
          <w:rFonts w:hint="eastAsia" w:ascii="宋体"/>
          <w:bCs/>
          <w:sz w:val="24"/>
        </w:rPr>
        <w:t>2.合同应经当事人法定代表人或委托代理人签字，加盖双方合同专用章或公章。</w:t>
      </w:r>
    </w:p>
    <w:p>
      <w:pPr>
        <w:snapToGrid w:val="0"/>
        <w:spacing w:line="360" w:lineRule="auto"/>
        <w:ind w:firstLine="480" w:firstLineChars="200"/>
        <w:outlineLvl w:val="0"/>
        <w:rPr>
          <w:rFonts w:ascii="宋体"/>
          <w:bCs/>
          <w:sz w:val="24"/>
        </w:rPr>
      </w:pPr>
      <w:r>
        <w:rPr>
          <w:rFonts w:hint="eastAsia" w:ascii="宋体"/>
          <w:bCs/>
          <w:sz w:val="24"/>
        </w:rPr>
        <w:t>3.合同所包括附件，是合同不可分割的一部分，具有同等法法律效力。</w:t>
      </w:r>
    </w:p>
    <w:p>
      <w:pPr>
        <w:snapToGrid w:val="0"/>
        <w:spacing w:line="360" w:lineRule="auto"/>
        <w:ind w:firstLine="480" w:firstLineChars="200"/>
        <w:outlineLvl w:val="0"/>
        <w:rPr>
          <w:rFonts w:ascii="宋体"/>
          <w:bCs/>
          <w:sz w:val="24"/>
        </w:rPr>
      </w:pPr>
      <w:r>
        <w:rPr>
          <w:rFonts w:hint="eastAsia" w:ascii="宋体"/>
          <w:bCs/>
          <w:sz w:val="24"/>
        </w:rPr>
        <w:t>4.本合同条件未尽事宜依照《中华人民共和国民法典》，由供需双方共同协商确定。</w:t>
      </w:r>
    </w:p>
    <w:p>
      <w:pPr>
        <w:snapToGrid w:val="0"/>
        <w:spacing w:line="360" w:lineRule="auto"/>
        <w:jc w:val="center"/>
        <w:outlineLvl w:val="0"/>
        <w:rPr>
          <w:rFonts w:ascii="宋体"/>
          <w:sz w:val="44"/>
        </w:rPr>
        <w:sectPr>
          <w:pgSz w:w="11907" w:h="16840"/>
          <w:pgMar w:top="1134" w:right="1191" w:bottom="1134" w:left="1191" w:header="964" w:footer="992" w:gutter="0"/>
          <w:pgNumType w:fmt="numberInDash"/>
          <w:cols w:space="720" w:num="1"/>
          <w:docGrid w:linePitch="312" w:charSpace="0"/>
        </w:sectPr>
      </w:pPr>
    </w:p>
    <w:p>
      <w:pPr>
        <w:pStyle w:val="6"/>
        <w:spacing w:before="0" w:after="0" w:line="360" w:lineRule="auto"/>
        <w:ind w:firstLine="482" w:firstLineChars="200"/>
        <w:rPr>
          <w:rFonts w:ascii="宋体"/>
          <w:sz w:val="24"/>
          <w:szCs w:val="24"/>
        </w:rPr>
      </w:pPr>
      <w:bookmarkStart w:id="117" w:name="_Toc277084871"/>
      <w:bookmarkStart w:id="118" w:name="_Toc285722713"/>
      <w:bookmarkStart w:id="119" w:name="_Toc508178250"/>
      <w:bookmarkStart w:id="120" w:name="_Toc131145287"/>
      <w:r>
        <w:rPr>
          <w:rFonts w:hint="eastAsia" w:ascii="宋体"/>
          <w:sz w:val="24"/>
          <w:szCs w:val="24"/>
        </w:rPr>
        <w:t>二、政府采购合同（格式）</w:t>
      </w:r>
      <w:bookmarkEnd w:id="117"/>
      <w:bookmarkEnd w:id="118"/>
      <w:bookmarkEnd w:id="119"/>
      <w:bookmarkEnd w:id="120"/>
    </w:p>
    <w:p>
      <w:pPr>
        <w:spacing w:line="500" w:lineRule="exact"/>
        <w:jc w:val="center"/>
        <w:rPr>
          <w:rFonts w:ascii="宋体"/>
          <w:b/>
          <w:sz w:val="44"/>
        </w:rPr>
      </w:pPr>
    </w:p>
    <w:bookmarkEnd w:id="116"/>
    <w:p>
      <w:pPr>
        <w:spacing w:line="360" w:lineRule="auto"/>
        <w:jc w:val="center"/>
        <w:rPr>
          <w:rFonts w:ascii="宋体"/>
          <w:b/>
          <w:sz w:val="44"/>
        </w:rPr>
      </w:pPr>
      <w:bookmarkStart w:id="121" w:name="_Toc23764521"/>
      <w:r>
        <w:rPr>
          <w:rFonts w:ascii="宋体"/>
          <w:b/>
          <w:sz w:val="44"/>
        </w:rPr>
        <w:t>重庆市政府采购合同</w:t>
      </w:r>
    </w:p>
    <w:p>
      <w:pPr>
        <w:spacing w:line="360" w:lineRule="auto"/>
        <w:jc w:val="center"/>
        <w:rPr>
          <w:rFonts w:ascii="宋体"/>
        </w:rPr>
      </w:pPr>
      <w:r>
        <w:rPr>
          <w:rFonts w:ascii="宋体"/>
        </w:rPr>
        <w:t>（项目编号：     ）</w:t>
      </w:r>
    </w:p>
    <w:p>
      <w:pPr>
        <w:spacing w:line="360" w:lineRule="auto"/>
        <w:rPr>
          <w:rFonts w:ascii="宋体"/>
          <w:sz w:val="24"/>
        </w:rPr>
      </w:pPr>
      <w:r>
        <w:rPr>
          <w:rFonts w:ascii="宋体"/>
          <w:sz w:val="24"/>
        </w:rPr>
        <w:t>甲方（需方）：___________________________      计价单位：____________</w:t>
      </w:r>
    </w:p>
    <w:p>
      <w:pPr>
        <w:spacing w:line="360" w:lineRule="auto"/>
        <w:rPr>
          <w:rFonts w:ascii="宋体"/>
          <w:sz w:val="24"/>
        </w:rPr>
      </w:pPr>
      <w:r>
        <w:rPr>
          <w:rFonts w:ascii="宋体"/>
          <w:sz w:val="24"/>
        </w:rPr>
        <w:t>乙方（供方）：___________________________      计量单位：_____________</w:t>
      </w:r>
    </w:p>
    <w:p>
      <w:pPr>
        <w:spacing w:line="360" w:lineRule="auto"/>
        <w:rPr>
          <w:rFonts w:ascii="宋体"/>
          <w:sz w:val="24"/>
        </w:rPr>
      </w:pPr>
    </w:p>
    <w:p>
      <w:pPr>
        <w:spacing w:line="360" w:lineRule="auto"/>
        <w:rPr>
          <w:rFonts w:ascii="宋体"/>
          <w:sz w:val="24"/>
        </w:rPr>
      </w:pPr>
      <w:r>
        <w:rPr>
          <w:rFonts w:ascii="宋体"/>
          <w:sz w:val="24"/>
        </w:rPr>
        <w:t>经双方协商一致，达成以下购销合同：</w:t>
      </w:r>
    </w:p>
    <w:tbl>
      <w:tblPr>
        <w:tblStyle w:val="6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2" w:hRule="atLeast"/>
        </w:trPr>
        <w:tc>
          <w:tcPr>
            <w:tcW w:w="3071" w:type="dxa"/>
            <w:vAlign w:val="center"/>
          </w:tcPr>
          <w:p>
            <w:pPr>
              <w:spacing w:line="360" w:lineRule="auto"/>
              <w:jc w:val="center"/>
              <w:rPr>
                <w:rFonts w:ascii="宋体"/>
                <w:sz w:val="21"/>
                <w:szCs w:val="21"/>
              </w:rPr>
            </w:pPr>
            <w:r>
              <w:rPr>
                <w:rFonts w:hint="eastAsia" w:ascii="宋体"/>
                <w:sz w:val="21"/>
                <w:szCs w:val="21"/>
              </w:rPr>
              <w:t>项目类别</w:t>
            </w:r>
          </w:p>
        </w:tc>
        <w:tc>
          <w:tcPr>
            <w:tcW w:w="984" w:type="dxa"/>
            <w:vAlign w:val="center"/>
          </w:tcPr>
          <w:p>
            <w:pPr>
              <w:spacing w:line="360" w:lineRule="auto"/>
              <w:jc w:val="center"/>
              <w:rPr>
                <w:rFonts w:ascii="宋体"/>
                <w:sz w:val="21"/>
                <w:szCs w:val="21"/>
              </w:rPr>
            </w:pPr>
            <w:r>
              <w:rPr>
                <w:rFonts w:ascii="宋体"/>
                <w:sz w:val="21"/>
                <w:szCs w:val="21"/>
              </w:rPr>
              <w:t>数量</w:t>
            </w:r>
          </w:p>
        </w:tc>
        <w:tc>
          <w:tcPr>
            <w:tcW w:w="1298" w:type="dxa"/>
            <w:gridSpan w:val="2"/>
            <w:vAlign w:val="center"/>
          </w:tcPr>
          <w:p>
            <w:pPr>
              <w:spacing w:line="360" w:lineRule="auto"/>
              <w:jc w:val="center"/>
              <w:rPr>
                <w:rFonts w:ascii="宋体"/>
                <w:sz w:val="21"/>
                <w:szCs w:val="21"/>
              </w:rPr>
            </w:pPr>
            <w:r>
              <w:rPr>
                <w:rFonts w:ascii="宋体"/>
                <w:sz w:val="21"/>
                <w:szCs w:val="21"/>
              </w:rPr>
              <w:t>综合单价</w:t>
            </w:r>
          </w:p>
        </w:tc>
        <w:tc>
          <w:tcPr>
            <w:tcW w:w="1134" w:type="dxa"/>
            <w:vAlign w:val="center"/>
          </w:tcPr>
          <w:p>
            <w:pPr>
              <w:spacing w:line="360" w:lineRule="auto"/>
              <w:jc w:val="center"/>
              <w:rPr>
                <w:rFonts w:ascii="宋体"/>
                <w:sz w:val="21"/>
                <w:szCs w:val="21"/>
              </w:rPr>
            </w:pPr>
            <w:r>
              <w:rPr>
                <w:rFonts w:ascii="宋体"/>
                <w:sz w:val="21"/>
                <w:szCs w:val="21"/>
              </w:rPr>
              <w:t>总价</w:t>
            </w:r>
          </w:p>
        </w:tc>
        <w:tc>
          <w:tcPr>
            <w:tcW w:w="1559" w:type="dxa"/>
            <w:vAlign w:val="center"/>
          </w:tcPr>
          <w:p>
            <w:pPr>
              <w:spacing w:line="360" w:lineRule="auto"/>
              <w:jc w:val="center"/>
              <w:rPr>
                <w:rFonts w:ascii="宋体"/>
                <w:sz w:val="21"/>
                <w:szCs w:val="21"/>
              </w:rPr>
            </w:pPr>
            <w:r>
              <w:rPr>
                <w:rFonts w:hint="eastAsia" w:ascii="宋体"/>
                <w:sz w:val="21"/>
                <w:szCs w:val="21"/>
              </w:rPr>
              <w:t>服务</w:t>
            </w:r>
            <w:r>
              <w:rPr>
                <w:rFonts w:ascii="宋体"/>
                <w:sz w:val="21"/>
                <w:szCs w:val="21"/>
              </w:rPr>
              <w:t>时间</w:t>
            </w:r>
          </w:p>
        </w:tc>
        <w:tc>
          <w:tcPr>
            <w:tcW w:w="1567" w:type="dxa"/>
            <w:vAlign w:val="center"/>
          </w:tcPr>
          <w:p>
            <w:pPr>
              <w:spacing w:line="360" w:lineRule="auto"/>
              <w:jc w:val="center"/>
              <w:rPr>
                <w:rFonts w:ascii="宋体"/>
                <w:sz w:val="21"/>
                <w:szCs w:val="21"/>
              </w:rPr>
            </w:pPr>
            <w:r>
              <w:rPr>
                <w:rFonts w:hint="eastAsia" w:ascii="宋体"/>
                <w:sz w:val="21"/>
                <w:szCs w:val="21"/>
              </w:rPr>
              <w:t>服务</w:t>
            </w:r>
            <w:r>
              <w:rPr>
                <w:rFonts w:ascii="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sz w:val="21"/>
                <w:szCs w:val="21"/>
              </w:rPr>
            </w:pPr>
            <w:r>
              <w:rPr>
                <w:rFonts w:ascii="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sz w:val="21"/>
                <w:szCs w:val="21"/>
              </w:rPr>
            </w:pPr>
            <w:r>
              <w:rPr>
                <w:rFonts w:ascii="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360" w:lineRule="auto"/>
              <w:rPr>
                <w:rFonts w:ascii="宋体"/>
                <w:sz w:val="21"/>
                <w:szCs w:val="21"/>
              </w:rPr>
            </w:pPr>
            <w:r>
              <w:rPr>
                <w:rFonts w:ascii="宋体"/>
                <w:sz w:val="21"/>
                <w:szCs w:val="21"/>
              </w:rPr>
              <w:t>一、质量要求和技术标准：</w:t>
            </w:r>
          </w:p>
          <w:p>
            <w:pPr>
              <w:spacing w:line="360" w:lineRule="auto"/>
              <w:rPr>
                <w:rFonts w:ascii="宋体"/>
                <w:sz w:val="21"/>
                <w:szCs w:val="21"/>
              </w:rPr>
            </w:pPr>
            <w:r>
              <w:rPr>
                <w:rFonts w:ascii="宋体"/>
                <w:sz w:val="21"/>
                <w:szCs w:val="21"/>
              </w:rPr>
              <w:t>1、服务措施：</w:t>
            </w:r>
          </w:p>
          <w:p>
            <w:pPr>
              <w:spacing w:line="360" w:lineRule="auto"/>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9628" w:type="dxa"/>
            <w:gridSpan w:val="8"/>
          </w:tcPr>
          <w:p>
            <w:pPr>
              <w:spacing w:line="360" w:lineRule="auto"/>
              <w:rPr>
                <w:rFonts w:ascii="宋体"/>
                <w:sz w:val="21"/>
                <w:szCs w:val="21"/>
              </w:rPr>
            </w:pPr>
            <w:r>
              <w:rPr>
                <w:rFonts w:hint="eastAsia" w:ascii="宋体"/>
                <w:sz w:val="21"/>
                <w:szCs w:val="21"/>
              </w:rPr>
              <w:t>二</w:t>
            </w:r>
            <w:r>
              <w:rPr>
                <w:rFonts w:ascii="宋体"/>
                <w:sz w:val="21"/>
                <w:szCs w:val="21"/>
              </w:rPr>
              <w:t>、验收标准、方法：</w:t>
            </w:r>
          </w:p>
          <w:p>
            <w:pPr>
              <w:spacing w:line="360" w:lineRule="auto"/>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sz w:val="21"/>
                <w:szCs w:val="21"/>
              </w:rPr>
            </w:pPr>
            <w:r>
              <w:rPr>
                <w:rFonts w:hint="eastAsia" w:ascii="宋体"/>
                <w:sz w:val="21"/>
                <w:szCs w:val="21"/>
              </w:rPr>
              <w:t>三</w:t>
            </w:r>
            <w:r>
              <w:rPr>
                <w:rFonts w:ascii="宋体"/>
                <w:sz w:val="21"/>
                <w:szCs w:val="21"/>
              </w:rPr>
              <w:t>、付款方式：</w:t>
            </w:r>
          </w:p>
          <w:p>
            <w:pPr>
              <w:pStyle w:val="36"/>
              <w:spacing w:line="360" w:lineRule="auto"/>
              <w:ind w:left="98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sz w:val="21"/>
                <w:szCs w:val="21"/>
              </w:rPr>
            </w:pPr>
            <w:r>
              <w:rPr>
                <w:rFonts w:hint="eastAsia" w:ascii="宋体"/>
                <w:sz w:val="21"/>
                <w:szCs w:val="21"/>
              </w:rPr>
              <w:t>四</w:t>
            </w:r>
            <w:r>
              <w:rPr>
                <w:rFonts w:ascii="宋体"/>
                <w:sz w:val="21"/>
                <w:szCs w:val="21"/>
              </w:rPr>
              <w:t>、违约责任：</w:t>
            </w:r>
          </w:p>
          <w:p>
            <w:pPr>
              <w:spacing w:line="360" w:lineRule="auto"/>
              <w:rPr>
                <w:rFonts w:ascii="宋体"/>
                <w:sz w:val="21"/>
                <w:szCs w:val="21"/>
              </w:rPr>
            </w:pPr>
            <w:r>
              <w:rPr>
                <w:rFonts w:ascii="宋体"/>
                <w:sz w:val="21"/>
                <w:szCs w:val="21"/>
              </w:rPr>
              <w:t>按《</w:t>
            </w:r>
            <w:r>
              <w:rPr>
                <w:rFonts w:hint="eastAsia" w:ascii="宋体"/>
                <w:sz w:val="21"/>
                <w:szCs w:val="21"/>
              </w:rPr>
              <w:t>民法典</w:t>
            </w:r>
            <w:r>
              <w:rPr>
                <w:rFonts w:ascii="宋体"/>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9628" w:type="dxa"/>
            <w:gridSpan w:val="8"/>
          </w:tcPr>
          <w:p>
            <w:pPr>
              <w:spacing w:line="360" w:lineRule="auto"/>
              <w:rPr>
                <w:rFonts w:ascii="宋体"/>
                <w:sz w:val="21"/>
                <w:szCs w:val="21"/>
              </w:rPr>
            </w:pPr>
            <w:r>
              <w:rPr>
                <w:rFonts w:hint="eastAsia" w:ascii="宋体"/>
                <w:sz w:val="21"/>
                <w:szCs w:val="21"/>
              </w:rPr>
              <w:t>五</w:t>
            </w:r>
            <w:r>
              <w:rPr>
                <w:rFonts w:ascii="宋体"/>
                <w:sz w:val="21"/>
                <w:szCs w:val="21"/>
              </w:rPr>
              <w:t>、其他约定事项：</w:t>
            </w:r>
          </w:p>
          <w:p>
            <w:pPr>
              <w:spacing w:line="360" w:lineRule="auto"/>
              <w:rPr>
                <w:rFonts w:ascii="宋体"/>
                <w:sz w:val="21"/>
                <w:szCs w:val="21"/>
              </w:rPr>
            </w:pPr>
            <w:r>
              <w:rPr>
                <w:rFonts w:ascii="宋体"/>
                <w:sz w:val="21"/>
                <w:szCs w:val="21"/>
              </w:rPr>
              <w:t>1、</w:t>
            </w:r>
            <w:r>
              <w:rPr>
                <w:rFonts w:hint="eastAsia" w:ascii="宋体"/>
                <w:sz w:val="21"/>
                <w:szCs w:val="21"/>
              </w:rPr>
              <w:t>招标</w:t>
            </w:r>
            <w:r>
              <w:rPr>
                <w:rFonts w:ascii="宋体"/>
                <w:sz w:val="21"/>
                <w:szCs w:val="21"/>
              </w:rPr>
              <w:t>文件及其补遗文件、</w:t>
            </w:r>
            <w:r>
              <w:rPr>
                <w:rFonts w:hint="eastAsia" w:ascii="宋体"/>
                <w:sz w:val="21"/>
                <w:szCs w:val="21"/>
              </w:rPr>
              <w:t>投标</w:t>
            </w:r>
            <w:r>
              <w:rPr>
                <w:rFonts w:ascii="宋体"/>
                <w:sz w:val="21"/>
                <w:szCs w:val="21"/>
              </w:rPr>
              <w:t>文件和承诺是本合同不可分割的部分。</w:t>
            </w:r>
          </w:p>
          <w:p>
            <w:pPr>
              <w:spacing w:line="360" w:lineRule="auto"/>
              <w:ind w:left="360"/>
              <w:rPr>
                <w:rFonts w:ascii="宋体"/>
                <w:sz w:val="21"/>
                <w:szCs w:val="21"/>
              </w:rPr>
            </w:pPr>
            <w:r>
              <w:rPr>
                <w:rFonts w:ascii="宋体"/>
                <w:sz w:val="21"/>
                <w:szCs w:val="21"/>
              </w:rPr>
              <w:t>本合同如发生争议由双方协商解决，协商不成向需方所在人民法院提请诉讼。</w:t>
            </w:r>
          </w:p>
          <w:p>
            <w:pPr>
              <w:spacing w:line="360" w:lineRule="auto"/>
              <w:ind w:left="360"/>
              <w:rPr>
                <w:rFonts w:ascii="宋体"/>
                <w:sz w:val="21"/>
                <w:szCs w:val="21"/>
              </w:rPr>
            </w:pPr>
            <w:r>
              <w:rPr>
                <w:rFonts w:ascii="宋体"/>
                <w:sz w:val="21"/>
                <w:szCs w:val="21"/>
              </w:rPr>
              <w:t>本合同一式__份， 需方__份，供方__份，具同等法律效力。</w:t>
            </w:r>
          </w:p>
          <w:p>
            <w:pPr>
              <w:spacing w:line="360" w:lineRule="auto"/>
              <w:rPr>
                <w:rFonts w:ascii="宋体"/>
                <w:sz w:val="21"/>
                <w:szCs w:val="21"/>
              </w:rPr>
            </w:pPr>
            <w:r>
              <w:rPr>
                <w:rFonts w:hint="eastAsia" w:ascii="宋体"/>
                <w:sz w:val="21"/>
                <w:szCs w:val="21"/>
              </w:rPr>
              <w:t>2</w:t>
            </w:r>
            <w:r>
              <w:rPr>
                <w:rFonts w:ascii="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8" w:hRule="atLeast"/>
        </w:trPr>
        <w:tc>
          <w:tcPr>
            <w:tcW w:w="4503" w:type="dxa"/>
            <w:gridSpan w:val="3"/>
          </w:tcPr>
          <w:p>
            <w:pPr>
              <w:spacing w:line="360" w:lineRule="auto"/>
              <w:rPr>
                <w:rFonts w:ascii="宋体"/>
                <w:sz w:val="21"/>
                <w:szCs w:val="21"/>
              </w:rPr>
            </w:pPr>
            <w:r>
              <w:rPr>
                <w:rFonts w:ascii="宋体"/>
                <w:sz w:val="21"/>
                <w:szCs w:val="21"/>
              </w:rPr>
              <w:t>需方：</w:t>
            </w:r>
          </w:p>
          <w:p>
            <w:pPr>
              <w:spacing w:line="360" w:lineRule="auto"/>
              <w:rPr>
                <w:rFonts w:ascii="宋体"/>
                <w:sz w:val="21"/>
                <w:szCs w:val="21"/>
              </w:rPr>
            </w:pPr>
            <w:r>
              <w:rPr>
                <w:rFonts w:ascii="宋体"/>
                <w:sz w:val="21"/>
                <w:szCs w:val="21"/>
              </w:rPr>
              <w:t>地址：</w:t>
            </w:r>
          </w:p>
          <w:p>
            <w:pPr>
              <w:spacing w:line="360" w:lineRule="auto"/>
              <w:rPr>
                <w:rFonts w:ascii="宋体"/>
                <w:sz w:val="21"/>
                <w:szCs w:val="21"/>
              </w:rPr>
            </w:pPr>
            <w:r>
              <w:rPr>
                <w:rFonts w:ascii="宋体"/>
                <w:sz w:val="21"/>
                <w:szCs w:val="21"/>
              </w:rPr>
              <w:t>联系电话：</w:t>
            </w:r>
          </w:p>
          <w:p>
            <w:pPr>
              <w:spacing w:line="360" w:lineRule="auto"/>
              <w:rPr>
                <w:rFonts w:ascii="宋体"/>
                <w:sz w:val="21"/>
                <w:szCs w:val="21"/>
              </w:rPr>
            </w:pPr>
            <w:r>
              <w:rPr>
                <w:rFonts w:ascii="宋体"/>
                <w:sz w:val="21"/>
                <w:szCs w:val="21"/>
              </w:rPr>
              <w:t>授权代表：</w:t>
            </w:r>
          </w:p>
        </w:tc>
        <w:tc>
          <w:tcPr>
            <w:tcW w:w="5125" w:type="dxa"/>
            <w:gridSpan w:val="5"/>
          </w:tcPr>
          <w:p>
            <w:pPr>
              <w:spacing w:line="360" w:lineRule="auto"/>
              <w:rPr>
                <w:rFonts w:ascii="宋体"/>
                <w:sz w:val="21"/>
                <w:szCs w:val="21"/>
              </w:rPr>
            </w:pPr>
            <w:r>
              <w:rPr>
                <w:rFonts w:ascii="宋体"/>
                <w:sz w:val="21"/>
                <w:szCs w:val="21"/>
              </w:rPr>
              <w:t>供方：</w:t>
            </w:r>
          </w:p>
          <w:p>
            <w:pPr>
              <w:spacing w:line="360" w:lineRule="auto"/>
              <w:rPr>
                <w:rFonts w:ascii="宋体"/>
                <w:sz w:val="21"/>
                <w:szCs w:val="21"/>
              </w:rPr>
            </w:pPr>
            <w:r>
              <w:rPr>
                <w:rFonts w:ascii="宋体"/>
                <w:sz w:val="21"/>
                <w:szCs w:val="21"/>
              </w:rPr>
              <w:t>地址：</w:t>
            </w:r>
          </w:p>
          <w:p>
            <w:pPr>
              <w:spacing w:line="360" w:lineRule="auto"/>
              <w:rPr>
                <w:rFonts w:ascii="宋体"/>
                <w:sz w:val="21"/>
                <w:szCs w:val="21"/>
              </w:rPr>
            </w:pPr>
            <w:r>
              <w:rPr>
                <w:rFonts w:ascii="宋体"/>
                <w:sz w:val="21"/>
                <w:szCs w:val="21"/>
              </w:rPr>
              <w:t>电话：</w:t>
            </w:r>
          </w:p>
          <w:p>
            <w:pPr>
              <w:spacing w:line="360" w:lineRule="auto"/>
              <w:rPr>
                <w:rFonts w:ascii="宋体"/>
                <w:sz w:val="21"/>
                <w:szCs w:val="21"/>
              </w:rPr>
            </w:pPr>
            <w:r>
              <w:rPr>
                <w:rFonts w:ascii="宋体"/>
                <w:sz w:val="21"/>
                <w:szCs w:val="21"/>
              </w:rPr>
              <w:t>传真：</w:t>
            </w:r>
          </w:p>
          <w:p>
            <w:pPr>
              <w:spacing w:line="360" w:lineRule="auto"/>
              <w:rPr>
                <w:rFonts w:ascii="宋体"/>
                <w:sz w:val="21"/>
                <w:szCs w:val="21"/>
              </w:rPr>
            </w:pPr>
            <w:r>
              <w:rPr>
                <w:rFonts w:ascii="宋体"/>
                <w:sz w:val="21"/>
                <w:szCs w:val="21"/>
              </w:rPr>
              <w:t>开户银行：</w:t>
            </w:r>
          </w:p>
          <w:p>
            <w:pPr>
              <w:spacing w:line="360" w:lineRule="auto"/>
              <w:rPr>
                <w:rFonts w:ascii="宋体"/>
                <w:sz w:val="21"/>
                <w:szCs w:val="21"/>
              </w:rPr>
            </w:pPr>
            <w:r>
              <w:rPr>
                <w:rFonts w:ascii="宋体"/>
                <w:sz w:val="21"/>
                <w:szCs w:val="21"/>
              </w:rPr>
              <w:t>账号：</w:t>
            </w:r>
          </w:p>
          <w:p>
            <w:pPr>
              <w:spacing w:line="360" w:lineRule="auto"/>
              <w:rPr>
                <w:rFonts w:ascii="宋体"/>
                <w:sz w:val="21"/>
                <w:szCs w:val="21"/>
              </w:rPr>
            </w:pPr>
            <w:r>
              <w:rPr>
                <w:rFonts w:ascii="宋体"/>
                <w:sz w:val="21"/>
                <w:szCs w:val="21"/>
              </w:rPr>
              <w:t>授权代表：</w:t>
            </w:r>
          </w:p>
          <w:p>
            <w:pPr>
              <w:widowControl/>
              <w:spacing w:line="360" w:lineRule="auto"/>
              <w:jc w:val="left"/>
              <w:rPr>
                <w:rFonts w:ascii="宋体"/>
                <w:sz w:val="21"/>
                <w:szCs w:val="21"/>
              </w:rPr>
            </w:pPr>
            <w:r>
              <w:rPr>
                <w:rFonts w:ascii="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9628" w:type="dxa"/>
            <w:gridSpan w:val="8"/>
          </w:tcPr>
          <w:p>
            <w:pPr>
              <w:spacing w:line="360" w:lineRule="auto"/>
              <w:rPr>
                <w:rFonts w:ascii="宋体"/>
                <w:sz w:val="21"/>
                <w:szCs w:val="21"/>
              </w:rPr>
            </w:pPr>
            <w:r>
              <w:rPr>
                <w:rFonts w:ascii="宋体"/>
                <w:sz w:val="21"/>
                <w:szCs w:val="21"/>
              </w:rPr>
              <w:t>备注：</w:t>
            </w:r>
          </w:p>
          <w:p>
            <w:pPr>
              <w:spacing w:line="360" w:lineRule="auto"/>
              <w:rPr>
                <w:rFonts w:ascii="宋体"/>
                <w:sz w:val="21"/>
                <w:szCs w:val="21"/>
              </w:rPr>
            </w:pPr>
          </w:p>
          <w:p>
            <w:pPr>
              <w:spacing w:line="360" w:lineRule="auto"/>
              <w:rPr>
                <w:rFonts w:ascii="宋体"/>
                <w:sz w:val="21"/>
                <w:szCs w:val="21"/>
              </w:rPr>
            </w:pPr>
          </w:p>
        </w:tc>
      </w:tr>
    </w:tbl>
    <w:p>
      <w:pPr>
        <w:spacing w:line="360" w:lineRule="auto"/>
        <w:ind w:firstLine="480" w:firstLineChars="200"/>
        <w:rPr>
          <w:rFonts w:ascii="宋体"/>
          <w:sz w:val="24"/>
        </w:rPr>
      </w:pPr>
      <w:r>
        <w:rPr>
          <w:rFonts w:ascii="宋体"/>
          <w:sz w:val="24"/>
        </w:rPr>
        <w:t>签约时间：           年   月   日      签约地点：</w:t>
      </w:r>
    </w:p>
    <w:p>
      <w:pPr>
        <w:spacing w:line="500" w:lineRule="exact"/>
        <w:ind w:firstLine="480" w:firstLineChars="200"/>
        <w:rPr>
          <w:rFonts w:ascii="宋体"/>
          <w:sz w:val="24"/>
        </w:rPr>
        <w:sectPr>
          <w:headerReference r:id="rId13" w:type="default"/>
          <w:pgSz w:w="11907" w:h="16840"/>
          <w:pgMar w:top="1134" w:right="1191" w:bottom="1134" w:left="1191" w:header="851" w:footer="992" w:gutter="0"/>
          <w:pgNumType w:fmt="numberInDash"/>
          <w:cols w:space="720" w:num="1"/>
          <w:docGrid w:linePitch="381" w:charSpace="-5734"/>
        </w:sectPr>
      </w:pPr>
    </w:p>
    <w:p>
      <w:pPr>
        <w:pStyle w:val="5"/>
        <w:spacing w:line="360" w:lineRule="auto"/>
        <w:jc w:val="center"/>
        <w:rPr>
          <w:rFonts w:ascii="宋体" w:eastAsia="宋体"/>
          <w:sz w:val="36"/>
          <w:szCs w:val="30"/>
        </w:rPr>
      </w:pPr>
      <w:bookmarkStart w:id="122" w:name="_Toc131145288"/>
      <w:r>
        <w:rPr>
          <w:rFonts w:ascii="宋体" w:eastAsia="宋体"/>
          <w:sz w:val="36"/>
          <w:szCs w:val="30"/>
        </w:rPr>
        <w:t>第七篇  响应文件编制要求</w:t>
      </w:r>
      <w:bookmarkEnd w:id="121"/>
      <w:bookmarkEnd w:id="122"/>
    </w:p>
    <w:p>
      <w:pPr>
        <w:pStyle w:val="6"/>
        <w:spacing w:before="0" w:after="0" w:line="360" w:lineRule="auto"/>
        <w:ind w:firstLine="482" w:firstLineChars="200"/>
        <w:rPr>
          <w:rFonts w:ascii="宋体" w:hAnsi="宋体"/>
          <w:sz w:val="24"/>
          <w:szCs w:val="24"/>
        </w:rPr>
      </w:pPr>
      <w:bookmarkStart w:id="123" w:name="_Toc130496048"/>
      <w:bookmarkStart w:id="124" w:name="_Toc131145289"/>
      <w:r>
        <w:rPr>
          <w:rFonts w:ascii="宋体" w:hAnsi="宋体"/>
          <w:sz w:val="24"/>
          <w:szCs w:val="24"/>
        </w:rPr>
        <w:t>一、经济部分</w:t>
      </w:r>
      <w:bookmarkEnd w:id="123"/>
      <w:bookmarkEnd w:id="124"/>
    </w:p>
    <w:p>
      <w:pPr>
        <w:snapToGrid w:val="0"/>
        <w:spacing w:line="360" w:lineRule="auto"/>
        <w:ind w:firstLine="480" w:firstLineChars="200"/>
        <w:rPr>
          <w:sz w:val="24"/>
          <w:szCs w:val="24"/>
        </w:rPr>
      </w:pPr>
      <w:r>
        <w:rPr>
          <w:sz w:val="24"/>
          <w:szCs w:val="24"/>
        </w:rPr>
        <w:t>（一）竞争性磋商报价函</w:t>
      </w:r>
    </w:p>
    <w:p>
      <w:pPr>
        <w:snapToGrid w:val="0"/>
        <w:spacing w:line="360" w:lineRule="auto"/>
        <w:ind w:firstLine="480" w:firstLineChars="200"/>
        <w:rPr>
          <w:sz w:val="24"/>
          <w:szCs w:val="24"/>
        </w:rPr>
      </w:pPr>
      <w:r>
        <w:rPr>
          <w:rFonts w:hint="eastAsia"/>
          <w:sz w:val="24"/>
          <w:szCs w:val="24"/>
        </w:rPr>
        <w:t>（二）分项报价明细表</w:t>
      </w:r>
    </w:p>
    <w:p>
      <w:pPr>
        <w:pStyle w:val="6"/>
        <w:spacing w:before="0" w:after="0" w:line="360" w:lineRule="auto"/>
        <w:ind w:firstLine="482" w:firstLineChars="200"/>
        <w:rPr>
          <w:rFonts w:ascii="宋体" w:hAnsi="宋体"/>
          <w:sz w:val="24"/>
          <w:szCs w:val="24"/>
        </w:rPr>
      </w:pPr>
      <w:bookmarkStart w:id="125" w:name="_Toc78194469"/>
      <w:bookmarkStart w:id="126" w:name="_Toc131145290"/>
      <w:bookmarkStart w:id="127" w:name="_Toc130496049"/>
      <w:r>
        <w:rPr>
          <w:rFonts w:hint="eastAsia" w:ascii="宋体" w:hAnsi="宋体"/>
          <w:sz w:val="24"/>
          <w:szCs w:val="24"/>
        </w:rPr>
        <w:t>二、服务部分</w:t>
      </w:r>
      <w:bookmarkEnd w:id="125"/>
      <w:bookmarkEnd w:id="126"/>
      <w:bookmarkEnd w:id="127"/>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（二）服务响应偏离表</w:t>
      </w:r>
    </w:p>
    <w:p>
      <w:pPr>
        <w:pStyle w:val="6"/>
        <w:spacing w:before="0" w:after="0" w:line="360" w:lineRule="auto"/>
        <w:ind w:firstLine="482" w:firstLineChars="200"/>
        <w:rPr>
          <w:rFonts w:ascii="宋体" w:hAnsi="宋体"/>
          <w:sz w:val="24"/>
          <w:szCs w:val="24"/>
        </w:rPr>
      </w:pPr>
      <w:bookmarkStart w:id="128" w:name="_Toc131145291"/>
      <w:bookmarkStart w:id="129" w:name="_Toc130496050"/>
      <w:r>
        <w:rPr>
          <w:rFonts w:ascii="宋体" w:hAnsi="宋体"/>
          <w:sz w:val="24"/>
          <w:szCs w:val="24"/>
        </w:rPr>
        <w:t>三、商务部分</w:t>
      </w:r>
      <w:bookmarkEnd w:id="128"/>
      <w:bookmarkEnd w:id="129"/>
    </w:p>
    <w:p>
      <w:pPr>
        <w:snapToGrid w:val="0"/>
        <w:spacing w:line="360" w:lineRule="auto"/>
        <w:ind w:firstLine="480" w:firstLineChars="200"/>
        <w:rPr>
          <w:sz w:val="24"/>
          <w:szCs w:val="24"/>
        </w:rPr>
      </w:pPr>
      <w:r>
        <w:rPr>
          <w:sz w:val="24"/>
          <w:szCs w:val="24"/>
        </w:rPr>
        <w:t>（一）</w:t>
      </w:r>
      <w:r>
        <w:rPr>
          <w:rFonts w:hint="eastAsia"/>
          <w:sz w:val="24"/>
          <w:szCs w:val="24"/>
        </w:rPr>
        <w:t>商务条款差异表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6"/>
        <w:spacing w:before="0" w:after="0" w:line="360" w:lineRule="auto"/>
        <w:ind w:firstLine="482" w:firstLineChars="200"/>
        <w:rPr>
          <w:rFonts w:ascii="宋体" w:hAnsi="宋体"/>
          <w:sz w:val="24"/>
          <w:szCs w:val="24"/>
        </w:rPr>
      </w:pPr>
      <w:bookmarkStart w:id="130" w:name="_Toc131145292"/>
      <w:bookmarkStart w:id="131" w:name="_Toc130496051"/>
      <w:r>
        <w:rPr>
          <w:rFonts w:ascii="宋体" w:hAnsi="宋体"/>
          <w:sz w:val="24"/>
          <w:szCs w:val="24"/>
        </w:rPr>
        <w:t>四、资格条件及其他</w:t>
      </w:r>
      <w:bookmarkEnd w:id="130"/>
      <w:bookmarkEnd w:id="131"/>
    </w:p>
    <w:p>
      <w:pPr>
        <w:snapToGrid w:val="0"/>
        <w:spacing w:line="360" w:lineRule="auto"/>
        <w:ind w:firstLine="480" w:firstLineChars="20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ascii="宋体" w:hAnsi="宋体"/>
          <w:sz w:val="24"/>
          <w:szCs w:val="24"/>
        </w:rPr>
      </w:pPr>
      <w:r>
        <w:rPr>
          <w:rFonts w:hint="eastAsia" w:ascii="宋体" w:hAnsi="宋体"/>
          <w:sz w:val="24"/>
          <w:szCs w:val="24"/>
        </w:rPr>
        <w:t>（二）法定代表人身份证明书（格式）</w:t>
      </w:r>
    </w:p>
    <w:p>
      <w:pPr>
        <w:snapToGrid w:val="0"/>
        <w:spacing w:line="360" w:lineRule="auto"/>
        <w:ind w:firstLine="480" w:firstLineChars="200"/>
        <w:rPr>
          <w:rFonts w:ascii="宋体" w:hAnsi="宋体"/>
          <w:sz w:val="24"/>
          <w:szCs w:val="24"/>
        </w:rPr>
      </w:pPr>
      <w:r>
        <w:rPr>
          <w:rFonts w:hint="eastAsia" w:ascii="宋体" w:hAnsi="宋体"/>
          <w:sz w:val="24"/>
          <w:szCs w:val="24"/>
        </w:rPr>
        <w:t>（三）法定代表人授权委托书（格式）</w:t>
      </w:r>
    </w:p>
    <w:p>
      <w:pPr>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pPr>
        <w:snapToGrid w:val="0"/>
        <w:spacing w:line="360" w:lineRule="auto"/>
        <w:ind w:firstLine="480" w:firstLineChars="200"/>
        <w:rPr>
          <w:rFonts w:ascii="宋体" w:hAnsi="宋体"/>
          <w:sz w:val="24"/>
          <w:szCs w:val="24"/>
        </w:rPr>
      </w:pPr>
      <w:r>
        <w:rPr>
          <w:rFonts w:hint="eastAsia" w:ascii="宋体" w:hAnsi="宋体"/>
          <w:sz w:val="24"/>
          <w:szCs w:val="24"/>
        </w:rPr>
        <w:t>（五）特定资格条件证书或证明文件（如有）</w:t>
      </w:r>
    </w:p>
    <w:p>
      <w:pPr>
        <w:snapToGrid w:val="0"/>
        <w:spacing w:line="360" w:lineRule="auto"/>
        <w:ind w:firstLine="480" w:firstLineChars="200"/>
        <w:rPr>
          <w:rFonts w:ascii="宋体" w:hAnsi="宋体"/>
          <w:sz w:val="24"/>
          <w:szCs w:val="24"/>
        </w:rPr>
      </w:pPr>
      <w:r>
        <w:rPr>
          <w:rFonts w:hint="eastAsia" w:ascii="宋体" w:hAnsi="宋体"/>
          <w:sz w:val="24"/>
          <w:szCs w:val="24"/>
        </w:rPr>
        <w:t>（六）落实政府采购政策需满足的资格要求（如有）</w:t>
      </w:r>
    </w:p>
    <w:p>
      <w:pPr>
        <w:snapToGrid w:val="0"/>
        <w:spacing w:line="360" w:lineRule="auto"/>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其他应提供的资料</w:t>
      </w:r>
    </w:p>
    <w:p>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中小</w:t>
      </w:r>
      <w:r>
        <w:rPr>
          <w:rFonts w:ascii="宋体" w:hAnsi="宋体"/>
          <w:sz w:val="24"/>
          <w:szCs w:val="24"/>
        </w:rPr>
        <w:t>企业</w:t>
      </w:r>
      <w:r>
        <w:rPr>
          <w:rFonts w:hint="eastAsia" w:ascii="宋体" w:hAnsi="宋体"/>
          <w:sz w:val="24"/>
          <w:szCs w:val="24"/>
        </w:rPr>
        <w:t>声明函</w:t>
      </w:r>
      <w:r>
        <w:rPr>
          <w:rFonts w:ascii="宋体" w:hAnsi="宋体"/>
          <w:sz w:val="24"/>
          <w:szCs w:val="24"/>
        </w:rPr>
        <w:t>、监狱企业证明文件、残疾人福利性单位声明函</w:t>
      </w:r>
    </w:p>
    <w:p>
      <w:pPr>
        <w:snapToGrid w:val="0"/>
        <w:spacing w:line="360" w:lineRule="auto"/>
        <w:ind w:firstLine="480" w:firstLineChars="200"/>
        <w:rPr>
          <w:rFonts w:ascii="宋体" w:hAnsi="宋体"/>
          <w:sz w:val="24"/>
          <w:szCs w:val="24"/>
        </w:rPr>
      </w:pPr>
      <w:r>
        <w:rPr>
          <w:rFonts w:ascii="宋体" w:hAnsi="宋体"/>
          <w:sz w:val="24"/>
          <w:szCs w:val="24"/>
        </w:rPr>
        <w:t>2.其他与项目有关的资料（自附）</w:t>
      </w:r>
    </w:p>
    <w:p>
      <w:pPr>
        <w:spacing w:line="440" w:lineRule="exact"/>
        <w:ind w:firstLine="480" w:firstLineChars="200"/>
        <w:rPr>
          <w:sz w:val="24"/>
          <w:szCs w:val="24"/>
        </w:rPr>
        <w:sectPr>
          <w:headerReference r:id="rId14"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r>
        <w:rPr>
          <w:rFonts w:hint="eastAsia"/>
          <w:b/>
          <w:sz w:val="24"/>
          <w:szCs w:val="24"/>
        </w:rPr>
        <w:t xml:space="preserve">    </w:t>
      </w:r>
      <w:bookmarkStart w:id="132" w:name="_Toc313888360"/>
      <w:bookmarkStart w:id="133" w:name="_Toc313008356"/>
      <w:bookmarkStart w:id="134" w:name="_Toc342913419"/>
      <w:bookmarkStart w:id="135" w:name="_Toc23764522"/>
      <w:bookmarkStart w:id="136" w:name="_Toc12789073"/>
      <w:bookmarkStart w:id="137" w:name="_Toc283382454"/>
      <w:r>
        <w:rPr>
          <w:b/>
          <w:sz w:val="24"/>
          <w:szCs w:val="24"/>
        </w:rPr>
        <w:t>一、经济部分</w:t>
      </w:r>
      <w:bookmarkEnd w:id="132"/>
      <w:bookmarkEnd w:id="133"/>
      <w:bookmarkEnd w:id="134"/>
      <w:bookmarkEnd w:id="135"/>
    </w:p>
    <w:bookmarkEnd w:id="136"/>
    <w:bookmarkEnd w:id="137"/>
    <w:p>
      <w:pPr>
        <w:tabs>
          <w:tab w:val="left" w:pos="6300"/>
        </w:tabs>
        <w:snapToGrid w:val="0"/>
        <w:spacing w:line="520" w:lineRule="exact"/>
        <w:ind w:firstLine="480" w:firstLineChars="200"/>
        <w:rPr>
          <w:sz w:val="24"/>
          <w:szCs w:val="24"/>
        </w:rPr>
      </w:pPr>
      <w:r>
        <w:rPr>
          <w:sz w:val="24"/>
          <w:szCs w:val="24"/>
        </w:rPr>
        <w:t>（一）竞争性磋商报价函</w:t>
      </w:r>
    </w:p>
    <w:p>
      <w:pPr>
        <w:tabs>
          <w:tab w:val="left" w:pos="6300"/>
        </w:tabs>
        <w:snapToGrid w:val="0"/>
        <w:spacing w:line="520" w:lineRule="exact"/>
        <w:jc w:val="center"/>
        <w:outlineLvl w:val="0"/>
        <w:rPr>
          <w:b/>
          <w:szCs w:val="28"/>
        </w:rPr>
      </w:pPr>
      <w:r>
        <w:rPr>
          <w:b/>
          <w:szCs w:val="28"/>
        </w:rPr>
        <w:t>竞争性磋商报价函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我方收到____________________________（项目名称）的竞争性磋商文件，经详细研究，决定参加该项目的磋商。</w:t>
      </w:r>
    </w:p>
    <w:p>
      <w:pPr>
        <w:tabs>
          <w:tab w:val="left" w:pos="6300"/>
        </w:tabs>
        <w:snapToGrid w:val="0"/>
        <w:spacing w:line="520" w:lineRule="exact"/>
        <w:ind w:firstLine="480" w:firstLineChars="200"/>
        <w:rPr>
          <w:sz w:val="24"/>
          <w:szCs w:val="24"/>
        </w:rPr>
      </w:pPr>
      <w:r>
        <w:rPr>
          <w:sz w:val="24"/>
          <w:szCs w:val="24"/>
        </w:rPr>
        <w:t>1.愿意按照竞争性磋商文件中的一切要求，提供本项目的服务，初始报价为人民币大写：</w:t>
      </w:r>
      <w:r>
        <w:rPr>
          <w:sz w:val="24"/>
          <w:szCs w:val="24"/>
          <w:u w:val="single"/>
        </w:rPr>
        <w:t xml:space="preserve">      </w:t>
      </w:r>
      <w:r>
        <w:rPr>
          <w:rFonts w:hint="eastAsia"/>
          <w:sz w:val="24"/>
          <w:szCs w:val="24"/>
        </w:rPr>
        <w:t>元</w:t>
      </w:r>
      <w:r>
        <w:rPr>
          <w:sz w:val="24"/>
          <w:szCs w:val="24"/>
        </w:rPr>
        <w:t>；人民币小写：</w:t>
      </w:r>
      <w:r>
        <w:rPr>
          <w:sz w:val="24"/>
          <w:szCs w:val="24"/>
          <w:u w:val="single"/>
        </w:rPr>
        <w:t xml:space="preserve">    </w:t>
      </w:r>
      <w:r>
        <w:rPr>
          <w:rFonts w:hint="eastAsia"/>
          <w:sz w:val="24"/>
          <w:szCs w:val="24"/>
        </w:rPr>
        <w:t>元</w:t>
      </w:r>
      <w:r>
        <w:rPr>
          <w:sz w:val="24"/>
          <w:szCs w:val="24"/>
        </w:rPr>
        <w:t>。以我公司最后报价为准。</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3.我方承诺：本次磋商的有效期为90天。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4.我方完全理解和接受贵方竞争性磋商文件的一切规定和要求及评审办法。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5.在整个竞争性磋商过程中，我方若有违规行为，接受按照《中华人民共和国政府采购法》和《竞争性磋商文件》之规定给予惩罚。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7.我方同意按竞争性磋商文件规定，交纳竞争性磋商文件要求的磋商保证金。如果我方成为成交供应商，保证在接到成交通知书后，</w:t>
      </w:r>
      <w:r>
        <w:rPr>
          <w:rFonts w:hint="eastAsia" w:ascii="宋体" w:hAnsi="宋体"/>
          <w:sz w:val="24"/>
          <w:szCs w:val="24"/>
        </w:rPr>
        <w:t>按</w:t>
      </w:r>
      <w:r>
        <w:rPr>
          <w:rFonts w:ascii="宋体" w:hAnsi="宋体"/>
          <w:sz w:val="24"/>
          <w:szCs w:val="24"/>
        </w:rPr>
        <w:t>竞争性磋商文件规定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ascii="宋体" w:hAnsi="宋体"/>
          <w:sz w:val="24"/>
          <w:szCs w:val="24"/>
        </w:rPr>
      </w:pPr>
      <w:bookmarkStart w:id="138" w:name="_Toc313888361"/>
      <w:bookmarkStart w:id="139" w:name="_Toc23764523"/>
      <w:bookmarkStart w:id="140" w:name="_Toc342913420"/>
      <w:bookmarkStart w:id="141" w:name="_Toc313008357"/>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rPr>
          <w:rFonts w:ascii="宋体" w:hAnsi="宋体"/>
          <w:sz w:val="24"/>
          <w:szCs w:val="24"/>
        </w:rPr>
      </w:pPr>
      <w:r>
        <w:rPr>
          <w:rFonts w:hint="eastAsia" w:ascii="宋体" w:hAnsi="宋体"/>
          <w:sz w:val="24"/>
          <w:szCs w:val="24"/>
        </w:rPr>
        <w:t>项目号：</w:t>
      </w:r>
    </w:p>
    <w:p>
      <w:pPr>
        <w:snapToGrid w:val="0"/>
        <w:rPr>
          <w:rFonts w:ascii="宋体" w:hAnsi="宋体"/>
          <w:sz w:val="24"/>
          <w:szCs w:val="24"/>
        </w:rPr>
      </w:pPr>
      <w:r>
        <w:rPr>
          <w:rFonts w:hint="eastAsia" w:ascii="宋体" w:hAnsi="宋体"/>
          <w:sz w:val="24"/>
          <w:szCs w:val="24"/>
        </w:rPr>
        <w:t>项目名称：</w:t>
      </w:r>
    </w:p>
    <w:tbl>
      <w:tblPr>
        <w:tblStyle w:val="6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exact"/>
          <w:jc w:val="center"/>
        </w:trPr>
        <w:tc>
          <w:tcPr>
            <w:tcW w:w="986" w:type="dxa"/>
            <w:vAlign w:val="center"/>
          </w:tcPr>
          <w:p>
            <w:pPr>
              <w:jc w:val="center"/>
              <w:rPr>
                <w:b/>
                <w:sz w:val="21"/>
                <w:szCs w:val="21"/>
              </w:rPr>
            </w:pPr>
            <w:r>
              <w:rPr>
                <w:b/>
                <w:sz w:val="21"/>
                <w:szCs w:val="21"/>
              </w:rPr>
              <w:t>序号</w:t>
            </w:r>
          </w:p>
        </w:tc>
        <w:tc>
          <w:tcPr>
            <w:tcW w:w="3744" w:type="dxa"/>
            <w:vAlign w:val="center"/>
          </w:tcPr>
          <w:p>
            <w:pPr>
              <w:jc w:val="center"/>
              <w:rPr>
                <w:b/>
                <w:sz w:val="21"/>
                <w:szCs w:val="21"/>
              </w:rPr>
            </w:pPr>
            <w:r>
              <w:rPr>
                <w:rFonts w:hint="eastAsia"/>
                <w:b/>
                <w:sz w:val="21"/>
                <w:szCs w:val="21"/>
              </w:rPr>
              <w:t>相关信息</w:t>
            </w:r>
          </w:p>
        </w:tc>
        <w:tc>
          <w:tcPr>
            <w:tcW w:w="1985"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86" w:type="dxa"/>
            <w:vAlign w:val="center"/>
          </w:tcPr>
          <w:p>
            <w:pPr>
              <w:pStyle w:val="27"/>
              <w:spacing w:line="240" w:lineRule="atLeast"/>
              <w:ind w:left="980" w:hanging="420"/>
              <w:outlineLvl w:val="0"/>
              <w:rPr>
                <w:sz w:val="21"/>
                <w:szCs w:val="21"/>
              </w:rPr>
            </w:pPr>
            <w:r>
              <w:rPr>
                <w:sz w:val="21"/>
                <w:szCs w:val="21"/>
              </w:rPr>
              <w:t>1</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86" w:type="dxa"/>
            <w:vAlign w:val="center"/>
          </w:tcPr>
          <w:p>
            <w:pPr>
              <w:pStyle w:val="27"/>
              <w:spacing w:line="240" w:lineRule="atLeast"/>
              <w:ind w:left="980" w:hanging="420"/>
              <w:outlineLvl w:val="0"/>
              <w:rPr>
                <w:sz w:val="21"/>
                <w:szCs w:val="21"/>
              </w:rPr>
            </w:pPr>
            <w:r>
              <w:rPr>
                <w:sz w:val="21"/>
                <w:szCs w:val="21"/>
              </w:rPr>
              <w:t>2</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86" w:type="dxa"/>
            <w:vAlign w:val="center"/>
          </w:tcPr>
          <w:p>
            <w:pPr>
              <w:pStyle w:val="27"/>
              <w:spacing w:line="240" w:lineRule="atLeast"/>
              <w:ind w:left="980" w:hanging="420"/>
              <w:outlineLvl w:val="0"/>
              <w:rPr>
                <w:sz w:val="21"/>
                <w:szCs w:val="21"/>
              </w:rPr>
            </w:pPr>
            <w:r>
              <w:rPr>
                <w:sz w:val="21"/>
                <w:szCs w:val="21"/>
              </w:rPr>
              <w:t>3</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86" w:type="dxa"/>
            <w:vAlign w:val="center"/>
          </w:tcPr>
          <w:p>
            <w:pPr>
              <w:pStyle w:val="27"/>
              <w:spacing w:line="240" w:lineRule="atLeast"/>
              <w:ind w:left="980" w:hanging="420"/>
              <w:outlineLvl w:val="0"/>
              <w:rPr>
                <w:sz w:val="21"/>
                <w:szCs w:val="21"/>
              </w:rPr>
            </w:pPr>
            <w:r>
              <w:rPr>
                <w:sz w:val="21"/>
                <w:szCs w:val="21"/>
              </w:rPr>
              <w:t>4</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86" w:type="dxa"/>
            <w:vAlign w:val="center"/>
          </w:tcPr>
          <w:p>
            <w:pPr>
              <w:pStyle w:val="27"/>
              <w:spacing w:line="240" w:lineRule="atLeast"/>
              <w:ind w:left="980" w:hanging="420"/>
              <w:outlineLvl w:val="0"/>
              <w:rPr>
                <w:sz w:val="21"/>
                <w:szCs w:val="21"/>
              </w:rPr>
            </w:pPr>
            <w:r>
              <w:rPr>
                <w:sz w:val="21"/>
                <w:szCs w:val="21"/>
              </w:rPr>
              <w:t>5</w:t>
            </w:r>
          </w:p>
        </w:tc>
        <w:tc>
          <w:tcPr>
            <w:tcW w:w="3744" w:type="dxa"/>
            <w:vAlign w:val="center"/>
          </w:tcPr>
          <w:p>
            <w:pPr>
              <w:jc w:val="center"/>
              <w:rPr>
                <w:sz w:val="21"/>
                <w:szCs w:val="21"/>
              </w:rPr>
            </w:pPr>
            <w:r>
              <w:rPr>
                <w:sz w:val="21"/>
                <w:szCs w:val="21"/>
              </w:rPr>
              <w:t>人工费</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86" w:type="dxa"/>
            <w:vAlign w:val="center"/>
          </w:tcPr>
          <w:p>
            <w:pPr>
              <w:pStyle w:val="27"/>
              <w:spacing w:line="240" w:lineRule="atLeast"/>
              <w:ind w:left="980" w:hanging="420"/>
              <w:outlineLvl w:val="0"/>
              <w:rPr>
                <w:sz w:val="21"/>
                <w:szCs w:val="21"/>
              </w:rPr>
            </w:pPr>
            <w:r>
              <w:rPr>
                <w:sz w:val="21"/>
                <w:szCs w:val="21"/>
              </w:rPr>
              <w:t>6</w:t>
            </w:r>
          </w:p>
        </w:tc>
        <w:tc>
          <w:tcPr>
            <w:tcW w:w="3744" w:type="dxa"/>
            <w:vAlign w:val="center"/>
          </w:tcPr>
          <w:p>
            <w:pPr>
              <w:jc w:val="center"/>
              <w:rPr>
                <w:sz w:val="21"/>
                <w:szCs w:val="21"/>
              </w:rPr>
            </w:pPr>
            <w:r>
              <w:rPr>
                <w:sz w:val="21"/>
                <w:szCs w:val="21"/>
              </w:rPr>
              <w:t>税费</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86" w:type="dxa"/>
            <w:vAlign w:val="center"/>
          </w:tcPr>
          <w:p>
            <w:pPr>
              <w:pStyle w:val="27"/>
              <w:spacing w:line="240" w:lineRule="atLeast"/>
              <w:ind w:left="980" w:hanging="420"/>
              <w:outlineLvl w:val="0"/>
              <w:rPr>
                <w:sz w:val="21"/>
                <w:szCs w:val="21"/>
              </w:rPr>
            </w:pPr>
            <w:r>
              <w:rPr>
                <w:sz w:val="21"/>
                <w:szCs w:val="21"/>
              </w:rPr>
              <w:t>7</w:t>
            </w:r>
          </w:p>
        </w:tc>
        <w:tc>
          <w:tcPr>
            <w:tcW w:w="3744" w:type="dxa"/>
            <w:vAlign w:val="center"/>
          </w:tcPr>
          <w:p>
            <w:pPr>
              <w:jc w:val="center"/>
              <w:rPr>
                <w:b/>
                <w:sz w:val="21"/>
                <w:szCs w:val="21"/>
              </w:rPr>
            </w:pPr>
            <w:r>
              <w:rPr>
                <w:b/>
                <w:sz w:val="21"/>
                <w:szCs w:val="21"/>
              </w:rPr>
              <w:t>……</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86" w:type="dxa"/>
            <w:vAlign w:val="center"/>
          </w:tcPr>
          <w:p>
            <w:pPr>
              <w:pStyle w:val="27"/>
              <w:spacing w:line="240" w:lineRule="atLeast"/>
              <w:ind w:left="980" w:hanging="420"/>
              <w:outlineLvl w:val="0"/>
              <w:rPr>
                <w:sz w:val="21"/>
                <w:szCs w:val="21"/>
              </w:rPr>
            </w:pPr>
          </w:p>
        </w:tc>
        <w:tc>
          <w:tcPr>
            <w:tcW w:w="5729" w:type="dxa"/>
            <w:gridSpan w:val="2"/>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ascii="宋体" w:hAnsi="宋体"/>
          <w:sz w:val="24"/>
          <w:szCs w:val="28"/>
        </w:rPr>
      </w:pPr>
    </w:p>
    <w:p>
      <w:pPr>
        <w:spacing w:line="360" w:lineRule="auto"/>
        <w:ind w:firstLine="960" w:firstLineChars="4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 xml:space="preserve"> 法定代表人（或法定代表人授权代表）：</w:t>
      </w:r>
    </w:p>
    <w:p>
      <w:pPr>
        <w:spacing w:line="360" w:lineRule="auto"/>
        <w:rPr>
          <w:rFonts w:ascii="宋体" w:hAnsi="宋体"/>
          <w:sz w:val="24"/>
          <w:szCs w:val="28"/>
        </w:rPr>
      </w:pPr>
      <w:r>
        <w:rPr>
          <w:rFonts w:hint="eastAsia" w:ascii="宋体" w:hAnsi="宋体"/>
          <w:sz w:val="24"/>
          <w:szCs w:val="28"/>
        </w:rPr>
        <w:t xml:space="preserve">   </w:t>
      </w: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服务</w:t>
      </w:r>
      <w:r>
        <w:rPr>
          <w:b/>
          <w:sz w:val="24"/>
          <w:szCs w:val="24"/>
        </w:rPr>
        <w:t>部分</w:t>
      </w:r>
      <w:bookmarkEnd w:id="138"/>
      <w:bookmarkEnd w:id="139"/>
      <w:bookmarkEnd w:id="140"/>
      <w:bookmarkEnd w:id="141"/>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ascii="宋体" w:hAnsi="宋体"/>
          <w:sz w:val="24"/>
          <w:szCs w:val="24"/>
        </w:rPr>
      </w:pPr>
      <w:r>
        <w:rPr>
          <w:rFonts w:hint="eastAsia" w:ascii="宋体" w:hAnsi="宋体"/>
          <w:sz w:val="24"/>
          <w:szCs w:val="24"/>
        </w:rPr>
        <w:t xml:space="preserve">    （二）服务响应偏离表</w:t>
      </w:r>
    </w:p>
    <w:p>
      <w:pPr>
        <w:tabs>
          <w:tab w:val="left" w:pos="6300"/>
        </w:tabs>
        <w:snapToGrid w:val="0"/>
        <w:spacing w:line="360" w:lineRule="auto"/>
        <w:jc w:val="center"/>
        <w:rPr>
          <w:rFonts w:ascii="宋体" w:hAnsi="宋体"/>
          <w:szCs w:val="24"/>
        </w:rPr>
      </w:pPr>
      <w:bookmarkStart w:id="142" w:name="_Hlk71831631"/>
      <w:r>
        <w:rPr>
          <w:rFonts w:hint="eastAsia" w:ascii="宋体" w:hAnsi="宋体"/>
          <w:szCs w:val="24"/>
        </w:rPr>
        <w:t>服务</w:t>
      </w:r>
      <w:bookmarkEnd w:id="142"/>
      <w:r>
        <w:rPr>
          <w:rFonts w:hint="eastAsia" w:ascii="宋体" w:hAnsi="宋体"/>
          <w:szCs w:val="24"/>
        </w:rPr>
        <w:t>响应偏离表</w:t>
      </w:r>
    </w:p>
    <w:p>
      <w:pPr>
        <w:pStyle w:val="36"/>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pPr>
        <w:pStyle w:val="36"/>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68"/>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067"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 xml:space="preserve"> 法定代表人（或法定代表人授权代表）：</w:t>
      </w: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项目技术、服务需求”中所列技术要求进行比较和响应；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43" w:name="_Toc23764524"/>
      <w:bookmarkStart w:id="144" w:name="_Toc313888362"/>
      <w:bookmarkStart w:id="145" w:name="_Toc313008358"/>
      <w:bookmarkStart w:id="146" w:name="_Toc342913421"/>
      <w:r>
        <w:rPr>
          <w:rFonts w:hint="eastAsia"/>
          <w:sz w:val="24"/>
          <w:szCs w:val="24"/>
        </w:rPr>
        <w:t xml:space="preserve">   </w:t>
      </w:r>
      <w:r>
        <w:rPr>
          <w:rFonts w:hint="eastAsia"/>
          <w:b/>
          <w:sz w:val="24"/>
          <w:szCs w:val="24"/>
        </w:rPr>
        <w:t xml:space="preserve"> </w:t>
      </w:r>
      <w:r>
        <w:rPr>
          <w:b/>
          <w:sz w:val="24"/>
          <w:szCs w:val="24"/>
        </w:rPr>
        <w:t>三、商务部分</w:t>
      </w:r>
      <w:bookmarkEnd w:id="143"/>
      <w:bookmarkEnd w:id="144"/>
      <w:bookmarkEnd w:id="145"/>
      <w:bookmarkEnd w:id="146"/>
    </w:p>
    <w:p>
      <w:pPr>
        <w:tabs>
          <w:tab w:val="left" w:pos="6300"/>
        </w:tabs>
        <w:snapToGrid w:val="0"/>
        <w:spacing w:line="360" w:lineRule="auto"/>
        <w:rPr>
          <w:rFonts w:ascii="宋体" w:hAnsi="宋体"/>
          <w:sz w:val="24"/>
          <w:szCs w:val="24"/>
        </w:rPr>
      </w:pPr>
      <w:r>
        <w:rPr>
          <w:rFonts w:hint="eastAsia"/>
          <w:sz w:val="24"/>
          <w:szCs w:val="24"/>
        </w:rPr>
        <w:t xml:space="preserve">    （一）商务响应偏离表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商务条款差异表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68"/>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 xml:space="preserve">     法定代表人（或法定代表人授权代表）：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ascii="宋体" w:hAnsi="宋体"/>
          <w:sz w:val="24"/>
          <w:szCs w:val="24"/>
        </w:rPr>
      </w:pPr>
    </w:p>
    <w:p>
      <w:pPr>
        <w:pStyle w:val="2"/>
      </w:pP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（二）其它优惠承诺（格式自定）</w:t>
      </w:r>
    </w:p>
    <w:p>
      <w:pPr>
        <w:pStyle w:val="2"/>
      </w:pPr>
    </w:p>
    <w:p>
      <w:pPr>
        <w:pageBreakBefore/>
        <w:tabs>
          <w:tab w:val="left" w:pos="6300"/>
        </w:tabs>
        <w:snapToGrid w:val="0"/>
        <w:spacing w:line="360" w:lineRule="auto"/>
        <w:rPr>
          <w:b/>
          <w:sz w:val="24"/>
          <w:szCs w:val="24"/>
        </w:rPr>
      </w:pPr>
      <w:r>
        <w:rPr>
          <w:rFonts w:hint="eastAsia"/>
          <w:b/>
          <w:sz w:val="24"/>
          <w:szCs w:val="24"/>
        </w:rPr>
        <w:t xml:space="preserve">    </w:t>
      </w:r>
      <w:bookmarkStart w:id="147" w:name="_Toc313888363"/>
      <w:bookmarkStart w:id="148" w:name="_Toc342913422"/>
      <w:bookmarkStart w:id="149" w:name="_Toc23764525"/>
      <w:bookmarkStart w:id="150" w:name="_Toc313008359"/>
      <w:r>
        <w:rPr>
          <w:b/>
          <w:sz w:val="24"/>
          <w:szCs w:val="24"/>
        </w:rPr>
        <w:t>四、资格条件及其他</w:t>
      </w:r>
      <w:bookmarkEnd w:id="147"/>
      <w:bookmarkEnd w:id="148"/>
      <w:bookmarkEnd w:id="149"/>
      <w:bookmarkEnd w:id="150"/>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ind w:firstLine="570"/>
        <w:rPr>
          <w:rFonts w:ascii="宋体" w:hAnsi="宋体"/>
        </w:rPr>
      </w:pPr>
    </w:p>
    <w:p>
      <w:pPr>
        <w:snapToGrid w:val="0"/>
        <w:spacing w:line="360" w:lineRule="auto"/>
        <w:ind w:firstLine="480" w:firstLineChars="200"/>
        <w:rPr>
          <w:rFonts w:ascii="宋体" w:hAnsi="宋体"/>
          <w:sz w:val="24"/>
          <w:szCs w:val="24"/>
        </w:rPr>
      </w:pPr>
      <w:r>
        <w:rPr>
          <w:rFonts w:hint="eastAsia" w:ascii="宋体" w:hAnsi="宋体"/>
          <w:sz w:val="24"/>
          <w:szCs w:val="24"/>
        </w:rPr>
        <w:t>（二）法定代表人身份证明书（格式）</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项目名称：</w:t>
      </w:r>
      <w:r>
        <w:rPr>
          <w:rFonts w:hint="eastAsia" w:ascii="宋体" w:hAnsi="宋体"/>
          <w:sz w:val="24"/>
          <w:u w:val="single"/>
        </w:rPr>
        <w:t xml:space="preserve">                                                </w:t>
      </w:r>
    </w:p>
    <w:p>
      <w:pPr>
        <w:tabs>
          <w:tab w:val="left" w:pos="6300"/>
        </w:tabs>
        <w:snapToGrid w:val="0"/>
        <w:spacing w:line="360" w:lineRule="auto"/>
        <w:ind w:firstLine="570"/>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360" w:lineRule="auto"/>
        <w:ind w:firstLine="570"/>
        <w:rPr>
          <w:rFonts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特此证明。</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 xml:space="preserve">                                             （供应商公章）</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 xml:space="preserve">                                             年   月   日</w:t>
      </w:r>
    </w:p>
    <w:p>
      <w:pPr>
        <w:tabs>
          <w:tab w:val="left" w:pos="6300"/>
        </w:tabs>
        <w:snapToGrid w:val="0"/>
        <w:spacing w:line="360" w:lineRule="auto"/>
        <w:ind w:firstLine="570"/>
        <w:rPr>
          <w:rFonts w:ascii="宋体" w:hAnsi="宋体"/>
          <w:sz w:val="24"/>
        </w:rPr>
      </w:pPr>
      <w:r>
        <w:rPr>
          <w:rFonts w:hint="eastAsia" w:ascii="宋体" w:hAnsi="宋体"/>
          <w:sz w:val="24"/>
        </w:rPr>
        <w:t>法定代表人电话：XXXXXXX      电子邮箱：XXXXXX@XXXXX（若授权他人办理并签署响应文件的可不填写）</w:t>
      </w:r>
    </w:p>
    <w:p>
      <w:pPr>
        <w:tabs>
          <w:tab w:val="left" w:pos="6300"/>
        </w:tabs>
        <w:snapToGrid w:val="0"/>
        <w:spacing w:line="360" w:lineRule="auto"/>
        <w:ind w:firstLine="570"/>
        <w:rPr>
          <w:rFonts w:ascii="宋体" w:hAnsi="宋体"/>
          <w:sz w:val="24"/>
        </w:rPr>
      </w:pPr>
      <w:r>
        <w:rPr>
          <w:rFonts w:hint="eastAsia" w:ascii="宋体" w:hAnsi="宋体"/>
          <w:sz w:val="24"/>
        </w:rPr>
        <w:t>（附：法定代表人身份证正反面复印件）</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snapToGrid w:val="0"/>
        <w:spacing w:line="360" w:lineRule="auto"/>
        <w:ind w:firstLine="560" w:firstLineChars="200"/>
        <w:rPr>
          <w:rFonts w:ascii="宋体" w:hAnsi="宋体"/>
          <w:sz w:val="24"/>
          <w:szCs w:val="24"/>
        </w:rPr>
      </w:pPr>
      <w:r>
        <w:rPr>
          <w:rFonts w:ascii="宋体" w:hAnsi="宋体"/>
        </w:rPr>
        <w:br w:type="column"/>
      </w:r>
      <w:r>
        <w:rPr>
          <w:rFonts w:hint="eastAsia" w:ascii="宋体" w:hAnsi="宋体"/>
          <w:sz w:val="24"/>
          <w:szCs w:val="24"/>
        </w:rPr>
        <w:t>（三）法定代表人授权委托书（格式）</w:t>
      </w:r>
    </w:p>
    <w:p>
      <w:pPr>
        <w:tabs>
          <w:tab w:val="left" w:pos="6300"/>
        </w:tabs>
        <w:snapToGrid w:val="0"/>
        <w:spacing w:line="360" w:lineRule="auto"/>
        <w:ind w:firstLine="570"/>
        <w:rPr>
          <w:rFonts w:ascii="宋体" w:hAnsi="宋体"/>
          <w:sz w:val="24"/>
        </w:rPr>
      </w:pPr>
      <w:r>
        <w:rPr>
          <w:rFonts w:hint="eastAsia" w:ascii="宋体" w:hAnsi="宋体"/>
          <w:sz w:val="24"/>
        </w:rPr>
        <w:t xml:space="preserve">    </w:t>
      </w:r>
    </w:p>
    <w:p>
      <w:pPr>
        <w:tabs>
          <w:tab w:val="left" w:pos="6300"/>
        </w:tabs>
        <w:snapToGrid w:val="0"/>
        <w:spacing w:line="360" w:lineRule="auto"/>
        <w:ind w:firstLine="480" w:firstLineChars="200"/>
        <w:rPr>
          <w:rFonts w:ascii="宋体" w:hAnsi="宋体"/>
          <w:sz w:val="24"/>
        </w:rPr>
      </w:pPr>
      <w:r>
        <w:rPr>
          <w:rFonts w:hint="eastAsia" w:ascii="宋体" w:hAnsi="宋体"/>
          <w:sz w:val="24"/>
          <w:szCs w:val="28"/>
        </w:rPr>
        <w:t>项目名称</w:t>
      </w:r>
      <w:r>
        <w:rPr>
          <w:rFonts w:hint="eastAsia" w:ascii="宋体" w:hAnsi="宋体"/>
          <w:sz w:val="24"/>
        </w:rPr>
        <w:t>：</w:t>
      </w:r>
      <w:r>
        <w:rPr>
          <w:rFonts w:hint="eastAsia" w:ascii="宋体" w:hAnsi="宋体"/>
          <w:sz w:val="24"/>
          <w:u w:val="single"/>
        </w:rPr>
        <w:t xml:space="preserve">                                                </w:t>
      </w:r>
    </w:p>
    <w:p>
      <w:pPr>
        <w:tabs>
          <w:tab w:val="left" w:pos="6300"/>
        </w:tabs>
        <w:snapToGrid w:val="0"/>
        <w:spacing w:line="360" w:lineRule="auto"/>
        <w:ind w:firstLine="570"/>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（被授权人姓名及身份证代码）代表我单位全权办理上述项目的磋商、签约等具体工作，并签署全部有关文件、协议及合同。</w:t>
      </w:r>
    </w:p>
    <w:p>
      <w:pPr>
        <w:tabs>
          <w:tab w:val="left" w:pos="6300"/>
        </w:tabs>
        <w:snapToGrid w:val="0"/>
        <w:spacing w:line="360" w:lineRule="auto"/>
        <w:ind w:firstLine="480" w:firstLineChars="200"/>
        <w:rPr>
          <w:rFonts w:ascii="宋体" w:hAnsi="宋体"/>
          <w:sz w:val="24"/>
        </w:rPr>
      </w:pPr>
      <w:r>
        <w:rPr>
          <w:rFonts w:hint="eastAsia" w:ascii="宋体" w:hAnsi="宋体"/>
          <w:sz w:val="24"/>
        </w:rPr>
        <w:t>我单位对被授权人的</w:t>
      </w:r>
      <w:r>
        <w:rPr>
          <w:rFonts w:hint="eastAsia" w:ascii="宋体" w:hAnsi="宋体"/>
          <w:sz w:val="24"/>
          <w:szCs w:val="28"/>
        </w:rPr>
        <w:t>签署</w:t>
      </w:r>
      <w:r>
        <w:rPr>
          <w:rFonts w:hint="eastAsia" w:ascii="宋体" w:hAnsi="宋体"/>
          <w:sz w:val="24"/>
        </w:rPr>
        <w:t>负全部责任。</w:t>
      </w:r>
    </w:p>
    <w:p>
      <w:pPr>
        <w:tabs>
          <w:tab w:val="left" w:pos="6300"/>
        </w:tabs>
        <w:snapToGrid w:val="0"/>
        <w:spacing w:line="360" w:lineRule="auto"/>
        <w:ind w:firstLine="480" w:firstLineChars="200"/>
        <w:rPr>
          <w:rFonts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被授权人：                                 供应商法定代表人：</w:t>
      </w:r>
    </w:p>
    <w:p>
      <w:pPr>
        <w:tabs>
          <w:tab w:val="left" w:pos="6300"/>
        </w:tabs>
        <w:snapToGrid w:val="0"/>
        <w:spacing w:line="360" w:lineRule="auto"/>
        <w:ind w:firstLine="570"/>
        <w:rPr>
          <w:rFonts w:ascii="宋体" w:hAnsi="宋体"/>
          <w:sz w:val="24"/>
          <w:szCs w:val="28"/>
        </w:rPr>
      </w:pPr>
      <w:r>
        <w:rPr>
          <w:rFonts w:hint="eastAsia" w:ascii="宋体" w:hAnsi="宋体"/>
          <w:sz w:val="24"/>
          <w:szCs w:val="28"/>
        </w:rPr>
        <w:t>（签署或盖章）                                （签署或盖章）</w:t>
      </w:r>
    </w:p>
    <w:p>
      <w:pPr>
        <w:tabs>
          <w:tab w:val="left" w:pos="6300"/>
        </w:tabs>
        <w:snapToGrid w:val="0"/>
        <w:spacing w:line="360" w:lineRule="auto"/>
        <w:ind w:firstLine="570"/>
        <w:rPr>
          <w:rFonts w:ascii="宋体" w:hAnsi="宋体"/>
          <w:sz w:val="24"/>
          <w:szCs w:val="28"/>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（附：被授权人身份证正反面复印件）</w:t>
      </w:r>
    </w:p>
    <w:p>
      <w:pPr>
        <w:tabs>
          <w:tab w:val="left" w:pos="6300"/>
        </w:tabs>
        <w:snapToGrid w:val="0"/>
        <w:spacing w:line="360" w:lineRule="auto"/>
        <w:ind w:firstLine="570"/>
        <w:rPr>
          <w:rFonts w:ascii="宋体" w:hAnsi="宋体"/>
          <w:sz w:val="24"/>
        </w:rPr>
      </w:pPr>
      <w:r>
        <w:rPr>
          <w:rFonts w:hint="eastAsia" w:ascii="宋体" w:hAnsi="宋体"/>
          <w:sz w:val="24"/>
        </w:rPr>
        <w:t xml:space="preserve">                                          </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right="480" w:firstLine="570"/>
        <w:jc w:val="right"/>
        <w:rPr>
          <w:rFonts w:ascii="宋体" w:hAnsi="宋体"/>
          <w:sz w:val="24"/>
        </w:rPr>
      </w:pPr>
      <w:r>
        <w:rPr>
          <w:rFonts w:hint="eastAsia" w:ascii="宋体" w:hAnsi="宋体"/>
          <w:sz w:val="24"/>
        </w:rPr>
        <w:t>（供应商公章）</w:t>
      </w:r>
    </w:p>
    <w:p>
      <w:pPr>
        <w:tabs>
          <w:tab w:val="left" w:pos="6300"/>
        </w:tabs>
        <w:snapToGrid w:val="0"/>
        <w:spacing w:line="360" w:lineRule="auto"/>
        <w:ind w:right="480" w:firstLine="570"/>
        <w:jc w:val="right"/>
        <w:rPr>
          <w:rFonts w:ascii="宋体" w:hAnsi="宋体"/>
          <w:sz w:val="24"/>
        </w:rPr>
      </w:pPr>
      <w:r>
        <w:rPr>
          <w:rFonts w:hint="eastAsia" w:ascii="宋体" w:hAnsi="宋体"/>
          <w:sz w:val="24"/>
        </w:rPr>
        <w:t>年   月   日</w:t>
      </w:r>
    </w:p>
    <w:p>
      <w:pPr>
        <w:tabs>
          <w:tab w:val="left" w:pos="6300"/>
        </w:tabs>
        <w:snapToGrid w:val="0"/>
        <w:spacing w:line="360" w:lineRule="auto"/>
        <w:ind w:right="480" w:firstLine="570"/>
        <w:jc w:val="left"/>
        <w:rPr>
          <w:rFonts w:ascii="宋体" w:hAnsi="宋体"/>
          <w:sz w:val="24"/>
        </w:rPr>
      </w:pPr>
      <w:r>
        <w:rPr>
          <w:rFonts w:hint="eastAsia" w:ascii="宋体" w:hAnsi="宋体"/>
          <w:sz w:val="24"/>
        </w:rPr>
        <w:t>被授权人电话：XXXXXXX     电子邮箱：XXXXXX@XXXXX（若法定代表人办理并签署响应文件的可不填写）</w:t>
      </w:r>
    </w:p>
    <w:p>
      <w:pPr>
        <w:tabs>
          <w:tab w:val="left" w:pos="6300"/>
        </w:tabs>
        <w:snapToGrid w:val="0"/>
        <w:spacing w:line="360" w:lineRule="auto"/>
        <w:ind w:right="480" w:firstLine="570"/>
        <w:jc w:val="left"/>
        <w:rPr>
          <w:rFonts w:ascii="宋体" w:hAnsi="宋体"/>
          <w:sz w:val="24"/>
        </w:rPr>
      </w:pPr>
      <w:r>
        <w:rPr>
          <w:rFonts w:hint="eastAsia" w:ascii="宋体" w:hAnsi="宋体"/>
          <w:sz w:val="24"/>
        </w:rPr>
        <w:t>注：</w:t>
      </w:r>
    </w:p>
    <w:p>
      <w:pPr>
        <w:tabs>
          <w:tab w:val="left" w:pos="6300"/>
        </w:tabs>
        <w:snapToGrid w:val="0"/>
        <w:spacing w:line="360" w:lineRule="auto"/>
        <w:ind w:right="480" w:firstLine="570"/>
        <w:jc w:val="left"/>
        <w:rPr>
          <w:rFonts w:ascii="宋体" w:hAnsi="宋体"/>
          <w:sz w:val="24"/>
        </w:rPr>
      </w:pPr>
      <w:r>
        <w:rPr>
          <w:rFonts w:hint="eastAsia" w:ascii="宋体" w:hAnsi="宋体"/>
          <w:sz w:val="24"/>
        </w:rPr>
        <w:t>1.若为法定代表人办理并签署响应文件的，不提供此文件。</w:t>
      </w:r>
    </w:p>
    <w:p>
      <w:pPr>
        <w:tabs>
          <w:tab w:val="left" w:pos="6300"/>
        </w:tabs>
        <w:snapToGrid w:val="0"/>
        <w:spacing w:line="360" w:lineRule="auto"/>
        <w:ind w:firstLine="570"/>
        <w:rPr>
          <w:rFonts w:ascii="宋体" w:hAnsi="宋体"/>
          <w:sz w:val="24"/>
          <w:szCs w:val="24"/>
        </w:rPr>
      </w:pPr>
      <w:r>
        <w:rPr>
          <w:rFonts w:ascii="宋体" w:hAnsi="宋体"/>
        </w:rPr>
        <w:br w:type="column"/>
      </w:r>
      <w:r>
        <w:rPr>
          <w:rFonts w:hint="eastAsia" w:ascii="宋体" w:hAnsi="宋体"/>
          <w:sz w:val="24"/>
          <w:szCs w:val="24"/>
        </w:rPr>
        <w:t>（四）</w:t>
      </w:r>
      <w:r>
        <w:rPr>
          <w:rFonts w:hint="eastAsia" w:ascii="宋体" w:hAnsi="宋体"/>
          <w:sz w:val="24"/>
          <w:szCs w:val="28"/>
        </w:rPr>
        <w:t>基本资格条件承诺函</w:t>
      </w:r>
    </w:p>
    <w:p>
      <w:pPr>
        <w:tabs>
          <w:tab w:val="left" w:pos="6300"/>
        </w:tabs>
        <w:snapToGrid w:val="0"/>
        <w:spacing w:line="360" w:lineRule="auto"/>
        <w:ind w:firstLine="643" w:firstLineChars="200"/>
        <w:jc w:val="center"/>
        <w:rPr>
          <w:rFonts w:ascii="宋体" w:hAnsi="宋体" w:cs="方正仿宋_GBK"/>
          <w:b/>
          <w:bCs/>
          <w:sz w:val="32"/>
          <w:szCs w:val="32"/>
        </w:rPr>
      </w:pPr>
      <w:r>
        <w:rPr>
          <w:rFonts w:hint="eastAsia" w:ascii="宋体" w:hAnsi="宋体" w:cs="方正仿宋_GBK"/>
          <w:b/>
          <w:bCs/>
          <w:sz w:val="32"/>
          <w:szCs w:val="32"/>
        </w:rPr>
        <w:t>基本资格条件承诺函</w:t>
      </w:r>
    </w:p>
    <w:p>
      <w:pPr>
        <w:tabs>
          <w:tab w:val="left" w:pos="6300"/>
        </w:tabs>
        <w:snapToGrid w:val="0"/>
        <w:spacing w:line="360" w:lineRule="auto"/>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（供应商名称）郑重承诺：</w:t>
      </w:r>
    </w:p>
    <w:p>
      <w:pPr>
        <w:tabs>
          <w:tab w:val="left" w:pos="6300"/>
        </w:tabs>
        <w:snapToGrid w:val="0"/>
        <w:spacing w:line="360" w:lineRule="auto"/>
        <w:ind w:firstLine="480" w:firstLineChars="200"/>
        <w:rPr>
          <w:rFonts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pPr>
        <w:tabs>
          <w:tab w:val="left" w:pos="6300"/>
        </w:tabs>
        <w:snapToGrid w:val="0"/>
        <w:spacing w:line="360" w:lineRule="auto"/>
        <w:ind w:firstLine="480" w:firstLineChars="200"/>
        <w:rPr>
          <w:rFonts w:ascii="宋体" w:hAnsi="宋体"/>
          <w:sz w:val="24"/>
        </w:rPr>
      </w:pPr>
      <w:r>
        <w:rPr>
          <w:rFonts w:hint="eastAsia" w:ascii="宋体" w:hAnsi="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360" w:lineRule="auto"/>
        <w:ind w:firstLine="480" w:firstLineChars="200"/>
        <w:rPr>
          <w:rFonts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sz w:val="24"/>
        </w:rPr>
      </w:pPr>
      <w:r>
        <w:rPr>
          <w:rFonts w:hint="eastAsia" w:ascii="宋体" w:hAnsi="宋体"/>
          <w:sz w:val="24"/>
        </w:rPr>
        <w:t>我方对以上承诺负全部法律责任。</w:t>
      </w:r>
    </w:p>
    <w:p>
      <w:pPr>
        <w:tabs>
          <w:tab w:val="left" w:pos="6300"/>
        </w:tabs>
        <w:snapToGrid w:val="0"/>
        <w:spacing w:line="360" w:lineRule="auto"/>
        <w:ind w:firstLine="480" w:firstLineChars="200"/>
        <w:rPr>
          <w:rFonts w:ascii="宋体" w:hAnsi="宋体"/>
          <w:sz w:val="24"/>
        </w:rPr>
      </w:pPr>
      <w:r>
        <w:rPr>
          <w:rFonts w:hint="eastAsia" w:ascii="宋体" w:hAnsi="宋体"/>
          <w:sz w:val="24"/>
        </w:rPr>
        <w:t>特此承诺。</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jc w:val="right"/>
        <w:rPr>
          <w:rFonts w:ascii="宋体" w:hAnsi="宋体"/>
          <w:sz w:val="24"/>
        </w:rPr>
      </w:pPr>
      <w:r>
        <w:rPr>
          <w:rFonts w:hint="eastAsia" w:ascii="宋体" w:hAnsi="宋体"/>
          <w:sz w:val="24"/>
        </w:rPr>
        <w:t>（供应商公章）</w:t>
      </w:r>
    </w:p>
    <w:p>
      <w:pPr>
        <w:tabs>
          <w:tab w:val="left" w:pos="6300"/>
        </w:tabs>
        <w:snapToGrid w:val="0"/>
        <w:spacing w:line="360" w:lineRule="auto"/>
        <w:ind w:firstLine="7920" w:firstLineChars="3300"/>
        <w:rPr>
          <w:rFonts w:ascii="宋体" w:hAnsi="宋体"/>
          <w:sz w:val="24"/>
        </w:rPr>
      </w:pPr>
      <w:r>
        <w:rPr>
          <w:rFonts w:hint="eastAsia" w:ascii="宋体" w:hAnsi="宋体"/>
          <w:sz w:val="24"/>
        </w:rPr>
        <w:t>年   月   日</w:t>
      </w:r>
    </w:p>
    <w:p>
      <w:pPr>
        <w:snapToGrid w:val="0"/>
        <w:spacing w:line="360" w:lineRule="auto"/>
        <w:ind w:firstLine="480" w:firstLineChars="200"/>
        <w:rPr>
          <w:rFonts w:ascii="宋体" w:hAnsi="宋体"/>
          <w:sz w:val="24"/>
          <w:szCs w:val="24"/>
        </w:rPr>
      </w:pPr>
    </w:p>
    <w:p>
      <w:pPr>
        <w:snapToGrid w:val="0"/>
        <w:spacing w:line="360" w:lineRule="auto"/>
        <w:ind w:firstLine="480" w:firstLineChars="200"/>
        <w:rPr>
          <w:rFonts w:ascii="宋体" w:hAnsi="宋体"/>
          <w:sz w:val="24"/>
          <w:szCs w:val="24"/>
        </w:rPr>
      </w:pPr>
      <w:r>
        <w:rPr>
          <w:rFonts w:hint="eastAsia" w:ascii="宋体" w:hAnsi="宋体"/>
          <w:sz w:val="24"/>
          <w:szCs w:val="24"/>
        </w:rPr>
        <w:t>（五）特定资格条件证明文件（如有）</w:t>
      </w:r>
    </w:p>
    <w:p>
      <w:pPr>
        <w:tabs>
          <w:tab w:val="left" w:pos="6300"/>
        </w:tabs>
        <w:snapToGrid w:val="0"/>
        <w:spacing w:line="360" w:lineRule="auto"/>
        <w:ind w:firstLine="480" w:firstLineChars="200"/>
        <w:rPr>
          <w:rFonts w:ascii="宋体" w:hAnsi="宋体"/>
          <w:sz w:val="24"/>
          <w:szCs w:val="24"/>
        </w:rPr>
      </w:pPr>
    </w:p>
    <w:p>
      <w:pPr>
        <w:snapToGrid w:val="0"/>
        <w:spacing w:line="360" w:lineRule="auto"/>
        <w:ind w:firstLine="480" w:firstLineChars="200"/>
        <w:rPr>
          <w:rFonts w:ascii="宋体" w:hAnsi="宋体"/>
          <w:sz w:val="24"/>
          <w:szCs w:val="24"/>
        </w:rPr>
      </w:pPr>
      <w:r>
        <w:rPr>
          <w:rFonts w:hint="eastAsia" w:ascii="宋体" w:hAnsi="宋体"/>
          <w:sz w:val="24"/>
          <w:szCs w:val="24"/>
        </w:rPr>
        <w:t>（六）落实政府采购政策需满足的资格要求（如有）</w:t>
      </w:r>
    </w:p>
    <w:p>
      <w:pPr>
        <w:tabs>
          <w:tab w:val="left" w:pos="6300"/>
        </w:tabs>
        <w:snapToGrid w:val="0"/>
        <w:spacing w:line="360" w:lineRule="auto"/>
        <w:ind w:firstLine="480" w:firstLineChars="200"/>
        <w:rPr>
          <w:rFonts w:ascii="宋体" w:hAnsi="宋体"/>
          <w:sz w:val="24"/>
          <w:szCs w:val="24"/>
        </w:rPr>
      </w:pPr>
    </w:p>
    <w:p>
      <w:pPr>
        <w:pStyle w:val="6"/>
        <w:snapToGrid w:val="0"/>
        <w:spacing w:before="0" w:after="0" w:line="360" w:lineRule="auto"/>
        <w:ind w:firstLine="560" w:firstLineChars="200"/>
        <w:rPr>
          <w:sz w:val="24"/>
          <w:szCs w:val="24"/>
        </w:rPr>
      </w:pPr>
      <w:bookmarkStart w:id="151" w:name="_Toc14422"/>
      <w:r>
        <w:rPr>
          <w:rFonts w:ascii="宋体" w:hAnsi="宋体"/>
          <w:b w:val="0"/>
          <w:sz w:val="28"/>
        </w:rPr>
        <w:br w:type="page"/>
      </w:r>
      <w:bookmarkStart w:id="152" w:name="_Toc76462354"/>
      <w:bookmarkStart w:id="153" w:name="_Toc130496052"/>
      <w:bookmarkStart w:id="154" w:name="_Toc131145293"/>
      <w:bookmarkStart w:id="155" w:name="_Toc111463666"/>
      <w:bookmarkStart w:id="156" w:name="_Toc130394649"/>
      <w:bookmarkStart w:id="157" w:name="_Toc107390435"/>
      <w:bookmarkStart w:id="158" w:name="_Toc110935338"/>
      <w:bookmarkStart w:id="159" w:name="_Toc111112240"/>
      <w:r>
        <w:rPr>
          <w:rFonts w:hint="eastAsia"/>
          <w:sz w:val="24"/>
          <w:szCs w:val="24"/>
        </w:rPr>
        <w:t>五、其他资料</w:t>
      </w:r>
      <w:bookmarkEnd w:id="151"/>
      <w:bookmarkEnd w:id="152"/>
      <w:bookmarkEnd w:id="153"/>
      <w:bookmarkEnd w:id="154"/>
      <w:bookmarkEnd w:id="155"/>
      <w:bookmarkEnd w:id="156"/>
      <w:bookmarkEnd w:id="157"/>
      <w:bookmarkEnd w:id="158"/>
      <w:bookmarkEnd w:id="159"/>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（一）中小企业声明函、监狱企业证明文件、残疾人福利性单位声明函</w:t>
      </w:r>
    </w:p>
    <w:p>
      <w:pPr>
        <w:tabs>
          <w:tab w:val="left" w:pos="6300"/>
        </w:tabs>
        <w:snapToGrid w:val="0"/>
        <w:spacing w:line="360" w:lineRule="auto"/>
        <w:ind w:firstLine="560" w:firstLineChars="200"/>
        <w:jc w:val="center"/>
        <w:rPr>
          <w:rFonts w:ascii="宋体" w:hAnsi="宋体"/>
        </w:rPr>
      </w:pPr>
      <w:r>
        <w:rPr>
          <w:rFonts w:hint="eastAsia" w:ascii="宋体" w:hAnsi="宋体"/>
        </w:rPr>
        <w:t>中小企业声明函</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本公司（联合体）郑重声明，根据《政府采购促进中小企业发展管理办法》（</w:t>
      </w:r>
      <w:r>
        <w:rPr>
          <w:rFonts w:hint="eastAsia" w:ascii="宋体" w:hAnsi="宋体"/>
          <w:sz w:val="24"/>
          <w:szCs w:val="24"/>
        </w:rPr>
        <w:t>财库〔2020〕46号</w:t>
      </w:r>
      <w:r>
        <w:rPr>
          <w:rFonts w:hint="eastAsia" w:ascii="宋体" w:hAnsi="宋体"/>
          <w:sz w:val="24"/>
          <w:szCs w:val="28"/>
        </w:rPr>
        <w:t>）的规定，本公司（联合体）参加</w:t>
      </w:r>
      <w:r>
        <w:rPr>
          <w:rFonts w:hint="eastAsia" w:ascii="宋体" w:hAnsi="宋体"/>
          <w:i/>
          <w:sz w:val="24"/>
          <w:szCs w:val="28"/>
          <w:u w:val="single"/>
        </w:rPr>
        <w:t>（单位名称）</w:t>
      </w:r>
      <w:r>
        <w:rPr>
          <w:rFonts w:hint="eastAsia" w:ascii="宋体" w:hAnsi="宋体"/>
          <w:sz w:val="24"/>
          <w:szCs w:val="28"/>
        </w:rPr>
        <w:t>的</w:t>
      </w:r>
      <w:r>
        <w:rPr>
          <w:rFonts w:hint="eastAsia" w:ascii="宋体" w:hAnsi="宋体"/>
          <w:i/>
          <w:sz w:val="24"/>
          <w:szCs w:val="28"/>
          <w:u w:val="single"/>
        </w:rPr>
        <w:t>（项目名称）</w:t>
      </w:r>
      <w:r>
        <w:rPr>
          <w:rFonts w:hint="eastAsia" w:ascii="宋体" w:hAnsi="宋体"/>
          <w:sz w:val="24"/>
          <w:szCs w:val="28"/>
        </w:rPr>
        <w:t>采购活动，服务全部由符合政策要求的中小企业承接。相关企业（含联合体中的中小企业、签订分包意向协议的中小企业）的具体情况如下：</w:t>
      </w:r>
    </w:p>
    <w:p>
      <w:pPr>
        <w:tabs>
          <w:tab w:val="left" w:pos="6300"/>
        </w:tabs>
        <w:snapToGrid w:val="0"/>
        <w:spacing w:line="360" w:lineRule="auto"/>
        <w:ind w:firstLine="480" w:firstLineChars="200"/>
        <w:rPr>
          <w:rFonts w:ascii="宋体" w:hAnsi="宋体"/>
          <w:sz w:val="24"/>
          <w:szCs w:val="28"/>
        </w:rPr>
      </w:pPr>
      <w:r>
        <w:rPr>
          <w:rFonts w:hint="eastAsia" w:ascii="宋体" w:hAnsi="宋体"/>
          <w:i/>
          <w:sz w:val="24"/>
          <w:szCs w:val="28"/>
          <w:u w:val="single"/>
        </w:rPr>
        <w:t>（标的名称）</w:t>
      </w:r>
      <w:r>
        <w:rPr>
          <w:rFonts w:hint="eastAsia" w:ascii="宋体" w:hAnsi="宋体"/>
          <w:sz w:val="24"/>
          <w:szCs w:val="28"/>
        </w:rPr>
        <w:t>，属于</w:t>
      </w:r>
      <w:r>
        <w:rPr>
          <w:rFonts w:hint="eastAsia" w:ascii="宋体" w:hAnsi="宋体"/>
          <w:i/>
          <w:sz w:val="24"/>
          <w:szCs w:val="28"/>
          <w:u w:val="single"/>
        </w:rPr>
        <w:t>（采购文件中明确的所属行业）</w:t>
      </w:r>
      <w:r>
        <w:rPr>
          <w:rFonts w:hint="eastAsia" w:ascii="宋体" w:hAnsi="宋体"/>
          <w:sz w:val="24"/>
          <w:szCs w:val="28"/>
        </w:rPr>
        <w:t>；承接企业为</w:t>
      </w:r>
      <w:r>
        <w:rPr>
          <w:rFonts w:hint="eastAsia" w:ascii="宋体" w:hAnsi="宋体"/>
          <w:i/>
          <w:sz w:val="24"/>
          <w:szCs w:val="28"/>
          <w:u w:val="single"/>
        </w:rPr>
        <w:t>（企业名称）</w:t>
      </w:r>
      <w:r>
        <w:rPr>
          <w:rFonts w:hint="eastAsia" w:ascii="宋体" w:hAnsi="宋体"/>
          <w:sz w:val="24"/>
          <w:szCs w:val="28"/>
        </w:rPr>
        <w:t>，从业人员</w:t>
      </w:r>
      <w:r>
        <w:rPr>
          <w:rFonts w:hint="eastAsia" w:ascii="宋体" w:hAnsi="宋体"/>
          <w:sz w:val="24"/>
          <w:szCs w:val="28"/>
          <w:u w:val="single"/>
        </w:rPr>
        <w:t xml:space="preserve">      </w:t>
      </w:r>
      <w:r>
        <w:rPr>
          <w:rFonts w:hint="eastAsia" w:ascii="宋体" w:hAnsi="宋体"/>
          <w:sz w:val="24"/>
          <w:szCs w:val="28"/>
        </w:rPr>
        <w:t>人，营业收入为</w:t>
      </w:r>
      <w:r>
        <w:rPr>
          <w:rFonts w:hint="eastAsia" w:ascii="宋体" w:hAnsi="宋体"/>
          <w:sz w:val="24"/>
          <w:szCs w:val="28"/>
          <w:u w:val="single"/>
        </w:rPr>
        <w:t xml:space="preserve">    </w:t>
      </w:r>
      <w:r>
        <w:rPr>
          <w:rFonts w:hint="eastAsia" w:ascii="宋体" w:hAnsi="宋体"/>
          <w:sz w:val="24"/>
          <w:szCs w:val="28"/>
        </w:rPr>
        <w:t>万元，资产总额为</w:t>
      </w:r>
      <w:r>
        <w:rPr>
          <w:rFonts w:hint="eastAsia" w:ascii="宋体" w:hAnsi="宋体"/>
          <w:sz w:val="24"/>
          <w:szCs w:val="28"/>
          <w:u w:val="single"/>
        </w:rPr>
        <w:t xml:space="preserve">    </w:t>
      </w:r>
      <w:r>
        <w:rPr>
          <w:rFonts w:hint="eastAsia" w:ascii="宋体" w:hAnsi="宋体"/>
          <w:sz w:val="24"/>
          <w:szCs w:val="28"/>
        </w:rPr>
        <w:t>万元，属于</w:t>
      </w:r>
      <w:r>
        <w:rPr>
          <w:rFonts w:hint="eastAsia" w:ascii="宋体" w:hAnsi="宋体"/>
          <w:i/>
          <w:sz w:val="24"/>
          <w:szCs w:val="28"/>
          <w:u w:val="single"/>
        </w:rPr>
        <w:t>（中型企业、小型企业、微型企业）</w:t>
      </w:r>
      <w:r>
        <w:rPr>
          <w:rFonts w:hint="eastAsia" w:ascii="宋体" w:hAnsi="宋体"/>
          <w:sz w:val="24"/>
          <w:szCs w:val="28"/>
        </w:rPr>
        <w:t>；</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为本标的提供的服务人员</w:t>
      </w:r>
      <w:r>
        <w:rPr>
          <w:rFonts w:hint="eastAsia" w:ascii="宋体" w:hAnsi="宋体"/>
          <w:sz w:val="24"/>
          <w:szCs w:val="28"/>
          <w:u w:val="single"/>
        </w:rPr>
        <w:t xml:space="preserve">   </w:t>
      </w:r>
      <w:r>
        <w:rPr>
          <w:rFonts w:hint="eastAsia" w:ascii="宋体" w:hAnsi="宋体"/>
          <w:sz w:val="24"/>
          <w:szCs w:val="28"/>
        </w:rPr>
        <w:t>人，其中与本企业签订劳动合同</w:t>
      </w:r>
      <w:r>
        <w:rPr>
          <w:rFonts w:hint="eastAsia" w:ascii="宋体" w:hAnsi="宋体"/>
          <w:sz w:val="24"/>
          <w:szCs w:val="28"/>
          <w:u w:val="single"/>
        </w:rPr>
        <w:t xml:space="preserve">   </w:t>
      </w:r>
      <w:r>
        <w:rPr>
          <w:rFonts w:hint="eastAsia" w:ascii="宋体" w:hAnsi="宋体"/>
          <w:sz w:val="24"/>
          <w:szCs w:val="28"/>
        </w:rPr>
        <w:t>人，其他人员</w:t>
      </w:r>
      <w:r>
        <w:rPr>
          <w:rFonts w:hint="eastAsia" w:ascii="宋体" w:hAnsi="宋体"/>
          <w:sz w:val="24"/>
          <w:szCs w:val="28"/>
          <w:u w:val="single"/>
        </w:rPr>
        <w:t xml:space="preserve">   </w:t>
      </w:r>
      <w:r>
        <w:rPr>
          <w:rFonts w:hint="eastAsia" w:ascii="宋体" w:hAnsi="宋体"/>
          <w:sz w:val="24"/>
          <w:szCs w:val="28"/>
        </w:rPr>
        <w:t>人。</w:t>
      </w:r>
      <w:r>
        <w:rPr>
          <w:rFonts w:hint="eastAsia" w:ascii="宋体" w:hAnsi="宋体"/>
          <w:b/>
          <w:bCs/>
          <w:sz w:val="24"/>
          <w:szCs w:val="28"/>
        </w:rPr>
        <w:t>有其他人员的不符合中小企业扶持政策</w:t>
      </w:r>
      <w:r>
        <w:rPr>
          <w:rFonts w:hint="eastAsia" w:ascii="宋体" w:hAnsi="宋体"/>
          <w:sz w:val="24"/>
          <w:szCs w:val="28"/>
        </w:rPr>
        <w:t>（适用于服务采购项目）;</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以上企业，不属于大企业的分支机构，不存在控股股东为大企业的情形，也不存在与大企业的负责人为同一人的情形。</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本企业对上述声明内容的真实性负责。如有虚假，将依法承担相应责任。</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 xml:space="preserve">                                                    </w:t>
      </w:r>
    </w:p>
    <w:p>
      <w:pPr>
        <w:tabs>
          <w:tab w:val="left" w:pos="6300"/>
        </w:tabs>
        <w:snapToGrid w:val="0"/>
        <w:spacing w:line="360" w:lineRule="auto"/>
        <w:ind w:firstLine="6120" w:firstLineChars="2550"/>
        <w:rPr>
          <w:rFonts w:ascii="宋体" w:hAnsi="宋体"/>
          <w:sz w:val="24"/>
          <w:szCs w:val="28"/>
        </w:rPr>
      </w:pPr>
      <w:r>
        <w:rPr>
          <w:rFonts w:hint="eastAsia" w:ascii="宋体" w:hAnsi="宋体"/>
          <w:sz w:val="24"/>
          <w:szCs w:val="28"/>
        </w:rPr>
        <w:t xml:space="preserve">企业名称（盖章）： </w:t>
      </w:r>
    </w:p>
    <w:p>
      <w:pPr>
        <w:tabs>
          <w:tab w:val="left" w:pos="6300"/>
        </w:tabs>
        <w:snapToGrid w:val="0"/>
        <w:spacing w:line="360" w:lineRule="auto"/>
        <w:ind w:right="784" w:firstLine="6120" w:firstLineChars="2550"/>
        <w:rPr>
          <w:rFonts w:ascii="宋体" w:hAnsi="宋体"/>
          <w:sz w:val="24"/>
        </w:rPr>
      </w:pPr>
      <w:r>
        <w:rPr>
          <w:rFonts w:hint="eastAsia" w:ascii="宋体" w:hAnsi="宋体"/>
          <w:sz w:val="24"/>
          <w:szCs w:val="28"/>
        </w:rPr>
        <w:t>日期：</w:t>
      </w:r>
    </w:p>
    <w:p>
      <w:pPr>
        <w:tabs>
          <w:tab w:val="left" w:pos="6300"/>
        </w:tabs>
        <w:snapToGrid w:val="0"/>
        <w:spacing w:line="360" w:lineRule="auto"/>
        <w:rPr>
          <w:rFonts w:ascii="宋体" w:hAnsi="宋体" w:cs="宋体"/>
          <w:kern w:val="0"/>
          <w:sz w:val="21"/>
          <w:szCs w:val="21"/>
        </w:rPr>
      </w:pPr>
      <w:r>
        <w:rPr>
          <w:rFonts w:hint="eastAsia" w:ascii="宋体" w:hAnsi="宋体" w:cs="宋体"/>
          <w:kern w:val="0"/>
          <w:sz w:val="21"/>
          <w:szCs w:val="21"/>
        </w:rPr>
        <w:t>填写时应注意以下事项：</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2.中小企业应当按照《中小企业划型标准规定》（工信部联企业〔2011〕300号），如实填写并提交《中小企业声明函》。</w:t>
      </w:r>
    </w:p>
    <w:p>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4.本声明函“企业名称（盖章）”处为供应商盖章。</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注：各行业划型标准：</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360" w:lineRule="auto"/>
        <w:ind w:firstLine="480" w:firstLineChars="200"/>
        <w:jc w:val="center"/>
        <w:rPr>
          <w:rFonts w:ascii="宋体" w:hAnsi="宋体"/>
        </w:rPr>
      </w:pPr>
      <w:r>
        <w:rPr>
          <w:rFonts w:ascii="宋体" w:hAnsi="宋体"/>
          <w:sz w:val="24"/>
          <w:szCs w:val="24"/>
        </w:rPr>
        <w:br w:type="page"/>
      </w:r>
      <w:r>
        <w:rPr>
          <w:rFonts w:hint="eastAsia" w:ascii="宋体" w:hAnsi="宋体"/>
        </w:rPr>
        <w:t>监狱企业证明文件</w:t>
      </w:r>
    </w:p>
    <w:p>
      <w:pPr>
        <w:tabs>
          <w:tab w:val="left" w:pos="6300"/>
        </w:tabs>
        <w:snapToGrid w:val="0"/>
        <w:spacing w:line="360" w:lineRule="auto"/>
        <w:ind w:firstLine="480" w:firstLineChars="200"/>
        <w:rPr>
          <w:rFonts w:ascii="宋体" w:hAnsi="宋体"/>
          <w:sz w:val="24"/>
        </w:rPr>
      </w:pPr>
      <w:r>
        <w:rPr>
          <w:rFonts w:hint="eastAsia" w:ascii="宋体" w:hAnsi="宋体"/>
          <w:sz w:val="24"/>
        </w:rPr>
        <w:t>以省级以上监狱管理局、戒毒管理局（含新疆生产建设兵团）出具的属于监狱企业的证明文件为准。</w:t>
      </w:r>
    </w:p>
    <w:p>
      <w:pPr>
        <w:tabs>
          <w:tab w:val="left" w:pos="6300"/>
        </w:tabs>
        <w:snapToGrid w:val="0"/>
        <w:spacing w:line="360" w:lineRule="auto"/>
        <w:ind w:firstLine="560" w:firstLineChars="200"/>
        <w:jc w:val="center"/>
        <w:rPr>
          <w:rFonts w:ascii="宋体" w:hAnsi="宋体"/>
        </w:rPr>
      </w:pPr>
    </w:p>
    <w:p>
      <w:pPr>
        <w:tabs>
          <w:tab w:val="left" w:pos="6300"/>
        </w:tabs>
        <w:snapToGrid w:val="0"/>
        <w:spacing w:line="360" w:lineRule="auto"/>
        <w:ind w:firstLine="560" w:firstLineChars="200"/>
        <w:jc w:val="center"/>
        <w:rPr>
          <w:rFonts w:ascii="宋体" w:hAnsi="宋体"/>
        </w:rPr>
      </w:pPr>
      <w:r>
        <w:rPr>
          <w:rFonts w:hint="eastAsia" w:ascii="宋体" w:hAnsi="宋体"/>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snapToGrid w:val="0"/>
        <w:spacing w:line="360" w:lineRule="auto"/>
        <w:ind w:firstLine="480" w:firstLineChars="200"/>
        <w:rPr>
          <w:rFonts w:ascii="宋体" w:hAnsi="宋体"/>
          <w:sz w:val="24"/>
        </w:rPr>
      </w:pPr>
      <w:r>
        <w:rPr>
          <w:rFonts w:hint="eastAsia" w:ascii="宋体" w:hAnsi="宋体"/>
          <w:sz w:val="24"/>
        </w:rPr>
        <w:t xml:space="preserve">                                                  日  期：</w:t>
      </w:r>
    </w:p>
    <w:p>
      <w:pPr>
        <w:snapToGrid w:val="0"/>
        <w:spacing w:line="360" w:lineRule="auto"/>
        <w:ind w:firstLine="480" w:firstLineChars="200"/>
        <w:rPr>
          <w:rFonts w:ascii="宋体" w:hAnsi="宋体" w:cs="宋体"/>
          <w:kern w:val="0"/>
          <w:sz w:val="24"/>
        </w:rPr>
      </w:pPr>
    </w:p>
    <w:p>
      <w:pPr>
        <w:snapToGrid w:val="0"/>
        <w:spacing w:line="360" w:lineRule="auto"/>
        <w:ind w:firstLine="480" w:firstLineChars="200"/>
        <w:rPr>
          <w:rFonts w:ascii="宋体" w:hAnsi="宋体"/>
          <w:sz w:val="24"/>
        </w:rPr>
      </w:pPr>
      <w:r>
        <w:rPr>
          <w:rFonts w:hint="eastAsia" w:ascii="宋体" w:hAnsi="宋体" w:cs="宋体"/>
          <w:kern w:val="0"/>
          <w:sz w:val="24"/>
        </w:rPr>
        <w:t>若成交供应商为残疾人福利性单位的，将在结果公告时公告其《残疾人福利性单位声明函》。</w:t>
      </w:r>
    </w:p>
    <w:p>
      <w:pPr>
        <w:snapToGrid w:val="0"/>
        <w:spacing w:line="360" w:lineRule="auto"/>
        <w:ind w:firstLine="480" w:firstLineChars="200"/>
        <w:rPr>
          <w:rFonts w:ascii="宋体" w:hAnsi="宋体"/>
          <w:sz w:val="24"/>
          <w:szCs w:val="24"/>
        </w:rPr>
      </w:pPr>
    </w:p>
    <w:p>
      <w:pPr>
        <w:snapToGrid w:val="0"/>
        <w:spacing w:line="360" w:lineRule="auto"/>
        <w:ind w:firstLine="480" w:firstLineChars="200"/>
        <w:rPr>
          <w:rFonts w:ascii="宋体" w:hAnsi="宋体"/>
          <w:sz w:val="24"/>
          <w:szCs w:val="24"/>
        </w:rPr>
      </w:pPr>
      <w:r>
        <w:rPr>
          <w:rFonts w:hint="eastAsia" w:ascii="宋体" w:hAnsi="宋体"/>
          <w:sz w:val="24"/>
          <w:szCs w:val="24"/>
        </w:rPr>
        <w:t>（二）其他与项目有关的资料</w:t>
      </w:r>
    </w:p>
    <w:p>
      <w:pPr>
        <w:spacing w:line="360" w:lineRule="auto"/>
        <w:ind w:firstLine="480" w:firstLineChars="200"/>
        <w:rPr>
          <w:rFonts w:ascii="宋体" w:hAnsi="宋体"/>
          <w:sz w:val="24"/>
          <w:szCs w:val="24"/>
        </w:rPr>
      </w:pPr>
      <w:r>
        <w:rPr>
          <w:rFonts w:hint="eastAsia" w:ascii="宋体" w:hAnsi="宋体"/>
          <w:sz w:val="24"/>
          <w:szCs w:val="24"/>
        </w:rPr>
        <w:t>其他与项目有关的资料（自附）：供应商总体情况介绍、其他与本项目有关的资料等。</w:t>
      </w:r>
    </w:p>
    <w:p>
      <w:pPr>
        <w:spacing w:line="360" w:lineRule="auto"/>
        <w:ind w:firstLine="480" w:firstLineChars="200"/>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outlineLvl w:val="0"/>
        <w:rPr>
          <w:rFonts w:ascii="宋体" w:hAnsi="宋体"/>
        </w:rPr>
      </w:pPr>
      <w:r>
        <w:rPr>
          <w:rFonts w:hint="eastAsia" w:ascii="宋体" w:hAnsi="宋体"/>
          <w:sz w:val="24"/>
          <w:szCs w:val="24"/>
        </w:rPr>
        <w:t>（结束）</w:t>
      </w:r>
    </w:p>
    <w:sectPr>
      <w:headerReference r:id="rId15" w:type="default"/>
      <w:pgSz w:w="11907" w:h="16840"/>
      <w:pgMar w:top="1134" w:right="1191" w:bottom="1134" w:left="1191" w:header="851" w:footer="992" w:gutter="0"/>
      <w:pgNumType w:fmt="numberInDash"/>
      <w:cols w:space="720" w:num="1"/>
      <w:docGrid w:linePitch="380"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宋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FrutigerNextLT-Light">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2"/>
      </w:rPr>
    </w:pPr>
    <w:r>
      <w:rPr>
        <w:rStyle w:val="62"/>
      </w:rPr>
      <w:fldChar w:fldCharType="begin"/>
    </w:r>
    <w:r>
      <w:rPr>
        <w:rStyle w:val="62"/>
      </w:rPr>
      <w:instrText xml:space="preserve">PAGE  </w:instrText>
    </w:r>
    <w:r>
      <w:fldChar w:fldCharType="end"/>
    </w:r>
  </w:p>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2"/>
      </w:rPr>
    </w:pPr>
  </w:p>
  <w:p>
    <w:pPr>
      <w:pStyle w:val="39"/>
      <w:jc w:val="center"/>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jc w:val="center"/>
      <w:rPr>
        <w:rStyle w:val="62"/>
        <w:rFonts w:ascii="宋体"/>
        <w:sz w:val="21"/>
        <w:szCs w:val="21"/>
      </w:rPr>
    </w:pPr>
    <w:r>
      <w:rPr>
        <w:rStyle w:val="62"/>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10 -</w:t>
    </w:r>
    <w:r>
      <w:rPr>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宋体"/>
        <w:sz w:val="21"/>
        <w:szCs w:val="21"/>
      </w:rPr>
    </w:pPr>
    <w:r>
      <w:rPr>
        <w:rStyle w:val="62"/>
      </w:rPr>
      <w:fldChar w:fldCharType="begin"/>
    </w:r>
    <w:r>
      <w:rPr>
        <w:rStyle w:val="62"/>
        <w:rFonts w:ascii="宋体"/>
        <w:sz w:val="21"/>
        <w:szCs w:val="21"/>
      </w:rPr>
      <w:instrText xml:space="preserve"> PAGE </w:instrText>
    </w:r>
    <w:r>
      <w:rPr>
        <w:rFonts w:ascii="宋体"/>
        <w:sz w:val="21"/>
        <w:szCs w:val="21"/>
      </w:rPr>
      <w:fldChar w:fldCharType="separate"/>
    </w:r>
    <w:r>
      <w:rPr>
        <w:rStyle w:val="62"/>
        <w:rFonts w:ascii="宋体"/>
        <w:sz w:val="21"/>
        <w:szCs w:val="21"/>
      </w:rPr>
      <w:t>- 15 -</w:t>
    </w:r>
    <w:r>
      <w:rPr>
        <w:rFonts w:asci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2"/>
      </w:rPr>
    </w:pPr>
    <w:r>
      <w:rPr>
        <w:rStyle w:val="62"/>
      </w:rPr>
      <w:fldChar w:fldCharType="begin"/>
    </w:r>
    <w:r>
      <w:rPr>
        <w:rStyle w:val="6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宋体"/>
        <w:sz w:val="21"/>
        <w:szCs w:val="21"/>
      </w:rPr>
    </w:pPr>
    <w:r>
      <w:rPr>
        <w:rFonts w:hint="eastAsia" w:ascii="宋体"/>
        <w:sz w:val="21"/>
        <w:szCs w:val="21"/>
      </w:rPr>
      <w:t>重庆中基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宋体"/>
        <w:sz w:val="21"/>
        <w:szCs w:val="21"/>
      </w:rPr>
    </w:pPr>
    <w:r>
      <w:rPr>
        <w:rFonts w:hint="eastAsia" w:ascii="宋体"/>
        <w:sz w:val="21"/>
        <w:szCs w:val="21"/>
      </w:rPr>
      <w:t>重庆中基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宋体"/>
        <w:sz w:val="21"/>
        <w:szCs w:val="21"/>
      </w:rPr>
    </w:pPr>
    <w:r>
      <w:rPr>
        <w:rFonts w:hint="eastAsia" w:ascii="宋体"/>
        <w:sz w:val="21"/>
        <w:szCs w:val="21"/>
      </w:rPr>
      <w:t>重庆中基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upperLetter"/>
      <w:pStyle w:val="273"/>
      <w:suff w:val="nothing"/>
      <w:lvlText w:val="附　录　%1"/>
      <w:lvlJc w:val="left"/>
      <w:pPr>
        <w:tabs>
          <w:tab w:val="left" w:pos="0"/>
        </w:tabs>
        <w:ind w:left="0" w:firstLine="0"/>
      </w:pPr>
      <w:rPr>
        <w:rFonts w:hint="eastAsia" w:ascii="黑体" w:hAnsi="黑体" w:eastAsia="黑体"/>
        <w:b w:val="0"/>
        <w:i w:val="0"/>
        <w:sz w:val="21"/>
      </w:rPr>
    </w:lvl>
    <w:lvl w:ilvl="1" w:tentative="0">
      <w:start w:val="1"/>
      <w:numFmt w:val="decimal"/>
      <w:pStyle w:val="138"/>
      <w:suff w:val="nothing"/>
      <w:lvlText w:val="%1.%2　"/>
      <w:lvlJc w:val="left"/>
      <w:pPr>
        <w:tabs>
          <w:tab w:val="left" w:pos="0"/>
        </w:tabs>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1">
    <w:nsid w:val="0000000A"/>
    <w:multiLevelType w:val="multilevel"/>
    <w:tmpl w:val="0000000A"/>
    <w:lvl w:ilvl="0" w:tentative="0">
      <w:start w:val="1"/>
      <w:numFmt w:val="bullet"/>
      <w:pStyle w:val="199"/>
      <w:lvlText w:val=""/>
      <w:lvlJc w:val="left"/>
      <w:pPr>
        <w:tabs>
          <w:tab w:val="left" w:pos="0"/>
        </w:tabs>
        <w:ind w:left="987" w:hanging="420"/>
      </w:pPr>
      <w:rPr>
        <w:rFonts w:hint="default" w:ascii="Wingdings" w:hAnsi="Wingdings"/>
      </w:rPr>
    </w:lvl>
    <w:lvl w:ilvl="1" w:tentative="0">
      <w:start w:val="1"/>
      <w:numFmt w:val="lowerLetter"/>
      <w:lvlText w:val="%2)"/>
      <w:lvlJc w:val="left"/>
      <w:pPr>
        <w:tabs>
          <w:tab w:val="left" w:pos="0"/>
        </w:tabs>
        <w:ind w:left="840" w:hanging="420"/>
      </w:pPr>
    </w:lvl>
    <w:lvl w:ilvl="2" w:tentative="0">
      <w:start w:val="1"/>
      <w:numFmt w:val="decimal"/>
      <w:lvlText w:val="%3、"/>
      <w:lvlJc w:val="left"/>
      <w:pPr>
        <w:tabs>
          <w:tab w:val="left" w:pos="0"/>
        </w:tabs>
        <w:ind w:left="1200" w:hanging="360"/>
      </w:pPr>
      <w:rPr>
        <w:rFonts w:hint="eastAsia"/>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B"/>
    <w:multiLevelType w:val="singleLevel"/>
    <w:tmpl w:val="0000000B"/>
    <w:lvl w:ilvl="0" w:tentative="0">
      <w:start w:val="1"/>
      <w:numFmt w:val="bullet"/>
      <w:pStyle w:val="219"/>
      <w:lvlText w:val=""/>
      <w:lvlJc w:val="left"/>
      <w:pPr>
        <w:tabs>
          <w:tab w:val="left" w:pos="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8"/>
      <w:lvlText w:val="%1、"/>
      <w:lvlJc w:val="left"/>
      <w:pPr>
        <w:tabs>
          <w:tab w:val="left" w:pos="0"/>
        </w:tabs>
        <w:ind w:left="480" w:hanging="48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000000D"/>
    <w:multiLevelType w:val="singleLevel"/>
    <w:tmpl w:val="0000000D"/>
    <w:lvl w:ilvl="0" w:tentative="0">
      <w:start w:val="1"/>
      <w:numFmt w:val="bullet"/>
      <w:pStyle w:val="135"/>
      <w:lvlText w:val=""/>
      <w:lvlJc w:val="left"/>
      <w:pPr>
        <w:tabs>
          <w:tab w:val="left" w:pos="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8"/>
      <w:lvlText w:val=""/>
      <w:lvlJc w:val="left"/>
      <w:pPr>
        <w:tabs>
          <w:tab w:val="left" w:pos="0"/>
        </w:tabs>
        <w:ind w:left="540" w:firstLine="0"/>
      </w:pPr>
      <w:rPr>
        <w:rFonts w:hint="default" w:ascii="Wingdings" w:hAnsi="Wingdings"/>
        <w:sz w:val="16"/>
      </w:rPr>
    </w:lvl>
    <w:lvl w:ilvl="1" w:tentative="0">
      <w:start w:val="1"/>
      <w:numFmt w:val="bullet"/>
      <w:lvlText w:val=""/>
      <w:lvlJc w:val="left"/>
      <w:pPr>
        <w:tabs>
          <w:tab w:val="left" w:pos="0"/>
        </w:tabs>
        <w:ind w:left="1940" w:hanging="420"/>
      </w:pPr>
      <w:rPr>
        <w:rFonts w:hint="default" w:ascii="Wingdings" w:hAnsi="Wingdings"/>
      </w:rPr>
    </w:lvl>
    <w:lvl w:ilvl="2" w:tentative="0">
      <w:start w:val="1"/>
      <w:numFmt w:val="bullet"/>
      <w:lvlText w:val=""/>
      <w:lvlJc w:val="left"/>
      <w:pPr>
        <w:tabs>
          <w:tab w:val="left" w:pos="0"/>
        </w:tabs>
        <w:ind w:left="2360" w:hanging="420"/>
      </w:pPr>
      <w:rPr>
        <w:rFonts w:hint="default" w:ascii="Wingdings" w:hAnsi="Wingdings"/>
      </w:rPr>
    </w:lvl>
    <w:lvl w:ilvl="3" w:tentative="0">
      <w:start w:val="1"/>
      <w:numFmt w:val="bullet"/>
      <w:lvlText w:val=""/>
      <w:lvlJc w:val="left"/>
      <w:pPr>
        <w:tabs>
          <w:tab w:val="left" w:pos="0"/>
        </w:tabs>
        <w:ind w:left="2780" w:hanging="420"/>
      </w:pPr>
      <w:rPr>
        <w:rFonts w:hint="default" w:ascii="Wingdings" w:hAnsi="Wingdings"/>
      </w:rPr>
    </w:lvl>
    <w:lvl w:ilvl="4" w:tentative="0">
      <w:start w:val="1"/>
      <w:numFmt w:val="bullet"/>
      <w:lvlText w:val=""/>
      <w:lvlJc w:val="left"/>
      <w:pPr>
        <w:tabs>
          <w:tab w:val="left" w:pos="0"/>
        </w:tabs>
        <w:ind w:left="3200" w:hanging="420"/>
      </w:pPr>
      <w:rPr>
        <w:rFonts w:hint="default" w:ascii="Wingdings" w:hAnsi="Wingdings"/>
      </w:rPr>
    </w:lvl>
    <w:lvl w:ilvl="5" w:tentative="0">
      <w:start w:val="1"/>
      <w:numFmt w:val="bullet"/>
      <w:lvlText w:val=""/>
      <w:lvlJc w:val="left"/>
      <w:pPr>
        <w:tabs>
          <w:tab w:val="left" w:pos="0"/>
        </w:tabs>
        <w:ind w:left="3620" w:hanging="420"/>
      </w:pPr>
      <w:rPr>
        <w:rFonts w:hint="default" w:ascii="Wingdings" w:hAnsi="Wingdings"/>
      </w:rPr>
    </w:lvl>
    <w:lvl w:ilvl="6" w:tentative="0">
      <w:start w:val="1"/>
      <w:numFmt w:val="bullet"/>
      <w:lvlText w:val=""/>
      <w:lvlJc w:val="left"/>
      <w:pPr>
        <w:tabs>
          <w:tab w:val="left" w:pos="0"/>
        </w:tabs>
        <w:ind w:left="4040" w:hanging="420"/>
      </w:pPr>
      <w:rPr>
        <w:rFonts w:hint="default" w:ascii="Wingdings" w:hAnsi="Wingdings"/>
      </w:rPr>
    </w:lvl>
    <w:lvl w:ilvl="7" w:tentative="0">
      <w:start w:val="1"/>
      <w:numFmt w:val="bullet"/>
      <w:lvlText w:val=""/>
      <w:lvlJc w:val="left"/>
      <w:pPr>
        <w:tabs>
          <w:tab w:val="left" w:pos="0"/>
        </w:tabs>
        <w:ind w:left="4460" w:hanging="420"/>
      </w:pPr>
      <w:rPr>
        <w:rFonts w:hint="default" w:ascii="Wingdings" w:hAnsi="Wingdings"/>
      </w:rPr>
    </w:lvl>
    <w:lvl w:ilvl="8" w:tentative="0">
      <w:start w:val="1"/>
      <w:numFmt w:val="bullet"/>
      <w:lvlText w:val=""/>
      <w:lvlJc w:val="left"/>
      <w:pPr>
        <w:tabs>
          <w:tab w:val="left" w:pos="0"/>
        </w:tabs>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95"/>
      <w:lvlText w:val="（%1）"/>
      <w:lvlJc w:val="left"/>
      <w:pPr>
        <w:tabs>
          <w:tab w:val="left" w:pos="0"/>
        </w:tabs>
        <w:ind w:left="0" w:firstLine="510"/>
      </w:pPr>
      <w:rPr>
        <w:rFonts w:hint="default" w:ascii="Arial" w:hAnsi="Arial"/>
        <w:b w:val="0"/>
        <w:i w:val="0"/>
        <w:sz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00000012"/>
    <w:multiLevelType w:val="multilevel"/>
    <w:tmpl w:val="00000012"/>
    <w:lvl w:ilvl="0" w:tentative="0">
      <w:start w:val="1"/>
      <w:numFmt w:val="bullet"/>
      <w:pStyle w:val="170"/>
      <w:lvlText w:val=""/>
      <w:lvlJc w:val="left"/>
      <w:pPr>
        <w:tabs>
          <w:tab w:val="left" w:pos="0"/>
        </w:tabs>
        <w:ind w:left="1644" w:hanging="510"/>
      </w:pPr>
      <w:rPr>
        <w:rFonts w:hint="default" w:ascii="Wingdings" w:hAnsi="Wingdings"/>
        <w:color w:val="auto"/>
        <w:sz w:val="13"/>
        <w:u w:val="none"/>
      </w:rPr>
    </w:lvl>
    <w:lvl w:ilvl="1" w:tentative="0">
      <w:start w:val="1"/>
      <w:numFmt w:val="bullet"/>
      <w:lvlText w:val=""/>
      <w:lvlJc w:val="left"/>
      <w:pPr>
        <w:tabs>
          <w:tab w:val="left" w:pos="0"/>
        </w:tabs>
        <w:ind w:left="840" w:hanging="420"/>
      </w:pPr>
      <w:rPr>
        <w:rFonts w:hint="default" w:ascii="Wingdings" w:hAnsi="Wingdings"/>
        <w:color w:val="auto"/>
        <w:sz w:val="13"/>
        <w:u w:val="none"/>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8"/>
      <w:lvlText w:val="%1."/>
      <w:lvlJc w:val="left"/>
      <w:pPr>
        <w:tabs>
          <w:tab w:val="left" w:pos="0"/>
        </w:tabs>
        <w:ind w:left="425" w:hanging="425"/>
      </w:pPr>
      <w:rPr>
        <w:rFonts w:hint="default"/>
      </w:rPr>
    </w:lvl>
  </w:abstractNum>
  <w:abstractNum w:abstractNumId="9">
    <w:nsid w:val="00000014"/>
    <w:multiLevelType w:val="singleLevel"/>
    <w:tmpl w:val="00000014"/>
    <w:lvl w:ilvl="0" w:tentative="0">
      <w:start w:val="1"/>
      <w:numFmt w:val="bullet"/>
      <w:pStyle w:val="31"/>
      <w:lvlText w:val=""/>
      <w:lvlJc w:val="left"/>
      <w:pPr>
        <w:tabs>
          <w:tab w:val="left" w:pos="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3"/>
      <w:lvlText w:val="%1)"/>
      <w:lvlJc w:val="left"/>
      <w:pPr>
        <w:tabs>
          <w:tab w:val="left" w:pos="0"/>
        </w:tabs>
        <w:ind w:left="425" w:hanging="425"/>
      </w:pPr>
      <w:rPr>
        <w:rFonts w:hint="eastAsia"/>
      </w:rPr>
    </w:lvl>
  </w:abstractNum>
  <w:abstractNum w:abstractNumId="11">
    <w:nsid w:val="00000017"/>
    <w:multiLevelType w:val="multilevel"/>
    <w:tmpl w:val="00000017"/>
    <w:lvl w:ilvl="0" w:tentative="0">
      <w:start w:val="1"/>
      <w:numFmt w:val="chineseCountingThousand"/>
      <w:pStyle w:val="177"/>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402C612D"/>
    <w:multiLevelType w:val="singleLevel"/>
    <w:tmpl w:val="402C612D"/>
    <w:lvl w:ilvl="0" w:tentative="0">
      <w:start w:val="3"/>
      <w:numFmt w:val="decimal"/>
      <w:suff w:val="nothing"/>
      <w:lvlText w:val="（%1）"/>
      <w:lvlJc w:val="left"/>
    </w:lvl>
  </w:abstractNum>
  <w:abstractNum w:abstractNumId="13">
    <w:nsid w:val="5E7A3C32"/>
    <w:multiLevelType w:val="multilevel"/>
    <w:tmpl w:val="5E7A3C32"/>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pStyle w:val="75"/>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num w:numId="1">
    <w:abstractNumId w:val="8"/>
  </w:num>
  <w:num w:numId="2">
    <w:abstractNumId w:val="9"/>
  </w:num>
  <w:num w:numId="3">
    <w:abstractNumId w:val="13"/>
  </w:num>
  <w:num w:numId="4">
    <w:abstractNumId w:val="3"/>
  </w:num>
  <w:num w:numId="5">
    <w:abstractNumId w:val="4"/>
  </w:num>
  <w:num w:numId="6">
    <w:abstractNumId w:val="0"/>
  </w:num>
  <w:num w:numId="7">
    <w:abstractNumId w:val="7"/>
  </w:num>
  <w:num w:numId="8">
    <w:abstractNumId w:val="10"/>
  </w:num>
  <w:num w:numId="9">
    <w:abstractNumId w:val="11"/>
  </w:num>
  <w:num w:numId="10">
    <w:abstractNumId w:val="6"/>
  </w:num>
  <w:num w:numId="11">
    <w:abstractNumId w:val="1"/>
  </w:num>
  <w:num w:numId="12">
    <w:abstractNumId w:val="5"/>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6"/>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2"/>
  </w:compat>
  <w:docVars>
    <w:docVar w:name="commondata" w:val="eyJoZGlkIjoiNmRiMDc2MjM2ZGY1YzkyMWVlNmQxNjA4YTQ5OWIwMjMifQ=="/>
  </w:docVars>
  <w:rsids>
    <w:rsidRoot w:val="00F8011D"/>
    <w:rsid w:val="00001303"/>
    <w:rsid w:val="00025D45"/>
    <w:rsid w:val="000339C9"/>
    <w:rsid w:val="00034929"/>
    <w:rsid w:val="00054EF5"/>
    <w:rsid w:val="00063D16"/>
    <w:rsid w:val="00063ECD"/>
    <w:rsid w:val="000707C6"/>
    <w:rsid w:val="00071483"/>
    <w:rsid w:val="0009609C"/>
    <w:rsid w:val="000A7B64"/>
    <w:rsid w:val="000C3F62"/>
    <w:rsid w:val="000C68FF"/>
    <w:rsid w:val="000D42EF"/>
    <w:rsid w:val="000F3295"/>
    <w:rsid w:val="000F3A51"/>
    <w:rsid w:val="00101496"/>
    <w:rsid w:val="001231BD"/>
    <w:rsid w:val="00134372"/>
    <w:rsid w:val="00185466"/>
    <w:rsid w:val="001A575A"/>
    <w:rsid w:val="001D4C73"/>
    <w:rsid w:val="002700D6"/>
    <w:rsid w:val="002805F0"/>
    <w:rsid w:val="0034003E"/>
    <w:rsid w:val="0034063A"/>
    <w:rsid w:val="00343F62"/>
    <w:rsid w:val="00355867"/>
    <w:rsid w:val="00360FC2"/>
    <w:rsid w:val="00383131"/>
    <w:rsid w:val="003836E0"/>
    <w:rsid w:val="00386212"/>
    <w:rsid w:val="003A7E7A"/>
    <w:rsid w:val="003E09F3"/>
    <w:rsid w:val="00416901"/>
    <w:rsid w:val="00441CBC"/>
    <w:rsid w:val="00443914"/>
    <w:rsid w:val="00447EA7"/>
    <w:rsid w:val="00472C62"/>
    <w:rsid w:val="004761CF"/>
    <w:rsid w:val="004836D7"/>
    <w:rsid w:val="00492D1A"/>
    <w:rsid w:val="00496B99"/>
    <w:rsid w:val="004F7912"/>
    <w:rsid w:val="004F7AAB"/>
    <w:rsid w:val="00500638"/>
    <w:rsid w:val="00540225"/>
    <w:rsid w:val="005736AE"/>
    <w:rsid w:val="00592FA5"/>
    <w:rsid w:val="005B61B5"/>
    <w:rsid w:val="005C6965"/>
    <w:rsid w:val="005F2440"/>
    <w:rsid w:val="005F46EB"/>
    <w:rsid w:val="006007CC"/>
    <w:rsid w:val="0064515E"/>
    <w:rsid w:val="006528C9"/>
    <w:rsid w:val="006A3AB1"/>
    <w:rsid w:val="006E5BA2"/>
    <w:rsid w:val="00707848"/>
    <w:rsid w:val="007134A2"/>
    <w:rsid w:val="00742BD7"/>
    <w:rsid w:val="00757475"/>
    <w:rsid w:val="007711FC"/>
    <w:rsid w:val="00771836"/>
    <w:rsid w:val="00790E80"/>
    <w:rsid w:val="007D0CE1"/>
    <w:rsid w:val="007D648E"/>
    <w:rsid w:val="00802490"/>
    <w:rsid w:val="00810128"/>
    <w:rsid w:val="00824B15"/>
    <w:rsid w:val="00847B37"/>
    <w:rsid w:val="00851015"/>
    <w:rsid w:val="008551EF"/>
    <w:rsid w:val="00864CF5"/>
    <w:rsid w:val="008C0018"/>
    <w:rsid w:val="008C028A"/>
    <w:rsid w:val="008F341B"/>
    <w:rsid w:val="00951EAB"/>
    <w:rsid w:val="009529A5"/>
    <w:rsid w:val="009669EE"/>
    <w:rsid w:val="00966C49"/>
    <w:rsid w:val="00974E4D"/>
    <w:rsid w:val="00994564"/>
    <w:rsid w:val="009B1D8F"/>
    <w:rsid w:val="009E4AEC"/>
    <w:rsid w:val="00A06BA6"/>
    <w:rsid w:val="00A11700"/>
    <w:rsid w:val="00A3239E"/>
    <w:rsid w:val="00A440CE"/>
    <w:rsid w:val="00AC7A66"/>
    <w:rsid w:val="00AD0C16"/>
    <w:rsid w:val="00AE119A"/>
    <w:rsid w:val="00AF2A12"/>
    <w:rsid w:val="00B01E44"/>
    <w:rsid w:val="00B031D9"/>
    <w:rsid w:val="00B07D65"/>
    <w:rsid w:val="00B130A4"/>
    <w:rsid w:val="00B421B9"/>
    <w:rsid w:val="00B46A8B"/>
    <w:rsid w:val="00B51D7C"/>
    <w:rsid w:val="00B567B5"/>
    <w:rsid w:val="00B71F14"/>
    <w:rsid w:val="00B84D50"/>
    <w:rsid w:val="00B96DB5"/>
    <w:rsid w:val="00BA0E0A"/>
    <w:rsid w:val="00BC2B55"/>
    <w:rsid w:val="00BD50C6"/>
    <w:rsid w:val="00BF68B4"/>
    <w:rsid w:val="00C00677"/>
    <w:rsid w:val="00C0402F"/>
    <w:rsid w:val="00C94049"/>
    <w:rsid w:val="00CC2250"/>
    <w:rsid w:val="00CC588F"/>
    <w:rsid w:val="00CE1B39"/>
    <w:rsid w:val="00CE35AE"/>
    <w:rsid w:val="00CE3C73"/>
    <w:rsid w:val="00CF7FFC"/>
    <w:rsid w:val="00D10715"/>
    <w:rsid w:val="00D33507"/>
    <w:rsid w:val="00DC4756"/>
    <w:rsid w:val="00DE79A3"/>
    <w:rsid w:val="00E21BD9"/>
    <w:rsid w:val="00E65025"/>
    <w:rsid w:val="00E732DF"/>
    <w:rsid w:val="00E80378"/>
    <w:rsid w:val="00F05D2D"/>
    <w:rsid w:val="00F24251"/>
    <w:rsid w:val="00F5302F"/>
    <w:rsid w:val="00F754B4"/>
    <w:rsid w:val="00F8011D"/>
    <w:rsid w:val="00FB2690"/>
    <w:rsid w:val="00FB5F63"/>
    <w:rsid w:val="00FD5CE4"/>
    <w:rsid w:val="00FE50C0"/>
    <w:rsid w:val="00FF185F"/>
    <w:rsid w:val="01BD6429"/>
    <w:rsid w:val="028C6335"/>
    <w:rsid w:val="0C2B09D6"/>
    <w:rsid w:val="0D6A46B1"/>
    <w:rsid w:val="12EF3359"/>
    <w:rsid w:val="16CF5E02"/>
    <w:rsid w:val="182830D7"/>
    <w:rsid w:val="1CFB6B76"/>
    <w:rsid w:val="244F1E44"/>
    <w:rsid w:val="2A327B6A"/>
    <w:rsid w:val="2C7F22C6"/>
    <w:rsid w:val="2E884DBD"/>
    <w:rsid w:val="30DC38C3"/>
    <w:rsid w:val="311F1C3B"/>
    <w:rsid w:val="32257D1B"/>
    <w:rsid w:val="336851F8"/>
    <w:rsid w:val="336A31F3"/>
    <w:rsid w:val="35D31B89"/>
    <w:rsid w:val="3BAB6C2A"/>
    <w:rsid w:val="3EDD6834"/>
    <w:rsid w:val="3EEF12B8"/>
    <w:rsid w:val="44D373DA"/>
    <w:rsid w:val="454D5577"/>
    <w:rsid w:val="474B46F2"/>
    <w:rsid w:val="474E69BC"/>
    <w:rsid w:val="480C1C24"/>
    <w:rsid w:val="48FB5D34"/>
    <w:rsid w:val="4925216C"/>
    <w:rsid w:val="4E2B7EDD"/>
    <w:rsid w:val="4ECC2160"/>
    <w:rsid w:val="51EB103B"/>
    <w:rsid w:val="52D7613A"/>
    <w:rsid w:val="53D923AB"/>
    <w:rsid w:val="574071A4"/>
    <w:rsid w:val="57D64FA4"/>
    <w:rsid w:val="582349A4"/>
    <w:rsid w:val="58A600B4"/>
    <w:rsid w:val="58C678EE"/>
    <w:rsid w:val="5AF21CB4"/>
    <w:rsid w:val="5DC42740"/>
    <w:rsid w:val="5E240B5D"/>
    <w:rsid w:val="60247101"/>
    <w:rsid w:val="61EB1697"/>
    <w:rsid w:val="62B45691"/>
    <w:rsid w:val="630614DF"/>
    <w:rsid w:val="63E552FB"/>
    <w:rsid w:val="675A6205"/>
    <w:rsid w:val="69957EAE"/>
    <w:rsid w:val="6A7476A4"/>
    <w:rsid w:val="6BD31315"/>
    <w:rsid w:val="70A9549D"/>
    <w:rsid w:val="720D5704"/>
    <w:rsid w:val="72FC3B45"/>
    <w:rsid w:val="73BA22F0"/>
    <w:rsid w:val="798547FD"/>
    <w:rsid w:val="79E20E39"/>
    <w:rsid w:val="7A885852"/>
    <w:rsid w:val="7B2310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6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600" w:leftChars="400" w:hanging="200" w:hangingChars="200"/>
    </w:pPr>
    <w:rPr>
      <w:sz w:val="24"/>
    </w:rPr>
  </w:style>
  <w:style w:type="paragraph" w:styleId="14">
    <w:name w:val="annotation subject"/>
    <w:basedOn w:val="15"/>
    <w:next w:val="15"/>
    <w:qFormat/>
    <w:uiPriority w:val="0"/>
    <w:pPr>
      <w:adjustRightInd/>
      <w:spacing w:line="240" w:lineRule="auto"/>
      <w:textAlignment w:val="auto"/>
    </w:pPr>
  </w:style>
  <w:style w:type="paragraph" w:styleId="15">
    <w:name w:val="annotation text"/>
    <w:basedOn w:val="1"/>
    <w:qFormat/>
    <w:uiPriority w:val="0"/>
    <w:pPr>
      <w:adjustRightInd w:val="0"/>
      <w:spacing w:line="360" w:lineRule="atLeast"/>
      <w:jc w:val="left"/>
      <w:textAlignment w:val="baseline"/>
    </w:pPr>
    <w:rPr>
      <w:kern w:val="0"/>
      <w:sz w:val="24"/>
    </w:rPr>
  </w:style>
  <w:style w:type="paragraph" w:styleId="16">
    <w:name w:val="toc 7"/>
    <w:basedOn w:val="1"/>
    <w:next w:val="1"/>
    <w:qFormat/>
    <w:uiPriority w:val="0"/>
    <w:pPr>
      <w:ind w:left="1200" w:leftChars="1200"/>
    </w:pPr>
  </w:style>
  <w:style w:type="paragraph" w:styleId="17">
    <w:name w:val="Body Text First Indent"/>
    <w:basedOn w:val="1"/>
    <w:qFormat/>
    <w:uiPriority w:val="0"/>
    <w:pPr>
      <w:spacing w:line="360" w:lineRule="auto"/>
      <w:ind w:firstLine="420"/>
    </w:pPr>
    <w:rPr>
      <w:rFonts w:ascii="宋体"/>
      <w:sz w:val="24"/>
    </w:rPr>
  </w:style>
  <w:style w:type="paragraph" w:styleId="18">
    <w:name w:val="List Number 2"/>
    <w:basedOn w:val="1"/>
    <w:qFormat/>
    <w:uiPriority w:val="0"/>
    <w:pPr>
      <w:numPr>
        <w:ilvl w:val="0"/>
        <w:numId w:val="1"/>
      </w:numPr>
      <w:tabs>
        <w:tab w:val="left" w:pos="780"/>
      </w:tabs>
      <w:spacing w:line="360" w:lineRule="auto"/>
    </w:pPr>
    <w:rPr>
      <w:sz w:val="24"/>
    </w:rPr>
  </w:style>
  <w:style w:type="paragraph" w:styleId="19">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20">
    <w:name w:val="Normal Indent"/>
    <w:basedOn w:val="1"/>
    <w:qFormat/>
    <w:uiPriority w:val="0"/>
    <w:pPr>
      <w:adjustRightInd w:val="0"/>
      <w:snapToGrid w:val="0"/>
      <w:spacing w:line="360" w:lineRule="auto"/>
      <w:ind w:firstLine="420"/>
    </w:pPr>
    <w:rPr>
      <w:sz w:val="24"/>
    </w:rPr>
  </w:style>
  <w:style w:type="paragraph" w:styleId="21">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2">
    <w:name w:val="Document Map"/>
    <w:basedOn w:val="1"/>
    <w:qFormat/>
    <w:uiPriority w:val="0"/>
    <w:pPr>
      <w:shd w:val="clear" w:color="auto" w:fill="000080"/>
    </w:pPr>
  </w:style>
  <w:style w:type="paragraph" w:styleId="23">
    <w:name w:val="toa heading"/>
    <w:basedOn w:val="1"/>
    <w:next w:val="1"/>
    <w:qFormat/>
    <w:uiPriority w:val="0"/>
    <w:pPr>
      <w:spacing w:before="120"/>
    </w:pPr>
    <w:rPr>
      <w:rFonts w:ascii="Arial" w:hAnsi="Arial"/>
      <w:sz w:val="24"/>
    </w:rPr>
  </w:style>
  <w:style w:type="paragraph" w:styleId="24">
    <w:name w:val="Salutation"/>
    <w:basedOn w:val="1"/>
    <w:next w:val="1"/>
    <w:qFormat/>
    <w:uiPriority w:val="0"/>
    <w:rPr>
      <w:kern w:val="0"/>
      <w:sz w:val="18"/>
    </w:rPr>
  </w:style>
  <w:style w:type="paragraph" w:styleId="25">
    <w:name w:val="Body Text 3"/>
    <w:basedOn w:val="1"/>
    <w:qFormat/>
    <w:uiPriority w:val="0"/>
    <w:pPr>
      <w:adjustRightInd w:val="0"/>
      <w:snapToGrid w:val="0"/>
      <w:spacing w:after="120" w:line="360" w:lineRule="auto"/>
    </w:pPr>
    <w:rPr>
      <w:sz w:val="16"/>
    </w:rPr>
  </w:style>
  <w:style w:type="paragraph" w:styleId="26">
    <w:name w:val="List Bullet 3"/>
    <w:basedOn w:val="1"/>
    <w:qFormat/>
    <w:uiPriority w:val="0"/>
    <w:pPr>
      <w:tabs>
        <w:tab w:val="left" w:pos="1200"/>
      </w:tabs>
      <w:adjustRightInd w:val="0"/>
      <w:snapToGrid w:val="0"/>
      <w:spacing w:line="360" w:lineRule="auto"/>
      <w:ind w:left="1200" w:hanging="360"/>
    </w:pPr>
    <w:rPr>
      <w:sz w:val="24"/>
    </w:rPr>
  </w:style>
  <w:style w:type="paragraph" w:styleId="27">
    <w:name w:val="Body Text Indent"/>
    <w:basedOn w:val="1"/>
    <w:qFormat/>
    <w:uiPriority w:val="0"/>
    <w:pPr>
      <w:spacing w:line="700" w:lineRule="exact"/>
      <w:ind w:left="960"/>
    </w:pPr>
    <w:rPr>
      <w:sz w:val="44"/>
    </w:rPr>
  </w:style>
  <w:style w:type="paragraph" w:styleId="28">
    <w:name w:val="List Number 3"/>
    <w:basedOn w:val="1"/>
    <w:qFormat/>
    <w:uiPriority w:val="0"/>
    <w:pPr>
      <w:tabs>
        <w:tab w:val="left" w:pos="2120"/>
      </w:tabs>
      <w:adjustRightInd w:val="0"/>
      <w:snapToGrid w:val="0"/>
      <w:spacing w:line="360" w:lineRule="auto"/>
      <w:ind w:left="2120" w:hanging="720"/>
    </w:pPr>
    <w:rPr>
      <w:sz w:val="24"/>
    </w:rPr>
  </w:style>
  <w:style w:type="paragraph" w:styleId="29">
    <w:name w:val="List 2"/>
    <w:basedOn w:val="1"/>
    <w:qFormat/>
    <w:uiPriority w:val="0"/>
    <w:pPr>
      <w:adjustRightInd w:val="0"/>
      <w:snapToGrid w:val="0"/>
      <w:spacing w:line="360" w:lineRule="auto"/>
      <w:ind w:left="400" w:leftChars="200" w:hanging="200" w:hangingChars="200"/>
    </w:pPr>
    <w:rPr>
      <w:sz w:val="24"/>
    </w:rPr>
  </w:style>
  <w:style w:type="paragraph" w:styleId="30">
    <w:name w:val="List Continue"/>
    <w:basedOn w:val="1"/>
    <w:qFormat/>
    <w:uiPriority w:val="0"/>
    <w:pPr>
      <w:adjustRightInd w:val="0"/>
      <w:snapToGrid w:val="0"/>
      <w:spacing w:after="120" w:line="360" w:lineRule="auto"/>
      <w:ind w:left="200" w:leftChars="200"/>
    </w:pPr>
    <w:rPr>
      <w:sz w:val="24"/>
    </w:rPr>
  </w:style>
  <w:style w:type="paragraph" w:styleId="31">
    <w:name w:val="List Bullet 2"/>
    <w:basedOn w:val="1"/>
    <w:qFormat/>
    <w:uiPriority w:val="0"/>
    <w:pPr>
      <w:numPr>
        <w:ilvl w:val="0"/>
        <w:numId w:val="2"/>
      </w:numPr>
      <w:adjustRightInd w:val="0"/>
      <w:snapToGrid w:val="0"/>
      <w:spacing w:line="360" w:lineRule="auto"/>
    </w:pPr>
    <w:rPr>
      <w:sz w:val="24"/>
    </w:rPr>
  </w:style>
  <w:style w:type="paragraph" w:styleId="32">
    <w:name w:val="toc 5"/>
    <w:basedOn w:val="1"/>
    <w:next w:val="1"/>
    <w:qFormat/>
    <w:uiPriority w:val="0"/>
    <w:pPr>
      <w:ind w:left="800" w:leftChars="800"/>
    </w:pPr>
  </w:style>
  <w:style w:type="paragraph" w:styleId="33">
    <w:name w:val="toc 3"/>
    <w:basedOn w:val="1"/>
    <w:next w:val="1"/>
    <w:qFormat/>
    <w:uiPriority w:val="39"/>
    <w:pPr>
      <w:ind w:left="400" w:leftChars="400"/>
    </w:pPr>
  </w:style>
  <w:style w:type="paragraph" w:styleId="34">
    <w:name w:val="Plain Text"/>
    <w:basedOn w:val="1"/>
    <w:qFormat/>
    <w:uiPriority w:val="0"/>
    <w:rPr>
      <w:rFonts w:ascii="宋体"/>
      <w:sz w:val="21"/>
    </w:rPr>
  </w:style>
  <w:style w:type="paragraph" w:styleId="35">
    <w:name w:val="toc 8"/>
    <w:basedOn w:val="1"/>
    <w:next w:val="1"/>
    <w:qFormat/>
    <w:uiPriority w:val="0"/>
    <w:pPr>
      <w:ind w:left="1400" w:leftChars="1400"/>
    </w:pPr>
  </w:style>
  <w:style w:type="paragraph" w:styleId="36">
    <w:name w:val="Date"/>
    <w:basedOn w:val="1"/>
    <w:next w:val="1"/>
    <w:qFormat/>
    <w:uiPriority w:val="0"/>
  </w:style>
  <w:style w:type="paragraph" w:styleId="37">
    <w:name w:val="Body Text Indent 2"/>
    <w:basedOn w:val="1"/>
    <w:qFormat/>
    <w:uiPriority w:val="0"/>
    <w:pPr>
      <w:snapToGrid w:val="0"/>
      <w:spacing w:line="560" w:lineRule="atLeast"/>
      <w:ind w:firstLine="540"/>
    </w:pPr>
  </w:style>
  <w:style w:type="paragraph" w:styleId="38">
    <w:name w:val="Balloon Text"/>
    <w:basedOn w:val="1"/>
    <w:qFormat/>
    <w:uiPriority w:val="0"/>
    <w:rPr>
      <w:sz w:val="18"/>
    </w:rPr>
  </w:style>
  <w:style w:type="paragraph" w:styleId="39">
    <w:name w:val="footer"/>
    <w:basedOn w:val="1"/>
    <w:link w:val="294"/>
    <w:qFormat/>
    <w:uiPriority w:val="99"/>
    <w:pPr>
      <w:tabs>
        <w:tab w:val="center" w:pos="4153"/>
        <w:tab w:val="right" w:pos="8306"/>
      </w:tabs>
      <w:snapToGrid w:val="0"/>
      <w:jc w:val="left"/>
    </w:pPr>
    <w:rPr>
      <w:sz w:val="18"/>
    </w:rPr>
  </w:style>
  <w:style w:type="paragraph" w:styleId="40">
    <w:name w:val="Body Text First Indent 2"/>
    <w:basedOn w:val="27"/>
    <w:qFormat/>
    <w:uiPriority w:val="0"/>
    <w:pPr>
      <w:spacing w:after="120" w:line="240" w:lineRule="auto"/>
      <w:ind w:left="200" w:leftChars="200" w:firstLine="200" w:firstLineChars="200"/>
    </w:pPr>
  </w:style>
  <w:style w:type="paragraph" w:styleId="41">
    <w:name w:val="header"/>
    <w:basedOn w:val="1"/>
    <w:link w:val="295"/>
    <w:qFormat/>
    <w:uiPriority w:val="99"/>
    <w:pPr>
      <w:pBdr>
        <w:bottom w:val="single" w:color="auto" w:sz="6" w:space="1"/>
      </w:pBdr>
      <w:tabs>
        <w:tab w:val="center" w:pos="4153"/>
        <w:tab w:val="right" w:pos="8306"/>
      </w:tabs>
      <w:snapToGrid w:val="0"/>
      <w:jc w:val="center"/>
    </w:pPr>
    <w:rPr>
      <w:sz w:val="18"/>
    </w:rPr>
  </w:style>
  <w:style w:type="paragraph" w:styleId="42">
    <w:name w:val="toc 1"/>
    <w:basedOn w:val="1"/>
    <w:next w:val="1"/>
    <w:qFormat/>
    <w:uiPriority w:val="0"/>
    <w:pPr>
      <w:spacing w:line="180" w:lineRule="auto"/>
      <w:jc w:val="center"/>
    </w:pPr>
    <w:rPr>
      <w:sz w:val="30"/>
    </w:rPr>
  </w:style>
  <w:style w:type="paragraph" w:styleId="43">
    <w:name w:val="List Continue 4"/>
    <w:basedOn w:val="1"/>
    <w:qFormat/>
    <w:uiPriority w:val="0"/>
    <w:pPr>
      <w:adjustRightInd w:val="0"/>
      <w:snapToGrid w:val="0"/>
      <w:spacing w:after="120" w:line="360" w:lineRule="auto"/>
      <w:ind w:left="800" w:leftChars="800"/>
    </w:pPr>
    <w:rPr>
      <w:sz w:val="24"/>
    </w:rPr>
  </w:style>
  <w:style w:type="paragraph" w:styleId="44">
    <w:name w:val="toc 4"/>
    <w:basedOn w:val="1"/>
    <w:next w:val="1"/>
    <w:qFormat/>
    <w:uiPriority w:val="0"/>
    <w:pPr>
      <w:ind w:left="600" w:leftChars="600"/>
    </w:pPr>
  </w:style>
  <w:style w:type="paragraph" w:styleId="4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6">
    <w:name w:val="footnote text"/>
    <w:basedOn w:val="1"/>
    <w:qFormat/>
    <w:uiPriority w:val="0"/>
    <w:pPr>
      <w:spacing w:line="360" w:lineRule="auto"/>
    </w:pPr>
    <w:rPr>
      <w:sz w:val="18"/>
    </w:rPr>
  </w:style>
  <w:style w:type="paragraph" w:styleId="47">
    <w:name w:val="toc 6"/>
    <w:basedOn w:val="1"/>
    <w:next w:val="1"/>
    <w:qFormat/>
    <w:uiPriority w:val="0"/>
    <w:pPr>
      <w:ind w:left="1000" w:leftChars="1000"/>
    </w:pPr>
  </w:style>
  <w:style w:type="paragraph" w:styleId="48">
    <w:name w:val="List 5"/>
    <w:basedOn w:val="1"/>
    <w:qFormat/>
    <w:uiPriority w:val="0"/>
    <w:pPr>
      <w:adjustRightInd w:val="0"/>
      <w:snapToGrid w:val="0"/>
      <w:spacing w:line="360" w:lineRule="auto"/>
      <w:ind w:left="1000" w:leftChars="800" w:hanging="200" w:hangingChars="200"/>
    </w:pPr>
    <w:rPr>
      <w:sz w:val="24"/>
    </w:rPr>
  </w:style>
  <w:style w:type="paragraph" w:styleId="49">
    <w:name w:val="Body Text Indent 3"/>
    <w:basedOn w:val="1"/>
    <w:qFormat/>
    <w:uiPriority w:val="0"/>
    <w:pPr>
      <w:spacing w:line="360" w:lineRule="auto"/>
      <w:ind w:firstLine="632"/>
    </w:pPr>
    <w:rPr>
      <w:rFonts w:ascii="黑体" w:eastAsia="黑体"/>
    </w:rPr>
  </w:style>
  <w:style w:type="paragraph" w:styleId="50">
    <w:name w:val="table of figures"/>
    <w:basedOn w:val="1"/>
    <w:next w:val="1"/>
    <w:qFormat/>
    <w:uiPriority w:val="0"/>
    <w:pPr>
      <w:tabs>
        <w:tab w:val="right" w:leader="dot" w:pos="8640"/>
      </w:tabs>
      <w:spacing w:line="360" w:lineRule="auto"/>
      <w:ind w:left="400" w:hanging="400"/>
    </w:pPr>
    <w:rPr>
      <w:sz w:val="24"/>
    </w:rPr>
  </w:style>
  <w:style w:type="paragraph" w:styleId="51">
    <w:name w:val="toc 2"/>
    <w:basedOn w:val="1"/>
    <w:next w:val="1"/>
    <w:qFormat/>
    <w:uiPriority w:val="39"/>
    <w:pPr>
      <w:ind w:left="200" w:leftChars="200"/>
    </w:pPr>
  </w:style>
  <w:style w:type="paragraph" w:styleId="52">
    <w:name w:val="toc 9"/>
    <w:basedOn w:val="1"/>
    <w:next w:val="1"/>
    <w:qFormat/>
    <w:uiPriority w:val="0"/>
    <w:pPr>
      <w:ind w:left="1600" w:leftChars="1600"/>
    </w:pPr>
  </w:style>
  <w:style w:type="paragraph" w:styleId="53">
    <w:name w:val="Body Text 2"/>
    <w:basedOn w:val="1"/>
    <w:qFormat/>
    <w:uiPriority w:val="0"/>
    <w:pPr>
      <w:adjustRightInd w:val="0"/>
      <w:snapToGrid w:val="0"/>
      <w:spacing w:after="120" w:line="480" w:lineRule="auto"/>
    </w:pPr>
    <w:rPr>
      <w:sz w:val="24"/>
    </w:rPr>
  </w:style>
  <w:style w:type="paragraph" w:styleId="54">
    <w:name w:val="List 4"/>
    <w:basedOn w:val="1"/>
    <w:qFormat/>
    <w:uiPriority w:val="0"/>
    <w:pPr>
      <w:adjustRightInd w:val="0"/>
      <w:snapToGrid w:val="0"/>
      <w:spacing w:line="360" w:lineRule="auto"/>
      <w:ind w:left="800" w:leftChars="600" w:hanging="200" w:hangingChars="200"/>
    </w:pPr>
    <w:rPr>
      <w:sz w:val="24"/>
    </w:rPr>
  </w:style>
  <w:style w:type="paragraph" w:styleId="55">
    <w:name w:val="List Continue 2"/>
    <w:basedOn w:val="1"/>
    <w:qFormat/>
    <w:uiPriority w:val="0"/>
    <w:pPr>
      <w:adjustRightInd w:val="0"/>
      <w:snapToGrid w:val="0"/>
      <w:spacing w:after="120" w:line="360" w:lineRule="auto"/>
      <w:ind w:left="400" w:leftChars="400"/>
    </w:pPr>
    <w:rPr>
      <w:sz w:val="24"/>
    </w:rPr>
  </w:style>
  <w:style w:type="paragraph" w:styleId="56">
    <w:name w:val="Normal (Web)"/>
    <w:basedOn w:val="1"/>
    <w:qFormat/>
    <w:uiPriority w:val="0"/>
    <w:pPr>
      <w:widowControl/>
      <w:spacing w:before="100" w:beforeAutospacing="1" w:after="100" w:afterAutospacing="1"/>
      <w:jc w:val="left"/>
    </w:pPr>
    <w:rPr>
      <w:rFonts w:ascii="宋体"/>
      <w:kern w:val="0"/>
      <w:sz w:val="24"/>
    </w:rPr>
  </w:style>
  <w:style w:type="paragraph" w:styleId="57">
    <w:name w:val="List Continue 3"/>
    <w:basedOn w:val="1"/>
    <w:qFormat/>
    <w:uiPriority w:val="0"/>
    <w:pPr>
      <w:adjustRightInd w:val="0"/>
      <w:snapToGrid w:val="0"/>
      <w:spacing w:after="120" w:line="360" w:lineRule="auto"/>
      <w:ind w:left="600" w:leftChars="600"/>
    </w:pPr>
    <w:rPr>
      <w:sz w:val="24"/>
    </w:rPr>
  </w:style>
  <w:style w:type="paragraph" w:styleId="58">
    <w:name w:val="index 1"/>
    <w:basedOn w:val="1"/>
    <w:next w:val="1"/>
    <w:qFormat/>
    <w:uiPriority w:val="0"/>
    <w:pPr>
      <w:adjustRightInd w:val="0"/>
      <w:spacing w:line="240" w:lineRule="atLeast"/>
      <w:textAlignment w:val="baseline"/>
    </w:pPr>
    <w:rPr>
      <w:rFonts w:ascii="宋体"/>
      <w:kern w:val="0"/>
      <w:sz w:val="21"/>
    </w:rPr>
  </w:style>
  <w:style w:type="paragraph" w:styleId="59">
    <w:name w:val="Title"/>
    <w:basedOn w:val="1"/>
    <w:qFormat/>
    <w:uiPriority w:val="0"/>
    <w:pPr>
      <w:widowControl/>
      <w:spacing w:after="240" w:line="360" w:lineRule="auto"/>
      <w:jc w:val="center"/>
    </w:pPr>
    <w:rPr>
      <w:rFonts w:ascii="Arial" w:hAnsi="Arial"/>
      <w:b/>
      <w:smallCaps/>
      <w:kern w:val="28"/>
      <w:sz w:val="36"/>
    </w:rPr>
  </w:style>
  <w:style w:type="character" w:styleId="61">
    <w:name w:val="Strong"/>
    <w:qFormat/>
    <w:uiPriority w:val="0"/>
    <w:rPr>
      <w:b/>
    </w:rPr>
  </w:style>
  <w:style w:type="character" w:styleId="62">
    <w:name w:val="page number"/>
    <w:basedOn w:val="60"/>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9">
    <w:name w:val="正文 + 三号 Char"/>
    <w:qFormat/>
    <w:uiPriority w:val="0"/>
    <w:rPr>
      <w:rFonts w:eastAsia="宋体"/>
      <w:kern w:val="2"/>
      <w:sz w:val="21"/>
      <w:lang w:val="en-US" w:eastAsia="zh-CN"/>
    </w:rPr>
  </w:style>
  <w:style w:type="character" w:customStyle="1" w:styleId="70">
    <w:name w:val="正文文本缩进 Char"/>
    <w:qFormat/>
    <w:uiPriority w:val="0"/>
    <w:rPr>
      <w:kern w:val="2"/>
      <w:sz w:val="44"/>
    </w:rPr>
  </w:style>
  <w:style w:type="character" w:customStyle="1" w:styleId="71">
    <w:name w:val="日期 字符1"/>
    <w:qFormat/>
    <w:uiPriority w:val="0"/>
    <w:rPr>
      <w:rFonts w:ascii="Times New Roman" w:hAnsi="Times New Roman" w:eastAsia="宋体" w:cs="Times New Roman"/>
      <w:kern w:val="2"/>
      <w:sz w:val="28"/>
    </w:rPr>
  </w:style>
  <w:style w:type="character" w:customStyle="1" w:styleId="72">
    <w:name w:val="H2 Char"/>
    <w:qFormat/>
    <w:uiPriority w:val="0"/>
    <w:rPr>
      <w:rFonts w:ascii="Arial" w:hAnsi="Arial" w:eastAsia="宋体"/>
      <w:kern w:val="2"/>
      <w:sz w:val="28"/>
      <w:lang w:val="en-US" w:eastAsia="zh-CN"/>
    </w:rPr>
  </w:style>
  <w:style w:type="character" w:customStyle="1" w:styleId="73">
    <w:name w:val="无"/>
    <w:qFormat/>
    <w:uiPriority w:val="0"/>
    <w:rPr>
      <w:rFonts w:ascii="Times New Roman" w:hAnsi="Times New Roman" w:eastAsia="宋体" w:cs="Times New Roman"/>
    </w:rPr>
  </w:style>
  <w:style w:type="character" w:customStyle="1" w:styleId="74">
    <w:name w:val="日期 Char"/>
    <w:qFormat/>
    <w:uiPriority w:val="0"/>
    <w:rPr>
      <w:kern w:val="2"/>
      <w:sz w:val="28"/>
    </w:rPr>
  </w:style>
  <w:style w:type="paragraph" w:customStyle="1" w:styleId="75">
    <w:name w:val="(符号)五标题1.1.1"/>
    <w:basedOn w:val="1"/>
    <w:qFormat/>
    <w:uiPriority w:val="0"/>
    <w:pPr>
      <w:numPr>
        <w:ilvl w:val="2"/>
        <w:numId w:val="3"/>
      </w:numPr>
      <w:tabs>
        <w:tab w:val="left" w:pos="1000"/>
      </w:tabs>
      <w:spacing w:line="500" w:lineRule="exact"/>
    </w:pPr>
    <w:rPr>
      <w:rFonts w:ascii="宋体"/>
      <w:color w:val="000000"/>
      <w:sz w:val="24"/>
    </w:rPr>
  </w:style>
  <w:style w:type="character" w:customStyle="1" w:styleId="76">
    <w:name w:val="标题 3 Char1"/>
    <w:qFormat/>
    <w:uiPriority w:val="0"/>
    <w:rPr>
      <w:rFonts w:eastAsia="宋体"/>
      <w:b/>
      <w:kern w:val="2"/>
      <w:sz w:val="32"/>
      <w:lang w:val="en-US" w:eastAsia="zh-CN"/>
    </w:rPr>
  </w:style>
  <w:style w:type="character" w:customStyle="1" w:styleId="77">
    <w:name w:val="标题 3 字符1"/>
    <w:qFormat/>
    <w:uiPriority w:val="0"/>
    <w:rPr>
      <w:rFonts w:eastAsia="宋体"/>
      <w:b/>
      <w:kern w:val="2"/>
      <w:sz w:val="32"/>
      <w:lang w:val="en-US" w:eastAsia="zh-CN"/>
    </w:rPr>
  </w:style>
  <w:style w:type="character" w:customStyle="1" w:styleId="78">
    <w:name w:val="未命名11"/>
    <w:qFormat/>
    <w:uiPriority w:val="0"/>
    <w:rPr>
      <w:color w:val="77FFFF"/>
      <w:sz w:val="24"/>
    </w:rPr>
  </w:style>
  <w:style w:type="character" w:customStyle="1" w:styleId="79">
    <w:name w:val="小 Char"/>
    <w:qFormat/>
    <w:uiPriority w:val="0"/>
    <w:rPr>
      <w:rFonts w:ascii="宋体" w:eastAsia="宋体"/>
      <w:kern w:val="2"/>
      <w:sz w:val="21"/>
      <w:lang w:val="en-US" w:eastAsia="zh-CN" w:bidi="ar-SA"/>
    </w:rPr>
  </w:style>
  <w:style w:type="paragraph" w:customStyle="1" w:styleId="80">
    <w:name w:val="Table Text Char Char Char"/>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标书正文:  0.74 厘米 Char1"/>
    <w:qFormat/>
    <w:uiPriority w:val="0"/>
    <w:rPr>
      <w:rFonts w:eastAsia="宋体"/>
      <w:kern w:val="2"/>
      <w:sz w:val="24"/>
      <w:lang w:val="en-US" w:eastAsia="zh-CN"/>
    </w:rPr>
  </w:style>
  <w:style w:type="character" w:customStyle="1" w:styleId="82">
    <w:name w:val="Char Char4"/>
    <w:qFormat/>
    <w:uiPriority w:val="0"/>
    <w:rPr>
      <w:rFonts w:eastAsia="宋体"/>
      <w:b/>
      <w:kern w:val="2"/>
      <w:sz w:val="21"/>
      <w:lang w:val="en-US" w:eastAsia="zh-CN"/>
    </w:rPr>
  </w:style>
  <w:style w:type="character" w:customStyle="1" w:styleId="83">
    <w:name w:val="title_emph1"/>
    <w:qFormat/>
    <w:uiPriority w:val="0"/>
    <w:rPr>
      <w:rFonts w:ascii="Arial" w:hAnsi="Arial"/>
      <w:b/>
      <w:sz w:val="20"/>
    </w:rPr>
  </w:style>
  <w:style w:type="character" w:customStyle="1" w:styleId="84">
    <w:name w:val="Table Heading Char Char"/>
    <w:qFormat/>
    <w:uiPriority w:val="0"/>
    <w:rPr>
      <w:rFonts w:ascii="Arial" w:hAnsi="Arial" w:eastAsia="黑体"/>
      <w:kern w:val="2"/>
      <w:sz w:val="18"/>
      <w:lang w:val="en-US" w:eastAsia="zh-CN"/>
    </w:rPr>
  </w:style>
  <w:style w:type="character" w:customStyle="1" w:styleId="85">
    <w:name w:val="正文文本缩进 字符1"/>
    <w:qFormat/>
    <w:locked/>
    <w:uiPriority w:val="0"/>
    <w:rPr>
      <w:kern w:val="2"/>
      <w:sz w:val="44"/>
    </w:rPr>
  </w:style>
  <w:style w:type="character" w:customStyle="1" w:styleId="86">
    <w:name w:val="样式 宋体"/>
    <w:qFormat/>
    <w:uiPriority w:val="0"/>
    <w:rPr>
      <w:rFonts w:ascii="宋体" w:eastAsia="宋体"/>
      <w:sz w:val="28"/>
    </w:rPr>
  </w:style>
  <w:style w:type="character" w:customStyle="1" w:styleId="87">
    <w:name w:val="标题 2 字符1"/>
    <w:qFormat/>
    <w:uiPriority w:val="0"/>
    <w:rPr>
      <w:rFonts w:ascii="宋体" w:eastAsia="宋体" w:cs="Times New Roman"/>
      <w:kern w:val="2"/>
      <w:sz w:val="28"/>
    </w:rPr>
  </w:style>
  <w:style w:type="character" w:customStyle="1" w:styleId="88">
    <w:name w:val="Char Char5"/>
    <w:qFormat/>
    <w:uiPriority w:val="0"/>
    <w:rPr>
      <w:rFonts w:ascii="Arial" w:hAnsi="Arial" w:eastAsia="宋体"/>
      <w:b/>
      <w:smallCaps/>
      <w:kern w:val="28"/>
      <w:sz w:val="36"/>
      <w:lang w:val="en-US"/>
    </w:rPr>
  </w:style>
  <w:style w:type="paragraph" w:styleId="89">
    <w:name w:val="List Paragraph"/>
    <w:basedOn w:val="1"/>
    <w:qFormat/>
    <w:uiPriority w:val="0"/>
    <w:pPr>
      <w:ind w:firstLine="200" w:firstLineChars="200"/>
    </w:pPr>
    <w:rPr>
      <w:sz w:val="21"/>
      <w:szCs w:val="22"/>
    </w:rPr>
  </w:style>
  <w:style w:type="character" w:customStyle="1" w:styleId="90">
    <w:name w:val="Char Char2"/>
    <w:qFormat/>
    <w:uiPriority w:val="0"/>
    <w:rPr>
      <w:rFonts w:eastAsia="宋体"/>
      <w:kern w:val="2"/>
      <w:sz w:val="18"/>
      <w:lang w:val="en-US" w:eastAsia="zh-CN"/>
    </w:rPr>
  </w:style>
  <w:style w:type="character" w:customStyle="1" w:styleId="91">
    <w:name w:val="标题 2 Char"/>
    <w:qFormat/>
    <w:uiPriority w:val="0"/>
    <w:rPr>
      <w:rFonts w:ascii="Arial" w:hAnsi="Arial" w:eastAsia="黑体"/>
      <w:b/>
      <w:kern w:val="2"/>
      <w:sz w:val="32"/>
    </w:rPr>
  </w:style>
  <w:style w:type="character" w:customStyle="1" w:styleId="92">
    <w:name w:val="Table Text Char1 Char"/>
    <w:qFormat/>
    <w:uiPriority w:val="0"/>
    <w:rPr>
      <w:rFonts w:ascii="Arial" w:hAnsi="Arial"/>
      <w:kern w:val="2"/>
      <w:sz w:val="18"/>
      <w:lang w:val="en-US" w:eastAsia="zh-CN" w:bidi="ar-SA"/>
    </w:rPr>
  </w:style>
  <w:style w:type="character" w:customStyle="1" w:styleId="93">
    <w:name w:val="Char Char6"/>
    <w:qFormat/>
    <w:uiPriority w:val="0"/>
    <w:rPr>
      <w:rFonts w:ascii="仿宋_GB2312" w:eastAsia="仿宋_GB2312"/>
      <w:kern w:val="2"/>
      <w:sz w:val="32"/>
    </w:rPr>
  </w:style>
  <w:style w:type="character" w:customStyle="1" w:styleId="94">
    <w:name w:val="content-white1"/>
    <w:qFormat/>
    <w:uiPriority w:val="0"/>
    <w:rPr>
      <w:rFonts w:ascii="_x000B__x000C_" w:hAnsi="_x000B__x000C_"/>
      <w:color w:val="auto"/>
      <w:sz w:val="18"/>
      <w:u w:val="none"/>
    </w:rPr>
  </w:style>
  <w:style w:type="character" w:customStyle="1" w:styleId="95">
    <w:name w:val="fontstyle01"/>
    <w:qFormat/>
    <w:uiPriority w:val="0"/>
    <w:rPr>
      <w:rFonts w:ascii="宋体" w:eastAsia="宋体"/>
      <w:color w:val="000000"/>
      <w:sz w:val="24"/>
      <w:szCs w:val="24"/>
    </w:rPr>
  </w:style>
  <w:style w:type="character" w:customStyle="1" w:styleId="96">
    <w:name w:val="Char Char7"/>
    <w:qFormat/>
    <w:uiPriority w:val="0"/>
    <w:rPr>
      <w:rFonts w:ascii="宋体" w:eastAsia="宋体"/>
      <w:kern w:val="2"/>
      <w:sz w:val="28"/>
    </w:rPr>
  </w:style>
  <w:style w:type="character" w:customStyle="1" w:styleId="97">
    <w:name w:val="标题 3 Char"/>
    <w:qFormat/>
    <w:uiPriority w:val="0"/>
    <w:rPr>
      <w:rFonts w:eastAsia="宋体"/>
      <w:b/>
      <w:kern w:val="2"/>
      <w:sz w:val="32"/>
      <w:lang w:val="en-US" w:eastAsia="zh-CN"/>
    </w:rPr>
  </w:style>
  <w:style w:type="character" w:customStyle="1" w:styleId="98">
    <w:name w:val="crowed11"/>
    <w:qFormat/>
    <w:uiPriority w:val="0"/>
    <w:rPr>
      <w:rFonts w:ascii="_x000B__x000C_" w:hAnsi="_x000B__x000C_"/>
      <w:sz w:val="24"/>
    </w:rPr>
  </w:style>
  <w:style w:type="paragraph" w:customStyle="1" w:styleId="99">
    <w:name w:val="文字"/>
    <w:basedOn w:val="1"/>
    <w:qFormat/>
    <w:uiPriority w:val="0"/>
    <w:pPr>
      <w:tabs>
        <w:tab w:val="left" w:pos="8520"/>
      </w:tabs>
      <w:spacing w:line="312" w:lineRule="auto"/>
      <w:ind w:right="-210" w:firstLine="556"/>
    </w:pPr>
    <w:rPr>
      <w:rFonts w:ascii="宋体"/>
    </w:rPr>
  </w:style>
  <w:style w:type="character" w:customStyle="1" w:styleId="100">
    <w:name w:val="Char Char3"/>
    <w:qFormat/>
    <w:uiPriority w:val="0"/>
    <w:rPr>
      <w:rFonts w:eastAsia="宋体"/>
      <w:kern w:val="2"/>
      <w:sz w:val="18"/>
      <w:lang w:val="en-US" w:eastAsia="zh-CN"/>
    </w:rPr>
  </w:style>
  <w:style w:type="character" w:customStyle="1" w:styleId="101">
    <w:name w:val="font1"/>
    <w:qFormat/>
    <w:uiPriority w:val="0"/>
    <w:rPr>
      <w:color w:val="000000"/>
      <w:sz w:val="18"/>
    </w:rPr>
  </w:style>
  <w:style w:type="character" w:customStyle="1" w:styleId="102">
    <w:name w:val="v151"/>
    <w:qFormat/>
    <w:uiPriority w:val="0"/>
    <w:rPr>
      <w:sz w:val="18"/>
    </w:rPr>
  </w:style>
  <w:style w:type="character" w:customStyle="1" w:styleId="103">
    <w:name w:val="Char Char11"/>
    <w:qFormat/>
    <w:uiPriority w:val="0"/>
    <w:rPr>
      <w:rFonts w:ascii="宋体"/>
      <w:kern w:val="2"/>
      <w:sz w:val="28"/>
    </w:rPr>
  </w:style>
  <w:style w:type="character" w:customStyle="1" w:styleId="104">
    <w:name w:val="Char Char"/>
    <w:qFormat/>
    <w:uiPriority w:val="0"/>
    <w:rPr>
      <w:rFonts w:ascii="宋体" w:eastAsia="宋体"/>
      <w:kern w:val="2"/>
      <w:sz w:val="24"/>
      <w:lang w:val="en-US" w:eastAsia="zh-CN" w:bidi="ar-SA"/>
    </w:rPr>
  </w:style>
  <w:style w:type="paragraph" w:customStyle="1" w:styleId="105">
    <w:name w:val="样式 文档正文 Char + (西文) 宋体 (中文) 宋体 小四 黑色"/>
    <w:basedOn w:val="1"/>
    <w:qFormat/>
    <w:uiPriority w:val="0"/>
    <w:pPr>
      <w:adjustRightInd w:val="0"/>
      <w:snapToGrid w:val="0"/>
      <w:spacing w:line="360" w:lineRule="auto"/>
      <w:ind w:firstLine="567"/>
      <w:textAlignment w:val="baseline"/>
    </w:pPr>
    <w:rPr>
      <w:rFonts w:ascii="宋体"/>
      <w:color w:val="000000"/>
      <w:sz w:val="24"/>
      <w:szCs w:val="24"/>
    </w:rPr>
  </w:style>
  <w:style w:type="character" w:customStyle="1" w:styleId="106">
    <w:name w:val="_Style 121"/>
    <w:qFormat/>
    <w:uiPriority w:val="0"/>
    <w:rPr>
      <w:color w:val="605E5C"/>
      <w:shd w:val="clear" w:color="auto" w:fill="E1DFDD"/>
    </w:rPr>
  </w:style>
  <w:style w:type="character" w:customStyle="1" w:styleId="107">
    <w:name w:val="top-det1"/>
    <w:qFormat/>
    <w:uiPriority w:val="0"/>
    <w:rPr>
      <w:b/>
      <w:color w:val="000000"/>
    </w:rPr>
  </w:style>
  <w:style w:type="paragraph" w:customStyle="1" w:styleId="108">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0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0">
    <w:name w:val="首行缩进 1"/>
    <w:basedOn w:val="1"/>
    <w:qFormat/>
    <w:uiPriority w:val="0"/>
    <w:pPr>
      <w:spacing w:after="120" w:line="360" w:lineRule="auto"/>
      <w:ind w:firstLine="200" w:firstLineChars="200"/>
    </w:pPr>
    <w:rPr>
      <w:sz w:val="24"/>
    </w:rPr>
  </w:style>
  <w:style w:type="paragraph" w:customStyle="1" w:styleId="111">
    <w:name w:val="IN Feature"/>
    <w:next w:val="11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3">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114">
    <w:name w:val="Table Contents"/>
    <w:basedOn w:val="2"/>
    <w:qFormat/>
    <w:uiPriority w:val="0"/>
    <w:pPr>
      <w:suppressAutoHyphens/>
      <w:jc w:val="left"/>
    </w:pPr>
    <w:rPr>
      <w:rFonts w:ascii="Times New Roman" w:hAnsi="Times New Roman" w:eastAsia="Times New Roman"/>
      <w:kern w:val="0"/>
      <w:sz w:val="24"/>
    </w:rPr>
  </w:style>
  <w:style w:type="paragraph" w:customStyle="1" w:styleId="115">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16">
    <w:name w:val="1.正文"/>
    <w:basedOn w:val="1"/>
    <w:qFormat/>
    <w:uiPriority w:val="0"/>
    <w:pPr>
      <w:spacing w:line="360" w:lineRule="auto"/>
      <w:ind w:left="225" w:leftChars="225" w:firstLine="225" w:firstLineChars="225"/>
    </w:pPr>
    <w:rPr>
      <w:sz w:val="24"/>
    </w:rPr>
  </w:style>
  <w:style w:type="paragraph" w:customStyle="1" w:styleId="117">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18">
    <w:name w:val="正文文本 21"/>
    <w:basedOn w:val="1"/>
    <w:qFormat/>
    <w:uiPriority w:val="0"/>
    <w:pPr>
      <w:adjustRightInd w:val="0"/>
      <w:spacing w:before="120" w:line="360" w:lineRule="auto"/>
      <w:ind w:firstLine="480"/>
      <w:textAlignment w:val="baseline"/>
    </w:pPr>
    <w:rPr>
      <w:sz w:val="24"/>
    </w:rPr>
  </w:style>
  <w:style w:type="paragraph" w:customStyle="1" w:styleId="11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0">
    <w:name w:val="标准正文"/>
    <w:basedOn w:val="27"/>
    <w:qFormat/>
    <w:uiPriority w:val="0"/>
    <w:pPr>
      <w:spacing w:before="60" w:after="60" w:line="360" w:lineRule="auto"/>
      <w:ind w:left="0" w:firstLine="482"/>
    </w:pPr>
    <w:rPr>
      <w:rFonts w:ascii="Arial" w:hAnsi="Arial"/>
      <w:sz w:val="24"/>
    </w:rPr>
  </w:style>
  <w:style w:type="paragraph" w:customStyle="1" w:styleId="121">
    <w:name w:val="段落正文"/>
    <w:basedOn w:val="1"/>
    <w:qFormat/>
    <w:uiPriority w:val="0"/>
    <w:pPr>
      <w:spacing w:beforeLines="50" w:line="360" w:lineRule="auto"/>
      <w:ind w:firstLine="200" w:firstLineChars="200"/>
    </w:pPr>
    <w:rPr>
      <w:spacing w:val="2"/>
      <w:sz w:val="24"/>
    </w:rPr>
  </w:style>
  <w:style w:type="paragraph" w:customStyle="1" w:styleId="1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3">
    <w:name w:val="二级列表"/>
    <w:basedOn w:val="121"/>
    <w:next w:val="121"/>
    <w:qFormat/>
    <w:uiPriority w:val="0"/>
    <w:pPr>
      <w:tabs>
        <w:tab w:val="left" w:pos="2120"/>
      </w:tabs>
      <w:ind w:firstLine="0" w:firstLineChars="0"/>
    </w:pPr>
    <w:rPr>
      <w:b/>
    </w:rPr>
  </w:style>
  <w:style w:type="paragraph" w:customStyle="1" w:styleId="124">
    <w:name w:val="表文字"/>
    <w:qFormat/>
    <w:uiPriority w:val="0"/>
    <w:rPr>
      <w:rFonts w:ascii="宋体" w:hAnsi="Times New Roman" w:eastAsia="宋体" w:cs="Times New Roman"/>
      <w:kern w:val="2"/>
      <w:lang w:val="en-US" w:eastAsia="zh-CN" w:bidi="ar-SA"/>
    </w:rPr>
  </w:style>
  <w:style w:type="paragraph" w:customStyle="1" w:styleId="12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126">
    <w:name w:val="摘要"/>
    <w:basedOn w:val="1"/>
    <w:next w:val="5"/>
    <w:qFormat/>
    <w:uiPriority w:val="0"/>
    <w:pPr>
      <w:spacing w:line="360" w:lineRule="auto"/>
    </w:pPr>
    <w:rPr>
      <w:rFonts w:eastAsia="黑体"/>
      <w:sz w:val="20"/>
    </w:rPr>
  </w:style>
  <w:style w:type="paragraph" w:customStyle="1" w:styleId="127">
    <w:name w:val="正文文本缩进 21"/>
    <w:basedOn w:val="1"/>
    <w:qFormat/>
    <w:uiPriority w:val="0"/>
    <w:pPr>
      <w:adjustRightInd w:val="0"/>
      <w:spacing w:before="120"/>
      <w:ind w:firstLine="420"/>
      <w:textAlignment w:val="baseline"/>
    </w:pPr>
    <w:rPr>
      <w:sz w:val="24"/>
    </w:rPr>
  </w:style>
  <w:style w:type="paragraph" w:customStyle="1" w:styleId="128">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29">
    <w:name w:val="正文4"/>
    <w:basedOn w:val="1"/>
    <w:qFormat/>
    <w:uiPriority w:val="0"/>
    <w:pPr>
      <w:tabs>
        <w:tab w:val="left" w:pos="1275"/>
      </w:tabs>
      <w:spacing w:before="60" w:after="60" w:line="360" w:lineRule="auto"/>
      <w:ind w:left="1105" w:leftChars="400" w:hanging="705"/>
    </w:pPr>
    <w:rPr>
      <w:sz w:val="24"/>
    </w:rPr>
  </w:style>
  <w:style w:type="paragraph" w:customStyle="1" w:styleId="13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31">
    <w:name w:val="Style Heading 3h3Heading 3 - oldLevel 3 HeadH3level_3PIM 3se..."/>
    <w:basedOn w:val="6"/>
    <w:qFormat/>
    <w:uiPriority w:val="0"/>
    <w:pPr>
      <w:tabs>
        <w:tab w:val="left" w:pos="0"/>
        <w:tab w:val="left" w:pos="709"/>
      </w:tabs>
      <w:ind w:left="1620" w:hanging="360"/>
    </w:pPr>
  </w:style>
  <w:style w:type="paragraph" w:customStyle="1" w:styleId="132">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rPr>
  </w:style>
  <w:style w:type="paragraph" w:customStyle="1" w:styleId="133">
    <w:name w:val="样式 标题 1 + 居中 段前: 6 磅 段后: 6 磅 行距: 1.5 倍行距"/>
    <w:basedOn w:val="4"/>
    <w:qFormat/>
    <w:uiPriority w:val="0"/>
    <w:pPr>
      <w:keepLines/>
      <w:adjustRightInd w:val="0"/>
      <w:spacing w:before="120" w:after="120" w:line="360" w:lineRule="auto"/>
      <w:jc w:val="center"/>
    </w:pPr>
    <w:rPr>
      <w:rFonts w:ascii="Times New Roman" w:hAnsi="Times New Roman"/>
      <w:b/>
      <w:kern w:val="44"/>
      <w:sz w:val="32"/>
    </w:rPr>
  </w:style>
  <w:style w:type="paragraph" w:customStyle="1" w:styleId="13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35">
    <w:name w:val="列表项目"/>
    <w:basedOn w:val="1"/>
    <w:qFormat/>
    <w:uiPriority w:val="0"/>
    <w:pPr>
      <w:numPr>
        <w:ilvl w:val="0"/>
        <w:numId w:val="5"/>
      </w:numPr>
      <w:tabs>
        <w:tab w:val="left" w:pos="420"/>
      </w:tabs>
      <w:spacing w:line="288" w:lineRule="auto"/>
      <w:ind w:left="400" w:leftChars="200" w:hanging="200" w:hangingChars="200"/>
    </w:pPr>
    <w:rPr>
      <w:sz w:val="21"/>
    </w:rPr>
  </w:style>
  <w:style w:type="paragraph" w:customStyle="1" w:styleId="136">
    <w:name w:val="00"/>
    <w:basedOn w:val="1"/>
    <w:qFormat/>
    <w:uiPriority w:val="0"/>
    <w:pPr>
      <w:autoSpaceDE w:val="0"/>
      <w:autoSpaceDN w:val="0"/>
      <w:adjustRightInd w:val="0"/>
      <w:jc w:val="left"/>
    </w:pPr>
    <w:rPr>
      <w:rFonts w:ascii="黑体" w:eastAsia="黑体"/>
      <w:b/>
      <w:kern w:val="0"/>
      <w:sz w:val="20"/>
    </w:rPr>
  </w:style>
  <w:style w:type="paragraph" w:customStyle="1" w:styleId="137">
    <w:name w:val="正文 + 三号"/>
    <w:basedOn w:val="1"/>
    <w:qFormat/>
    <w:uiPriority w:val="0"/>
    <w:rPr>
      <w:sz w:val="21"/>
    </w:rPr>
  </w:style>
  <w:style w:type="paragraph" w:customStyle="1" w:styleId="138">
    <w:name w:val="章标题"/>
    <w:next w:val="1"/>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39">
    <w:name w:val="一级条标题"/>
    <w:basedOn w:val="138"/>
    <w:next w:val="122"/>
    <w:qFormat/>
    <w:uiPriority w:val="0"/>
    <w:pPr>
      <w:numPr>
        <w:ilvl w:val="0"/>
        <w:numId w:val="0"/>
      </w:numPr>
      <w:spacing w:beforeLines="0" w:afterLines="0"/>
      <w:ind w:left="525"/>
      <w:outlineLvl w:val="2"/>
    </w:pPr>
    <w:rPr>
      <w:sz w:val="21"/>
    </w:rPr>
  </w:style>
  <w:style w:type="paragraph" w:customStyle="1" w:styleId="140">
    <w:name w:val="二级条标题"/>
    <w:basedOn w:val="139"/>
    <w:next w:val="122"/>
    <w:qFormat/>
    <w:uiPriority w:val="0"/>
    <w:pPr>
      <w:ind w:left="840"/>
      <w:outlineLvl w:val="3"/>
    </w:pPr>
  </w:style>
  <w:style w:type="paragraph" w:customStyle="1" w:styleId="141">
    <w:name w:val="文本框样式1"/>
    <w:basedOn w:val="1"/>
    <w:qFormat/>
    <w:uiPriority w:val="0"/>
    <w:pPr>
      <w:adjustRightInd w:val="0"/>
      <w:snapToGrid w:val="0"/>
      <w:spacing w:before="60" w:line="180" w:lineRule="exact"/>
      <w:jc w:val="center"/>
    </w:pPr>
    <w:rPr>
      <w:sz w:val="21"/>
    </w:rPr>
  </w:style>
  <w:style w:type="paragraph" w:customStyle="1" w:styleId="14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3">
    <w:name w:val="af"/>
    <w:basedOn w:val="1"/>
    <w:qFormat/>
    <w:uiPriority w:val="0"/>
    <w:pPr>
      <w:widowControl/>
      <w:spacing w:line="300" w:lineRule="atLeast"/>
      <w:jc w:val="left"/>
    </w:pPr>
    <w:rPr>
      <w:rFonts w:ascii="宋体"/>
      <w:kern w:val="0"/>
      <w:sz w:val="18"/>
    </w:rPr>
  </w:style>
  <w:style w:type="paragraph" w:customStyle="1" w:styleId="144">
    <w:name w:val="Char Char1"/>
    <w:basedOn w:val="1"/>
    <w:qFormat/>
    <w:uiPriority w:val="0"/>
    <w:pPr>
      <w:widowControl/>
      <w:spacing w:after="160" w:line="240" w:lineRule="exact"/>
      <w:jc w:val="left"/>
    </w:pPr>
    <w:rPr>
      <w:rFonts w:ascii="Verdana" w:hAnsi="Verdana"/>
      <w:kern w:val="0"/>
      <w:sz w:val="20"/>
    </w:rPr>
  </w:style>
  <w:style w:type="paragraph" w:customStyle="1" w:styleId="145">
    <w:name w:val="没有缩进（为图形使用）"/>
    <w:basedOn w:val="1"/>
    <w:qFormat/>
    <w:uiPriority w:val="0"/>
    <w:pPr>
      <w:spacing w:before="120" w:after="120" w:line="360" w:lineRule="auto"/>
    </w:pPr>
    <w:rPr>
      <w:sz w:val="24"/>
    </w:rPr>
  </w:style>
  <w:style w:type="paragraph" w:customStyle="1" w:styleId="146">
    <w:name w:val="样式1"/>
    <w:basedOn w:val="7"/>
    <w:qFormat/>
    <w:uiPriority w:val="0"/>
    <w:pPr>
      <w:tabs>
        <w:tab w:val="left" w:pos="720"/>
      </w:tabs>
      <w:spacing w:before="500" w:after="260" w:line="560" w:lineRule="atLeast"/>
      <w:ind w:left="420" w:hanging="420"/>
    </w:pPr>
  </w:style>
  <w:style w:type="paragraph" w:customStyle="1" w:styleId="147">
    <w:name w:val="文章正文"/>
    <w:basedOn w:val="1"/>
    <w:qFormat/>
    <w:uiPriority w:val="0"/>
    <w:pPr>
      <w:ind w:firstLine="200" w:firstLineChars="200"/>
    </w:pPr>
    <w:rPr>
      <w:rFonts w:ascii="仿宋_GB2312" w:eastAsia="仿宋_GB2312"/>
      <w:color w:val="000000"/>
    </w:rPr>
  </w:style>
  <w:style w:type="paragraph" w:customStyle="1" w:styleId="14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49">
    <w:name w:val="Char Char Char Char Char"/>
    <w:basedOn w:val="1"/>
    <w:qFormat/>
    <w:uiPriority w:val="0"/>
    <w:pPr>
      <w:tabs>
        <w:tab w:val="left" w:pos="425"/>
      </w:tabs>
      <w:ind w:left="1620" w:hanging="360"/>
    </w:pPr>
    <w:rPr>
      <w:rFonts w:ascii="Tahoma" w:hAnsi="Tahoma"/>
      <w:sz w:val="24"/>
    </w:rPr>
  </w:style>
  <w:style w:type="paragraph" w:customStyle="1" w:styleId="150">
    <w:name w:val="默认段落字体 Para Char Char Char Char Char Char Char"/>
    <w:basedOn w:val="1"/>
    <w:qFormat/>
    <w:uiPriority w:val="0"/>
    <w:rPr>
      <w:rFonts w:ascii="Tahoma" w:hAnsi="Tahoma"/>
      <w:sz w:val="24"/>
    </w:rPr>
  </w:style>
  <w:style w:type="paragraph" w:customStyle="1" w:styleId="151">
    <w:name w:val="样式3"/>
    <w:basedOn w:val="4"/>
    <w:next w:val="4"/>
    <w:qFormat/>
    <w:uiPriority w:val="0"/>
    <w:pPr>
      <w:keepLines/>
      <w:adjustRightInd w:val="0"/>
      <w:spacing w:before="340" w:after="330" w:line="576" w:lineRule="auto"/>
    </w:pPr>
    <w:rPr>
      <w:rFonts w:ascii="Times New Roman" w:hAnsi="Times New Roman" w:eastAsia="黑体"/>
      <w:b/>
      <w:kern w:val="44"/>
      <w:sz w:val="44"/>
    </w:rPr>
  </w:style>
  <w:style w:type="paragraph" w:customStyle="1" w:styleId="152">
    <w:name w:val="默认段落字体 Para Char Char Char Char Char Char Char Char Char1 Char Char Char Char"/>
    <w:basedOn w:val="1"/>
    <w:qFormat/>
    <w:uiPriority w:val="0"/>
    <w:rPr>
      <w:rFonts w:ascii="Tahoma" w:hAnsi="Tahoma"/>
      <w:sz w:val="24"/>
    </w:rPr>
  </w:style>
  <w:style w:type="paragraph" w:customStyle="1" w:styleId="153">
    <w:name w:val="Char"/>
    <w:basedOn w:val="1"/>
    <w:qFormat/>
    <w:uiPriority w:val="0"/>
    <w:pPr>
      <w:spacing w:line="240" w:lineRule="atLeast"/>
      <w:ind w:left="420" w:firstLine="420"/>
    </w:pPr>
    <w:rPr>
      <w:kern w:val="0"/>
      <w:sz w:val="21"/>
    </w:rPr>
  </w:style>
  <w:style w:type="paragraph" w:customStyle="1" w:styleId="154">
    <w:name w:val="图片文字"/>
    <w:basedOn w:val="1"/>
    <w:qFormat/>
    <w:uiPriority w:val="0"/>
    <w:pPr>
      <w:spacing w:line="240" w:lineRule="atLeast"/>
      <w:jc w:val="center"/>
    </w:pPr>
    <w:rPr>
      <w:sz w:val="21"/>
    </w:rPr>
  </w:style>
  <w:style w:type="paragraph" w:customStyle="1" w:styleId="155">
    <w:name w:val="样式 宋体 五号 两端对齐 行距: 单倍行距"/>
    <w:basedOn w:val="1"/>
    <w:qFormat/>
    <w:uiPriority w:val="0"/>
    <w:pPr>
      <w:adjustRightInd w:val="0"/>
      <w:textAlignment w:val="baseline"/>
    </w:pPr>
    <w:rPr>
      <w:rFonts w:ascii="宋体"/>
      <w:kern w:val="0"/>
      <w:sz w:val="21"/>
    </w:rPr>
  </w:style>
  <w:style w:type="paragraph" w:customStyle="1" w:styleId="156">
    <w:name w:val="_Style 173"/>
    <w:qFormat/>
    <w:uiPriority w:val="0"/>
    <w:rPr>
      <w:rFonts w:ascii="Calibri" w:hAnsi="Calibri" w:eastAsia="宋体" w:cs="Times New Roman"/>
      <w:kern w:val="2"/>
      <w:sz w:val="21"/>
      <w:lang w:val="en-US" w:eastAsia="zh-CN" w:bidi="ar-SA"/>
    </w:rPr>
  </w:style>
  <w:style w:type="paragraph" w:customStyle="1" w:styleId="15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8">
    <w:name w:val="Title - Date"/>
    <w:basedOn w:val="59"/>
    <w:next w:val="1"/>
    <w:qFormat/>
    <w:uiPriority w:val="0"/>
    <w:pPr>
      <w:spacing w:before="240" w:after="720"/>
    </w:pPr>
    <w:rPr>
      <w:sz w:val="28"/>
    </w:rPr>
  </w:style>
  <w:style w:type="paragraph" w:customStyle="1" w:styleId="15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1">
    <w:name w:val="Char Char Char Char Char Char1 Char"/>
    <w:basedOn w:val="1"/>
    <w:qFormat/>
    <w:uiPriority w:val="0"/>
    <w:pPr>
      <w:widowControl/>
      <w:spacing w:after="160" w:line="240" w:lineRule="exact"/>
      <w:jc w:val="left"/>
    </w:pPr>
    <w:rPr>
      <w:rFonts w:ascii="Verdana" w:hAnsi="Verdana"/>
      <w:kern w:val="0"/>
      <w:sz w:val="21"/>
    </w:rPr>
  </w:style>
  <w:style w:type="paragraph" w:customStyle="1" w:styleId="162">
    <w:name w:val="Note"/>
    <w:basedOn w:val="1"/>
    <w:qFormat/>
    <w:uiPriority w:val="0"/>
    <w:pPr>
      <w:pBdr>
        <w:top w:val="single" w:color="auto" w:sz="12" w:space="3"/>
        <w:bottom w:val="single" w:color="auto" w:sz="12" w:space="3"/>
      </w:pBdr>
      <w:spacing w:line="360" w:lineRule="auto"/>
    </w:pPr>
    <w:rPr>
      <w:sz w:val="24"/>
    </w:rPr>
  </w:style>
  <w:style w:type="paragraph" w:customStyle="1" w:styleId="163">
    <w:name w:val="Bullets"/>
    <w:basedOn w:val="1"/>
    <w:qFormat/>
    <w:uiPriority w:val="0"/>
    <w:pPr>
      <w:widowControl/>
      <w:adjustRightInd w:val="0"/>
      <w:snapToGrid w:val="0"/>
      <w:spacing w:before="60" w:after="60"/>
    </w:pPr>
    <w:rPr>
      <w:kern w:val="0"/>
      <w:sz w:val="24"/>
      <w:lang w:val="en-GB"/>
    </w:rPr>
  </w:style>
  <w:style w:type="paragraph" w:customStyle="1" w:styleId="164">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165">
    <w:name w:val="表格内文字"/>
    <w:basedOn w:val="34"/>
    <w:qFormat/>
    <w:uiPriority w:val="0"/>
    <w:pPr>
      <w:adjustRightInd w:val="0"/>
    </w:pPr>
    <w:rPr>
      <w:color w:val="000000"/>
      <w:lang w:val="en-GB"/>
    </w:rPr>
  </w:style>
  <w:style w:type="paragraph" w:customStyle="1" w:styleId="166">
    <w:name w:val="Char2 Char Char Char Char Char Char"/>
    <w:basedOn w:val="1"/>
    <w:qFormat/>
    <w:uiPriority w:val="0"/>
    <w:rPr>
      <w:rFonts w:ascii="仿宋_GB2312" w:hAnsi="仿宋_GB2312"/>
      <w:b/>
      <w:sz w:val="30"/>
    </w:rPr>
  </w:style>
  <w:style w:type="paragraph" w:customStyle="1" w:styleId="167">
    <w:name w:val="样式 正文缩进正文（首行缩进两字）表正文正文非缩进特点标题4段1 + 首行缩进:  2 字符"/>
    <w:basedOn w:val="20"/>
    <w:qFormat/>
    <w:uiPriority w:val="0"/>
    <w:pPr>
      <w:ind w:firstLine="200" w:firstLineChars="200"/>
    </w:pPr>
  </w:style>
  <w:style w:type="paragraph" w:customStyle="1" w:styleId="168">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69">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0">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71">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2">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73">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74">
    <w:name w:val="Char Char1 Char"/>
    <w:basedOn w:val="1"/>
    <w:qFormat/>
    <w:uiPriority w:val="0"/>
    <w:rPr>
      <w:rFonts w:ascii="Tahoma" w:hAnsi="Tahoma"/>
      <w:sz w:val="24"/>
      <w:szCs w:val="24"/>
    </w:rPr>
  </w:style>
  <w:style w:type="paragraph" w:customStyle="1" w:styleId="175">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6">
    <w:name w:val="附录1"/>
    <w:basedOn w:val="1"/>
    <w:next w:val="1"/>
    <w:qFormat/>
    <w:uiPriority w:val="0"/>
    <w:pPr>
      <w:tabs>
        <w:tab w:val="left" w:pos="1304"/>
      </w:tabs>
      <w:ind w:left="425" w:hanging="425"/>
      <w:outlineLvl w:val="0"/>
    </w:pPr>
    <w:rPr>
      <w:rFonts w:ascii="黑体" w:eastAsia="黑体"/>
      <w:b/>
      <w:sz w:val="44"/>
    </w:rPr>
  </w:style>
  <w:style w:type="paragraph" w:customStyle="1" w:styleId="177">
    <w:name w:val="样式2"/>
    <w:basedOn w:val="7"/>
    <w:qFormat/>
    <w:uiPriority w:val="0"/>
    <w:pPr>
      <w:numPr>
        <w:ilvl w:val="0"/>
        <w:numId w:val="9"/>
      </w:numPr>
      <w:spacing w:before="560" w:line="400" w:lineRule="exact"/>
      <w:jc w:val="center"/>
      <w:outlineLvl w:val="0"/>
    </w:pPr>
    <w:rPr>
      <w:b w:val="0"/>
      <w:sz w:val="44"/>
    </w:rPr>
  </w:style>
  <w:style w:type="paragraph" w:customStyle="1" w:styleId="178">
    <w:name w:val="样式 首行缩进:  0.74 厘米"/>
    <w:basedOn w:val="1"/>
    <w:qFormat/>
    <w:uiPriority w:val="0"/>
    <w:pPr>
      <w:spacing w:line="360" w:lineRule="auto"/>
      <w:ind w:firstLine="420"/>
    </w:pPr>
    <w:rPr>
      <w:sz w:val="24"/>
    </w:rPr>
  </w:style>
  <w:style w:type="paragraph" w:customStyle="1" w:styleId="179">
    <w:name w:val="简单回函地址"/>
    <w:basedOn w:val="1"/>
    <w:qFormat/>
    <w:uiPriority w:val="0"/>
    <w:pPr>
      <w:adjustRightInd w:val="0"/>
      <w:snapToGrid w:val="0"/>
      <w:spacing w:line="360" w:lineRule="auto"/>
    </w:pPr>
    <w:rPr>
      <w:sz w:val="24"/>
    </w:rPr>
  </w:style>
  <w:style w:type="paragraph" w:customStyle="1" w:styleId="180">
    <w:name w:val="内容标题"/>
    <w:basedOn w:val="22"/>
    <w:qFormat/>
    <w:uiPriority w:val="0"/>
    <w:rPr>
      <w:rFonts w:ascii="Tahoma" w:hAnsi="Tahoma"/>
      <w:sz w:val="24"/>
    </w:rPr>
  </w:style>
  <w:style w:type="paragraph" w:customStyle="1" w:styleId="181">
    <w:name w:val="1"/>
    <w:basedOn w:val="1"/>
    <w:next w:val="34"/>
    <w:qFormat/>
    <w:uiPriority w:val="0"/>
    <w:rPr>
      <w:rFonts w:ascii="宋体"/>
      <w:sz w:val="21"/>
    </w:rPr>
  </w:style>
  <w:style w:type="paragraph" w:customStyle="1" w:styleId="182">
    <w:name w:val="_Style 3"/>
    <w:basedOn w:val="1"/>
    <w:qFormat/>
    <w:uiPriority w:val="0"/>
    <w:pPr>
      <w:ind w:firstLine="200" w:firstLineChars="200"/>
    </w:pPr>
    <w:rPr>
      <w:sz w:val="21"/>
      <w:szCs w:val="24"/>
    </w:rPr>
  </w:style>
  <w:style w:type="paragraph" w:customStyle="1" w:styleId="183">
    <w:name w:val="关键词"/>
    <w:basedOn w:val="1"/>
    <w:next w:val="1"/>
    <w:qFormat/>
    <w:uiPriority w:val="0"/>
    <w:pPr>
      <w:spacing w:line="360" w:lineRule="auto"/>
    </w:pPr>
    <w:rPr>
      <w:rFonts w:eastAsia="黑体"/>
      <w:sz w:val="20"/>
    </w:rPr>
  </w:style>
  <w:style w:type="paragraph" w:customStyle="1" w:styleId="184">
    <w:name w:val="style1"/>
    <w:basedOn w:val="1"/>
    <w:qFormat/>
    <w:uiPriority w:val="0"/>
    <w:pPr>
      <w:widowControl/>
      <w:spacing w:before="100" w:beforeAutospacing="1" w:after="100" w:afterAutospacing="1"/>
      <w:jc w:val="left"/>
    </w:pPr>
    <w:rPr>
      <w:rFonts w:ascii="宋体"/>
      <w:kern w:val="0"/>
      <w:sz w:val="21"/>
    </w:rPr>
  </w:style>
  <w:style w:type="paragraph" w:customStyle="1" w:styleId="18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6">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8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88">
    <w:name w:val="Title - Revision"/>
    <w:basedOn w:val="59"/>
    <w:qFormat/>
    <w:uiPriority w:val="0"/>
    <w:pPr>
      <w:spacing w:before="720"/>
    </w:pPr>
  </w:style>
  <w:style w:type="paragraph" w:customStyle="1" w:styleId="189">
    <w:name w:val="标题3——2"/>
    <w:basedOn w:val="6"/>
    <w:next w:val="17"/>
    <w:qFormat/>
    <w:uiPriority w:val="0"/>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190">
    <w:name w:val="列出段落1"/>
    <w:basedOn w:val="1"/>
    <w:qFormat/>
    <w:uiPriority w:val="0"/>
    <w:pPr>
      <w:ind w:firstLine="200" w:firstLineChars="200"/>
    </w:pPr>
    <w:rPr>
      <w:sz w:val="21"/>
      <w:szCs w:val="24"/>
    </w:rPr>
  </w:style>
  <w:style w:type="paragraph" w:customStyle="1" w:styleId="191">
    <w:name w:val="Char1 Char Char Char"/>
    <w:basedOn w:val="1"/>
    <w:qFormat/>
    <w:uiPriority w:val="0"/>
    <w:rPr>
      <w:rFonts w:ascii="Tahoma" w:hAnsi="Tahoma"/>
      <w:sz w:val="30"/>
    </w:rPr>
  </w:style>
  <w:style w:type="paragraph" w:customStyle="1" w:styleId="192">
    <w:name w:val="移动五期"/>
    <w:basedOn w:val="1"/>
    <w:qFormat/>
    <w:uiPriority w:val="0"/>
    <w:pPr>
      <w:spacing w:line="360" w:lineRule="auto"/>
      <w:ind w:firstLine="454"/>
    </w:pPr>
    <w:rPr>
      <w:rFonts w:ascii="宋体"/>
      <w:sz w:val="24"/>
    </w:rPr>
  </w:style>
  <w:style w:type="paragraph" w:customStyle="1" w:styleId="19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194">
    <w:name w:val="Char Char Char Char Char Char Char"/>
    <w:basedOn w:val="22"/>
    <w:qFormat/>
    <w:uiPriority w:val="0"/>
    <w:rPr>
      <w:rFonts w:ascii="宋体"/>
    </w:rPr>
  </w:style>
  <w:style w:type="paragraph" w:customStyle="1" w:styleId="195">
    <w:name w:val="样式 样式 首行缩进:  2 字符 + 首行缩进:  2 字符"/>
    <w:basedOn w:val="1"/>
    <w:qFormat/>
    <w:uiPriority w:val="0"/>
    <w:pPr>
      <w:numPr>
        <w:ilvl w:val="0"/>
        <w:numId w:val="10"/>
      </w:numPr>
      <w:spacing w:line="360" w:lineRule="auto"/>
      <w:ind w:firstLine="200" w:firstLineChars="200"/>
    </w:pPr>
    <w:rPr>
      <w:sz w:val="24"/>
    </w:rPr>
  </w:style>
  <w:style w:type="paragraph" w:customStyle="1" w:styleId="196">
    <w:name w:val="Char Char Char Char Char Char Char Char Char Char Char Char Char Char Char Char"/>
    <w:basedOn w:val="1"/>
    <w:qFormat/>
    <w:uiPriority w:val="0"/>
    <w:pPr>
      <w:tabs>
        <w:tab w:val="left" w:pos="360"/>
      </w:tabs>
    </w:pPr>
    <w:rPr>
      <w:sz w:val="24"/>
    </w:rPr>
  </w:style>
  <w:style w:type="paragraph" w:customStyle="1" w:styleId="197">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19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00">
    <w:name w:val="标题2"/>
    <w:basedOn w:val="5"/>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201">
    <w:name w:val="正文1"/>
    <w:basedOn w:val="1"/>
    <w:qFormat/>
    <w:uiPriority w:val="0"/>
    <w:pPr>
      <w:spacing w:line="300" w:lineRule="auto"/>
      <w:ind w:firstLine="200" w:firstLineChars="200"/>
    </w:pPr>
    <w:rPr>
      <w:sz w:val="24"/>
    </w:rPr>
  </w:style>
  <w:style w:type="paragraph" w:customStyle="1" w:styleId="202">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203">
    <w:name w:val="标书正文:  0.74 厘米"/>
    <w:basedOn w:val="1"/>
    <w:qFormat/>
    <w:uiPriority w:val="0"/>
    <w:pPr>
      <w:snapToGrid w:val="0"/>
      <w:spacing w:line="360" w:lineRule="auto"/>
      <w:ind w:firstLine="420"/>
    </w:pPr>
    <w:rPr>
      <w:sz w:val="24"/>
    </w:rPr>
  </w:style>
  <w:style w:type="paragraph" w:customStyle="1" w:styleId="204">
    <w:name w:val="Char1"/>
    <w:basedOn w:val="1"/>
    <w:qFormat/>
    <w:uiPriority w:val="0"/>
    <w:rPr>
      <w:sz w:val="21"/>
    </w:rPr>
  </w:style>
  <w:style w:type="paragraph" w:customStyle="1" w:styleId="205">
    <w:name w:val="正文（首行不缩进）"/>
    <w:basedOn w:val="1"/>
    <w:qFormat/>
    <w:uiPriority w:val="0"/>
    <w:pPr>
      <w:autoSpaceDE w:val="0"/>
      <w:autoSpaceDN w:val="0"/>
      <w:adjustRightInd w:val="0"/>
      <w:spacing w:line="360" w:lineRule="auto"/>
      <w:jc w:val="left"/>
    </w:pPr>
    <w:rPr>
      <w:kern w:val="0"/>
      <w:sz w:val="21"/>
    </w:rPr>
  </w:style>
  <w:style w:type="paragraph" w:customStyle="1" w:styleId="20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7">
    <w:name w:val="标题无"/>
    <w:basedOn w:val="1"/>
    <w:qFormat/>
    <w:uiPriority w:val="0"/>
    <w:pPr>
      <w:spacing w:line="360" w:lineRule="auto"/>
    </w:pPr>
    <w:rPr>
      <w:sz w:val="24"/>
    </w:rPr>
  </w:style>
  <w:style w:type="paragraph" w:customStyle="1" w:styleId="208">
    <w:name w:val="首行缩进"/>
    <w:basedOn w:val="1"/>
    <w:qFormat/>
    <w:uiPriority w:val="0"/>
    <w:pPr>
      <w:numPr>
        <w:ilvl w:val="0"/>
        <w:numId w:val="12"/>
      </w:numPr>
      <w:spacing w:line="360" w:lineRule="auto"/>
    </w:pPr>
    <w:rPr>
      <w:rFonts w:eastAsia="仿宋_GB2312"/>
    </w:rPr>
  </w:style>
  <w:style w:type="paragraph" w:customStyle="1" w:styleId="209">
    <w:name w:val="附录3"/>
    <w:basedOn w:val="1"/>
    <w:next w:val="1"/>
    <w:qFormat/>
    <w:uiPriority w:val="0"/>
    <w:pPr>
      <w:tabs>
        <w:tab w:val="left" w:pos="851"/>
      </w:tabs>
      <w:ind w:left="425" w:hanging="425"/>
      <w:outlineLvl w:val="2"/>
    </w:pPr>
    <w:rPr>
      <w:rFonts w:eastAsia="黑体"/>
      <w:b/>
      <w:sz w:val="32"/>
    </w:rPr>
  </w:style>
  <w:style w:type="paragraph" w:customStyle="1" w:styleId="210">
    <w:name w:val="Char Char14 Char Char"/>
    <w:basedOn w:val="1"/>
    <w:qFormat/>
    <w:uiPriority w:val="0"/>
    <w:rPr>
      <w:sz w:val="21"/>
      <w:szCs w:val="24"/>
    </w:rPr>
  </w:style>
  <w:style w:type="paragraph" w:customStyle="1" w:styleId="211">
    <w:name w:val="样式1xz"/>
    <w:basedOn w:val="1"/>
    <w:qFormat/>
    <w:uiPriority w:val="0"/>
    <w:pPr>
      <w:tabs>
        <w:tab w:val="left" w:pos="1050"/>
        <w:tab w:val="right" w:leader="dot" w:pos="8296"/>
      </w:tabs>
    </w:pPr>
    <w:rPr>
      <w:caps/>
      <w:spacing w:val="20"/>
      <w:sz w:val="24"/>
    </w:rPr>
  </w:style>
  <w:style w:type="paragraph" w:customStyle="1" w:styleId="212">
    <w:name w:val="表头文本"/>
    <w:qFormat/>
    <w:uiPriority w:val="0"/>
    <w:pPr>
      <w:jc w:val="center"/>
    </w:pPr>
    <w:rPr>
      <w:rFonts w:ascii="Arial" w:hAnsi="Arial" w:eastAsia="宋体" w:cs="Times New Roman"/>
      <w:b/>
      <w:sz w:val="21"/>
      <w:lang w:val="en-US" w:eastAsia="zh-CN" w:bidi="ar-SA"/>
    </w:rPr>
  </w:style>
  <w:style w:type="paragraph" w:customStyle="1" w:styleId="213">
    <w:name w:val="Char Char Char"/>
    <w:basedOn w:val="1"/>
    <w:qFormat/>
    <w:uiPriority w:val="0"/>
    <w:rPr>
      <w:rFonts w:ascii="Tahoma" w:hAnsi="Tahoma"/>
      <w:sz w:val="24"/>
    </w:rPr>
  </w:style>
  <w:style w:type="paragraph" w:customStyle="1" w:styleId="214">
    <w:name w:val="Char Char 字元 字元 字元 Char Char Char Char"/>
    <w:basedOn w:val="1"/>
    <w:qFormat/>
    <w:uiPriority w:val="0"/>
    <w:pPr>
      <w:adjustRightInd w:val="0"/>
      <w:spacing w:line="360" w:lineRule="auto"/>
    </w:pPr>
    <w:rPr>
      <w:kern w:val="0"/>
      <w:sz w:val="24"/>
    </w:rPr>
  </w:style>
  <w:style w:type="paragraph" w:customStyle="1" w:styleId="21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1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9">
    <w:name w:val="表号"/>
    <w:basedOn w:val="1"/>
    <w:qFormat/>
    <w:uiPriority w:val="0"/>
    <w:pPr>
      <w:numPr>
        <w:ilvl w:val="0"/>
        <w:numId w:val="13"/>
      </w:numPr>
      <w:tabs>
        <w:tab w:val="left" w:pos="648"/>
      </w:tabs>
      <w:autoSpaceDE w:val="0"/>
      <w:autoSpaceDN w:val="0"/>
      <w:adjustRightInd w:val="0"/>
      <w:spacing w:before="210" w:after="210"/>
      <w:ind w:left="425" w:hanging="137"/>
      <w:jc w:val="center"/>
    </w:pPr>
    <w:rPr>
      <w:kern w:val="0"/>
      <w:sz w:val="21"/>
    </w:rPr>
  </w:style>
  <w:style w:type="paragraph" w:customStyle="1" w:styleId="22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1">
    <w:name w:val="Char Char Char Char Char Char Char1"/>
    <w:basedOn w:val="1"/>
    <w:qFormat/>
    <w:uiPriority w:val="0"/>
    <w:rPr>
      <w:rFonts w:ascii="Tahoma" w:hAnsi="Tahoma"/>
      <w:sz w:val="24"/>
    </w:rPr>
  </w:style>
  <w:style w:type="paragraph" w:customStyle="1" w:styleId="22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5">
    <w:name w:val="表头样式"/>
    <w:basedOn w:val="1"/>
    <w:qFormat/>
    <w:uiPriority w:val="0"/>
    <w:pPr>
      <w:autoSpaceDE w:val="0"/>
      <w:autoSpaceDN w:val="0"/>
      <w:adjustRightInd w:val="0"/>
      <w:spacing w:line="360" w:lineRule="auto"/>
      <w:jc w:val="left"/>
    </w:pPr>
    <w:rPr>
      <w:b/>
      <w:kern w:val="0"/>
      <w:sz w:val="21"/>
    </w:rPr>
  </w:style>
  <w:style w:type="paragraph" w:customStyle="1" w:styleId="22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27">
    <w:name w:val="CSS1级正文 Char"/>
    <w:basedOn w:val="2"/>
    <w:qFormat/>
    <w:uiPriority w:val="0"/>
    <w:pPr>
      <w:adjustRightInd w:val="0"/>
      <w:snapToGrid w:val="0"/>
      <w:spacing w:line="360" w:lineRule="auto"/>
      <w:ind w:firstLine="480"/>
    </w:pPr>
    <w:rPr>
      <w:rFonts w:ascii="Times New Roman" w:hAnsi="Times New Roman" w:eastAsia="宋体"/>
      <w:sz w:val="24"/>
    </w:rPr>
  </w:style>
  <w:style w:type="paragraph" w:customStyle="1" w:styleId="228">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9">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230">
    <w:name w:val="文本1"/>
    <w:basedOn w:val="1"/>
    <w:qFormat/>
    <w:uiPriority w:val="0"/>
    <w:pPr>
      <w:adjustRightInd w:val="0"/>
      <w:spacing w:line="312" w:lineRule="atLeast"/>
      <w:jc w:val="center"/>
      <w:textAlignment w:val="baseline"/>
    </w:pPr>
    <w:rPr>
      <w:kern w:val="0"/>
      <w:sz w:val="18"/>
    </w:rPr>
  </w:style>
  <w:style w:type="paragraph" w:customStyle="1" w:styleId="231">
    <w:name w:val="图例"/>
    <w:basedOn w:val="1"/>
    <w:qFormat/>
    <w:uiPriority w:val="0"/>
    <w:pPr>
      <w:spacing w:before="120" w:after="120" w:line="360" w:lineRule="auto"/>
      <w:jc w:val="center"/>
    </w:pPr>
    <w:rPr>
      <w:rFonts w:eastAsia="仿宋_GB2312"/>
      <w:b/>
      <w:sz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可研正文"/>
    <w:basedOn w:val="2"/>
    <w:qFormat/>
    <w:uiPriority w:val="0"/>
    <w:pPr>
      <w:adjustRightInd w:val="0"/>
      <w:snapToGrid w:val="0"/>
      <w:spacing w:line="440" w:lineRule="exact"/>
      <w:ind w:firstLine="567"/>
    </w:pPr>
    <w:rPr>
      <w:sz w:val="28"/>
    </w:rPr>
  </w:style>
  <w:style w:type="paragraph" w:customStyle="1" w:styleId="234">
    <w:name w:val="编号正文"/>
    <w:basedOn w:val="198"/>
    <w:qFormat/>
    <w:uiPriority w:val="0"/>
    <w:pPr>
      <w:snapToGrid/>
      <w:spacing w:line="360" w:lineRule="auto"/>
      <w:ind w:left="1407" w:hanging="1047"/>
      <w:jc w:val="left"/>
    </w:pPr>
    <w:rPr>
      <w:rFonts w:eastAsia="仿宋_GB2312"/>
    </w:rPr>
  </w:style>
  <w:style w:type="paragraph" w:customStyle="1" w:styleId="23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6">
    <w:name w:val="正文表格"/>
    <w:basedOn w:val="1"/>
    <w:qFormat/>
    <w:uiPriority w:val="0"/>
    <w:pPr>
      <w:adjustRightInd w:val="0"/>
      <w:spacing w:before="40" w:after="40"/>
    </w:pPr>
    <w:rPr>
      <w:sz w:val="24"/>
    </w:rPr>
  </w:style>
  <w:style w:type="paragraph" w:customStyle="1" w:styleId="23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8">
    <w:name w:val="正文字缩2字"/>
    <w:basedOn w:val="1"/>
    <w:qFormat/>
    <w:uiPriority w:val="0"/>
    <w:pPr>
      <w:spacing w:before="60" w:after="60" w:line="360" w:lineRule="auto"/>
      <w:ind w:left="200" w:leftChars="200" w:firstLine="200" w:firstLineChars="200"/>
    </w:pPr>
    <w:rPr>
      <w:sz w:val="24"/>
    </w:rPr>
  </w:style>
  <w:style w:type="paragraph" w:customStyle="1" w:styleId="239">
    <w:name w:val="样式4"/>
    <w:basedOn w:val="7"/>
    <w:qFormat/>
    <w:uiPriority w:val="0"/>
    <w:pPr>
      <w:adjustRightInd w:val="0"/>
      <w:snapToGrid w:val="0"/>
    </w:pPr>
  </w:style>
  <w:style w:type="paragraph" w:customStyle="1" w:styleId="240">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4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rPr>
  </w:style>
  <w:style w:type="paragraph" w:customStyle="1" w:styleId="242">
    <w:name w:val="样式 宋体 五号 行距: 单倍行距"/>
    <w:basedOn w:val="1"/>
    <w:qFormat/>
    <w:uiPriority w:val="0"/>
    <w:pPr>
      <w:adjustRightInd w:val="0"/>
      <w:jc w:val="left"/>
    </w:pPr>
    <w:rPr>
      <w:rFonts w:ascii="宋体"/>
      <w:kern w:val="0"/>
      <w:sz w:val="21"/>
    </w:rPr>
  </w:style>
  <w:style w:type="paragraph" w:customStyle="1" w:styleId="243">
    <w:name w:val="表格文本"/>
    <w:qFormat/>
    <w:uiPriority w:val="0"/>
    <w:pPr>
      <w:tabs>
        <w:tab w:val="decimal" w:pos="0"/>
      </w:tabs>
    </w:pPr>
    <w:rPr>
      <w:rFonts w:ascii="Arial" w:hAnsi="Arial" w:eastAsia="宋体" w:cs="Times New Roman"/>
      <w:sz w:val="21"/>
      <w:lang w:val="en-US" w:eastAsia="zh-CN" w:bidi="ar-SA"/>
    </w:rPr>
  </w:style>
  <w:style w:type="paragraph" w:customStyle="1" w:styleId="244">
    <w:name w:val="Char1 Char Char Char1"/>
    <w:basedOn w:val="1"/>
    <w:qFormat/>
    <w:uiPriority w:val="0"/>
    <w:rPr>
      <w:rFonts w:ascii="Tahoma" w:hAnsi="Tahoma"/>
      <w:sz w:val="24"/>
    </w:rPr>
  </w:style>
  <w:style w:type="paragraph" w:customStyle="1" w:styleId="245">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246">
    <w:name w:val="样式 行距: 1.5 倍行距1"/>
    <w:basedOn w:val="1"/>
    <w:qFormat/>
    <w:uiPriority w:val="0"/>
    <w:pPr>
      <w:snapToGrid w:val="0"/>
    </w:pPr>
    <w:rPr>
      <w:sz w:val="21"/>
    </w:rPr>
  </w:style>
  <w:style w:type="paragraph" w:customStyle="1" w:styleId="247">
    <w:name w:val="正文缩进_0"/>
    <w:basedOn w:val="1"/>
    <w:qFormat/>
    <w:uiPriority w:val="0"/>
    <w:pPr>
      <w:ind w:firstLine="420"/>
    </w:pPr>
    <w:rPr>
      <w:rFonts w:ascii="Times New Roman" w:hAnsi="Times New Roman" w:eastAsia="Times New Roman"/>
      <w:kern w:val="0"/>
      <w:sz w:val="24"/>
      <w:szCs w:val="24"/>
    </w:rPr>
  </w:style>
  <w:style w:type="character" w:customStyle="1" w:styleId="248">
    <w:name w:val="正文缩进 字符"/>
    <w:qFormat/>
    <w:uiPriority w:val="0"/>
    <w:rPr>
      <w:kern w:val="2"/>
      <w:sz w:val="24"/>
    </w:rPr>
  </w:style>
  <w:style w:type="character" w:customStyle="1" w:styleId="249">
    <w:name w:val="批注文字 字符"/>
    <w:qFormat/>
    <w:uiPriority w:val="0"/>
    <w:rPr>
      <w:sz w:val="24"/>
    </w:rPr>
  </w:style>
  <w:style w:type="character" w:customStyle="1" w:styleId="250">
    <w:name w:val="正文文本缩进 字符"/>
    <w:qFormat/>
    <w:uiPriority w:val="0"/>
    <w:rPr>
      <w:kern w:val="2"/>
      <w:sz w:val="44"/>
    </w:rPr>
  </w:style>
  <w:style w:type="character" w:customStyle="1" w:styleId="251">
    <w:name w:val="正文文本缩进 2 字符"/>
    <w:qFormat/>
    <w:uiPriority w:val="0"/>
    <w:rPr>
      <w:kern w:val="2"/>
      <w:sz w:val="28"/>
    </w:rPr>
  </w:style>
  <w:style w:type="character" w:customStyle="1" w:styleId="252">
    <w:name w:val="脚注文本 字符"/>
    <w:qFormat/>
    <w:uiPriority w:val="0"/>
    <w:rPr>
      <w:kern w:val="2"/>
      <w:sz w:val="18"/>
    </w:rPr>
  </w:style>
  <w:style w:type="character" w:customStyle="1" w:styleId="253">
    <w:name w:val="批注主题 字符"/>
    <w:qFormat/>
    <w:uiPriority w:val="0"/>
  </w:style>
  <w:style w:type="character" w:customStyle="1" w:styleId="254">
    <w:name w:val="正文文本首行缩进 2 字符"/>
    <w:qFormat/>
    <w:uiPriority w:val="0"/>
  </w:style>
  <w:style w:type="character" w:customStyle="1" w:styleId="255">
    <w:name w:val="批注文字 字符1"/>
    <w:qFormat/>
    <w:uiPriority w:val="0"/>
    <w:rPr>
      <w:rFonts w:ascii="Times New Roman" w:hAnsi="Times New Roman" w:eastAsia="宋体" w:cs="Times New Roman"/>
      <w:sz w:val="28"/>
      <w:szCs w:val="20"/>
    </w:rPr>
  </w:style>
  <w:style w:type="character" w:customStyle="1" w:styleId="256">
    <w:name w:val="NormalCharacter"/>
    <w:qFormat/>
    <w:uiPriority w:val="0"/>
  </w:style>
  <w:style w:type="character" w:customStyle="1" w:styleId="257">
    <w:name w:val="日期 字符"/>
    <w:qFormat/>
    <w:uiPriority w:val="0"/>
    <w:rPr>
      <w:kern w:val="2"/>
      <w:sz w:val="28"/>
    </w:rPr>
  </w:style>
  <w:style w:type="character" w:customStyle="1" w:styleId="258">
    <w:name w:val="标题 2 字符"/>
    <w:qFormat/>
    <w:uiPriority w:val="0"/>
    <w:rPr>
      <w:rFonts w:ascii="Arial" w:hAnsi="Arial" w:eastAsia="黑体"/>
      <w:b/>
      <w:kern w:val="2"/>
      <w:sz w:val="32"/>
    </w:rPr>
  </w:style>
  <w:style w:type="character" w:customStyle="1" w:styleId="259">
    <w:name w:val="列表段落 字符"/>
    <w:qFormat/>
    <w:uiPriority w:val="0"/>
    <w:rPr>
      <w:rFonts w:ascii="Calibri" w:hAnsi="Calibri"/>
      <w:kern w:val="2"/>
      <w:sz w:val="21"/>
      <w:szCs w:val="22"/>
    </w:rPr>
  </w:style>
  <w:style w:type="character" w:customStyle="1" w:styleId="260">
    <w:name w:val="标题 3 字符"/>
    <w:qFormat/>
    <w:uiPriority w:val="0"/>
    <w:rPr>
      <w:b/>
      <w:kern w:val="2"/>
      <w:sz w:val="32"/>
    </w:rPr>
  </w:style>
  <w:style w:type="paragraph" w:customStyle="1" w:styleId="261">
    <w:name w:val="TOC 标题1"/>
    <w:basedOn w:val="4"/>
    <w:next w:val="1"/>
    <w:qFormat/>
    <w:uiPriority w:val="0"/>
    <w:pPr>
      <w:keepNext w:val="0"/>
      <w:widowControl/>
      <w:snapToGrid/>
      <w:spacing w:before="100" w:beforeAutospacing="1" w:after="100" w:afterAutospacing="1" w:line="276" w:lineRule="auto"/>
      <w:jc w:val="left"/>
      <w:outlineLvl w:val="9"/>
    </w:pPr>
    <w:rPr>
      <w:rFonts w:ascii="仿宋" w:hAnsi="仿宋" w:cs="宋体"/>
      <w:b/>
      <w:bCs/>
      <w:color w:val="000000"/>
      <w:kern w:val="0"/>
      <w:sz w:val="48"/>
      <w:szCs w:val="32"/>
    </w:rPr>
  </w:style>
  <w:style w:type="character" w:customStyle="1" w:styleId="262">
    <w:name w:val="正文文本 字符"/>
    <w:qFormat/>
    <w:uiPriority w:val="0"/>
    <w:rPr>
      <w:rFonts w:ascii="仿宋_GB2312" w:eastAsia="仿宋_GB2312"/>
      <w:kern w:val="2"/>
      <w:sz w:val="32"/>
    </w:rPr>
  </w:style>
  <w:style w:type="character" w:customStyle="1" w:styleId="263">
    <w:name w:val="font01"/>
    <w:qFormat/>
    <w:uiPriority w:val="0"/>
    <w:rPr>
      <w:rFonts w:ascii="Times New Roman" w:hAnsi="Times New Roman" w:cs="Times New Roman"/>
      <w:color w:val="000000"/>
      <w:sz w:val="18"/>
      <w:szCs w:val="18"/>
      <w:u w:val="none"/>
    </w:rPr>
  </w:style>
  <w:style w:type="character" w:customStyle="1" w:styleId="264">
    <w:name w:val="font11"/>
    <w:qFormat/>
    <w:uiPriority w:val="0"/>
    <w:rPr>
      <w:rFonts w:ascii="宋体" w:eastAsia="宋体" w:cs="宋体"/>
      <w:b/>
      <w:color w:val="000000"/>
      <w:sz w:val="18"/>
      <w:szCs w:val="18"/>
      <w:u w:val="none"/>
    </w:rPr>
  </w:style>
  <w:style w:type="character" w:customStyle="1" w:styleId="265">
    <w:name w:val="font61"/>
    <w:qFormat/>
    <w:uiPriority w:val="0"/>
    <w:rPr>
      <w:rFonts w:ascii="宋体" w:eastAsia="宋体" w:cs="宋体"/>
      <w:color w:val="000000"/>
      <w:sz w:val="20"/>
      <w:szCs w:val="20"/>
      <w:u w:val="none"/>
    </w:rPr>
  </w:style>
  <w:style w:type="character" w:customStyle="1" w:styleId="266">
    <w:name w:val="文字 Char Char"/>
    <w:qFormat/>
    <w:locked/>
    <w:uiPriority w:val="0"/>
    <w:rPr>
      <w:rFonts w:ascii="宋体" w:eastAsia="宋体"/>
      <w:sz w:val="28"/>
    </w:rPr>
  </w:style>
  <w:style w:type="character" w:customStyle="1" w:styleId="267">
    <w:name w:val="font81"/>
    <w:qFormat/>
    <w:uiPriority w:val="0"/>
    <w:rPr>
      <w:rFonts w:ascii="宋体" w:eastAsia="宋体" w:cs="宋体"/>
      <w:color w:val="000000"/>
      <w:sz w:val="18"/>
      <w:szCs w:val="18"/>
      <w:u w:val="none"/>
    </w:rPr>
  </w:style>
  <w:style w:type="character" w:customStyle="1" w:styleId="268">
    <w:name w:val="Char Char Char Char Char Char Char Char Char"/>
    <w:qFormat/>
    <w:uiPriority w:val="0"/>
    <w:rPr>
      <w:rFonts w:ascii="宋体" w:eastAsia="宋体"/>
      <w:kern w:val="2"/>
      <w:sz w:val="24"/>
      <w:lang w:val="en-US" w:eastAsia="zh-CN" w:bidi="ar-SA"/>
    </w:rPr>
  </w:style>
  <w:style w:type="character" w:customStyle="1" w:styleId="269">
    <w:name w:val="fontstyle11"/>
    <w:qFormat/>
    <w:uiPriority w:val="0"/>
    <w:rPr>
      <w:rFonts w:ascii="FrutigerNextLT-Light" w:hAnsi="FrutigerNextLT-Light"/>
      <w:color w:val="000000"/>
      <w:sz w:val="18"/>
      <w:szCs w:val="18"/>
    </w:rPr>
  </w:style>
  <w:style w:type="character" w:customStyle="1" w:styleId="270">
    <w:name w:val="font31"/>
    <w:qFormat/>
    <w:uiPriority w:val="0"/>
    <w:rPr>
      <w:rFonts w:ascii="宋体" w:eastAsia="宋体" w:cs="宋体"/>
      <w:color w:val="000000"/>
      <w:sz w:val="18"/>
      <w:szCs w:val="18"/>
      <w:u w:val="none"/>
    </w:rPr>
  </w:style>
  <w:style w:type="character" w:customStyle="1" w:styleId="271">
    <w:name w:val="font21"/>
    <w:qFormat/>
    <w:uiPriority w:val="0"/>
    <w:rPr>
      <w:rFonts w:ascii="宋体" w:eastAsia="宋体" w:cs="宋体"/>
      <w:color w:val="000000"/>
      <w:sz w:val="18"/>
      <w:szCs w:val="18"/>
      <w:u w:val="none"/>
    </w:rPr>
  </w:style>
  <w:style w:type="character" w:customStyle="1" w:styleId="272">
    <w:name w:val="副标题 Char"/>
    <w:qFormat/>
    <w:uiPriority w:val="0"/>
    <w:rPr>
      <w:rFonts w:ascii="Cambria" w:hAnsi="Cambria" w:eastAsia="宋体" w:cs="Times New Roman"/>
      <w:b/>
      <w:bCs/>
      <w:kern w:val="28"/>
      <w:sz w:val="32"/>
      <w:szCs w:val="32"/>
    </w:rPr>
  </w:style>
  <w:style w:type="paragraph" w:customStyle="1" w:styleId="273">
    <w:name w:val="标题1级"/>
    <w:basedOn w:val="4"/>
    <w:qFormat/>
    <w:uiPriority w:val="0"/>
    <w:pPr>
      <w:keepLines/>
      <w:numPr>
        <w:ilvl w:val="0"/>
        <w:numId w:val="6"/>
      </w:numPr>
      <w:snapToGrid/>
      <w:spacing w:line="360" w:lineRule="auto"/>
      <w:ind w:left="835" w:hanging="835"/>
      <w:jc w:val="center"/>
    </w:pPr>
    <w:rPr>
      <w:rFonts w:cs="黑体"/>
      <w:b/>
      <w:bCs/>
      <w:kern w:val="44"/>
      <w:sz w:val="44"/>
      <w:szCs w:val="48"/>
    </w:rPr>
  </w:style>
  <w:style w:type="paragraph" w:customStyle="1" w:styleId="274">
    <w:name w:val="样式6"/>
    <w:basedOn w:val="273"/>
    <w:qFormat/>
    <w:uiPriority w:val="0"/>
    <w:pPr>
      <w:ind w:left="2524" w:hanging="397"/>
    </w:pPr>
    <w:rPr>
      <w:sz w:val="36"/>
      <w:szCs w:val="36"/>
    </w:rPr>
  </w:style>
  <w:style w:type="paragraph" w:customStyle="1" w:styleId="275">
    <w:name w:val="样式5"/>
    <w:basedOn w:val="1"/>
    <w:qFormat/>
    <w:uiPriority w:val="0"/>
    <w:pPr>
      <w:widowControl/>
      <w:spacing w:line="360" w:lineRule="auto"/>
      <w:ind w:firstLine="311" w:firstLineChars="311"/>
      <w:jc w:val="left"/>
    </w:pPr>
    <w:rPr>
      <w:rFonts w:ascii="宋体" w:cs="宋体"/>
      <w:color w:val="000000"/>
      <w:kern w:val="0"/>
      <w:sz w:val="24"/>
      <w:szCs w:val="22"/>
    </w:rPr>
  </w:style>
  <w:style w:type="paragraph" w:customStyle="1" w:styleId="276">
    <w:name w:val="正文缩进(ALT+Z)"/>
    <w:basedOn w:val="1"/>
    <w:qFormat/>
    <w:uiPriority w:val="0"/>
    <w:pPr>
      <w:spacing w:line="360" w:lineRule="auto"/>
      <w:ind w:firstLine="200" w:firstLineChars="200"/>
    </w:pPr>
    <w:rPr>
      <w:rFonts w:ascii="Times New Roman" w:hAnsi="Times New Roman"/>
      <w:sz w:val="24"/>
      <w:szCs w:val="24"/>
    </w:rPr>
  </w:style>
  <w:style w:type="paragraph" w:customStyle="1" w:styleId="277">
    <w:name w:val="三级标题"/>
    <w:basedOn w:val="1"/>
    <w:qFormat/>
    <w:uiPriority w:val="0"/>
    <w:pPr>
      <w:keepNext/>
      <w:widowControl/>
      <w:spacing w:line="300" w:lineRule="auto"/>
      <w:ind w:firstLine="196" w:firstLineChars="196"/>
      <w:jc w:val="left"/>
      <w:outlineLvl w:val="2"/>
    </w:pPr>
    <w:rPr>
      <w:rFonts w:eastAsia="楷体_GB2312" w:cs="黑体"/>
      <w:b/>
      <w:bCs/>
      <w:kern w:val="24"/>
      <w:szCs w:val="24"/>
    </w:rPr>
  </w:style>
  <w:style w:type="paragraph" w:customStyle="1" w:styleId="278">
    <w:name w:val="纯文本1"/>
    <w:basedOn w:val="1"/>
    <w:qFormat/>
    <w:uiPriority w:val="0"/>
    <w:pPr>
      <w:spacing w:beforeLines="50" w:afterLines="50" w:line="400" w:lineRule="atLeast"/>
    </w:pPr>
    <w:rPr>
      <w:rFonts w:ascii="宋体"/>
      <w:sz w:val="24"/>
    </w:rPr>
  </w:style>
  <w:style w:type="paragraph" w:customStyle="1" w:styleId="27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0">
    <w:name w:val="标题2级"/>
    <w:basedOn w:val="5"/>
    <w:qFormat/>
    <w:uiPriority w:val="0"/>
    <w:pPr>
      <w:keepNext w:val="0"/>
      <w:keepLines w:val="0"/>
      <w:widowControl/>
      <w:pBdr>
        <w:bottom w:val="single" w:color="4F81BD" w:sz="8" w:space="1"/>
      </w:pBdr>
      <w:tabs>
        <w:tab w:val="left" w:pos="567"/>
      </w:tabs>
      <w:spacing w:before="200" w:after="80" w:line="240" w:lineRule="auto"/>
      <w:ind w:left="397" w:hanging="397"/>
      <w:jc w:val="left"/>
    </w:pPr>
    <w:rPr>
      <w:rFonts w:ascii="宋体" w:eastAsia="宋体"/>
      <w:b w:val="0"/>
      <w:color w:val="365F91"/>
      <w:kern w:val="0"/>
      <w:sz w:val="30"/>
      <w:szCs w:val="30"/>
    </w:rPr>
  </w:style>
  <w:style w:type="paragraph" w:customStyle="1" w:styleId="281">
    <w:name w:val="_Style 16"/>
    <w:basedOn w:val="1"/>
    <w:qFormat/>
    <w:uiPriority w:val="0"/>
    <w:rPr>
      <w:rFonts w:ascii="Times New Roman" w:hAnsi="Times New Roman"/>
    </w:rPr>
  </w:style>
  <w:style w:type="paragraph" w:customStyle="1" w:styleId="282">
    <w:name w:val="List Paragraph1"/>
    <w:basedOn w:val="1"/>
    <w:qFormat/>
    <w:uiPriority w:val="0"/>
    <w:pPr>
      <w:ind w:firstLine="200" w:firstLineChars="200"/>
    </w:pPr>
    <w:rPr>
      <w:sz w:val="21"/>
      <w:szCs w:val="22"/>
    </w:rPr>
  </w:style>
  <w:style w:type="paragraph" w:customStyle="1" w:styleId="283">
    <w:name w:val="标题4级"/>
    <w:basedOn w:val="7"/>
    <w:qFormat/>
    <w:uiPriority w:val="0"/>
    <w:pPr>
      <w:keepNext w:val="0"/>
      <w:keepLines w:val="0"/>
      <w:widowControl/>
      <w:pBdr>
        <w:bottom w:val="single" w:color="B8CCE4" w:sz="4" w:space="2"/>
      </w:pBdr>
      <w:tabs>
        <w:tab w:val="left" w:pos="720"/>
        <w:tab w:val="left" w:pos="851"/>
        <w:tab w:val="left" w:pos="993"/>
      </w:tabs>
      <w:spacing w:before="0" w:after="0" w:line="360" w:lineRule="auto"/>
      <w:ind w:left="397" w:hanging="397"/>
      <w:jc w:val="left"/>
    </w:pPr>
    <w:rPr>
      <w:rFonts w:ascii="宋体" w:eastAsia="宋体"/>
      <w:iCs/>
      <w:color w:val="4F81BD"/>
      <w:kern w:val="0"/>
      <w:szCs w:val="28"/>
    </w:rPr>
  </w:style>
  <w:style w:type="paragraph" w:customStyle="1" w:styleId="284">
    <w:name w:val="正文new"/>
    <w:basedOn w:val="1"/>
    <w:qFormat/>
    <w:uiPriority w:val="0"/>
    <w:pPr>
      <w:widowControl/>
      <w:spacing w:line="300" w:lineRule="auto"/>
      <w:ind w:firstLine="202" w:firstLineChars="202"/>
      <w:jc w:val="left"/>
    </w:pPr>
    <w:rPr>
      <w:rFonts w:ascii="宋体" w:cs="宋体"/>
      <w:kern w:val="24"/>
      <w:szCs w:val="28"/>
    </w:rPr>
  </w:style>
  <w:style w:type="paragraph" w:customStyle="1" w:styleId="285">
    <w:name w:val="正文newnewnew"/>
    <w:basedOn w:val="284"/>
    <w:qFormat/>
    <w:uiPriority w:val="0"/>
    <w:rPr>
      <w:rFonts w:ascii="Times New Roman" w:hAnsi="Times New Roman" w:cs="Times New Roman"/>
      <w:sz w:val="24"/>
      <w:szCs w:val="24"/>
    </w:rPr>
  </w:style>
  <w:style w:type="paragraph" w:customStyle="1" w:styleId="286">
    <w:name w:val="列出段落2"/>
    <w:basedOn w:val="1"/>
    <w:qFormat/>
    <w:uiPriority w:val="0"/>
    <w:pPr>
      <w:ind w:firstLine="200" w:firstLineChars="200"/>
    </w:pPr>
    <w:rPr>
      <w:sz w:val="21"/>
      <w:szCs w:val="22"/>
    </w:rPr>
  </w:style>
  <w:style w:type="paragraph" w:styleId="28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8">
    <w:name w:val="WPSOffice手动目录 1"/>
    <w:qFormat/>
    <w:uiPriority w:val="0"/>
    <w:rPr>
      <w:rFonts w:ascii="Times New Roman" w:hAnsi="Times New Roman" w:eastAsia="宋体" w:cs="Times New Roman"/>
      <w:lang w:val="en-US" w:eastAsia="zh-CN" w:bidi="ar-SA"/>
    </w:rPr>
  </w:style>
  <w:style w:type="paragraph" w:customStyle="1" w:styleId="289">
    <w:name w:val="二级标题"/>
    <w:basedOn w:val="5"/>
    <w:qFormat/>
    <w:uiPriority w:val="0"/>
    <w:pPr>
      <w:keepNext w:val="0"/>
      <w:keepLines w:val="0"/>
      <w:widowControl/>
      <w:pBdr>
        <w:bottom w:val="single" w:color="4F81BD" w:sz="8" w:space="1"/>
      </w:pBdr>
      <w:spacing w:before="240" w:after="80" w:line="300" w:lineRule="auto"/>
    </w:pPr>
    <w:rPr>
      <w:rFonts w:ascii="楷体_GB2312" w:eastAsia="楷体_GB2312" w:cs="黑体"/>
      <w:bCs/>
      <w:color w:val="365F91"/>
      <w:kern w:val="28"/>
      <w:sz w:val="24"/>
      <w:szCs w:val="24"/>
    </w:rPr>
  </w:style>
  <w:style w:type="paragraph" w:customStyle="1" w:styleId="290">
    <w:name w:val="Char Char Char Char Char1"/>
    <w:basedOn w:val="1"/>
    <w:qFormat/>
    <w:uiPriority w:val="0"/>
    <w:pPr>
      <w:tabs>
        <w:tab w:val="left" w:pos="425"/>
      </w:tabs>
      <w:ind w:left="425" w:hanging="425"/>
    </w:pPr>
    <w:rPr>
      <w:rFonts w:ascii="Tahoma" w:hAnsi="Tahoma"/>
      <w:sz w:val="24"/>
    </w:rPr>
  </w:style>
  <w:style w:type="paragraph" w:customStyle="1" w:styleId="291">
    <w:name w:val="Char Char1 Char Char Char Char Char Char Char Char"/>
    <w:basedOn w:val="1"/>
    <w:qFormat/>
    <w:uiPriority w:val="0"/>
    <w:pPr>
      <w:widowControl/>
      <w:spacing w:after="160" w:line="240" w:lineRule="exact"/>
      <w:jc w:val="left"/>
    </w:pPr>
    <w:rPr>
      <w:rFonts w:ascii="Verdana" w:hAnsi="Verdana"/>
      <w:kern w:val="0"/>
      <w:sz w:val="20"/>
    </w:rPr>
  </w:style>
  <w:style w:type="character" w:customStyle="1" w:styleId="292">
    <w:name w:val="页眉 Char"/>
    <w:qFormat/>
    <w:locked/>
    <w:uiPriority w:val="0"/>
    <w:rPr>
      <w:rFonts w:eastAsia="宋体"/>
      <w:kern w:val="2"/>
      <w:sz w:val="18"/>
      <w:lang w:val="en-US" w:eastAsia="zh-CN" w:bidi="ar-SA"/>
    </w:rPr>
  </w:style>
  <w:style w:type="paragraph" w:customStyle="1" w:styleId="293">
    <w:name w:val="修订1"/>
    <w:qFormat/>
    <w:uiPriority w:val="0"/>
    <w:rPr>
      <w:rFonts w:ascii="Calibri" w:hAnsi="Calibri" w:eastAsia="宋体" w:cs="Times New Roman"/>
      <w:kern w:val="2"/>
      <w:sz w:val="28"/>
      <w:lang w:val="en-US" w:eastAsia="zh-CN" w:bidi="ar-SA"/>
    </w:rPr>
  </w:style>
  <w:style w:type="character" w:customStyle="1" w:styleId="294">
    <w:name w:val="页脚 字符"/>
    <w:link w:val="39"/>
    <w:qFormat/>
    <w:uiPriority w:val="99"/>
    <w:rPr>
      <w:rFonts w:ascii="Calibri" w:hAnsi="Calibri"/>
      <w:kern w:val="2"/>
      <w:sz w:val="18"/>
    </w:rPr>
  </w:style>
  <w:style w:type="character" w:customStyle="1" w:styleId="295">
    <w:name w:val="页眉 字符"/>
    <w:link w:val="41"/>
    <w:qFormat/>
    <w:uiPriority w:val="99"/>
    <w:rPr>
      <w:rFonts w:ascii="Calibri" w:hAnsi="Calibri"/>
      <w:kern w:val="2"/>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3911</Words>
  <Characters>22298</Characters>
  <Lines>185</Lines>
  <Paragraphs>52</Paragraphs>
  <TotalTime>0</TotalTime>
  <ScaleCrop>false</ScaleCrop>
  <LinksUpToDate>false</LinksUpToDate>
  <CharactersWithSpaces>26157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2021-08-02T07:23:00Z</dcterms:created>
  <dc:creator>罗成</dc:creator>
  <cp:lastModifiedBy>Administrator</cp:lastModifiedBy>
  <cp:lastPrinted>2020-09-18T07:14:00Z</cp:lastPrinted>
  <dcterms:modified xsi:type="dcterms:W3CDTF">2025-01-08T07:25:19Z</dcterms:modified>
  <dc:title>竞争性谈判文件</dc:title>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7CCECF5840EA438F9E3C9E8629D2C536</vt:lpwstr>
  </property>
</Properties>
</file>