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b/>
          <w:sz w:val="52"/>
          <w:szCs w:val="52"/>
        </w:rPr>
      </w:pPr>
      <w:r>
        <w:rPr>
          <w:rFonts w:hint="eastAsia" w:ascii="宋体"/>
          <w:b/>
          <w:sz w:val="52"/>
          <w:szCs w:val="52"/>
        </w:rPr>
        <w:t>2023年无线电频率台站监督检查服务</w:t>
      </w:r>
    </w:p>
    <w:p>
      <w:pPr>
        <w:outlineLvl w:val="0"/>
        <w:rPr>
          <w:rFonts w:ascii="宋体"/>
          <w:spacing w:val="80"/>
          <w:sz w:val="72"/>
          <w:szCs w:val="72"/>
        </w:rPr>
      </w:pPr>
    </w:p>
    <w:p>
      <w:pPr>
        <w:pStyle w:val="2"/>
      </w:pPr>
    </w:p>
    <w:p>
      <w:pPr>
        <w:jc w:val="center"/>
        <w:outlineLvl w:val="0"/>
        <w:rPr>
          <w:rFonts w:ascii="宋体"/>
          <w:spacing w:val="80"/>
          <w:sz w:val="72"/>
          <w:szCs w:val="72"/>
        </w:rPr>
      </w:pPr>
    </w:p>
    <w:p>
      <w:pPr>
        <w:pStyle w:val="2"/>
      </w:pPr>
    </w:p>
    <w:p>
      <w:pPr>
        <w:pStyle w:val="3"/>
      </w:pPr>
    </w:p>
    <w:p>
      <w:pPr>
        <w:jc w:val="center"/>
        <w:outlineLvl w:val="0"/>
        <w:rPr>
          <w:spacing w:val="80"/>
          <w:sz w:val="72"/>
          <w:szCs w:val="72"/>
        </w:rPr>
      </w:pPr>
      <w:r>
        <w:rPr>
          <w:spacing w:val="80"/>
          <w:sz w:val="72"/>
          <w:szCs w:val="72"/>
        </w:rPr>
        <w:t>竞争性磋商文件</w:t>
      </w:r>
    </w:p>
    <w:p>
      <w:pPr>
        <w:spacing w:line="700" w:lineRule="exact"/>
        <w:jc w:val="center"/>
        <w:rPr>
          <w:rFonts w:asciiTheme="majorEastAsia" w:hAnsiTheme="majorEastAsia" w:eastAsiaTheme="majorEastAsia"/>
          <w:sz w:val="36"/>
          <w:szCs w:val="30"/>
        </w:rPr>
      </w:pPr>
      <w:r>
        <w:rPr>
          <w:sz w:val="36"/>
          <w:szCs w:val="30"/>
        </w:rPr>
        <w:t>项目</w:t>
      </w:r>
      <w:r>
        <w:rPr>
          <w:rFonts w:asciiTheme="majorEastAsia" w:hAnsiTheme="majorEastAsia" w:eastAsiaTheme="majorEastAsia"/>
          <w:sz w:val="36"/>
          <w:szCs w:val="30"/>
        </w:rPr>
        <w:t>号：CQCBJQ2302-030</w:t>
      </w:r>
    </w:p>
    <w:p>
      <w:pPr>
        <w:spacing w:line="700" w:lineRule="exact"/>
        <w:ind w:firstLine="2700" w:firstLineChars="750"/>
        <w:rPr>
          <w:rFonts w:ascii="宋体"/>
          <w:sz w:val="36"/>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pStyle w:val="2"/>
      </w:pPr>
    </w:p>
    <w:p>
      <w:pPr>
        <w:spacing w:line="700" w:lineRule="exact"/>
        <w:jc w:val="center"/>
        <w:rPr>
          <w:rFonts w:ascii="宋体"/>
          <w:b/>
          <w:sz w:val="30"/>
          <w:szCs w:val="30"/>
        </w:rPr>
      </w:pPr>
    </w:p>
    <w:p>
      <w:pPr>
        <w:spacing w:line="700" w:lineRule="exact"/>
        <w:rPr>
          <w:rFonts w:ascii="宋体"/>
          <w:b/>
          <w:sz w:val="30"/>
          <w:szCs w:val="30"/>
        </w:rPr>
      </w:pPr>
    </w:p>
    <w:p>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pPr>
        <w:spacing w:line="700" w:lineRule="exact"/>
        <w:ind w:firstLine="1440" w:firstLineChars="400"/>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三</w:t>
      </w:r>
      <w:r>
        <w:rPr>
          <w:sz w:val="36"/>
          <w:szCs w:val="30"/>
        </w:rPr>
        <w:t>月</w:t>
      </w:r>
    </w:p>
    <w:p>
      <w:pPr>
        <w:pageBreakBefore/>
        <w:spacing w:line="480" w:lineRule="exact"/>
        <w:jc w:val="center"/>
        <w:outlineLvl w:val="0"/>
        <w:rPr>
          <w:rFonts w:ascii="宋体"/>
          <w:sz w:val="44"/>
          <w:szCs w:val="28"/>
        </w:rPr>
      </w:pPr>
      <w:r>
        <w:rPr>
          <w:rFonts w:hint="eastAsia" w:asci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"_Toc128558890" </w:instrText>
      </w:r>
      <w:r>
        <w:fldChar w:fldCharType="separate"/>
      </w:r>
      <w:r>
        <w:rPr>
          <w:rStyle w:val="65"/>
          <w:rFonts w:ascii="宋体"/>
        </w:rPr>
        <w:t>第一篇  采购邀请书</w:t>
      </w:r>
      <w:r>
        <w:tab/>
      </w:r>
      <w:r>
        <w:fldChar w:fldCharType="begin"/>
      </w:r>
      <w:r>
        <w:instrText xml:space="preserve"> PAGEREF _Toc128558890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"_Toc128558891" </w:instrText>
      </w:r>
      <w:r>
        <w:fldChar w:fldCharType="separate"/>
      </w:r>
      <w:r>
        <w:rPr>
          <w:rStyle w:val="65"/>
          <w:rFonts w:ascii="宋体"/>
        </w:rPr>
        <w:t>一、竞争性磋商内容</w:t>
      </w:r>
      <w:r>
        <w:tab/>
      </w:r>
      <w:r>
        <w:fldChar w:fldCharType="begin"/>
      </w:r>
      <w:r>
        <w:instrText xml:space="preserve"> PAGEREF _Toc128558891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"_Toc128558892" </w:instrText>
      </w:r>
      <w:r>
        <w:fldChar w:fldCharType="separate"/>
      </w:r>
      <w:r>
        <w:rPr>
          <w:rStyle w:val="65"/>
          <w:rFonts w:ascii="宋体"/>
        </w:rPr>
        <w:t>二、资金来源</w:t>
      </w:r>
      <w:r>
        <w:tab/>
      </w:r>
      <w:r>
        <w:fldChar w:fldCharType="begin"/>
      </w:r>
      <w:r>
        <w:instrText xml:space="preserve"> PAGEREF _Toc128558892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"_Toc128558893" </w:instrText>
      </w:r>
      <w:r>
        <w:fldChar w:fldCharType="separate"/>
      </w:r>
      <w:r>
        <w:rPr>
          <w:rStyle w:val="65"/>
          <w:rFonts w:ascii="宋体"/>
        </w:rPr>
        <w:t>三、供应商资格条件</w:t>
      </w:r>
      <w:r>
        <w:tab/>
      </w:r>
      <w:r>
        <w:fldChar w:fldCharType="begin"/>
      </w:r>
      <w:r>
        <w:instrText xml:space="preserve"> PAGEREF _Toc128558893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"_Toc128558894" </w:instrText>
      </w:r>
      <w:r>
        <w:fldChar w:fldCharType="separate"/>
      </w:r>
      <w:r>
        <w:rPr>
          <w:rStyle w:val="65"/>
          <w:rFonts w:ascii="宋体"/>
        </w:rPr>
        <w:t>四、磋商有关说明</w:t>
      </w:r>
      <w:r>
        <w:tab/>
      </w:r>
      <w:r>
        <w:fldChar w:fldCharType="begin"/>
      </w:r>
      <w:r>
        <w:instrText xml:space="preserve"> PAGEREF _Toc128558894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"_Toc128558895" </w:instrText>
      </w:r>
      <w:r>
        <w:fldChar w:fldCharType="separate"/>
      </w:r>
      <w:r>
        <w:rPr>
          <w:rStyle w:val="65"/>
          <w:rFonts w:ascii="宋体"/>
        </w:rPr>
        <w:t>五、磋商保证金</w:t>
      </w:r>
      <w:r>
        <w:tab/>
      </w:r>
      <w:r>
        <w:fldChar w:fldCharType="begin"/>
      </w:r>
      <w:r>
        <w:instrText xml:space="preserve"> PAGEREF _Toc128558895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"_Toc128558896" </w:instrText>
      </w:r>
      <w:r>
        <w:fldChar w:fldCharType="separate"/>
      </w:r>
      <w:r>
        <w:rPr>
          <w:rStyle w:val="65"/>
          <w:rFonts w:ascii="宋体"/>
        </w:rPr>
        <w:t>六、采购项目需落实的政府采购政策</w:t>
      </w:r>
      <w:r>
        <w:tab/>
      </w:r>
      <w:r>
        <w:fldChar w:fldCharType="begin"/>
      </w:r>
      <w:r>
        <w:instrText xml:space="preserve"> PAGEREF _Toc128558896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"_Toc128558897" </w:instrText>
      </w:r>
      <w:r>
        <w:fldChar w:fldCharType="separate"/>
      </w:r>
      <w:r>
        <w:rPr>
          <w:rStyle w:val="65"/>
          <w:rFonts w:ascii="宋体"/>
        </w:rPr>
        <w:t>七、其它有关规定</w:t>
      </w:r>
      <w:r>
        <w:tab/>
      </w:r>
      <w:r>
        <w:fldChar w:fldCharType="begin"/>
      </w:r>
      <w:r>
        <w:instrText xml:space="preserve"> PAGEREF _Toc128558897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"_Toc128558898" </w:instrText>
      </w:r>
      <w:r>
        <w:fldChar w:fldCharType="separate"/>
      </w:r>
      <w:r>
        <w:rPr>
          <w:rStyle w:val="65"/>
          <w:rFonts w:ascii="宋体" w:hAnsi="宋体"/>
        </w:rPr>
        <w:t>八、联系方式</w:t>
      </w:r>
      <w:r>
        <w:tab/>
      </w:r>
      <w:r>
        <w:fldChar w:fldCharType="begin"/>
      </w:r>
      <w:r>
        <w:instrText xml:space="preserve"> PAGEREF _Toc128558898 \h </w:instrText>
      </w:r>
      <w:r>
        <w:fldChar w:fldCharType="separate"/>
      </w:r>
      <w:r>
        <w:t>- 5 -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"_Toc128558899" </w:instrText>
      </w:r>
      <w:r>
        <w:fldChar w:fldCharType="separate"/>
      </w:r>
      <w:r>
        <w:rPr>
          <w:rStyle w:val="65"/>
          <w:rFonts w:ascii="宋体"/>
        </w:rPr>
        <w:t>第二篇  项目服务需求</w:t>
      </w:r>
      <w:r>
        <w:tab/>
      </w:r>
      <w:r>
        <w:fldChar w:fldCharType="begin"/>
      </w:r>
      <w:r>
        <w:instrText xml:space="preserve"> PAGEREF _Toc128558899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"_Toc128558900" </w:instrText>
      </w:r>
      <w:r>
        <w:fldChar w:fldCharType="separate"/>
      </w:r>
      <w:r>
        <w:rPr>
          <w:rStyle w:val="65"/>
          <w:rFonts w:ascii="宋体"/>
        </w:rPr>
        <w:t>一、项目技术需求</w:t>
      </w:r>
      <w:r>
        <w:tab/>
      </w:r>
      <w:r>
        <w:fldChar w:fldCharType="begin"/>
      </w:r>
      <w:r>
        <w:instrText xml:space="preserve"> PAGEREF _Toc128558900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"_Toc128558901" </w:instrText>
      </w:r>
      <w:r>
        <w:fldChar w:fldCharType="separate"/>
      </w:r>
      <w:r>
        <w:rPr>
          <w:rStyle w:val="65"/>
        </w:rPr>
        <w:t>二、人员要求</w:t>
      </w:r>
      <w:r>
        <w:tab/>
      </w:r>
      <w:r>
        <w:fldChar w:fldCharType="begin"/>
      </w:r>
      <w:r>
        <w:instrText xml:space="preserve"> PAGEREF _Toc128558901 \h </w:instrText>
      </w:r>
      <w:r>
        <w:fldChar w:fldCharType="separate"/>
      </w:r>
      <w:r>
        <w:t>- 8 -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"_Toc128558902" </w:instrText>
      </w:r>
      <w:r>
        <w:fldChar w:fldCharType="separate"/>
      </w:r>
      <w:r>
        <w:rPr>
          <w:rStyle w:val="65"/>
          <w:rFonts w:ascii="宋体"/>
        </w:rPr>
        <w:t>第三篇  项目商务需求</w:t>
      </w:r>
      <w:r>
        <w:tab/>
      </w:r>
      <w:r>
        <w:fldChar w:fldCharType="begin"/>
      </w:r>
      <w:r>
        <w:instrText xml:space="preserve"> PAGEREF _Toc128558902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"_Toc128558903" </w:instrText>
      </w:r>
      <w:r>
        <w:fldChar w:fldCharType="separate"/>
      </w:r>
      <w:r>
        <w:rPr>
          <w:rStyle w:val="65"/>
        </w:rPr>
        <w:t>一、服务时间、地点及验收方式</w:t>
      </w:r>
      <w:r>
        <w:tab/>
      </w:r>
      <w:r>
        <w:fldChar w:fldCharType="begin"/>
      </w:r>
      <w:r>
        <w:instrText xml:space="preserve"> PAGEREF _Toc128558903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"_Toc128558904"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_Toc128558904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"_Toc128558905"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_Toc128558905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"_Toc128558906" </w:instrText>
      </w:r>
      <w:r>
        <w:fldChar w:fldCharType="separate"/>
      </w:r>
      <w:r>
        <w:rPr>
          <w:rStyle w:val="65"/>
        </w:rPr>
        <w:t>四、知识产权</w:t>
      </w:r>
      <w:r>
        <w:tab/>
      </w:r>
      <w:r>
        <w:fldChar w:fldCharType="begin"/>
      </w:r>
      <w:r>
        <w:instrText xml:space="preserve"> PAGEREF _Toc128558906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"_Toc128558907" </w:instrText>
      </w:r>
      <w:r>
        <w:fldChar w:fldCharType="separate"/>
      </w:r>
      <w:r>
        <w:rPr>
          <w:rStyle w:val="65"/>
          <w:rFonts w:hint="eastAsia" w:ascii="宋体" w:hAnsi="宋体" w:cs="宋体"/>
        </w:rPr>
        <w:t>※</w:t>
      </w:r>
      <w:r>
        <w:rPr>
          <w:rStyle w:val="65"/>
        </w:rPr>
        <w:t>五、保密</w:t>
      </w:r>
      <w:r>
        <w:tab/>
      </w:r>
      <w:r>
        <w:fldChar w:fldCharType="begin"/>
      </w:r>
      <w:r>
        <w:instrText xml:space="preserve"> PAGEREF _Toc128558907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"_Toc128558908" </w:instrText>
      </w:r>
      <w:r>
        <w:fldChar w:fldCharType="separate"/>
      </w:r>
      <w:r>
        <w:rPr>
          <w:rStyle w:val="65"/>
        </w:rPr>
        <w:t>六、其他</w:t>
      </w:r>
      <w:r>
        <w:tab/>
      </w:r>
      <w:r>
        <w:fldChar w:fldCharType="begin"/>
      </w:r>
      <w:r>
        <w:instrText xml:space="preserve"> PAGEREF _Toc128558908 \h </w:instrText>
      </w:r>
      <w:r>
        <w:fldChar w:fldCharType="separate"/>
      </w:r>
      <w:r>
        <w:t>- 10 -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"_Toc128558909" </w:instrText>
      </w:r>
      <w:r>
        <w:fldChar w:fldCharType="separate"/>
      </w:r>
      <w:r>
        <w:rPr>
          <w:rStyle w:val="65"/>
          <w:rFonts w:ascii="宋体"/>
        </w:rPr>
        <w:t>第四篇  磋商程序及方法、评审标准、无效响应和采购终止</w:t>
      </w:r>
      <w:r>
        <w:tab/>
      </w:r>
      <w:r>
        <w:fldChar w:fldCharType="begin"/>
      </w:r>
      <w:r>
        <w:instrText xml:space="preserve"> PAGEREF _Toc128558909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"_Toc128558910" </w:instrText>
      </w:r>
      <w:r>
        <w:fldChar w:fldCharType="separate"/>
      </w:r>
      <w:r>
        <w:rPr>
          <w:rStyle w:val="65"/>
          <w:rFonts w:ascii="宋体"/>
        </w:rPr>
        <w:t>一、磋商程序及方法</w:t>
      </w:r>
      <w:r>
        <w:tab/>
      </w:r>
      <w:r>
        <w:fldChar w:fldCharType="begin"/>
      </w:r>
      <w:r>
        <w:instrText xml:space="preserve"> PAGEREF _Toc128558910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"_Toc128558911" </w:instrText>
      </w:r>
      <w:r>
        <w:fldChar w:fldCharType="separate"/>
      </w:r>
      <w:r>
        <w:rPr>
          <w:rStyle w:val="65"/>
          <w:rFonts w:ascii="宋体"/>
        </w:rPr>
        <w:t>二、评审标准</w:t>
      </w:r>
      <w:r>
        <w:tab/>
      </w:r>
      <w:r>
        <w:fldChar w:fldCharType="begin"/>
      </w:r>
      <w:r>
        <w:instrText xml:space="preserve"> PAGEREF _Toc128558911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"_Toc128558912" </w:instrText>
      </w:r>
      <w:r>
        <w:fldChar w:fldCharType="separate"/>
      </w:r>
      <w:r>
        <w:rPr>
          <w:rStyle w:val="65"/>
          <w:rFonts w:ascii="宋体"/>
        </w:rPr>
        <w:t>三、无效响应</w:t>
      </w:r>
      <w:r>
        <w:tab/>
      </w:r>
      <w:r>
        <w:fldChar w:fldCharType="begin"/>
      </w:r>
      <w:r>
        <w:instrText xml:space="preserve"> PAGEREF _Toc128558912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"_Toc128558913" </w:instrText>
      </w:r>
      <w:r>
        <w:fldChar w:fldCharType="separate"/>
      </w:r>
      <w:r>
        <w:rPr>
          <w:rStyle w:val="65"/>
          <w:rFonts w:ascii="宋体"/>
        </w:rPr>
        <w:t>四、采购终止</w:t>
      </w:r>
      <w:r>
        <w:tab/>
      </w:r>
      <w:r>
        <w:fldChar w:fldCharType="begin"/>
      </w:r>
      <w:r>
        <w:instrText xml:space="preserve"> PAGEREF _Toc128558913 \h </w:instrText>
      </w:r>
      <w:r>
        <w:fldChar w:fldCharType="separate"/>
      </w:r>
      <w:r>
        <w:t>- 15 -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"_Toc128558914" </w:instrText>
      </w:r>
      <w:r>
        <w:fldChar w:fldCharType="separate"/>
      </w:r>
      <w:r>
        <w:rPr>
          <w:rStyle w:val="65"/>
          <w:rFonts w:ascii="宋体"/>
        </w:rPr>
        <w:t>第五篇  供应商须知</w:t>
      </w:r>
      <w:r>
        <w:tab/>
      </w:r>
      <w:r>
        <w:fldChar w:fldCharType="begin"/>
      </w:r>
      <w:r>
        <w:instrText xml:space="preserve"> PAGEREF _Toc128558914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"_Toc128558915" </w:instrText>
      </w:r>
      <w:r>
        <w:fldChar w:fldCharType="separate"/>
      </w:r>
      <w:r>
        <w:rPr>
          <w:rStyle w:val="65"/>
          <w:rFonts w:ascii="宋体"/>
        </w:rPr>
        <w:t>一、磋商费用</w:t>
      </w:r>
      <w:r>
        <w:tab/>
      </w:r>
      <w:r>
        <w:fldChar w:fldCharType="begin"/>
      </w:r>
      <w:r>
        <w:instrText xml:space="preserve"> PAGEREF _Toc128558915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"_Toc128558916" </w:instrText>
      </w:r>
      <w:r>
        <w:fldChar w:fldCharType="separate"/>
      </w:r>
      <w:r>
        <w:rPr>
          <w:rStyle w:val="65"/>
          <w:rFonts w:ascii="宋体"/>
        </w:rPr>
        <w:t>二、竞争性磋商文件</w:t>
      </w:r>
      <w:r>
        <w:tab/>
      </w:r>
      <w:r>
        <w:fldChar w:fldCharType="begin"/>
      </w:r>
      <w:r>
        <w:instrText xml:space="preserve"> PAGEREF _Toc128558916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"_Toc128558917" </w:instrText>
      </w:r>
      <w:r>
        <w:fldChar w:fldCharType="separate"/>
      </w:r>
      <w:r>
        <w:rPr>
          <w:rStyle w:val="65"/>
          <w:rFonts w:ascii="宋体"/>
        </w:rPr>
        <w:t>三、磋商要求</w:t>
      </w:r>
      <w:r>
        <w:tab/>
      </w:r>
      <w:r>
        <w:fldChar w:fldCharType="begin"/>
      </w:r>
      <w:r>
        <w:instrText xml:space="preserve"> PAGEREF _Toc128558917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"_Toc128558918" </w:instrText>
      </w:r>
      <w:r>
        <w:fldChar w:fldCharType="separate"/>
      </w:r>
      <w:r>
        <w:rPr>
          <w:rStyle w:val="65"/>
          <w:rFonts w:ascii="宋体"/>
        </w:rPr>
        <w:t>四、成交供应商的确认和变更</w:t>
      </w:r>
      <w:r>
        <w:tab/>
      </w:r>
      <w:r>
        <w:fldChar w:fldCharType="begin"/>
      </w:r>
      <w:r>
        <w:instrText xml:space="preserve"> PAGEREF _Toc128558918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"_Toc128558919" </w:instrText>
      </w:r>
      <w:r>
        <w:fldChar w:fldCharType="separate"/>
      </w:r>
      <w:r>
        <w:rPr>
          <w:rStyle w:val="65"/>
          <w:rFonts w:ascii="宋体"/>
        </w:rPr>
        <w:t>五、成交通知</w:t>
      </w:r>
      <w:r>
        <w:tab/>
      </w:r>
      <w:r>
        <w:fldChar w:fldCharType="begin"/>
      </w:r>
      <w:r>
        <w:instrText xml:space="preserve"> PAGEREF _Toc128558919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"_Toc128558920" </w:instrText>
      </w:r>
      <w:r>
        <w:fldChar w:fldCharType="separate"/>
      </w:r>
      <w:r>
        <w:rPr>
          <w:rStyle w:val="65"/>
          <w:rFonts w:ascii="宋体"/>
        </w:rPr>
        <w:t>六、关于质疑和投诉</w:t>
      </w:r>
      <w:r>
        <w:tab/>
      </w:r>
      <w:r>
        <w:fldChar w:fldCharType="begin"/>
      </w:r>
      <w:r>
        <w:instrText xml:space="preserve"> PAGEREF _Toc128558920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"_Toc128558921" </w:instrText>
      </w:r>
      <w:r>
        <w:fldChar w:fldCharType="separate"/>
      </w:r>
      <w:r>
        <w:rPr>
          <w:rStyle w:val="65"/>
          <w:rFonts w:ascii="宋体"/>
        </w:rPr>
        <w:t>七、采购代理服务费</w:t>
      </w:r>
      <w:r>
        <w:tab/>
      </w:r>
      <w:r>
        <w:fldChar w:fldCharType="begin"/>
      </w:r>
      <w:r>
        <w:instrText xml:space="preserve"> PAGEREF _Toc128558921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"_Toc128558922" </w:instrText>
      </w:r>
      <w:r>
        <w:fldChar w:fldCharType="separate"/>
      </w:r>
      <w:r>
        <w:rPr>
          <w:rStyle w:val="65"/>
          <w:rFonts w:ascii="宋体"/>
        </w:rPr>
        <w:t>八、签订合同</w:t>
      </w:r>
      <w:r>
        <w:tab/>
      </w:r>
      <w:r>
        <w:fldChar w:fldCharType="begin"/>
      </w:r>
      <w:r>
        <w:instrText xml:space="preserve"> PAGEREF _Toc128558922 \h </w:instrText>
      </w:r>
      <w:r>
        <w:fldChar w:fldCharType="separate"/>
      </w:r>
      <w:r>
        <w:t>- 20 -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"_Toc128558923" </w:instrText>
      </w:r>
      <w:r>
        <w:fldChar w:fldCharType="separate"/>
      </w:r>
      <w:r>
        <w:rPr>
          <w:rStyle w:val="65"/>
          <w:rFonts w:ascii="宋体"/>
        </w:rPr>
        <w:t>第六篇  合同草案条款</w:t>
      </w:r>
      <w:r>
        <w:tab/>
      </w:r>
      <w:r>
        <w:fldChar w:fldCharType="begin"/>
      </w:r>
      <w:r>
        <w:instrText xml:space="preserve"> PAGEREF _Toc128558923 \h </w:instrText>
      </w:r>
      <w:r>
        <w:fldChar w:fldCharType="separate"/>
      </w:r>
      <w:r>
        <w:t>- 21 -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"_Toc128558924" </w:instrText>
      </w:r>
      <w:r>
        <w:fldChar w:fldCharType="separate"/>
      </w:r>
      <w:r>
        <w:rPr>
          <w:rStyle w:val="65"/>
          <w:rFonts w:ascii="宋体"/>
        </w:rPr>
        <w:t>一、合同主要条款</w:t>
      </w:r>
      <w:r>
        <w:tab/>
      </w:r>
      <w:r>
        <w:fldChar w:fldCharType="begin"/>
      </w:r>
      <w:r>
        <w:instrText xml:space="preserve"> PAGEREF _Toc128558924 \h </w:instrText>
      </w:r>
      <w:r>
        <w:fldChar w:fldCharType="separate"/>
      </w:r>
      <w:r>
        <w:t>- 21 -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"_Toc128558925" </w:instrText>
      </w:r>
      <w:r>
        <w:fldChar w:fldCharType="separate"/>
      </w:r>
      <w:r>
        <w:rPr>
          <w:rStyle w:val="65"/>
          <w:rFonts w:ascii="宋体"/>
        </w:rPr>
        <w:t>二、政府采购合同（格式）</w:t>
      </w:r>
      <w:r>
        <w:tab/>
      </w:r>
      <w:r>
        <w:fldChar w:fldCharType="begin"/>
      </w:r>
      <w:r>
        <w:instrText xml:space="preserve"> PAGEREF _Toc128558925 \h </w:instrText>
      </w:r>
      <w:r>
        <w:fldChar w:fldCharType="separate"/>
      </w:r>
      <w:r>
        <w:t>- 23 -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"_Toc128558926" </w:instrText>
      </w:r>
      <w:r>
        <w:fldChar w:fldCharType="separate"/>
      </w:r>
      <w:r>
        <w:rPr>
          <w:rStyle w:val="65"/>
          <w:rFonts w:ascii="宋体"/>
        </w:rPr>
        <w:t>第七篇  响应文件编制要求</w:t>
      </w:r>
      <w:r>
        <w:tab/>
      </w:r>
      <w:r>
        <w:fldChar w:fldCharType="begin"/>
      </w:r>
      <w:r>
        <w:instrText xml:space="preserve"> PAGEREF _Toc128558926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"_Toc128558927" </w:instrText>
      </w:r>
      <w:r>
        <w:fldChar w:fldCharType="separate"/>
      </w:r>
      <w:r>
        <w:rPr>
          <w:rStyle w:val="65"/>
          <w:rFonts w:ascii="宋体"/>
        </w:rPr>
        <w:t>一、经济部分</w:t>
      </w:r>
      <w:r>
        <w:tab/>
      </w:r>
      <w:r>
        <w:fldChar w:fldCharType="begin"/>
      </w:r>
      <w:r>
        <w:instrText xml:space="preserve"> PAGEREF _Toc128558927 \h </w:instrText>
      </w:r>
      <w:r>
        <w:fldChar w:fldCharType="separate"/>
      </w:r>
      <w:r>
        <w:t>- 26 -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"_Toc128558928" </w:instrText>
      </w:r>
      <w:r>
        <w:fldChar w:fldCharType="separate"/>
      </w:r>
      <w:r>
        <w:rPr>
          <w:rStyle w:val="65"/>
          <w:rFonts w:ascii="宋体"/>
        </w:rPr>
        <w:t>二、服务部分</w:t>
      </w:r>
      <w:r>
        <w:tab/>
      </w:r>
      <w:r>
        <w:fldChar w:fldCharType="begin"/>
      </w:r>
      <w:r>
        <w:instrText xml:space="preserve"> PAGEREF _Toc128558928 \h </w:instrText>
      </w:r>
      <w:r>
        <w:fldChar w:fldCharType="separate"/>
      </w:r>
      <w:r>
        <w:t>- 28 -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"_Toc128558929" </w:instrText>
      </w:r>
      <w:r>
        <w:fldChar w:fldCharType="separate"/>
      </w:r>
      <w:r>
        <w:rPr>
          <w:rStyle w:val="65"/>
          <w:rFonts w:ascii="宋体"/>
        </w:rPr>
        <w:t>三、商务部分</w:t>
      </w:r>
      <w:r>
        <w:tab/>
      </w:r>
      <w:r>
        <w:fldChar w:fldCharType="begin"/>
      </w:r>
      <w:r>
        <w:instrText xml:space="preserve"> PAGEREF _Toc128558929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"_Toc128558930" </w:instrText>
      </w:r>
      <w:r>
        <w:fldChar w:fldCharType="separate"/>
      </w:r>
      <w:r>
        <w:rPr>
          <w:rStyle w:val="65"/>
          <w:rFonts w:ascii="宋体"/>
        </w:rPr>
        <w:t>四、资格条件</w:t>
      </w:r>
      <w:r>
        <w:tab/>
      </w:r>
      <w:r>
        <w:fldChar w:fldCharType="begin"/>
      </w:r>
      <w:r>
        <w:instrText xml:space="preserve"> PAGEREF _Toc128558930 \h </w:instrText>
      </w:r>
      <w:r>
        <w:fldChar w:fldCharType="separate"/>
      </w:r>
      <w:r>
        <w:t>- 30 -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"_Toc128558931" </w:instrText>
      </w:r>
      <w:r>
        <w:fldChar w:fldCharType="separate"/>
      </w:r>
      <w:r>
        <w:rPr>
          <w:rStyle w:val="65"/>
          <w:rFonts w:ascii="宋体"/>
        </w:rPr>
        <w:t>五、其他资料</w:t>
      </w:r>
      <w:r>
        <w:tab/>
      </w:r>
      <w:r>
        <w:fldChar w:fldCharType="begin"/>
      </w:r>
      <w:r>
        <w:instrText xml:space="preserve"> PAGEREF _Toc128558931 \h </w:instrText>
      </w:r>
      <w:r>
        <w:fldChar w:fldCharType="separate"/>
      </w:r>
      <w:r>
        <w:t>- 33 -</w:t>
      </w:r>
      <w:r>
        <w:fldChar w:fldCharType="end"/>
      </w:r>
      <w:r>
        <w:fldChar w:fldCharType="end"/>
      </w:r>
    </w:p>
    <w:p>
      <w:pPr>
        <w:pStyle w:val="51"/>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pPr>
        <w:pStyle w:val="5"/>
        <w:spacing w:line="360" w:lineRule="auto"/>
        <w:jc w:val="center"/>
        <w:rPr>
          <w:rFonts w:ascii="宋体" w:eastAsia="宋体"/>
          <w:sz w:val="36"/>
          <w:szCs w:val="30"/>
        </w:rPr>
      </w:pPr>
      <w:bookmarkStart w:id="0" w:name="_Toc12789052"/>
      <w:bookmarkStart w:id="1" w:name="_Toc11641050"/>
      <w:bookmarkStart w:id="2" w:name="_Toc128558890"/>
      <w:r>
        <w:rPr>
          <w:rFonts w:hint="eastAsia" w:ascii="宋体" w:eastAsia="宋体"/>
          <w:sz w:val="36"/>
          <w:szCs w:val="30"/>
        </w:rPr>
        <w:t>第一篇  采购邀请书</w:t>
      </w:r>
      <w:bookmarkEnd w:id="0"/>
      <w:bookmarkEnd w:id="1"/>
      <w:bookmarkEnd w:id="2"/>
    </w:p>
    <w:p>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重庆市无线电监测站的委托，对2023年无线电频率台站监督检查服务（项目号：CQCBJQ</w:t>
      </w:r>
      <w:r>
        <w:rPr>
          <w:rFonts w:ascii="宋体"/>
          <w:sz w:val="24"/>
          <w:szCs w:val="24"/>
        </w:rPr>
        <w:t>2302-030</w:t>
      </w:r>
      <w:r>
        <w:rPr>
          <w:rFonts w:hint="eastAsia" w:ascii="宋体"/>
          <w:sz w:val="24"/>
          <w:szCs w:val="24"/>
        </w:rPr>
        <w:t>）进行竞争性磋商采购。欢迎有资格的供应商前来参与磋商。</w:t>
      </w:r>
    </w:p>
    <w:p>
      <w:pPr>
        <w:pStyle w:val="6"/>
        <w:spacing w:before="0" w:after="0" w:line="360" w:lineRule="auto"/>
        <w:ind w:firstLine="482" w:firstLineChars="200"/>
        <w:rPr>
          <w:rFonts w:ascii="宋体"/>
          <w:sz w:val="24"/>
          <w:szCs w:val="24"/>
        </w:rPr>
      </w:pPr>
      <w:bookmarkStart w:id="3" w:name="_Toc317775175"/>
      <w:bookmarkStart w:id="4" w:name="_Toc128558891"/>
      <w:bookmarkStart w:id="5" w:name="_Toc313893526"/>
      <w:r>
        <w:rPr>
          <w:rFonts w:hint="eastAsia" w:ascii="宋体"/>
          <w:sz w:val="24"/>
          <w:szCs w:val="24"/>
        </w:rPr>
        <w:t>一、竞争性磋商内容</w:t>
      </w:r>
      <w:bookmarkEnd w:id="3"/>
      <w:bookmarkEnd w:id="4"/>
      <w:bookmarkEnd w:id="5"/>
    </w:p>
    <w:tbl>
      <w:tblPr>
        <w:tblStyle w:val="6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417"/>
        <w:gridCol w:w="1276"/>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828" w:type="dxa"/>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bCs/>
                <w:kern w:val="0"/>
                <w:sz w:val="21"/>
                <w:szCs w:val="24"/>
              </w:rPr>
            </w:pPr>
            <w:bookmarkStart w:id="6" w:name="_Toc317775178"/>
            <w:bookmarkStart w:id="7" w:name="_Toc373860293"/>
            <w:r>
              <w:rPr>
                <w:rFonts w:hint="eastAsia" w:ascii="宋体" w:cs="宋体"/>
                <w:b/>
                <w:bCs/>
                <w:kern w:val="0"/>
                <w:sz w:val="21"/>
                <w:szCs w:val="24"/>
              </w:rPr>
              <w:t>项目内容</w:t>
            </w:r>
          </w:p>
        </w:tc>
        <w:tc>
          <w:tcPr>
            <w:tcW w:w="1417" w:type="dxa"/>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bCs/>
                <w:kern w:val="0"/>
                <w:sz w:val="21"/>
                <w:szCs w:val="24"/>
              </w:rPr>
            </w:pPr>
            <w:r>
              <w:rPr>
                <w:rFonts w:hint="eastAsia" w:ascii="宋体" w:cs="宋体"/>
                <w:b/>
                <w:bCs/>
                <w:kern w:val="0"/>
                <w:sz w:val="21"/>
                <w:szCs w:val="24"/>
              </w:rPr>
              <w:t>最高限价</w:t>
            </w:r>
          </w:p>
          <w:p>
            <w:pPr>
              <w:widowControl/>
              <w:spacing w:line="240" w:lineRule="exact"/>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bCs/>
                <w:kern w:val="0"/>
                <w:sz w:val="21"/>
                <w:szCs w:val="24"/>
              </w:rPr>
            </w:pPr>
            <w:r>
              <w:rPr>
                <w:rFonts w:hint="eastAsia" w:ascii="宋体" w:cs="宋体"/>
                <w:b/>
                <w:bCs/>
                <w:kern w:val="0"/>
                <w:sz w:val="21"/>
                <w:szCs w:val="24"/>
              </w:rPr>
              <w:t>磋商保证金</w:t>
            </w:r>
          </w:p>
          <w:p>
            <w:pPr>
              <w:widowControl/>
              <w:spacing w:line="240" w:lineRule="exact"/>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bCs/>
                <w:kern w:val="0"/>
                <w:sz w:val="21"/>
                <w:szCs w:val="24"/>
              </w:rPr>
            </w:pPr>
            <w:r>
              <w:rPr>
                <w:rFonts w:hint="eastAsia" w:ascii="宋体" w:cs="宋体"/>
                <w:b/>
                <w:bCs/>
                <w:kern w:val="0"/>
                <w:sz w:val="21"/>
                <w:szCs w:val="24"/>
              </w:rPr>
              <w:t>成交供应商数量（名）</w:t>
            </w:r>
          </w:p>
        </w:tc>
        <w:tc>
          <w:tcPr>
            <w:tcW w:w="1842" w:type="dxa"/>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828" w:type="dxa"/>
            <w:tcBorders>
              <w:top w:val="single" w:color="auto" w:sz="4" w:space="0"/>
              <w:left w:val="single" w:color="auto" w:sz="4" w:space="0"/>
              <w:right w:val="single" w:color="auto" w:sz="4" w:space="0"/>
            </w:tcBorders>
            <w:vAlign w:val="center"/>
          </w:tcPr>
          <w:p>
            <w:pPr>
              <w:pStyle w:val="27"/>
              <w:spacing w:line="240" w:lineRule="exact"/>
              <w:ind w:left="0"/>
              <w:jc w:val="center"/>
              <w:outlineLvl w:val="0"/>
              <w:rPr>
                <w:rFonts w:ascii="宋体"/>
                <w:sz w:val="21"/>
                <w:szCs w:val="21"/>
              </w:rPr>
            </w:pPr>
            <w:bookmarkStart w:id="8" w:name="_Hlk344477914"/>
            <w:r>
              <w:rPr>
                <w:rFonts w:hint="eastAsia" w:ascii="宋体"/>
                <w:sz w:val="21"/>
                <w:szCs w:val="21"/>
              </w:rPr>
              <w:t>2023年无线电频率台站监督检查服务</w:t>
            </w:r>
          </w:p>
        </w:tc>
        <w:tc>
          <w:tcPr>
            <w:tcW w:w="1417" w:type="dxa"/>
            <w:tcBorders>
              <w:top w:val="single" w:color="auto" w:sz="4" w:space="0"/>
              <w:left w:val="single" w:color="auto" w:sz="4" w:space="0"/>
              <w:right w:val="single" w:color="auto" w:sz="4" w:space="0"/>
            </w:tcBorders>
            <w:vAlign w:val="center"/>
          </w:tcPr>
          <w:p>
            <w:pPr>
              <w:pStyle w:val="27"/>
              <w:spacing w:line="240" w:lineRule="exact"/>
              <w:ind w:left="0"/>
              <w:jc w:val="center"/>
              <w:outlineLvl w:val="0"/>
              <w:rPr>
                <w:rFonts w:ascii="宋体"/>
                <w:sz w:val="21"/>
                <w:szCs w:val="21"/>
              </w:rPr>
            </w:pPr>
            <w:r>
              <w:rPr>
                <w:rFonts w:ascii="宋体"/>
                <w:sz w:val="21"/>
                <w:szCs w:val="21"/>
              </w:rPr>
              <w:t>49.5</w:t>
            </w:r>
          </w:p>
        </w:tc>
        <w:tc>
          <w:tcPr>
            <w:tcW w:w="1276" w:type="dxa"/>
            <w:tcBorders>
              <w:top w:val="single" w:color="auto" w:sz="4" w:space="0"/>
              <w:left w:val="single" w:color="auto" w:sz="4" w:space="0"/>
              <w:right w:val="single" w:color="auto" w:sz="4" w:space="0"/>
            </w:tcBorders>
            <w:vAlign w:val="center"/>
          </w:tcPr>
          <w:p>
            <w:pPr>
              <w:pStyle w:val="27"/>
              <w:spacing w:line="240" w:lineRule="exact"/>
              <w:ind w:left="0"/>
              <w:jc w:val="center"/>
              <w:outlineLvl w:val="0"/>
              <w:rPr>
                <w:rFonts w:ascii="宋体"/>
                <w:sz w:val="21"/>
                <w:szCs w:val="21"/>
              </w:rPr>
            </w:pPr>
            <w:r>
              <w:rPr>
                <w:rFonts w:hint="eastAsia" w:ascii="宋体"/>
                <w:sz w:val="21"/>
                <w:szCs w:val="21"/>
              </w:rPr>
              <w:t>0</w:t>
            </w:r>
            <w:r>
              <w:rPr>
                <w:rFonts w:ascii="宋体"/>
                <w:sz w:val="21"/>
                <w:szCs w:val="21"/>
              </w:rPr>
              <w:t>.9</w:t>
            </w:r>
          </w:p>
        </w:tc>
        <w:tc>
          <w:tcPr>
            <w:tcW w:w="1276" w:type="dxa"/>
            <w:tcBorders>
              <w:top w:val="single" w:color="auto" w:sz="4" w:space="0"/>
              <w:left w:val="single" w:color="auto" w:sz="4" w:space="0"/>
              <w:right w:val="single" w:color="auto" w:sz="4" w:space="0"/>
            </w:tcBorders>
            <w:vAlign w:val="center"/>
          </w:tcPr>
          <w:p>
            <w:pPr>
              <w:pStyle w:val="27"/>
              <w:spacing w:line="240" w:lineRule="exact"/>
              <w:ind w:left="0"/>
              <w:jc w:val="center"/>
              <w:outlineLvl w:val="0"/>
              <w:rPr>
                <w:rFonts w:ascii="宋体"/>
                <w:sz w:val="21"/>
                <w:szCs w:val="21"/>
              </w:rPr>
            </w:pPr>
            <w:r>
              <w:rPr>
                <w:rFonts w:ascii="宋体"/>
                <w:sz w:val="21"/>
                <w:szCs w:val="21"/>
              </w:rPr>
              <w:t>1</w:t>
            </w:r>
          </w:p>
        </w:tc>
        <w:tc>
          <w:tcPr>
            <w:tcW w:w="1842" w:type="dxa"/>
            <w:tcBorders>
              <w:top w:val="single" w:color="auto" w:sz="4" w:space="0"/>
              <w:left w:val="single" w:color="auto" w:sz="4" w:space="0"/>
              <w:right w:val="single" w:color="auto" w:sz="4" w:space="0"/>
            </w:tcBorders>
            <w:vAlign w:val="center"/>
          </w:tcPr>
          <w:p>
            <w:pPr>
              <w:pStyle w:val="27"/>
              <w:spacing w:line="240" w:lineRule="exact"/>
              <w:ind w:left="0"/>
              <w:jc w:val="center"/>
              <w:outlineLvl w:val="0"/>
              <w:rPr>
                <w:rFonts w:ascii="宋体"/>
                <w:sz w:val="21"/>
                <w:szCs w:val="21"/>
              </w:rPr>
            </w:pPr>
            <w:r>
              <w:rPr>
                <w:rFonts w:hint="eastAsia" w:ascii="宋体"/>
                <w:sz w:val="21"/>
                <w:szCs w:val="21"/>
              </w:rPr>
              <w:t>其他未列明行业</w:t>
            </w:r>
          </w:p>
        </w:tc>
      </w:tr>
      <w:bookmarkEnd w:id="8"/>
    </w:tbl>
    <w:p>
      <w:pPr>
        <w:pStyle w:val="6"/>
        <w:spacing w:before="0" w:after="0" w:line="360" w:lineRule="auto"/>
        <w:ind w:firstLine="482" w:firstLineChars="200"/>
        <w:rPr>
          <w:rFonts w:ascii="宋体"/>
          <w:sz w:val="24"/>
          <w:szCs w:val="24"/>
        </w:rPr>
      </w:pPr>
      <w:bookmarkStart w:id="9" w:name="_Toc128558892"/>
      <w:r>
        <w:rPr>
          <w:rFonts w:hint="eastAsia" w:ascii="宋体"/>
          <w:sz w:val="24"/>
          <w:szCs w:val="24"/>
        </w:rPr>
        <w:t>二、资金来源</w:t>
      </w:r>
      <w:bookmarkEnd w:id="9"/>
    </w:p>
    <w:p>
      <w:pPr>
        <w:spacing w:line="360" w:lineRule="auto"/>
        <w:ind w:firstLine="480" w:firstLineChars="200"/>
        <w:rPr>
          <w:rFonts w:ascii="宋体"/>
          <w:sz w:val="24"/>
          <w:szCs w:val="24"/>
        </w:rPr>
      </w:pPr>
      <w:r>
        <w:rPr>
          <w:rFonts w:hint="eastAsia" w:ascii="宋体"/>
          <w:sz w:val="24"/>
          <w:szCs w:val="24"/>
        </w:rPr>
        <w:t>财政预算资金,预算金额为</w:t>
      </w:r>
      <w:r>
        <w:rPr>
          <w:rFonts w:hint="eastAsia" w:ascii="宋体"/>
          <w:sz w:val="24"/>
          <w:szCs w:val="24"/>
          <w:u w:val="single"/>
        </w:rPr>
        <w:t>4</w:t>
      </w:r>
      <w:r>
        <w:rPr>
          <w:rFonts w:ascii="宋体"/>
          <w:sz w:val="24"/>
          <w:szCs w:val="24"/>
          <w:u w:val="single"/>
        </w:rPr>
        <w:t>9.5</w:t>
      </w:r>
      <w:r>
        <w:rPr>
          <w:rFonts w:hint="eastAsia" w:ascii="宋体"/>
          <w:sz w:val="24"/>
          <w:szCs w:val="24"/>
        </w:rPr>
        <w:t>万元。</w:t>
      </w:r>
    </w:p>
    <w:bookmarkEnd w:id="6"/>
    <w:bookmarkEnd w:id="7"/>
    <w:p>
      <w:pPr>
        <w:pStyle w:val="6"/>
        <w:spacing w:before="0" w:after="0" w:line="360" w:lineRule="auto"/>
        <w:ind w:firstLine="482" w:firstLineChars="200"/>
        <w:rPr>
          <w:rFonts w:ascii="宋体"/>
          <w:sz w:val="24"/>
          <w:szCs w:val="24"/>
        </w:rPr>
      </w:pPr>
      <w:bookmarkStart w:id="10" w:name="_Toc75258773"/>
      <w:bookmarkStart w:id="11" w:name="_Toc128558893"/>
      <w:r>
        <w:rPr>
          <w:rFonts w:hint="eastAsia" w:ascii="宋体"/>
          <w:sz w:val="24"/>
          <w:szCs w:val="24"/>
        </w:rPr>
        <w:t>三、供应商资格条件</w:t>
      </w:r>
      <w:bookmarkEnd w:id="10"/>
      <w:bookmarkEnd w:id="11"/>
    </w:p>
    <w:p>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pPr>
        <w:spacing w:line="360" w:lineRule="auto"/>
        <w:ind w:firstLine="480" w:firstLineChars="200"/>
        <w:rPr>
          <w:rFonts w:ascii="宋体"/>
          <w:sz w:val="24"/>
          <w:szCs w:val="24"/>
        </w:rPr>
      </w:pPr>
      <w:r>
        <w:rPr>
          <w:rFonts w:hint="eastAsia" w:ascii="宋体"/>
          <w:sz w:val="24"/>
          <w:szCs w:val="24"/>
        </w:rPr>
        <w:t>（二）本项目的特定资格条件：供应商应同时具备中国合格评定国家认可委员会认可（CNAS）资质和中国计量认证资质（CMA），且至少包含“GB-T 12572-2008 无线电发射设备参数通用要求和测量方法”标准。提供证明材料复印件加盖供应商公章。</w:t>
      </w:r>
    </w:p>
    <w:p>
      <w:pPr>
        <w:spacing w:line="360" w:lineRule="auto"/>
        <w:ind w:firstLine="480" w:firstLineChars="200"/>
        <w:rPr>
          <w:rFonts w:ascii="宋体"/>
          <w:sz w:val="24"/>
          <w:szCs w:val="24"/>
        </w:rPr>
      </w:pPr>
      <w:r>
        <w:rPr>
          <w:rFonts w:hint="eastAsia" w:ascii="宋体"/>
          <w:sz w:val="24"/>
          <w:szCs w:val="24"/>
        </w:rPr>
        <w:t>（三）落实政府采购政策需满足的资格要求：无。</w:t>
      </w:r>
    </w:p>
    <w:p>
      <w:pPr>
        <w:pStyle w:val="6"/>
        <w:spacing w:before="0" w:after="0" w:line="360" w:lineRule="auto"/>
        <w:ind w:firstLine="482" w:firstLineChars="200"/>
        <w:rPr>
          <w:rFonts w:ascii="宋体"/>
          <w:sz w:val="24"/>
          <w:szCs w:val="24"/>
        </w:rPr>
      </w:pPr>
      <w:bookmarkStart w:id="13" w:name="_Toc128558894"/>
      <w:r>
        <w:rPr>
          <w:rFonts w:hint="eastAsia" w:ascii="宋体"/>
          <w:sz w:val="24"/>
          <w:szCs w:val="24"/>
        </w:rPr>
        <w:t>四、磋商有关说明</w:t>
      </w:r>
      <w:bookmarkEnd w:id="12"/>
      <w:bookmarkEnd w:id="13"/>
    </w:p>
    <w:p>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2023</w:t>
      </w:r>
      <w:r>
        <w:rPr>
          <w:rFonts w:hint="eastAsia" w:ascii="宋体"/>
          <w:sz w:val="24"/>
          <w:szCs w:val="24"/>
        </w:rPr>
        <w:t>年</w:t>
      </w:r>
      <w:r>
        <w:rPr>
          <w:rFonts w:ascii="宋体"/>
          <w:sz w:val="24"/>
          <w:szCs w:val="24"/>
        </w:rPr>
        <w:t>3</w:t>
      </w:r>
      <w:r>
        <w:rPr>
          <w:rFonts w:hint="eastAsia" w:ascii="宋体"/>
          <w:sz w:val="24"/>
          <w:szCs w:val="24"/>
        </w:rPr>
        <w:t>月</w:t>
      </w:r>
      <w:r>
        <w:rPr>
          <w:rFonts w:ascii="宋体"/>
          <w:sz w:val="24"/>
          <w:szCs w:val="24"/>
        </w:rPr>
        <w:t>1</w:t>
      </w:r>
      <w:r>
        <w:rPr>
          <w:rFonts w:hint="eastAsia" w:ascii="宋体"/>
          <w:sz w:val="24"/>
          <w:szCs w:val="24"/>
        </w:rPr>
        <w:t>日</w:t>
      </w:r>
      <w:r>
        <w:rPr>
          <w:rFonts w:ascii="宋体"/>
          <w:sz w:val="24"/>
          <w:szCs w:val="24"/>
        </w:rPr>
        <w:t>-2023</w:t>
      </w:r>
      <w:r>
        <w:rPr>
          <w:rFonts w:hint="eastAsia" w:ascii="宋体"/>
          <w:sz w:val="24"/>
          <w:szCs w:val="24"/>
        </w:rPr>
        <w:t>年</w:t>
      </w:r>
      <w:r>
        <w:rPr>
          <w:rFonts w:ascii="宋体"/>
          <w:sz w:val="24"/>
          <w:szCs w:val="24"/>
        </w:rPr>
        <w:t>3</w:t>
      </w:r>
      <w:r>
        <w:rPr>
          <w:rFonts w:hint="eastAsia" w:ascii="宋体"/>
          <w:sz w:val="24"/>
          <w:szCs w:val="24"/>
        </w:rPr>
        <w:t>月</w:t>
      </w:r>
      <w:r>
        <w:rPr>
          <w:rFonts w:ascii="宋体"/>
          <w:sz w:val="24"/>
          <w:szCs w:val="24"/>
        </w:rPr>
        <w:t>8</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（三）竞争性磋商文件发售</w:t>
      </w:r>
    </w:p>
    <w:p>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pPr>
        <w:spacing w:line="360" w:lineRule="auto"/>
        <w:ind w:firstLine="480" w:firstLineChars="200"/>
        <w:rPr>
          <w:rFonts w:ascii="宋体" w:cs="宋体"/>
          <w:sz w:val="24"/>
          <w:szCs w:val="24"/>
        </w:rPr>
      </w:pPr>
      <w:r>
        <w:rPr>
          <w:rFonts w:hint="eastAsia" w:ascii="宋体" w:cs="宋体"/>
          <w:sz w:val="24"/>
          <w:szCs w:val="24"/>
        </w:rPr>
        <w:t>3.收款账户：</w:t>
      </w:r>
    </w:p>
    <w:p>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pPr>
        <w:spacing w:line="360" w:lineRule="auto"/>
        <w:ind w:firstLine="720" w:firstLineChars="300"/>
        <w:rPr>
          <w:rFonts w:ascii="宋体" w:cs="宋体"/>
          <w:sz w:val="24"/>
          <w:szCs w:val="24"/>
        </w:rPr>
      </w:pPr>
      <w:r>
        <w:rPr>
          <w:rFonts w:hint="eastAsia" w:ascii="宋体" w:cs="宋体"/>
          <w:sz w:val="24"/>
          <w:szCs w:val="24"/>
        </w:rPr>
        <w:t>账  号：1144 6718 4234</w:t>
      </w:r>
    </w:p>
    <w:p>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w:t>
      </w:r>
      <w:r>
        <w:rPr>
          <w:rFonts w:hint="eastAsia" w:ascii="宋体"/>
          <w:sz w:val="24"/>
          <w:szCs w:val="24"/>
        </w:rPr>
        <w:t>年</w:t>
      </w:r>
      <w:r>
        <w:rPr>
          <w:rFonts w:ascii="宋体"/>
          <w:sz w:val="24"/>
          <w:szCs w:val="24"/>
        </w:rPr>
        <w:t>3</w:t>
      </w:r>
      <w:r>
        <w:rPr>
          <w:rFonts w:hint="eastAsia" w:ascii="宋体"/>
          <w:sz w:val="24"/>
          <w:szCs w:val="24"/>
        </w:rPr>
        <w:t>月</w:t>
      </w:r>
      <w:r>
        <w:rPr>
          <w:rFonts w:ascii="宋体"/>
          <w:sz w:val="24"/>
          <w:szCs w:val="24"/>
        </w:rPr>
        <w:t>13</w:t>
      </w:r>
      <w:r>
        <w:rPr>
          <w:rFonts w:hint="eastAsia" w:ascii="宋体"/>
          <w:sz w:val="24"/>
          <w:szCs w:val="24"/>
        </w:rPr>
        <w:t>日北京时间</w:t>
      </w:r>
      <w:r>
        <w:rPr>
          <w:rFonts w:ascii="宋体"/>
          <w:sz w:val="24"/>
          <w:szCs w:val="24"/>
        </w:rPr>
        <w:t>13</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w:t>
      </w:r>
      <w:r>
        <w:rPr>
          <w:rFonts w:hint="eastAsia" w:ascii="宋体"/>
          <w:sz w:val="24"/>
          <w:szCs w:val="24"/>
        </w:rPr>
        <w:t>年</w:t>
      </w:r>
      <w:r>
        <w:rPr>
          <w:rFonts w:ascii="宋体"/>
          <w:sz w:val="24"/>
          <w:szCs w:val="24"/>
        </w:rPr>
        <w:t>3</w:t>
      </w:r>
      <w:r>
        <w:rPr>
          <w:rFonts w:hint="eastAsia" w:ascii="宋体"/>
          <w:sz w:val="24"/>
          <w:szCs w:val="24"/>
        </w:rPr>
        <w:t>月</w:t>
      </w:r>
      <w:r>
        <w:rPr>
          <w:rFonts w:ascii="宋体"/>
          <w:sz w:val="24"/>
          <w:szCs w:val="24"/>
        </w:rPr>
        <w:t>13</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pStyle w:val="6"/>
        <w:spacing w:before="0" w:after="0" w:line="360" w:lineRule="auto"/>
        <w:ind w:firstLine="482" w:firstLineChars="200"/>
        <w:rPr>
          <w:rFonts w:ascii="宋体"/>
          <w:sz w:val="24"/>
          <w:szCs w:val="24"/>
        </w:rPr>
      </w:pPr>
      <w:bookmarkStart w:id="14" w:name="_Toc128558895"/>
      <w:bookmarkStart w:id="15" w:name="_Toc75258775"/>
      <w:bookmarkStart w:id="16" w:name="_Toc373860294"/>
      <w:r>
        <w:rPr>
          <w:rFonts w:hint="eastAsia" w:ascii="宋体"/>
          <w:sz w:val="24"/>
          <w:szCs w:val="24"/>
        </w:rPr>
        <w:t>五、磋商保证金</w:t>
      </w:r>
      <w:bookmarkEnd w:id="14"/>
      <w:bookmarkEnd w:id="15"/>
      <w:bookmarkEnd w:id="16"/>
    </w:p>
    <w:p>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），由供应商从其单位账户将磋商保证金汇至以下任一账户，磋商保证金的到账截止时间为202</w:t>
      </w:r>
      <w:r>
        <w:rPr>
          <w:rFonts w:ascii="宋体"/>
          <w:sz w:val="24"/>
          <w:szCs w:val="24"/>
        </w:rPr>
        <w:t>3</w:t>
      </w:r>
      <w:r>
        <w:rPr>
          <w:rFonts w:hint="eastAsia" w:ascii="宋体"/>
          <w:sz w:val="24"/>
          <w:szCs w:val="24"/>
        </w:rPr>
        <w:t>年</w:t>
      </w:r>
      <w:r>
        <w:rPr>
          <w:rFonts w:ascii="宋体"/>
          <w:sz w:val="24"/>
          <w:szCs w:val="24"/>
        </w:rPr>
        <w:t>3</w:t>
      </w:r>
      <w:r>
        <w:rPr>
          <w:rFonts w:hint="eastAsia" w:ascii="宋体"/>
          <w:sz w:val="24"/>
          <w:szCs w:val="24"/>
        </w:rPr>
        <w:t>月</w:t>
      </w:r>
      <w:r>
        <w:rPr>
          <w:rFonts w:ascii="宋体"/>
          <w:sz w:val="24"/>
          <w:szCs w:val="24"/>
        </w:rPr>
        <w:t>12</w:t>
      </w:r>
      <w:r>
        <w:rPr>
          <w:rFonts w:hint="eastAsia" w:ascii="宋体"/>
          <w:sz w:val="24"/>
          <w:szCs w:val="24"/>
        </w:rPr>
        <w:t>日17:00。缴纳保证金时必须备注项目号。</w:t>
      </w:r>
    </w:p>
    <w:p>
      <w:pPr>
        <w:snapToGrid w:val="0"/>
        <w:spacing w:line="360" w:lineRule="auto"/>
        <w:ind w:firstLine="480" w:firstLineChars="200"/>
        <w:rPr>
          <w:rFonts w:ascii="宋体"/>
          <w:sz w:val="24"/>
          <w:szCs w:val="24"/>
        </w:rPr>
      </w:pPr>
      <w:r>
        <w:rPr>
          <w:rFonts w:hint="eastAsia" w:ascii="宋体"/>
          <w:sz w:val="24"/>
          <w:szCs w:val="24"/>
        </w:rPr>
        <w:t>投标保证金账户：</w:t>
      </w:r>
    </w:p>
    <w:p>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pPr>
        <w:snapToGrid w:val="0"/>
        <w:spacing w:line="360" w:lineRule="auto"/>
        <w:ind w:firstLine="480" w:firstLineChars="200"/>
        <w:rPr>
          <w:rFonts w:ascii="宋体"/>
          <w:sz w:val="24"/>
          <w:szCs w:val="24"/>
        </w:rPr>
      </w:pPr>
      <w:r>
        <w:rPr>
          <w:rFonts w:hint="eastAsia" w:ascii="宋体"/>
          <w:sz w:val="24"/>
          <w:szCs w:val="24"/>
        </w:rPr>
        <w:t>账  号：1144 6718 4234</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sz w:val="24"/>
          <w:szCs w:val="24"/>
        </w:rPr>
      </w:pPr>
      <w:r>
        <w:rPr>
          <w:rFonts w:hint="eastAsia" w:ascii="宋体"/>
          <w:sz w:val="24"/>
          <w:szCs w:val="24"/>
        </w:rPr>
        <w:t>咨询电话：（023）88758852。</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sz w:val="24"/>
          <w:szCs w:val="24"/>
        </w:rPr>
      </w:pPr>
      <w:r>
        <w:rPr>
          <w:rFonts w:hint="eastAsia" w:ascii="宋体"/>
          <w:sz w:val="24"/>
          <w:szCs w:val="24"/>
        </w:rPr>
        <w:t>咨询电话：（023）88758852。</w:t>
      </w:r>
    </w:p>
    <w:p>
      <w:pPr>
        <w:pStyle w:val="6"/>
        <w:spacing w:before="0" w:after="0" w:line="360" w:lineRule="auto"/>
        <w:ind w:firstLine="482" w:firstLineChars="200"/>
        <w:rPr>
          <w:rFonts w:ascii="宋体"/>
          <w:sz w:val="24"/>
          <w:szCs w:val="24"/>
        </w:rPr>
      </w:pPr>
      <w:bookmarkStart w:id="18" w:name="_Toc75258776"/>
      <w:bookmarkStart w:id="19" w:name="_Toc128558896"/>
      <w:r>
        <w:rPr>
          <w:rFonts w:hint="eastAsia" w:ascii="宋体"/>
          <w:sz w:val="24"/>
          <w:szCs w:val="24"/>
        </w:rPr>
        <w:t>六、采购项目需落实的政府采购政策</w:t>
      </w:r>
      <w:bookmarkEnd w:id="17"/>
      <w:bookmarkEnd w:id="18"/>
      <w:bookmarkEnd w:id="19"/>
    </w:p>
    <w:p>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pPr>
        <w:pStyle w:val="6"/>
        <w:spacing w:before="0" w:after="0" w:line="360" w:lineRule="auto"/>
        <w:ind w:firstLine="482" w:firstLineChars="200"/>
        <w:rPr>
          <w:rFonts w:ascii="宋体"/>
          <w:sz w:val="24"/>
          <w:szCs w:val="24"/>
        </w:rPr>
      </w:pPr>
      <w:bookmarkStart w:id="20" w:name="_Toc128558897"/>
      <w:bookmarkStart w:id="21" w:name="_Toc75258777"/>
      <w:r>
        <w:rPr>
          <w:rFonts w:hint="eastAsia" w:ascii="宋体"/>
          <w:sz w:val="24"/>
          <w:szCs w:val="24"/>
        </w:rPr>
        <w:t>七、其它有关规定</w:t>
      </w:r>
      <w:bookmarkEnd w:id="20"/>
      <w:bookmarkEnd w:id="21"/>
    </w:p>
    <w:p>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pPr>
        <w:snapToGrid w:val="0"/>
        <w:spacing w:line="360" w:lineRule="auto"/>
        <w:ind w:firstLine="480" w:firstLineChars="200"/>
        <w:rPr>
          <w:rFonts w:ascii="宋体"/>
          <w:sz w:val="24"/>
          <w:szCs w:val="24"/>
        </w:rPr>
      </w:pPr>
      <w:r>
        <w:rPr>
          <w:rFonts w:hint="eastAsia" w:ascii="宋体"/>
          <w:sz w:val="24"/>
          <w:szCs w:val="24"/>
        </w:rPr>
        <w:t>（七）本项目不接受合同分包。</w:t>
      </w:r>
    </w:p>
    <w:p>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sz w:val="24"/>
          <w:szCs w:val="24"/>
        </w:rPr>
      </w:pPr>
      <w:bookmarkStart w:id="22" w:name="_Toc128558898"/>
      <w:r>
        <w:rPr>
          <w:rFonts w:hint="eastAsia" w:ascii="宋体" w:hAnsi="宋体"/>
          <w:sz w:val="24"/>
          <w:szCs w:val="24"/>
        </w:rPr>
        <w:t>八、联系方式</w:t>
      </w:r>
      <w:bookmarkEnd w:id="22"/>
    </w:p>
    <w:p>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pPr>
        <w:snapToGrid w:val="0"/>
        <w:spacing w:line="360" w:lineRule="auto"/>
        <w:ind w:firstLine="480" w:firstLineChars="200"/>
        <w:rPr>
          <w:rFonts w:ascii="宋体"/>
          <w:sz w:val="24"/>
          <w:szCs w:val="24"/>
        </w:rPr>
      </w:pPr>
      <w:r>
        <w:rPr>
          <w:rFonts w:hint="eastAsia" w:ascii="宋体"/>
          <w:sz w:val="24"/>
          <w:szCs w:val="24"/>
        </w:rPr>
        <w:t>联系人：罗国兰</w:t>
      </w:r>
    </w:p>
    <w:p>
      <w:pPr>
        <w:snapToGrid w:val="0"/>
        <w:spacing w:line="360" w:lineRule="auto"/>
        <w:ind w:firstLine="480" w:firstLineChars="200"/>
        <w:rPr>
          <w:rFonts w:ascii="宋体"/>
          <w:sz w:val="24"/>
          <w:szCs w:val="24"/>
        </w:rPr>
      </w:pPr>
      <w:r>
        <w:rPr>
          <w:rFonts w:hint="eastAsia" w:ascii="宋体"/>
          <w:sz w:val="24"/>
          <w:szCs w:val="24"/>
        </w:rPr>
        <w:t xml:space="preserve">电  话：023-67710873 </w:t>
      </w:r>
    </w:p>
    <w:p>
      <w:pPr>
        <w:snapToGrid w:val="0"/>
        <w:spacing w:line="360" w:lineRule="auto"/>
        <w:ind w:firstLine="480" w:firstLineChars="200"/>
        <w:rPr>
          <w:rFonts w:ascii="宋体"/>
          <w:sz w:val="24"/>
          <w:szCs w:val="24"/>
        </w:rPr>
      </w:pPr>
      <w:r>
        <w:rPr>
          <w:rFonts w:hint="eastAsia" w:ascii="宋体"/>
          <w:sz w:val="24"/>
          <w:szCs w:val="24"/>
        </w:rPr>
        <w:t>传  真：023-67710873</w:t>
      </w:r>
    </w:p>
    <w:p>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联系人：游建伟、胡琳</w:t>
      </w:r>
    </w:p>
    <w:p>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pPr>
        <w:snapToGrid w:val="0"/>
        <w:spacing w:line="360" w:lineRule="auto"/>
        <w:ind w:firstLine="480" w:firstLineChars="200"/>
        <w:rPr>
          <w:rFonts w:ascii="宋体"/>
          <w:sz w:val="24"/>
          <w:szCs w:val="24"/>
        </w:rPr>
      </w:pPr>
      <w:r>
        <w:rPr>
          <w:rFonts w:hint="eastAsia" w:ascii="宋体"/>
          <w:sz w:val="24"/>
          <w:szCs w:val="24"/>
        </w:rPr>
        <w:t>传  真：（023）88505947</w:t>
      </w:r>
    </w:p>
    <w:p>
      <w:pPr>
        <w:snapToGrid w:val="0"/>
        <w:spacing w:line="360" w:lineRule="auto"/>
        <w:ind w:firstLine="480" w:firstLineChars="200"/>
        <w:rPr>
          <w:rFonts w:ascii="宋体"/>
          <w:sz w:val="24"/>
          <w:szCs w:val="24"/>
        </w:rPr>
      </w:pPr>
      <w:bookmarkStart w:id="23" w:name="_Toc180051219"/>
      <w:bookmarkStart w:id="24" w:name="_Toc178828108"/>
      <w:bookmarkStart w:id="25" w:name="_Toc216163282"/>
      <w:r>
        <w:rPr>
          <w:rFonts w:hint="eastAsia" w:ascii="宋体"/>
          <w:sz w:val="24"/>
          <w:szCs w:val="24"/>
        </w:rPr>
        <w:t>地  址：重庆市渝北区财富大道2号财富大厦A座9楼</w:t>
      </w:r>
    </w:p>
    <w:p>
      <w:pPr>
        <w:pStyle w:val="2"/>
      </w:pPr>
    </w:p>
    <w:p>
      <w:pPr>
        <w:pStyle w:val="3"/>
      </w:pPr>
    </w:p>
    <w:bookmarkEnd w:id="23"/>
    <w:bookmarkEnd w:id="24"/>
    <w:bookmarkEnd w:id="25"/>
    <w:p>
      <w:pPr>
        <w:pStyle w:val="5"/>
        <w:pageBreakBefore/>
        <w:spacing w:line="360" w:lineRule="auto"/>
        <w:jc w:val="center"/>
        <w:rPr>
          <w:rFonts w:ascii="宋体" w:eastAsia="宋体"/>
          <w:sz w:val="36"/>
          <w:szCs w:val="30"/>
        </w:rPr>
      </w:pPr>
      <w:bookmarkStart w:id="26" w:name="_Toc128558899"/>
      <w:r>
        <w:rPr>
          <w:rFonts w:hint="eastAsia" w:ascii="宋体" w:eastAsia="宋体"/>
          <w:sz w:val="36"/>
          <w:szCs w:val="30"/>
        </w:rPr>
        <w:t>第二篇  项目服务需求</w:t>
      </w:r>
      <w:bookmarkEnd w:id="26"/>
    </w:p>
    <w:p>
      <w:pPr>
        <w:snapToGrid w:val="0"/>
        <w:spacing w:line="360" w:lineRule="auto"/>
        <w:ind w:firstLine="422" w:firstLineChars="200"/>
        <w:rPr>
          <w:rFonts w:ascii="宋体" w:hAnsi="宋体"/>
          <w:b/>
          <w:sz w:val="21"/>
          <w:szCs w:val="21"/>
        </w:rPr>
      </w:pPr>
      <w:bookmarkStart w:id="27" w:name="_Toc12789058"/>
      <w:r>
        <w:rPr>
          <w:rFonts w:ascii="宋体" w:hAnsi="宋体"/>
          <w:b/>
          <w:sz w:val="21"/>
          <w:szCs w:val="21"/>
        </w:rPr>
        <w:t>“※”标注的要求为符合性审查中的实质性要求，响应文件若不满足按无效投标处理。</w:t>
      </w:r>
    </w:p>
    <w:p>
      <w:pPr>
        <w:snapToGrid w:val="0"/>
        <w:spacing w:line="360" w:lineRule="auto"/>
        <w:ind w:firstLine="422" w:firstLineChars="200"/>
        <w:rPr>
          <w:rFonts w:ascii="宋体" w:hAnsi="宋体"/>
          <w:b/>
          <w:sz w:val="21"/>
          <w:szCs w:val="21"/>
        </w:rPr>
      </w:pPr>
      <w:r>
        <w:rPr>
          <w:rFonts w:hint="eastAsia" w:ascii="宋体" w:hAnsi="宋体"/>
          <w:b/>
          <w:sz w:val="21"/>
          <w:szCs w:val="21"/>
        </w:rPr>
        <w:t>“</w:t>
      </w:r>
      <w:r>
        <w:rPr>
          <w:rFonts w:hint="eastAsia" w:ascii="宋体" w:hAnsi="宋体"/>
          <w:sz w:val="24"/>
          <w:szCs w:val="24"/>
        </w:rPr>
        <w:t>★</w:t>
      </w:r>
      <w:r>
        <w:rPr>
          <w:rFonts w:hint="eastAsia" w:ascii="宋体" w:hAnsi="宋体"/>
          <w:b/>
          <w:sz w:val="21"/>
          <w:szCs w:val="21"/>
        </w:rPr>
        <w:t>”标注的要求为重要技术需求，若不满足将按照评标因素中相关规定处理。</w:t>
      </w:r>
    </w:p>
    <w:p>
      <w:pPr>
        <w:pStyle w:val="6"/>
        <w:spacing w:before="0" w:after="0" w:line="360" w:lineRule="auto"/>
        <w:ind w:firstLine="482" w:firstLineChars="200"/>
        <w:rPr>
          <w:rFonts w:ascii="宋体"/>
          <w:sz w:val="24"/>
          <w:szCs w:val="24"/>
        </w:rPr>
      </w:pPr>
      <w:bookmarkStart w:id="28" w:name="_Toc67990372"/>
      <w:bookmarkStart w:id="29" w:name="_Toc128558900"/>
      <w:bookmarkStart w:id="30" w:name="_Toc23843659"/>
      <w:bookmarkStart w:id="31" w:name="_Toc98855994"/>
      <w:bookmarkStart w:id="32" w:name="_Toc51854594"/>
      <w:bookmarkStart w:id="33" w:name="_Toc82422009"/>
      <w:r>
        <w:rPr>
          <w:rFonts w:hint="eastAsia" w:ascii="宋体"/>
          <w:sz w:val="24"/>
          <w:szCs w:val="24"/>
        </w:rPr>
        <w:t>一、项目技术需求</w:t>
      </w:r>
      <w:bookmarkEnd w:id="28"/>
      <w:bookmarkEnd w:id="29"/>
      <w:bookmarkEnd w:id="30"/>
    </w:p>
    <w:p>
      <w:pPr>
        <w:snapToGrid w:val="0"/>
        <w:spacing w:line="360" w:lineRule="auto"/>
        <w:ind w:firstLine="482" w:firstLineChars="200"/>
        <w:rPr>
          <w:rFonts w:ascii="宋体"/>
          <w:b/>
          <w:bCs/>
          <w:sz w:val="24"/>
          <w:szCs w:val="24"/>
        </w:rPr>
      </w:pPr>
      <w:bookmarkStart w:id="34" w:name="_Hlk127199554"/>
      <w:r>
        <w:rPr>
          <w:rFonts w:hint="eastAsia" w:ascii="宋体"/>
          <w:b/>
          <w:bCs/>
          <w:sz w:val="24"/>
          <w:szCs w:val="24"/>
        </w:rPr>
        <w:t>（一）项目概况</w:t>
      </w:r>
    </w:p>
    <w:p>
      <w:pPr>
        <w:snapToGrid w:val="0"/>
        <w:spacing w:line="360" w:lineRule="auto"/>
        <w:ind w:firstLine="480" w:firstLineChars="200"/>
        <w:rPr>
          <w:rFonts w:ascii="宋体"/>
          <w:sz w:val="24"/>
          <w:szCs w:val="24"/>
        </w:rPr>
      </w:pPr>
      <w:r>
        <w:rPr>
          <w:rFonts w:hint="eastAsia" w:ascii="宋体"/>
          <w:sz w:val="24"/>
          <w:szCs w:val="24"/>
        </w:rPr>
        <w:t>根据市经济信息委《重庆市经济和信息化委员会关于组织开展</w:t>
      </w:r>
      <w:r>
        <w:rPr>
          <w:rFonts w:ascii="宋体"/>
          <w:sz w:val="24"/>
          <w:szCs w:val="24"/>
        </w:rPr>
        <w:t>2023</w:t>
      </w:r>
      <w:r>
        <w:rPr>
          <w:rFonts w:hint="eastAsia" w:ascii="宋体"/>
          <w:sz w:val="24"/>
          <w:szCs w:val="24"/>
        </w:rPr>
        <w:t>年无线电管理技术支撑工作的通知》渝经信无管〔2</w:t>
      </w:r>
      <w:r>
        <w:rPr>
          <w:rFonts w:ascii="宋体"/>
          <w:sz w:val="24"/>
          <w:szCs w:val="24"/>
        </w:rPr>
        <w:t>023</w:t>
      </w:r>
      <w:r>
        <w:rPr>
          <w:rFonts w:hint="eastAsia" w:ascii="宋体"/>
          <w:sz w:val="24"/>
          <w:szCs w:val="24"/>
        </w:rPr>
        <w:t>〕5号以及《重庆市经济和信息化委员会关于印发2023年重庆市无线电频率台站监督检查工作方案的通知》渝经信无管〔2023〕6号相关要求，我站将组织开展</w:t>
      </w:r>
      <w:r>
        <w:rPr>
          <w:rFonts w:ascii="宋体"/>
          <w:sz w:val="24"/>
          <w:szCs w:val="24"/>
        </w:rPr>
        <w:t>2023</w:t>
      </w:r>
      <w:r>
        <w:rPr>
          <w:rFonts w:hint="eastAsia" w:ascii="宋体"/>
          <w:sz w:val="24"/>
          <w:szCs w:val="24"/>
        </w:rPr>
        <w:t>年无线电频率台站监测检测和公众移动通信系统无线电频率使用率评价等工作，通过采购技术服务，协助开展相关工作，进一步加强和规范无线电频率使用和在用无线电台站事中事后监管，提高无线电频率使用效率，促进频谱资源的有效利用，维护空中电波秩序。</w:t>
      </w:r>
    </w:p>
    <w:p>
      <w:pPr>
        <w:snapToGrid w:val="0"/>
        <w:spacing w:line="360" w:lineRule="auto"/>
        <w:ind w:firstLine="482" w:firstLineChars="200"/>
        <w:rPr>
          <w:rFonts w:ascii="宋体"/>
          <w:b/>
          <w:bCs/>
          <w:sz w:val="24"/>
          <w:szCs w:val="24"/>
        </w:rPr>
      </w:pPr>
      <w:r>
        <w:rPr>
          <w:rFonts w:hint="eastAsia" w:ascii="宋体"/>
          <w:b/>
          <w:bCs/>
          <w:sz w:val="24"/>
          <w:szCs w:val="24"/>
        </w:rPr>
        <w:t>（二）频率台站</w:t>
      </w:r>
      <w:bookmarkEnd w:id="34"/>
      <w:r>
        <w:rPr>
          <w:rFonts w:hint="eastAsia" w:ascii="宋体"/>
          <w:b/>
          <w:bCs/>
          <w:sz w:val="24"/>
          <w:szCs w:val="24"/>
        </w:rPr>
        <w:t>监测检测</w:t>
      </w:r>
    </w:p>
    <w:p>
      <w:pPr>
        <w:snapToGrid w:val="0"/>
        <w:spacing w:line="360" w:lineRule="auto"/>
        <w:ind w:firstLine="480" w:firstLineChars="200"/>
        <w:rPr>
          <w:rFonts w:ascii="宋体"/>
          <w:sz w:val="24"/>
          <w:szCs w:val="24"/>
        </w:rPr>
      </w:pPr>
      <w:r>
        <w:rPr>
          <w:rFonts w:ascii="宋体"/>
          <w:sz w:val="24"/>
          <w:szCs w:val="24"/>
        </w:rPr>
        <w:t xml:space="preserve">1. </w:t>
      </w:r>
      <w:r>
        <w:rPr>
          <w:rFonts w:hint="eastAsia" w:ascii="宋体"/>
          <w:sz w:val="24"/>
          <w:szCs w:val="24"/>
        </w:rPr>
        <w:t>工作内容</w:t>
      </w:r>
    </w:p>
    <w:p>
      <w:pPr>
        <w:snapToGrid w:val="0"/>
        <w:spacing w:line="360" w:lineRule="auto"/>
        <w:ind w:firstLine="480" w:firstLineChars="200"/>
        <w:rPr>
          <w:rFonts w:ascii="宋体"/>
          <w:sz w:val="24"/>
          <w:szCs w:val="24"/>
        </w:rPr>
      </w:pPr>
      <w:r>
        <w:rPr>
          <w:rFonts w:hint="eastAsia" w:ascii="宋体" w:hAnsi="宋体"/>
          <w:sz w:val="24"/>
          <w:szCs w:val="24"/>
        </w:rPr>
        <w:t>★</w:t>
      </w:r>
      <w:r>
        <w:rPr>
          <w:rFonts w:hint="eastAsia" w:ascii="宋体"/>
          <w:sz w:val="24"/>
          <w:szCs w:val="24"/>
        </w:rPr>
        <w:t>按照市经信委无管局下达任务要求，协助采购人完成无线电频率使用和在用无线电台（站）监测检测，全年完成不少于40家频率台站监测检测，实际检查家数以及具体清单以无管局下达的任务为准。</w:t>
      </w:r>
    </w:p>
    <w:p>
      <w:pPr>
        <w:snapToGrid w:val="0"/>
        <w:spacing w:line="360" w:lineRule="auto"/>
        <w:ind w:firstLine="480" w:firstLineChars="200"/>
        <w:rPr>
          <w:rFonts w:ascii="宋体"/>
          <w:sz w:val="24"/>
          <w:szCs w:val="24"/>
        </w:rPr>
      </w:pPr>
      <w:r>
        <w:rPr>
          <w:rFonts w:ascii="宋体"/>
          <w:sz w:val="24"/>
          <w:szCs w:val="24"/>
        </w:rPr>
        <w:t>1.1</w:t>
      </w:r>
      <w:r>
        <w:rPr>
          <w:rFonts w:hint="eastAsia" w:ascii="宋体"/>
          <w:sz w:val="24"/>
          <w:szCs w:val="24"/>
        </w:rPr>
        <w:t>无线电频率使用</w:t>
      </w:r>
    </w:p>
    <w:p>
      <w:pPr>
        <w:snapToGrid w:val="0"/>
        <w:spacing w:line="360" w:lineRule="auto"/>
        <w:ind w:firstLine="480" w:firstLineChars="200"/>
        <w:rPr>
          <w:rFonts w:ascii="宋体"/>
          <w:sz w:val="24"/>
          <w:szCs w:val="24"/>
        </w:rPr>
      </w:pPr>
      <w:r>
        <w:rPr>
          <w:rFonts w:hint="eastAsia" w:ascii="宋体"/>
          <w:sz w:val="24"/>
          <w:szCs w:val="24"/>
        </w:rPr>
        <w:t>a.制定方案：根据工作要求和频率使用情况，制定监测检测方案，准备相关资料，包含测试人员、设备设施、方法标准、测试方式、测试地点等。</w:t>
      </w:r>
    </w:p>
    <w:p>
      <w:pPr>
        <w:snapToGrid w:val="0"/>
        <w:spacing w:line="360" w:lineRule="auto"/>
        <w:ind w:firstLine="480" w:firstLineChars="200"/>
        <w:rPr>
          <w:rFonts w:ascii="宋体"/>
          <w:sz w:val="24"/>
          <w:szCs w:val="24"/>
        </w:rPr>
      </w:pPr>
      <w:r>
        <w:rPr>
          <w:rFonts w:hint="eastAsia" w:ascii="宋体"/>
          <w:sz w:val="24"/>
          <w:szCs w:val="24"/>
        </w:rPr>
        <w:t>b.监测检测：包括开展无线电频率使用率测试、电磁环境测试、不明信号核实等。根据方案开展固定监测与移动监测，其中固定监测可结合监测结果和待测频段高峰业务时间段，动态调整监测时间。开展移动监测时，为确保区域覆盖率的监测精度，应针对重点待测频段的覆盖情况，结合监测结果及时调整监测路线等。测试数据应包括频率、电平、时间、经纬度等，数据应便于读取。</w:t>
      </w:r>
    </w:p>
    <w:p>
      <w:pPr>
        <w:snapToGrid w:val="0"/>
        <w:spacing w:line="360" w:lineRule="auto"/>
        <w:ind w:firstLine="480" w:firstLineChars="200"/>
        <w:rPr>
          <w:rFonts w:ascii="宋体"/>
          <w:sz w:val="24"/>
          <w:szCs w:val="24"/>
        </w:rPr>
      </w:pPr>
      <w:r>
        <w:rPr>
          <w:rFonts w:hint="eastAsia" w:ascii="宋体"/>
          <w:sz w:val="24"/>
          <w:szCs w:val="24"/>
        </w:rPr>
        <w:t>c.现场检查：协助核查使用频率、使用地域、业务用途、使用期限、使用率要求等。</w:t>
      </w:r>
    </w:p>
    <w:p>
      <w:pPr>
        <w:snapToGrid w:val="0"/>
        <w:spacing w:line="360" w:lineRule="auto"/>
        <w:ind w:firstLine="480" w:firstLineChars="200"/>
        <w:rPr>
          <w:rFonts w:ascii="宋体"/>
          <w:sz w:val="24"/>
          <w:szCs w:val="24"/>
        </w:rPr>
      </w:pPr>
      <w:r>
        <w:rPr>
          <w:rFonts w:hint="eastAsia" w:ascii="宋体"/>
          <w:sz w:val="24"/>
          <w:szCs w:val="24"/>
        </w:rPr>
        <w:t>d.报告编制：结合现场检查和监测检测情况，计算分析相关数据，提交监测检测报告。结合台站数据库和现场检查情况，分别从频段占用度、年时间占用度、区域覆盖率、用户承载率等方面对被检查单位业务系统进行频率使用率评价；结合现场调查核实情况和电磁环境测试报告分析被检查单位的实际用频情况</w:t>
      </w:r>
    </w:p>
    <w:p>
      <w:pPr>
        <w:snapToGrid w:val="0"/>
        <w:spacing w:line="360" w:lineRule="auto"/>
        <w:ind w:firstLine="480" w:firstLineChars="200"/>
        <w:rPr>
          <w:rFonts w:ascii="宋体"/>
          <w:sz w:val="24"/>
          <w:szCs w:val="24"/>
        </w:rPr>
      </w:pPr>
      <w:r>
        <w:rPr>
          <w:rFonts w:ascii="宋体"/>
          <w:sz w:val="24"/>
          <w:szCs w:val="24"/>
        </w:rPr>
        <w:t xml:space="preserve">1.2 </w:t>
      </w:r>
      <w:r>
        <w:rPr>
          <w:rFonts w:hint="eastAsia" w:ascii="宋体"/>
          <w:sz w:val="24"/>
          <w:szCs w:val="24"/>
        </w:rPr>
        <w:t>在用无线电台站</w:t>
      </w:r>
    </w:p>
    <w:p>
      <w:pPr>
        <w:snapToGrid w:val="0"/>
        <w:spacing w:line="360" w:lineRule="auto"/>
        <w:ind w:firstLine="480" w:firstLineChars="200"/>
        <w:rPr>
          <w:rFonts w:ascii="宋体"/>
          <w:sz w:val="24"/>
          <w:szCs w:val="24"/>
        </w:rPr>
      </w:pPr>
      <w:r>
        <w:rPr>
          <w:rFonts w:hint="eastAsia" w:ascii="宋体"/>
          <w:sz w:val="24"/>
          <w:szCs w:val="24"/>
        </w:rPr>
        <w:t>a.制定方案：根据工作要求和台站设置情况，制定监测检测方案，准备相关资料，包含测试人员、测试参数、设备设施、方法标准、测试方式等。</w:t>
      </w:r>
    </w:p>
    <w:p>
      <w:pPr>
        <w:snapToGrid w:val="0"/>
        <w:spacing w:line="360" w:lineRule="auto"/>
        <w:ind w:firstLine="480" w:firstLineChars="200"/>
        <w:rPr>
          <w:rFonts w:ascii="宋体"/>
          <w:sz w:val="24"/>
          <w:szCs w:val="24"/>
        </w:rPr>
      </w:pPr>
      <w:r>
        <w:rPr>
          <w:rFonts w:hint="eastAsia" w:ascii="宋体"/>
          <w:sz w:val="24"/>
          <w:szCs w:val="24"/>
        </w:rPr>
        <w:t>b.监测检测：测试发射频点/频率范围、发射功率、占用带宽，核查发射设备及天线，包括发射设备型号核准代码、天线距地高度等。</w:t>
      </w:r>
    </w:p>
    <w:p>
      <w:pPr>
        <w:snapToGrid w:val="0"/>
        <w:spacing w:line="360" w:lineRule="auto"/>
        <w:ind w:firstLine="480" w:firstLineChars="200"/>
        <w:rPr>
          <w:rFonts w:ascii="宋体"/>
          <w:sz w:val="24"/>
          <w:szCs w:val="24"/>
        </w:rPr>
      </w:pPr>
      <w:r>
        <w:rPr>
          <w:rFonts w:hint="eastAsia" w:ascii="宋体"/>
          <w:sz w:val="24"/>
          <w:szCs w:val="24"/>
        </w:rPr>
        <w:t>c.现场检查：协助核查台站基本信息，包括执照编号、有效期、台站名称、台站设置使用人、台站使用区域、地理位置等。</w:t>
      </w:r>
    </w:p>
    <w:p>
      <w:pPr>
        <w:snapToGrid w:val="0"/>
        <w:spacing w:line="360" w:lineRule="auto"/>
        <w:ind w:firstLine="480" w:firstLineChars="200"/>
        <w:rPr>
          <w:rFonts w:ascii="宋体"/>
          <w:sz w:val="24"/>
          <w:szCs w:val="24"/>
        </w:rPr>
      </w:pPr>
      <w:r>
        <w:rPr>
          <w:rFonts w:hint="eastAsia" w:ascii="宋体"/>
          <w:sz w:val="24"/>
          <w:szCs w:val="24"/>
        </w:rPr>
        <w:t>d.报告编制：结合现场检查和监测检测情况，计算分析相关数据，提交监测检测报告。从执照核查数据、位置核查数据、型号核准及其标识核查数据、设备标识和天线参数核查数据、发射技术参数测试数据、使用场景等方面对被检查单位台（站）进行梳理，评估设台单位在台站使用中存在的问题。</w:t>
      </w:r>
    </w:p>
    <w:p>
      <w:pPr>
        <w:snapToGrid w:val="0"/>
        <w:spacing w:line="360" w:lineRule="auto"/>
        <w:ind w:firstLine="482" w:firstLineChars="200"/>
        <w:rPr>
          <w:rFonts w:ascii="宋体"/>
          <w:b/>
          <w:bCs/>
          <w:sz w:val="24"/>
          <w:szCs w:val="24"/>
        </w:rPr>
      </w:pPr>
      <w:bookmarkStart w:id="35" w:name="_Hlk127199581"/>
      <w:r>
        <w:rPr>
          <w:rFonts w:hint="eastAsia" w:ascii="宋体"/>
          <w:b/>
          <w:bCs/>
          <w:sz w:val="24"/>
          <w:szCs w:val="24"/>
        </w:rPr>
        <w:t>（三）</w:t>
      </w:r>
      <w:bookmarkStart w:id="36" w:name="_Hlk128387750"/>
      <w:r>
        <w:rPr>
          <w:rFonts w:hint="eastAsia" w:ascii="宋体"/>
          <w:b/>
          <w:bCs/>
          <w:sz w:val="24"/>
          <w:szCs w:val="24"/>
        </w:rPr>
        <w:t>公众移动通信系统无线电频率使用率评价</w:t>
      </w:r>
      <w:bookmarkEnd w:id="36"/>
    </w:p>
    <w:bookmarkEnd w:id="35"/>
    <w:p>
      <w:pPr>
        <w:snapToGrid w:val="0"/>
        <w:spacing w:line="360" w:lineRule="auto"/>
        <w:ind w:firstLine="480" w:firstLineChars="200"/>
        <w:rPr>
          <w:rFonts w:ascii="宋体"/>
          <w:sz w:val="24"/>
          <w:szCs w:val="24"/>
        </w:rPr>
      </w:pPr>
      <w:r>
        <w:rPr>
          <w:rFonts w:hint="eastAsia" w:ascii="宋体" w:hAnsi="宋体"/>
          <w:sz w:val="24"/>
          <w:szCs w:val="24"/>
        </w:rPr>
        <w:t>★</w:t>
      </w:r>
      <w:r>
        <w:rPr>
          <w:rFonts w:ascii="宋体"/>
          <w:sz w:val="24"/>
          <w:szCs w:val="24"/>
        </w:rPr>
        <w:t xml:space="preserve">1. </w:t>
      </w:r>
      <w:r>
        <w:rPr>
          <w:rFonts w:hint="eastAsia" w:ascii="宋体"/>
          <w:sz w:val="24"/>
          <w:szCs w:val="24"/>
        </w:rPr>
        <w:t>总体要求</w:t>
      </w:r>
    </w:p>
    <w:p>
      <w:pPr>
        <w:snapToGrid w:val="0"/>
        <w:spacing w:line="360" w:lineRule="auto"/>
        <w:ind w:firstLine="480" w:firstLineChars="200"/>
        <w:rPr>
          <w:rFonts w:ascii="宋体"/>
          <w:sz w:val="24"/>
          <w:szCs w:val="24"/>
        </w:rPr>
      </w:pPr>
      <w:r>
        <w:rPr>
          <w:rFonts w:hint="eastAsia" w:ascii="宋体"/>
          <w:sz w:val="24"/>
          <w:szCs w:val="24"/>
        </w:rPr>
        <w:t>根据市经信委无管局下达任务以及《公众移动通信系统无线电频率使用率评价工作实施办法（试行）》文件要求，协助采购人开展公众移动通信系统无线电频率使用率评价工作。包括完成基站数据采集、计算分析和指标评价，无线电监测检测，指标验证，提交工作报告。</w:t>
      </w:r>
    </w:p>
    <w:p>
      <w:pPr>
        <w:snapToGrid w:val="0"/>
        <w:spacing w:line="360" w:lineRule="auto"/>
        <w:ind w:firstLine="480" w:firstLineChars="200"/>
        <w:rPr>
          <w:rFonts w:ascii="宋体"/>
          <w:sz w:val="24"/>
          <w:szCs w:val="24"/>
        </w:rPr>
      </w:pPr>
      <w:r>
        <w:rPr>
          <w:rFonts w:hint="eastAsia" w:ascii="宋体"/>
          <w:sz w:val="24"/>
          <w:szCs w:val="24"/>
        </w:rPr>
        <w:t>2</w:t>
      </w:r>
      <w:r>
        <w:rPr>
          <w:rFonts w:ascii="宋体"/>
          <w:sz w:val="24"/>
          <w:szCs w:val="24"/>
        </w:rPr>
        <w:t xml:space="preserve">. </w:t>
      </w:r>
      <w:r>
        <w:rPr>
          <w:rFonts w:hint="eastAsia" w:ascii="宋体"/>
          <w:sz w:val="24"/>
          <w:szCs w:val="24"/>
        </w:rPr>
        <w:t>工作内容</w:t>
      </w:r>
    </w:p>
    <w:p>
      <w:pPr>
        <w:snapToGrid w:val="0"/>
        <w:spacing w:line="360" w:lineRule="auto"/>
        <w:ind w:firstLine="480" w:firstLineChars="200"/>
        <w:rPr>
          <w:rFonts w:ascii="宋体"/>
          <w:sz w:val="24"/>
          <w:szCs w:val="24"/>
        </w:rPr>
      </w:pPr>
      <w:r>
        <w:rPr>
          <w:rFonts w:ascii="宋体"/>
          <w:sz w:val="24"/>
          <w:szCs w:val="24"/>
        </w:rPr>
        <w:t>2.1</w:t>
      </w:r>
      <w:r>
        <w:rPr>
          <w:rFonts w:hint="eastAsia" w:ascii="宋体"/>
          <w:sz w:val="24"/>
          <w:szCs w:val="24"/>
        </w:rPr>
        <w:t>制定方案。根据工作要求和实际情况，制定频率使用率评价实施方案，包含评价范围、统计分析人员、设备设施、方法标准、验证方式等。并准备相关资料。</w:t>
      </w:r>
    </w:p>
    <w:p>
      <w:pPr>
        <w:snapToGrid w:val="0"/>
        <w:spacing w:line="360" w:lineRule="auto"/>
        <w:ind w:firstLine="480" w:firstLineChars="200"/>
        <w:rPr>
          <w:rFonts w:ascii="宋体"/>
          <w:sz w:val="24"/>
          <w:szCs w:val="24"/>
        </w:rPr>
      </w:pPr>
      <w:r>
        <w:rPr>
          <w:rFonts w:hint="eastAsia" w:ascii="宋体" w:hAnsi="宋体"/>
          <w:sz w:val="24"/>
          <w:szCs w:val="24"/>
        </w:rPr>
        <w:t>★</w:t>
      </w:r>
      <w:r>
        <w:rPr>
          <w:rFonts w:ascii="宋体"/>
          <w:sz w:val="24"/>
          <w:szCs w:val="24"/>
        </w:rPr>
        <w:t>2.2</w:t>
      </w:r>
      <w:r>
        <w:rPr>
          <w:rFonts w:hint="eastAsia" w:ascii="宋体"/>
          <w:sz w:val="24"/>
          <w:szCs w:val="24"/>
        </w:rPr>
        <w:t>指标评价。通过编写代码的方式对公众移动通信基站数据电子交互系统的数据进行运算分析，利用基站数据统计分析频段占用度、区域覆盖率、用户承载率、人均基站拥有量、单位频谱用户量等指标。</w:t>
      </w:r>
    </w:p>
    <w:p>
      <w:pPr>
        <w:snapToGrid w:val="0"/>
        <w:spacing w:line="360" w:lineRule="auto"/>
        <w:ind w:firstLine="480" w:firstLineChars="200"/>
        <w:rPr>
          <w:rFonts w:ascii="宋体"/>
          <w:sz w:val="24"/>
          <w:szCs w:val="24"/>
        </w:rPr>
      </w:pPr>
      <w:r>
        <w:rPr>
          <w:rFonts w:hint="eastAsia" w:ascii="宋体" w:hAnsi="宋体"/>
          <w:sz w:val="24"/>
          <w:szCs w:val="24"/>
        </w:rPr>
        <w:t>★</w:t>
      </w:r>
      <w:r>
        <w:rPr>
          <w:rFonts w:ascii="宋体"/>
          <w:sz w:val="24"/>
          <w:szCs w:val="24"/>
        </w:rPr>
        <w:t>2.3</w:t>
      </w:r>
      <w:r>
        <w:rPr>
          <w:rFonts w:hint="eastAsia" w:ascii="宋体"/>
          <w:sz w:val="24"/>
          <w:szCs w:val="24"/>
        </w:rPr>
        <w:t>监测验证。通过开场无线电监测、设备检测等方式，开展频段占用度、区域覆盖率、用户承载率等指标测试验证。验证误差不满足要求的，应对基站数据和指标评价方案、监测验证方案等进行分析，查找问题原因并提出解决方案。</w:t>
      </w:r>
    </w:p>
    <w:p>
      <w:pPr>
        <w:snapToGrid w:val="0"/>
        <w:spacing w:line="360" w:lineRule="auto"/>
        <w:ind w:firstLine="480" w:firstLineChars="200"/>
        <w:rPr>
          <w:rFonts w:ascii="宋体"/>
          <w:sz w:val="24"/>
          <w:szCs w:val="24"/>
        </w:rPr>
      </w:pPr>
      <w:r>
        <w:rPr>
          <w:rFonts w:ascii="宋体"/>
          <w:sz w:val="24"/>
          <w:szCs w:val="24"/>
        </w:rPr>
        <w:t>2.4</w:t>
      </w:r>
      <w:r>
        <w:rPr>
          <w:rFonts w:hint="eastAsia" w:ascii="宋体"/>
          <w:sz w:val="24"/>
          <w:szCs w:val="24"/>
        </w:rPr>
        <w:t>报告编制：根据基站数据统计分析和监测验证情况，对公众移动通信系统无线电频率使用率进行评价，提交《2023年重庆市公众移动通信系统无线电频率使用率评价工作报告》。</w:t>
      </w:r>
    </w:p>
    <w:p>
      <w:pPr>
        <w:pStyle w:val="6"/>
        <w:spacing w:before="0" w:after="0" w:line="360" w:lineRule="auto"/>
        <w:ind w:firstLine="482" w:firstLineChars="200"/>
        <w:rPr>
          <w:sz w:val="24"/>
          <w:szCs w:val="24"/>
        </w:rPr>
      </w:pPr>
      <w:bookmarkStart w:id="37" w:name="_Toc128558901"/>
      <w:r>
        <w:rPr>
          <w:rFonts w:hint="eastAsia"/>
          <w:sz w:val="24"/>
          <w:szCs w:val="24"/>
        </w:rPr>
        <w:t>二、人员要求</w:t>
      </w:r>
      <w:bookmarkEnd w:id="37"/>
    </w:p>
    <w:p>
      <w:pPr>
        <w:snapToGrid w:val="0"/>
        <w:spacing w:line="360" w:lineRule="auto"/>
        <w:ind w:firstLine="480" w:firstLineChars="200"/>
        <w:rPr>
          <w:sz w:val="24"/>
          <w:szCs w:val="24"/>
        </w:rPr>
      </w:pPr>
      <w:r>
        <w:rPr>
          <w:rFonts w:hint="eastAsia"/>
          <w:sz w:val="24"/>
          <w:szCs w:val="24"/>
        </w:rPr>
        <w:t>成交供应商安排的本项目人员应不少于4人。项目负责人1人，应具有高级工程师或副教授及以上职称；技术人员不少于3人，其中应有2人能熟练操作无线电接收机、频谱仪等设备，熟悉无线电业务；1人具备数据库操作、代码编写、数据分析能力。</w:t>
      </w:r>
    </w:p>
    <w:p>
      <w:pPr>
        <w:snapToGrid w:val="0"/>
        <w:spacing w:line="360" w:lineRule="auto"/>
        <w:ind w:firstLine="480" w:firstLineChars="200"/>
        <w:rPr>
          <w:sz w:val="24"/>
          <w:szCs w:val="24"/>
        </w:rPr>
      </w:pPr>
      <w:r>
        <w:rPr>
          <w:rFonts w:hint="eastAsia"/>
          <w:sz w:val="24"/>
          <w:szCs w:val="24"/>
        </w:rPr>
        <w:t>成交供应商安排的项目人员应经采购人审核同意，且开展工作后成交供应商不得随意更换项目人员。</w:t>
      </w:r>
    </w:p>
    <w:bookmarkEnd w:id="31"/>
    <w:bookmarkEnd w:id="32"/>
    <w:bookmarkEnd w:id="33"/>
    <w:p>
      <w:pPr>
        <w:snapToGrid w:val="0"/>
        <w:spacing w:line="360" w:lineRule="auto"/>
        <w:ind w:firstLine="480" w:firstLineChars="200"/>
        <w:rPr>
          <w:rFonts w:ascii="宋体" w:hAnsi="宋体"/>
          <w:color w:val="000000"/>
          <w:sz w:val="24"/>
          <w:szCs w:val="24"/>
        </w:rPr>
      </w:pPr>
    </w:p>
    <w:p>
      <w:pPr>
        <w:pStyle w:val="5"/>
        <w:pageBreakBefore/>
        <w:spacing w:line="360" w:lineRule="auto"/>
        <w:jc w:val="center"/>
        <w:rPr>
          <w:rFonts w:ascii="宋体" w:eastAsia="宋体"/>
          <w:sz w:val="36"/>
          <w:szCs w:val="30"/>
        </w:rPr>
      </w:pPr>
      <w:bookmarkStart w:id="38" w:name="_Toc128558902"/>
      <w:r>
        <w:rPr>
          <w:rFonts w:hint="eastAsia" w:ascii="宋体" w:eastAsia="宋体"/>
          <w:sz w:val="36"/>
          <w:szCs w:val="30"/>
        </w:rPr>
        <w:t>第三篇  项目商务需求</w:t>
      </w:r>
      <w:bookmarkEnd w:id="27"/>
      <w:bookmarkEnd w:id="38"/>
    </w:p>
    <w:p>
      <w:pPr>
        <w:snapToGrid w:val="0"/>
        <w:spacing w:line="360" w:lineRule="auto"/>
        <w:ind w:firstLine="422" w:firstLineChars="200"/>
        <w:rPr>
          <w:rFonts w:ascii="宋体"/>
          <w:b/>
          <w:sz w:val="24"/>
          <w:szCs w:val="24"/>
        </w:rPr>
      </w:pPr>
      <w:bookmarkStart w:id="39" w:name="_Toc267320049"/>
      <w:r>
        <w:rPr>
          <w:rFonts w:hint="eastAsia" w:ascii="宋体"/>
          <w:b/>
          <w:sz w:val="21"/>
          <w:szCs w:val="21"/>
        </w:rPr>
        <w:t>“※”标注的要求为符合性审查中的实质性要求，响应文件若不满足按无效投标处理。</w:t>
      </w:r>
    </w:p>
    <w:bookmarkEnd w:id="39"/>
    <w:p>
      <w:pPr>
        <w:pStyle w:val="6"/>
        <w:spacing w:before="0" w:after="0" w:line="360" w:lineRule="auto"/>
        <w:ind w:firstLine="482" w:firstLineChars="200"/>
        <w:rPr>
          <w:sz w:val="24"/>
          <w:szCs w:val="24"/>
        </w:rPr>
      </w:pPr>
      <w:bookmarkStart w:id="40" w:name="_Toc128558903"/>
      <w:bookmarkStart w:id="41" w:name="_Toc51854596"/>
      <w:bookmarkStart w:id="42" w:name="_Toc98855996"/>
      <w:bookmarkStart w:id="43" w:name="_Toc484611845"/>
      <w:bookmarkStart w:id="44" w:name="_Toc82422011"/>
      <w:bookmarkStart w:id="45" w:name="_Toc14860569"/>
      <w:r>
        <w:rPr>
          <w:rFonts w:hint="eastAsia"/>
          <w:sz w:val="24"/>
          <w:szCs w:val="24"/>
        </w:rPr>
        <w:t>一、服务时间、地点及验收方式</w:t>
      </w:r>
      <w:bookmarkEnd w:id="40"/>
      <w:bookmarkEnd w:id="41"/>
      <w:bookmarkEnd w:id="42"/>
      <w:bookmarkEnd w:id="43"/>
      <w:bookmarkEnd w:id="44"/>
      <w:bookmarkEnd w:id="45"/>
    </w:p>
    <w:p>
      <w:pPr>
        <w:snapToGrid w:val="0"/>
        <w:spacing w:line="360" w:lineRule="auto"/>
        <w:ind w:firstLine="482" w:firstLineChars="200"/>
        <w:rPr>
          <w:b/>
          <w:bCs/>
          <w:sz w:val="24"/>
          <w:szCs w:val="24"/>
        </w:rPr>
      </w:pPr>
      <w:bookmarkStart w:id="46"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sz w:val="24"/>
          <w:szCs w:val="24"/>
        </w:rPr>
      </w:pPr>
      <w:r>
        <w:rPr>
          <w:rFonts w:hint="eastAsia"/>
          <w:sz w:val="24"/>
          <w:szCs w:val="24"/>
        </w:rPr>
        <w:t>1</w:t>
      </w:r>
      <w:r>
        <w:rPr>
          <w:sz w:val="24"/>
          <w:szCs w:val="24"/>
        </w:rPr>
        <w:t xml:space="preserve">. </w:t>
      </w:r>
      <w:r>
        <w:rPr>
          <w:rFonts w:hint="eastAsia"/>
          <w:sz w:val="24"/>
          <w:szCs w:val="24"/>
        </w:rPr>
        <w:t>频率台站监督检查的服务时间为2</w:t>
      </w:r>
      <w:r>
        <w:rPr>
          <w:sz w:val="24"/>
          <w:szCs w:val="24"/>
        </w:rPr>
        <w:t>023</w:t>
      </w:r>
      <w:r>
        <w:rPr>
          <w:rFonts w:hint="eastAsia"/>
          <w:sz w:val="24"/>
          <w:szCs w:val="24"/>
        </w:rPr>
        <w:t>年3月至1</w:t>
      </w:r>
      <w:r>
        <w:rPr>
          <w:sz w:val="24"/>
          <w:szCs w:val="24"/>
        </w:rPr>
        <w:t>2</w:t>
      </w:r>
      <w:r>
        <w:rPr>
          <w:rFonts w:hint="eastAsia"/>
          <w:sz w:val="24"/>
          <w:szCs w:val="24"/>
        </w:rPr>
        <w:t>月。</w:t>
      </w:r>
    </w:p>
    <w:p>
      <w:pPr>
        <w:snapToGrid w:val="0"/>
        <w:spacing w:line="360" w:lineRule="auto"/>
        <w:ind w:firstLine="480" w:firstLineChars="200"/>
        <w:rPr>
          <w:sz w:val="24"/>
          <w:szCs w:val="24"/>
        </w:rPr>
      </w:pPr>
      <w:r>
        <w:rPr>
          <w:rFonts w:hint="eastAsia"/>
          <w:sz w:val="24"/>
          <w:szCs w:val="24"/>
        </w:rPr>
        <w:t>2</w:t>
      </w:r>
      <w:r>
        <w:rPr>
          <w:sz w:val="24"/>
          <w:szCs w:val="24"/>
        </w:rPr>
        <w:t xml:space="preserve">. </w:t>
      </w:r>
      <w:r>
        <w:rPr>
          <w:rFonts w:hint="eastAsia"/>
          <w:sz w:val="24"/>
          <w:szCs w:val="24"/>
        </w:rPr>
        <w:t>公众移动通信系统无线电频率使用率评价全部工作应于2</w:t>
      </w:r>
      <w:r>
        <w:rPr>
          <w:sz w:val="24"/>
          <w:szCs w:val="24"/>
        </w:rPr>
        <w:t>023</w:t>
      </w:r>
      <w:r>
        <w:rPr>
          <w:rFonts w:hint="eastAsia"/>
          <w:sz w:val="24"/>
          <w:szCs w:val="24"/>
        </w:rPr>
        <w:t>年1</w:t>
      </w:r>
      <w:r>
        <w:rPr>
          <w:sz w:val="24"/>
          <w:szCs w:val="24"/>
        </w:rPr>
        <w:t>0</w:t>
      </w:r>
      <w:r>
        <w:rPr>
          <w:rFonts w:hint="eastAsia"/>
          <w:sz w:val="24"/>
          <w:szCs w:val="24"/>
        </w:rPr>
        <w:t>月3</w:t>
      </w:r>
      <w:r>
        <w:rPr>
          <w:sz w:val="24"/>
          <w:szCs w:val="24"/>
        </w:rPr>
        <w:t>1</w:t>
      </w:r>
      <w:r>
        <w:rPr>
          <w:rFonts w:hint="eastAsia"/>
          <w:sz w:val="24"/>
          <w:szCs w:val="24"/>
        </w:rPr>
        <w:t>日前完成。</w:t>
      </w:r>
    </w:p>
    <w:p>
      <w:pPr>
        <w:snapToGrid w:val="0"/>
        <w:spacing w:line="360" w:lineRule="auto"/>
        <w:ind w:firstLine="482" w:firstLineChars="200"/>
        <w:rPr>
          <w:b/>
          <w:bCs/>
          <w:sz w:val="24"/>
          <w:szCs w:val="24"/>
        </w:rPr>
      </w:pPr>
      <w:r>
        <w:rPr>
          <w:rFonts w:hint="eastAsia"/>
          <w:b/>
          <w:bCs/>
          <w:sz w:val="24"/>
          <w:szCs w:val="24"/>
        </w:rPr>
        <w:t>（二）地点：</w:t>
      </w:r>
    </w:p>
    <w:p>
      <w:pPr>
        <w:snapToGrid w:val="0"/>
        <w:spacing w:line="360" w:lineRule="auto"/>
        <w:ind w:firstLine="480" w:firstLineChars="200"/>
        <w:rPr>
          <w:sz w:val="24"/>
          <w:szCs w:val="24"/>
        </w:rPr>
      </w:pPr>
      <w:r>
        <w:rPr>
          <w:rFonts w:hint="eastAsia"/>
          <w:sz w:val="24"/>
          <w:szCs w:val="24"/>
        </w:rPr>
        <w:t>采购人同意或指定地点。</w:t>
      </w:r>
    </w:p>
    <w:p>
      <w:pPr>
        <w:snapToGrid w:val="0"/>
        <w:spacing w:line="360" w:lineRule="auto"/>
        <w:ind w:firstLine="482"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w:t>
      </w:r>
      <w:r>
        <w:rPr>
          <w:sz w:val="24"/>
          <w:szCs w:val="24"/>
        </w:rPr>
        <w:t xml:space="preserve"> </w:t>
      </w:r>
      <w:r>
        <w:rPr>
          <w:rFonts w:hint="eastAsia"/>
          <w:sz w:val="24"/>
          <w:szCs w:val="24"/>
        </w:rPr>
        <w:t>验收单位：重庆市无线电监测站。</w:t>
      </w:r>
    </w:p>
    <w:p>
      <w:pPr>
        <w:snapToGrid w:val="0"/>
        <w:spacing w:line="360" w:lineRule="auto"/>
        <w:ind w:firstLine="480" w:firstLineChars="200"/>
        <w:rPr>
          <w:sz w:val="24"/>
          <w:szCs w:val="24"/>
        </w:rPr>
      </w:pPr>
      <w:r>
        <w:rPr>
          <w:rFonts w:hint="eastAsia"/>
          <w:sz w:val="24"/>
          <w:szCs w:val="24"/>
        </w:rPr>
        <w:t>2.</w:t>
      </w:r>
      <w:r>
        <w:rPr>
          <w:sz w:val="24"/>
          <w:szCs w:val="24"/>
        </w:rPr>
        <w:t xml:space="preserve"> </w:t>
      </w:r>
      <w:r>
        <w:rPr>
          <w:rFonts w:hint="eastAsia"/>
          <w:sz w:val="24"/>
          <w:szCs w:val="24"/>
        </w:rPr>
        <w:t>验收标准：成交供应商完成全部项目内容后，采购人组织开展项目验收。如验收达不到相关规定要求，视为该项目验收不合格，采购人有权立即终止合同。</w:t>
      </w:r>
    </w:p>
    <w:p>
      <w:pPr>
        <w:pStyle w:val="6"/>
        <w:spacing w:before="0" w:after="0" w:line="360" w:lineRule="auto"/>
        <w:ind w:firstLine="482" w:firstLineChars="200"/>
        <w:rPr>
          <w:sz w:val="24"/>
          <w:szCs w:val="24"/>
        </w:rPr>
      </w:pPr>
      <w:bookmarkStart w:id="47" w:name="_Toc484611846"/>
      <w:bookmarkStart w:id="48" w:name="_Toc128558904"/>
      <w:bookmarkStart w:id="49" w:name="_Toc51854597"/>
      <w:bookmarkStart w:id="50" w:name="_Toc82422012"/>
      <w:bookmarkStart w:id="51" w:name="_Toc14860570"/>
      <w:bookmarkStart w:id="52" w:name="_Toc98855997"/>
      <w:r>
        <w:rPr>
          <w:sz w:val="24"/>
          <w:szCs w:val="24"/>
        </w:rPr>
        <w:t>※</w:t>
      </w:r>
      <w:r>
        <w:rPr>
          <w:rFonts w:hint="eastAsia"/>
          <w:sz w:val="24"/>
          <w:szCs w:val="24"/>
        </w:rPr>
        <w:t>二、</w:t>
      </w:r>
      <w:bookmarkEnd w:id="46"/>
      <w:r>
        <w:rPr>
          <w:rFonts w:hint="eastAsia"/>
          <w:sz w:val="24"/>
          <w:szCs w:val="24"/>
        </w:rPr>
        <w:t>报价要求</w:t>
      </w:r>
      <w:bookmarkEnd w:id="47"/>
      <w:bookmarkEnd w:id="48"/>
      <w:bookmarkEnd w:id="49"/>
      <w:bookmarkEnd w:id="50"/>
      <w:bookmarkEnd w:id="51"/>
      <w:bookmarkEnd w:id="52"/>
    </w:p>
    <w:p>
      <w:pPr>
        <w:snapToGrid w:val="0"/>
        <w:spacing w:line="360" w:lineRule="auto"/>
        <w:ind w:firstLine="480" w:firstLineChars="200"/>
        <w:rPr>
          <w:sz w:val="24"/>
          <w:szCs w:val="24"/>
        </w:rPr>
      </w:pPr>
      <w:r>
        <w:rPr>
          <w:rFonts w:hint="eastAsia"/>
          <w:sz w:val="24"/>
          <w:szCs w:val="24"/>
        </w:rPr>
        <w:t>报价包括完成本项目所需的包括（但不限于）测试费、技术服务费、软件开发费、差旅费、交通费、税费及其它与本项目相关的一切费用。因成交供应商自身原因造成漏报、少报皆由其自行承担责任，采购人不再补偿。</w:t>
      </w:r>
    </w:p>
    <w:p>
      <w:pPr>
        <w:pStyle w:val="6"/>
        <w:spacing w:before="0" w:after="0" w:line="360" w:lineRule="auto"/>
        <w:ind w:firstLine="482" w:firstLineChars="200"/>
        <w:rPr>
          <w:sz w:val="24"/>
          <w:szCs w:val="24"/>
        </w:rPr>
      </w:pPr>
      <w:bookmarkStart w:id="53" w:name="_Toc98855998"/>
      <w:bookmarkStart w:id="54" w:name="_Toc14860571"/>
      <w:bookmarkStart w:id="55" w:name="_Toc484611849"/>
      <w:bookmarkStart w:id="56" w:name="_Toc344475122"/>
      <w:bookmarkStart w:id="57" w:name="_Toc51854598"/>
      <w:bookmarkStart w:id="58" w:name="_Toc82422013"/>
      <w:bookmarkStart w:id="59" w:name="_Toc128558905"/>
      <w:r>
        <w:rPr>
          <w:sz w:val="24"/>
          <w:szCs w:val="24"/>
        </w:rPr>
        <w:t>※</w:t>
      </w:r>
      <w:r>
        <w:rPr>
          <w:rFonts w:hint="eastAsia"/>
          <w:sz w:val="24"/>
          <w:szCs w:val="24"/>
        </w:rPr>
        <w:t>三、付款方式</w:t>
      </w:r>
      <w:bookmarkEnd w:id="53"/>
      <w:bookmarkEnd w:id="54"/>
      <w:bookmarkEnd w:id="55"/>
      <w:bookmarkEnd w:id="56"/>
      <w:bookmarkEnd w:id="57"/>
      <w:bookmarkEnd w:id="58"/>
      <w:bookmarkEnd w:id="59"/>
    </w:p>
    <w:p>
      <w:pPr>
        <w:snapToGrid w:val="0"/>
        <w:spacing w:line="360" w:lineRule="auto"/>
        <w:ind w:firstLine="480" w:firstLineChars="200"/>
        <w:rPr>
          <w:sz w:val="24"/>
          <w:szCs w:val="24"/>
        </w:rPr>
      </w:pPr>
      <w:bookmarkStart w:id="60" w:name="_Toc344475123"/>
      <w:r>
        <w:rPr>
          <w:rFonts w:hint="eastAsia"/>
          <w:sz w:val="24"/>
          <w:szCs w:val="24"/>
        </w:rPr>
        <w:t>（一）签订合同后，采购人向成交供应商支付合同总金额</w:t>
      </w:r>
      <w:r>
        <w:rPr>
          <w:sz w:val="24"/>
          <w:szCs w:val="24"/>
        </w:rPr>
        <w:t>5</w:t>
      </w:r>
      <w:r>
        <w:rPr>
          <w:rFonts w:hint="eastAsia"/>
          <w:sz w:val="24"/>
          <w:szCs w:val="24"/>
        </w:rPr>
        <w:t>0%的预付款。</w:t>
      </w:r>
    </w:p>
    <w:p>
      <w:pPr>
        <w:snapToGrid w:val="0"/>
        <w:spacing w:line="360" w:lineRule="auto"/>
        <w:ind w:firstLine="480" w:firstLineChars="200"/>
        <w:rPr>
          <w:sz w:val="24"/>
          <w:szCs w:val="24"/>
        </w:rPr>
      </w:pPr>
      <w:r>
        <w:rPr>
          <w:rFonts w:hint="eastAsia"/>
          <w:sz w:val="24"/>
          <w:szCs w:val="24"/>
        </w:rPr>
        <w:t>（二）成交供应商完成全部合同约定内容，且项目通过验收后，采购人支付剩余合同金额。</w:t>
      </w:r>
    </w:p>
    <w:p>
      <w:pPr>
        <w:pStyle w:val="6"/>
        <w:spacing w:before="0" w:after="0" w:line="360" w:lineRule="auto"/>
        <w:ind w:firstLine="482" w:firstLineChars="200"/>
        <w:rPr>
          <w:sz w:val="24"/>
          <w:szCs w:val="24"/>
        </w:rPr>
      </w:pPr>
      <w:bookmarkStart w:id="61" w:name="_Toc51854600"/>
      <w:bookmarkStart w:id="62" w:name="_Toc98856000"/>
      <w:bookmarkStart w:id="63" w:name="_Toc14860572"/>
      <w:bookmarkStart w:id="64" w:name="_Toc128558906"/>
      <w:bookmarkStart w:id="65" w:name="_Toc484611850"/>
      <w:bookmarkStart w:id="66" w:name="_Toc82422015"/>
      <w:r>
        <w:rPr>
          <w:rFonts w:hint="eastAsia"/>
          <w:sz w:val="24"/>
          <w:szCs w:val="24"/>
        </w:rPr>
        <w:t>四、知识产权</w:t>
      </w:r>
      <w:bookmarkEnd w:id="60"/>
      <w:bookmarkEnd w:id="61"/>
      <w:bookmarkEnd w:id="62"/>
      <w:bookmarkEnd w:id="63"/>
      <w:bookmarkEnd w:id="64"/>
      <w:bookmarkEnd w:id="65"/>
      <w:bookmarkEnd w:id="66"/>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2" w:firstLineChars="200"/>
        <w:rPr>
          <w:sz w:val="24"/>
          <w:szCs w:val="24"/>
        </w:rPr>
      </w:pPr>
      <w:bookmarkStart w:id="67" w:name="_Toc128558907"/>
      <w:bookmarkStart w:id="68" w:name="_Toc23843665"/>
      <w:bookmarkStart w:id="69" w:name="_Toc267320053"/>
      <w:bookmarkStart w:id="70" w:name="_Toc511135215"/>
      <w:bookmarkStart w:id="71" w:name="_Toc51854601"/>
      <w:bookmarkStart w:id="72" w:name="_Toc14860573"/>
      <w:bookmarkStart w:id="73" w:name="_Toc82422016"/>
      <w:bookmarkStart w:id="74" w:name="_Toc98856001"/>
      <w:bookmarkStart w:id="75" w:name="_Toc484611852"/>
      <w:bookmarkStart w:id="76" w:name="_Toc344475125"/>
      <w:r>
        <w:rPr>
          <w:rFonts w:hint="eastAsia"/>
          <w:sz w:val="24"/>
          <w:szCs w:val="24"/>
        </w:rPr>
        <w:t>※五、保密</w:t>
      </w:r>
      <w:bookmarkEnd w:id="67"/>
      <w:bookmarkEnd w:id="68"/>
    </w:p>
    <w:p>
      <w:pPr>
        <w:snapToGrid w:val="0"/>
        <w:spacing w:line="360" w:lineRule="auto"/>
        <w:ind w:firstLine="480" w:firstLineChars="200"/>
        <w:rPr>
          <w:sz w:val="24"/>
          <w:szCs w:val="24"/>
        </w:rPr>
      </w:pPr>
      <w:r>
        <w:rPr>
          <w:rFonts w:hint="eastAsia"/>
          <w:sz w:val="24"/>
          <w:szCs w:val="24"/>
        </w:rPr>
        <w:t>成交供应商及其员工不得泄露本项目及采购人单位秘密，否则应承担相应法律责任。</w:t>
      </w:r>
    </w:p>
    <w:bookmarkEnd w:id="69"/>
    <w:bookmarkEnd w:id="70"/>
    <w:p>
      <w:pPr>
        <w:pStyle w:val="6"/>
        <w:spacing w:before="0" w:after="0" w:line="360" w:lineRule="auto"/>
        <w:ind w:firstLine="482" w:firstLineChars="200"/>
        <w:rPr>
          <w:sz w:val="24"/>
          <w:szCs w:val="24"/>
        </w:rPr>
      </w:pPr>
      <w:bookmarkStart w:id="77" w:name="_Toc128558908"/>
      <w:r>
        <w:rPr>
          <w:rFonts w:hint="eastAsia"/>
          <w:sz w:val="24"/>
          <w:szCs w:val="24"/>
        </w:rPr>
        <w:t>六、其他</w:t>
      </w:r>
      <w:bookmarkEnd w:id="71"/>
      <w:bookmarkEnd w:id="72"/>
      <w:bookmarkEnd w:id="73"/>
      <w:bookmarkEnd w:id="74"/>
      <w:bookmarkEnd w:id="75"/>
      <w:bookmarkEnd w:id="77"/>
    </w:p>
    <w:bookmarkEnd w:id="76"/>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（一）供应商必须在响应文件中对以上条款和服务承诺明确列出，承诺内容必须达到本篇及竞争性磋商文件其他条款的要求。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5"/>
        <w:pageBreakBefore/>
        <w:spacing w:line="360" w:lineRule="auto"/>
        <w:jc w:val="center"/>
        <w:rPr>
          <w:rFonts w:ascii="宋体" w:eastAsia="宋体"/>
          <w:sz w:val="36"/>
          <w:szCs w:val="30"/>
        </w:rPr>
      </w:pPr>
      <w:bookmarkStart w:id="78" w:name="_Toc128558909"/>
      <w:r>
        <w:rPr>
          <w:rFonts w:hint="eastAsia" w:ascii="宋体" w:eastAsia="宋体"/>
          <w:sz w:val="36"/>
          <w:szCs w:val="30"/>
        </w:rPr>
        <w:t>第四篇  磋商程序及方法、评审标准、无效响应和采购终止</w:t>
      </w:r>
      <w:bookmarkEnd w:id="78"/>
    </w:p>
    <w:p>
      <w:pPr>
        <w:pStyle w:val="6"/>
        <w:snapToGrid w:val="0"/>
        <w:spacing w:before="0" w:after="0" w:line="360" w:lineRule="auto"/>
        <w:ind w:firstLine="482" w:firstLineChars="200"/>
        <w:rPr>
          <w:rFonts w:ascii="宋体"/>
          <w:sz w:val="24"/>
          <w:szCs w:val="24"/>
        </w:rPr>
      </w:pPr>
      <w:bookmarkStart w:id="79" w:name="_Toc128558910"/>
      <w:r>
        <w:rPr>
          <w:rFonts w:hint="eastAsia" w:ascii="宋体"/>
          <w:sz w:val="24"/>
          <w:szCs w:val="24"/>
        </w:rPr>
        <w:t>一、磋商程序及方法</w:t>
      </w:r>
      <w:bookmarkEnd w:id="79"/>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宋体" w:hAnsi="宋体"/>
                <w:sz w:val="21"/>
                <w:szCs w:val="21"/>
              </w:rPr>
            </w:pPr>
            <w:r>
              <w:rPr>
                <w:rFonts w:hint="eastAsia" w:ascii="宋体" w:hAnsi="宋体"/>
                <w:sz w:val="21"/>
                <w:szCs w:val="21"/>
              </w:rPr>
              <w:t>（一）</w:t>
            </w:r>
          </w:p>
        </w:tc>
        <w:tc>
          <w:tcPr>
            <w:tcW w:w="709" w:type="dxa"/>
            <w:vMerge w:val="restart"/>
            <w:vAlign w:val="center"/>
          </w:tcPr>
          <w:p>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pPr>
              <w:rPr>
                <w:rFonts w:ascii="宋体" w:hAnsi="宋体"/>
                <w:sz w:val="21"/>
                <w:szCs w:val="21"/>
              </w:rPr>
            </w:pPr>
            <w:r>
              <w:rPr>
                <w:rFonts w:hint="eastAsia" w:ascii="宋体" w:hAnsi="宋体"/>
                <w:sz w:val="21"/>
                <w:szCs w:val="21"/>
              </w:rPr>
              <w:t>1.具有独立承担民事责任的能力</w:t>
            </w:r>
          </w:p>
        </w:tc>
        <w:tc>
          <w:tcPr>
            <w:tcW w:w="4984" w:type="dxa"/>
            <w:vAlign w:val="center"/>
          </w:tcPr>
          <w:p>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pPr>
              <w:rPr>
                <w:rFonts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6.法律、行政法规规定的其他条件</w:t>
            </w:r>
          </w:p>
        </w:tc>
        <w:tc>
          <w:tcPr>
            <w:tcW w:w="4984"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7.本项目的特定资格要求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1"/>
                <w:szCs w:val="21"/>
              </w:rPr>
            </w:pPr>
            <w:r>
              <w:rPr>
                <w:rFonts w:hint="eastAsia" w:ascii="宋体" w:hAnsi="宋体"/>
                <w:sz w:val="21"/>
                <w:szCs w:val="21"/>
              </w:rPr>
              <w:t>（二）</w:t>
            </w:r>
          </w:p>
        </w:tc>
        <w:tc>
          <w:tcPr>
            <w:tcW w:w="3827" w:type="dxa"/>
            <w:gridSpan w:val="2"/>
            <w:vAlign w:val="center"/>
          </w:tcPr>
          <w:p>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6"/>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rPr>
                <w:rFonts w:ascii="宋体" w:hAnsi="宋体"/>
              </w:rPr>
            </w:pPr>
          </w:p>
        </w:tc>
        <w:tc>
          <w:tcPr>
            <w:tcW w:w="1573" w:type="dxa"/>
            <w:vMerge w:val="continue"/>
            <w:vAlign w:val="center"/>
          </w:tcPr>
          <w:p>
            <w:pPr>
              <w:rPr>
                <w:rFonts w:ascii="宋体" w:hAnsi="宋体"/>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sz w:val="24"/>
          <w:szCs w:val="24"/>
        </w:rPr>
      </w:pPr>
      <w:bookmarkStart w:id="80" w:name="_Toc128558911"/>
      <w:r>
        <w:rPr>
          <w:rFonts w:hint="eastAsia" w:ascii="宋体"/>
          <w:sz w:val="24"/>
          <w:szCs w:val="24"/>
        </w:rPr>
        <w:t>二、</w:t>
      </w:r>
      <w:bookmarkStart w:id="81" w:name="_Toc342913394"/>
      <w:bookmarkStart w:id="82" w:name="_Toc102227320"/>
      <w:r>
        <w:rPr>
          <w:rFonts w:hint="eastAsia" w:ascii="宋体"/>
          <w:sz w:val="24"/>
          <w:szCs w:val="24"/>
        </w:rPr>
        <w:t>评审标准</w:t>
      </w:r>
      <w:bookmarkEnd w:id="80"/>
    </w:p>
    <w:tbl>
      <w:tblPr>
        <w:tblStyle w:val="68"/>
        <w:tblW w:w="99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708"/>
        <w:gridCol w:w="567"/>
        <w:gridCol w:w="5557"/>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8"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417" w:type="dxa"/>
            <w:gridSpan w:val="2"/>
            <w:vAlign w:val="center"/>
          </w:tcPr>
          <w:p>
            <w:pPr>
              <w:spacing w:line="240" w:lineRule="atLeast"/>
              <w:ind w:firstLine="28"/>
              <w:jc w:val="center"/>
              <w:rPr>
                <w:rFonts w:ascii="宋体" w:hAnsi="宋体"/>
                <w:b/>
                <w:sz w:val="21"/>
                <w:szCs w:val="21"/>
              </w:rPr>
            </w:pPr>
            <w:r>
              <w:rPr>
                <w:rFonts w:ascii="宋体" w:hAnsi="宋体"/>
                <w:b/>
                <w:sz w:val="21"/>
                <w:szCs w:val="21"/>
              </w:rPr>
              <w:t>评分因素及权值</w:t>
            </w:r>
          </w:p>
        </w:tc>
        <w:tc>
          <w:tcPr>
            <w:tcW w:w="567"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557"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803" w:type="dxa"/>
            <w:vAlign w:val="center"/>
          </w:tcPr>
          <w:p>
            <w:pPr>
              <w:pStyle w:val="231"/>
              <w:spacing w:before="0" w:after="0" w:line="240" w:lineRule="atLeast"/>
              <w:ind w:firstLine="420"/>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568"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417" w:type="dxa"/>
            <w:gridSpan w:val="2"/>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pPr>
              <w:spacing w:line="240" w:lineRule="atLeast"/>
              <w:ind w:firstLine="28"/>
              <w:jc w:val="center"/>
              <w:rPr>
                <w:rFonts w:ascii="宋体" w:hAnsi="宋体"/>
                <w:sz w:val="21"/>
                <w:szCs w:val="21"/>
              </w:rPr>
            </w:pPr>
            <w:r>
              <w:rPr>
                <w:rFonts w:hint="eastAsia" w:ascii="宋体" w:hAnsi="宋体"/>
                <w:color w:val="000000"/>
                <w:sz w:val="21"/>
                <w:szCs w:val="21"/>
              </w:rPr>
              <w:t>（</w:t>
            </w:r>
            <w:r>
              <w:rPr>
                <w:rFonts w:ascii="宋体" w:hAnsi="宋体"/>
                <w:color w:val="000000"/>
                <w:sz w:val="21"/>
                <w:szCs w:val="21"/>
              </w:rPr>
              <w:t>40</w:t>
            </w:r>
            <w:r>
              <w:rPr>
                <w:rFonts w:hint="eastAsia" w:ascii="宋体" w:hAnsi="宋体"/>
                <w:color w:val="000000"/>
                <w:sz w:val="21"/>
                <w:szCs w:val="21"/>
              </w:rPr>
              <w:t>%）</w:t>
            </w:r>
          </w:p>
        </w:tc>
        <w:tc>
          <w:tcPr>
            <w:tcW w:w="567" w:type="dxa"/>
            <w:vAlign w:val="center"/>
          </w:tcPr>
          <w:p>
            <w:pPr>
              <w:spacing w:line="240" w:lineRule="atLeast"/>
              <w:ind w:firstLine="28"/>
              <w:jc w:val="center"/>
              <w:rPr>
                <w:rFonts w:ascii="宋体" w:hAnsi="宋体"/>
                <w:sz w:val="21"/>
                <w:szCs w:val="21"/>
              </w:rPr>
            </w:pPr>
            <w:r>
              <w:rPr>
                <w:rFonts w:ascii="宋体" w:hAnsi="宋体"/>
                <w:color w:val="000000"/>
                <w:sz w:val="21"/>
                <w:szCs w:val="21"/>
              </w:rPr>
              <w:t>40</w:t>
            </w:r>
          </w:p>
        </w:tc>
        <w:tc>
          <w:tcPr>
            <w:tcW w:w="5557" w:type="dxa"/>
            <w:vAlign w:val="center"/>
          </w:tcPr>
          <w:p>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pPr>
              <w:spacing w:line="240" w:lineRule="atLeast"/>
              <w:rPr>
                <w:rFonts w:ascii="宋体" w:hAnsi="宋体"/>
                <w:sz w:val="21"/>
                <w:szCs w:val="21"/>
              </w:rPr>
            </w:pPr>
            <w:r>
              <w:rPr>
                <w:rFonts w:ascii="宋体" w:hAnsi="宋体"/>
                <w:color w:val="000000"/>
                <w:sz w:val="21"/>
                <w:szCs w:val="21"/>
              </w:rPr>
              <w:t>磋商报价得分=（磋商基准价/最后磋商报价）×价格分值×100</w:t>
            </w:r>
          </w:p>
        </w:tc>
        <w:tc>
          <w:tcPr>
            <w:tcW w:w="1803"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68"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417" w:type="dxa"/>
            <w:gridSpan w:val="2"/>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技术部分</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5</w:t>
            </w:r>
            <w:r>
              <w:rPr>
                <w:rFonts w:hint="eastAsia" w:ascii="宋体" w:hAnsi="宋体"/>
                <w:color w:val="000000"/>
                <w:sz w:val="21"/>
                <w:szCs w:val="21"/>
              </w:rPr>
              <w:t>%）</w:t>
            </w:r>
          </w:p>
        </w:tc>
        <w:tc>
          <w:tcPr>
            <w:tcW w:w="567"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5</w:t>
            </w:r>
          </w:p>
        </w:tc>
        <w:tc>
          <w:tcPr>
            <w:tcW w:w="5557" w:type="dxa"/>
            <w:vAlign w:val="center"/>
          </w:tcPr>
          <w:p>
            <w:pPr>
              <w:spacing w:line="240" w:lineRule="atLeast"/>
              <w:rPr>
                <w:rFonts w:ascii="宋体" w:hAnsi="宋体"/>
                <w:color w:val="000000"/>
                <w:sz w:val="21"/>
                <w:szCs w:val="21"/>
              </w:rPr>
            </w:pPr>
            <w:r>
              <w:rPr>
                <w:rFonts w:hint="eastAsia" w:ascii="宋体" w:hAnsi="宋体"/>
                <w:color w:val="000000"/>
                <w:sz w:val="21"/>
                <w:szCs w:val="21"/>
              </w:rPr>
              <w:t>A、起评分：</w:t>
            </w:r>
          </w:p>
          <w:p>
            <w:pPr>
              <w:spacing w:line="240" w:lineRule="atLeast"/>
              <w:rPr>
                <w:rFonts w:ascii="宋体" w:hAnsi="宋体"/>
                <w:sz w:val="21"/>
                <w:szCs w:val="21"/>
              </w:rPr>
            </w:pPr>
            <w:r>
              <w:rPr>
                <w:rFonts w:hint="eastAsia" w:ascii="宋体" w:hAnsi="宋体"/>
                <w:sz w:val="21"/>
                <w:szCs w:val="21"/>
              </w:rPr>
              <w:t>合格供应商的起评分3</w:t>
            </w:r>
            <w:r>
              <w:rPr>
                <w:rFonts w:ascii="宋体" w:hAnsi="宋体"/>
                <w:sz w:val="21"/>
                <w:szCs w:val="21"/>
              </w:rPr>
              <w:t>0</w:t>
            </w:r>
            <w:r>
              <w:rPr>
                <w:rFonts w:hint="eastAsia" w:ascii="宋体" w:hAnsi="宋体"/>
                <w:sz w:val="21"/>
                <w:szCs w:val="21"/>
              </w:rPr>
              <w:t>分。</w:t>
            </w:r>
          </w:p>
        </w:tc>
        <w:tc>
          <w:tcPr>
            <w:tcW w:w="1803" w:type="dxa"/>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568" w:type="dxa"/>
            <w:vMerge w:val="continue"/>
            <w:vAlign w:val="center"/>
          </w:tcPr>
          <w:p>
            <w:pPr>
              <w:spacing w:line="240" w:lineRule="atLeast"/>
              <w:ind w:firstLine="28"/>
              <w:jc w:val="center"/>
              <w:rPr>
                <w:rFonts w:ascii="宋体" w:hAnsi="宋体"/>
                <w:sz w:val="21"/>
                <w:szCs w:val="21"/>
              </w:rPr>
            </w:pPr>
          </w:p>
        </w:tc>
        <w:tc>
          <w:tcPr>
            <w:tcW w:w="1417" w:type="dxa"/>
            <w:gridSpan w:val="2"/>
            <w:vMerge w:val="continue"/>
            <w:vAlign w:val="center"/>
          </w:tcPr>
          <w:p>
            <w:pPr>
              <w:spacing w:line="240" w:lineRule="atLeast"/>
              <w:ind w:firstLine="28"/>
              <w:jc w:val="center"/>
              <w:rPr>
                <w:rFonts w:ascii="宋体" w:hAnsi="宋体"/>
                <w:color w:val="000000"/>
                <w:sz w:val="21"/>
                <w:szCs w:val="21"/>
              </w:rPr>
            </w:pPr>
          </w:p>
        </w:tc>
        <w:tc>
          <w:tcPr>
            <w:tcW w:w="567" w:type="dxa"/>
            <w:vMerge w:val="continue"/>
            <w:vAlign w:val="center"/>
          </w:tcPr>
          <w:p>
            <w:pPr>
              <w:spacing w:line="240" w:lineRule="atLeast"/>
              <w:ind w:firstLine="28"/>
              <w:jc w:val="center"/>
              <w:rPr>
                <w:rFonts w:ascii="宋体" w:hAnsi="宋体"/>
                <w:color w:val="000000"/>
                <w:sz w:val="21"/>
                <w:szCs w:val="21"/>
              </w:rPr>
            </w:pPr>
          </w:p>
        </w:tc>
        <w:tc>
          <w:tcPr>
            <w:tcW w:w="5557" w:type="dxa"/>
            <w:vAlign w:val="center"/>
          </w:tcPr>
          <w:p>
            <w:pPr>
              <w:spacing w:line="240" w:lineRule="atLeast"/>
              <w:rPr>
                <w:rFonts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、扣分条款：</w:t>
            </w:r>
          </w:p>
          <w:p>
            <w:pPr>
              <w:spacing w:line="240" w:lineRule="atLeast"/>
              <w:rPr>
                <w:rFonts w:ascii="宋体" w:hAnsi="宋体"/>
                <w:color w:val="000000"/>
                <w:sz w:val="21"/>
                <w:szCs w:val="21"/>
              </w:rPr>
            </w:pPr>
            <w:r>
              <w:rPr>
                <w:rFonts w:hint="eastAsia" w:ascii="宋体" w:hAnsi="宋体"/>
                <w:color w:val="000000"/>
                <w:sz w:val="21"/>
                <w:szCs w:val="21"/>
              </w:rPr>
              <w:t>1.重要技术参数（磋商文件第二篇 项目服务需求 一、项目技术需求中带（</w:t>
            </w:r>
            <w:r>
              <w:rPr>
                <w:rFonts w:hint="eastAsia" w:ascii="宋体" w:hAnsi="宋体"/>
                <w:sz w:val="24"/>
                <w:szCs w:val="24"/>
              </w:rPr>
              <w:t>★</w:t>
            </w:r>
            <w:r>
              <w:rPr>
                <w:rFonts w:hint="eastAsia" w:ascii="宋体" w:hAnsi="宋体"/>
                <w:color w:val="000000"/>
                <w:sz w:val="21"/>
                <w:szCs w:val="21"/>
              </w:rPr>
              <w:t>）部分）有一条不满足的，技术部分得分为0分。</w:t>
            </w:r>
          </w:p>
          <w:p>
            <w:pPr>
              <w:spacing w:line="240" w:lineRule="atLeast"/>
              <w:rPr>
                <w:rFonts w:ascii="宋体" w:hAnsi="宋体"/>
                <w:color w:val="000000"/>
                <w:sz w:val="21"/>
                <w:szCs w:val="21"/>
              </w:rPr>
            </w:pPr>
            <w:r>
              <w:rPr>
                <w:rFonts w:hint="eastAsia" w:ascii="宋体" w:hAnsi="宋体"/>
                <w:color w:val="000000"/>
                <w:sz w:val="21"/>
                <w:szCs w:val="21"/>
              </w:rPr>
              <w:t>2.一般性技术参数（磋商文件第二篇 项目服务需求 一、项目技术需求中非（</w:t>
            </w:r>
            <w:r>
              <w:rPr>
                <w:rFonts w:hint="eastAsia" w:ascii="宋体" w:hAnsi="宋体"/>
                <w:sz w:val="24"/>
                <w:szCs w:val="24"/>
              </w:rPr>
              <w:t>★</w:t>
            </w:r>
            <w:r>
              <w:rPr>
                <w:rFonts w:hint="eastAsia" w:ascii="宋体" w:hAnsi="宋体"/>
                <w:color w:val="000000"/>
                <w:sz w:val="21"/>
                <w:szCs w:val="21"/>
              </w:rPr>
              <w:t>）部分）有一条不满足的,从起评分中扣除3分；有4条及以上不满足的，技术部分得分为0分。</w:t>
            </w:r>
          </w:p>
        </w:tc>
        <w:tc>
          <w:tcPr>
            <w:tcW w:w="1803" w:type="dxa"/>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568" w:type="dxa"/>
            <w:vMerge w:val="continue"/>
            <w:vAlign w:val="center"/>
          </w:tcPr>
          <w:p>
            <w:pPr>
              <w:spacing w:line="240" w:lineRule="atLeast"/>
              <w:ind w:firstLine="28"/>
              <w:jc w:val="center"/>
              <w:rPr>
                <w:rFonts w:ascii="宋体" w:hAnsi="宋体"/>
                <w:sz w:val="21"/>
                <w:szCs w:val="21"/>
              </w:rPr>
            </w:pPr>
          </w:p>
        </w:tc>
        <w:tc>
          <w:tcPr>
            <w:tcW w:w="1417" w:type="dxa"/>
            <w:gridSpan w:val="2"/>
            <w:vMerge w:val="continue"/>
            <w:vAlign w:val="center"/>
          </w:tcPr>
          <w:p>
            <w:pPr>
              <w:spacing w:line="240" w:lineRule="atLeast"/>
              <w:ind w:firstLine="28"/>
              <w:jc w:val="center"/>
              <w:rPr>
                <w:rFonts w:ascii="宋体" w:hAnsi="宋体"/>
                <w:sz w:val="21"/>
                <w:szCs w:val="21"/>
              </w:rPr>
            </w:pPr>
          </w:p>
        </w:tc>
        <w:tc>
          <w:tcPr>
            <w:tcW w:w="567" w:type="dxa"/>
            <w:vMerge w:val="continue"/>
            <w:vAlign w:val="center"/>
          </w:tcPr>
          <w:p>
            <w:pPr>
              <w:spacing w:line="240" w:lineRule="atLeast"/>
              <w:ind w:firstLine="28"/>
              <w:jc w:val="center"/>
              <w:rPr>
                <w:rFonts w:ascii="宋体" w:hAnsi="宋体"/>
                <w:sz w:val="21"/>
                <w:szCs w:val="21"/>
              </w:rPr>
            </w:pPr>
          </w:p>
        </w:tc>
        <w:tc>
          <w:tcPr>
            <w:tcW w:w="5557" w:type="dxa"/>
            <w:vAlign w:val="center"/>
          </w:tcPr>
          <w:p>
            <w:pPr>
              <w:widowControl/>
              <w:adjustRightInd w:val="0"/>
              <w:snapToGrid w:val="0"/>
              <w:rPr>
                <w:rFonts w:ascii="宋体" w:hAnsi="宋体"/>
                <w:color w:val="000000"/>
                <w:sz w:val="21"/>
                <w:szCs w:val="21"/>
              </w:rPr>
            </w:pPr>
            <w:r>
              <w:rPr>
                <w:rFonts w:ascii="宋体" w:hAnsi="宋体"/>
                <w:color w:val="000000"/>
                <w:sz w:val="21"/>
                <w:szCs w:val="21"/>
              </w:rPr>
              <w:t>C</w:t>
            </w:r>
            <w:r>
              <w:rPr>
                <w:rFonts w:hint="eastAsia" w:ascii="宋体" w:hAnsi="宋体"/>
                <w:color w:val="000000"/>
                <w:sz w:val="21"/>
                <w:szCs w:val="21"/>
              </w:rPr>
              <w:t>、加分条款（</w:t>
            </w:r>
            <w:r>
              <w:rPr>
                <w:rFonts w:ascii="宋体" w:hAnsi="宋体"/>
                <w:color w:val="000000"/>
                <w:sz w:val="21"/>
                <w:szCs w:val="21"/>
              </w:rPr>
              <w:t>25</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1．需求分析（</w:t>
            </w:r>
            <w:r>
              <w:rPr>
                <w:rFonts w:ascii="宋体" w:hAnsi="宋体"/>
                <w:color w:val="000000"/>
                <w:sz w:val="21"/>
                <w:szCs w:val="21"/>
              </w:rPr>
              <w:t>5</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供应商提供书面《技术服务需求分析报告》，应深入理解项目思路和采购人业务需求，在此基础上完成本项目需求分析报告。</w:t>
            </w:r>
          </w:p>
          <w:p>
            <w:pPr>
              <w:spacing w:line="240" w:lineRule="atLeast"/>
              <w:rPr>
                <w:rFonts w:ascii="宋体" w:hAnsi="宋体"/>
                <w:color w:val="000000"/>
                <w:sz w:val="21"/>
                <w:szCs w:val="21"/>
              </w:rPr>
            </w:pPr>
            <w:r>
              <w:rPr>
                <w:rFonts w:hint="eastAsia" w:ascii="宋体" w:hAnsi="宋体"/>
                <w:color w:val="000000"/>
                <w:sz w:val="21"/>
                <w:szCs w:val="21"/>
              </w:rPr>
              <w:t>优（需求理解深刻、全面、可操作性强）得</w:t>
            </w:r>
            <w:r>
              <w:rPr>
                <w:rFonts w:ascii="宋体" w:hAnsi="宋体"/>
                <w:color w:val="000000"/>
                <w:sz w:val="21"/>
                <w:szCs w:val="21"/>
              </w:rPr>
              <w:t>5</w:t>
            </w:r>
            <w:r>
              <w:rPr>
                <w:rFonts w:hint="eastAsia" w:ascii="宋体" w:hAnsi="宋体"/>
                <w:color w:val="000000"/>
                <w:sz w:val="21"/>
                <w:szCs w:val="21"/>
              </w:rPr>
              <w:t>分，良（需求理解较深刻、较全面、可操作性较强）得</w:t>
            </w:r>
            <w:r>
              <w:rPr>
                <w:rFonts w:ascii="宋体" w:hAnsi="宋体"/>
                <w:color w:val="000000"/>
                <w:sz w:val="21"/>
                <w:szCs w:val="21"/>
              </w:rPr>
              <w:t>3</w:t>
            </w:r>
            <w:r>
              <w:rPr>
                <w:rFonts w:hint="eastAsia" w:ascii="宋体" w:hAnsi="宋体"/>
                <w:color w:val="000000"/>
                <w:sz w:val="21"/>
                <w:szCs w:val="21"/>
              </w:rPr>
              <w:t>分，中（需求理解一般、可操作性一般）得</w:t>
            </w:r>
            <w:r>
              <w:rPr>
                <w:rFonts w:ascii="宋体" w:hAnsi="宋体"/>
                <w:color w:val="000000"/>
                <w:sz w:val="21"/>
                <w:szCs w:val="21"/>
              </w:rPr>
              <w:t>2</w:t>
            </w:r>
            <w:r>
              <w:rPr>
                <w:rFonts w:hint="eastAsia" w:ascii="宋体" w:hAnsi="宋体"/>
                <w:color w:val="000000"/>
                <w:sz w:val="21"/>
                <w:szCs w:val="21"/>
              </w:rPr>
              <w:t>分，差（需求理解差、片面、可操作性差）或未提供得0分。</w:t>
            </w:r>
          </w:p>
          <w:p>
            <w:pPr>
              <w:spacing w:line="240" w:lineRule="atLeast"/>
              <w:rPr>
                <w:rFonts w:ascii="宋体" w:hAnsi="宋体"/>
                <w:color w:val="000000"/>
                <w:sz w:val="21"/>
                <w:szCs w:val="21"/>
              </w:rPr>
            </w:pPr>
            <w:r>
              <w:rPr>
                <w:rFonts w:hint="eastAsia" w:ascii="宋体" w:hAnsi="宋体"/>
                <w:color w:val="000000"/>
                <w:sz w:val="21"/>
                <w:szCs w:val="21"/>
              </w:rPr>
              <w:t>2．频率台站监督检查实施方案（</w:t>
            </w:r>
            <w:r>
              <w:rPr>
                <w:rFonts w:ascii="宋体" w:hAnsi="宋体"/>
                <w:color w:val="000000"/>
                <w:sz w:val="21"/>
                <w:szCs w:val="21"/>
              </w:rPr>
              <w:t>10</w:t>
            </w:r>
            <w:r>
              <w:rPr>
                <w:rFonts w:hint="eastAsia" w:ascii="宋体" w:hAnsi="宋体"/>
                <w:color w:val="000000"/>
                <w:sz w:val="21"/>
                <w:szCs w:val="21"/>
              </w:rPr>
              <w:t>分）</w:t>
            </w:r>
          </w:p>
          <w:p>
            <w:pPr>
              <w:spacing w:line="240" w:lineRule="atLeast"/>
              <w:jc w:val="left"/>
              <w:rPr>
                <w:rFonts w:ascii="宋体" w:hAnsi="宋体"/>
                <w:color w:val="000000"/>
                <w:sz w:val="21"/>
                <w:szCs w:val="21"/>
              </w:rPr>
            </w:pPr>
            <w:r>
              <w:rPr>
                <w:rFonts w:hint="eastAsia" w:ascii="宋体" w:hAnsi="宋体"/>
                <w:color w:val="000000"/>
                <w:sz w:val="21"/>
                <w:szCs w:val="21"/>
              </w:rPr>
              <w:t>供应商提供书面《频率台站监督检查实施方案》。方案应包含监测检测、现场检查、报告编制等内容，符合采购人实际情况。</w:t>
            </w:r>
          </w:p>
          <w:p>
            <w:pPr>
              <w:spacing w:line="240" w:lineRule="atLeast"/>
              <w:rPr>
                <w:rFonts w:ascii="宋体" w:hAnsi="宋体"/>
                <w:color w:val="000000"/>
                <w:sz w:val="21"/>
                <w:szCs w:val="21"/>
              </w:rPr>
            </w:pPr>
            <w:r>
              <w:rPr>
                <w:rFonts w:hint="eastAsia" w:ascii="宋体" w:hAnsi="宋体"/>
                <w:color w:val="000000"/>
                <w:sz w:val="21"/>
                <w:szCs w:val="21"/>
              </w:rPr>
              <w:t>优（实施方案包含上述3项内容、阐述清楚、可操作性强、完全符合采购人实际情况）得</w:t>
            </w:r>
            <w:r>
              <w:rPr>
                <w:rFonts w:ascii="宋体" w:hAnsi="宋体"/>
                <w:color w:val="000000"/>
                <w:sz w:val="21"/>
                <w:szCs w:val="21"/>
              </w:rPr>
              <w:t>10</w:t>
            </w:r>
            <w:r>
              <w:rPr>
                <w:rFonts w:hint="eastAsia" w:ascii="宋体" w:hAnsi="宋体"/>
                <w:color w:val="000000"/>
                <w:sz w:val="21"/>
                <w:szCs w:val="21"/>
              </w:rPr>
              <w:t>分，良（实施方案包含上述3项内容、阐述较清楚、可操作性较强、基本符合采购人实际情况）得</w:t>
            </w:r>
            <w:r>
              <w:rPr>
                <w:rFonts w:ascii="宋体" w:hAnsi="宋体"/>
                <w:color w:val="000000"/>
                <w:sz w:val="21"/>
                <w:szCs w:val="21"/>
              </w:rPr>
              <w:t>7</w:t>
            </w:r>
            <w:r>
              <w:rPr>
                <w:rFonts w:hint="eastAsia" w:ascii="宋体" w:hAnsi="宋体"/>
                <w:color w:val="000000"/>
                <w:sz w:val="21"/>
                <w:szCs w:val="21"/>
              </w:rPr>
              <w:t>分，中（实施方案包含上述3项内容、阐述一般、可操作性一般、较符合采购人实际情况）得</w:t>
            </w:r>
            <w:r>
              <w:rPr>
                <w:rFonts w:ascii="宋体" w:hAnsi="宋体"/>
                <w:color w:val="000000"/>
                <w:sz w:val="21"/>
                <w:szCs w:val="21"/>
              </w:rPr>
              <w:t>4</w:t>
            </w:r>
            <w:r>
              <w:rPr>
                <w:rFonts w:hint="eastAsia" w:ascii="宋体" w:hAnsi="宋体"/>
                <w:color w:val="000000"/>
                <w:sz w:val="21"/>
                <w:szCs w:val="21"/>
              </w:rPr>
              <w:t>分，差（实施方案未完整包含上述3项内容、阐述不清楚、可操作性差、不符合采购人实际情况）或未提供得0分。</w:t>
            </w:r>
          </w:p>
          <w:p>
            <w:pPr>
              <w:widowControl/>
              <w:adjustRightInd w:val="0"/>
              <w:snapToGrid w:val="0"/>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．公众移动通信系统频率使用率评价实施方案（</w:t>
            </w:r>
            <w:r>
              <w:rPr>
                <w:rFonts w:ascii="宋体" w:hAnsi="宋体"/>
                <w:color w:val="000000"/>
                <w:sz w:val="21"/>
                <w:szCs w:val="21"/>
              </w:rPr>
              <w:t>10</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供应商提供书面《公众移动通信系统频率使用率评价实施方案》。方案内容包括：指标评价、监测验证、报告编制等内容，符合采购人实际情况。</w:t>
            </w:r>
          </w:p>
          <w:p>
            <w:pPr>
              <w:spacing w:line="240" w:lineRule="atLeast"/>
              <w:rPr>
                <w:rFonts w:ascii="宋体" w:hAnsi="宋体"/>
                <w:color w:val="000000"/>
                <w:sz w:val="21"/>
                <w:szCs w:val="21"/>
              </w:rPr>
            </w:pPr>
            <w:r>
              <w:rPr>
                <w:rFonts w:hint="eastAsia" w:ascii="宋体" w:hAnsi="宋体"/>
                <w:color w:val="000000"/>
                <w:sz w:val="21"/>
                <w:szCs w:val="21"/>
              </w:rPr>
              <w:t>优（实施方案包含上述3项内容、阐述清楚、可操作性强、完全符合采购人实际情况）得</w:t>
            </w:r>
            <w:r>
              <w:rPr>
                <w:rFonts w:ascii="宋体" w:hAnsi="宋体"/>
                <w:color w:val="000000"/>
                <w:sz w:val="21"/>
                <w:szCs w:val="21"/>
              </w:rPr>
              <w:t>10</w:t>
            </w:r>
            <w:r>
              <w:rPr>
                <w:rFonts w:hint="eastAsia" w:ascii="宋体" w:hAnsi="宋体"/>
                <w:color w:val="000000"/>
                <w:sz w:val="21"/>
                <w:szCs w:val="21"/>
              </w:rPr>
              <w:t>分，良（实施方案包含上述3项内容、阐述较清楚、可操作性较强、基本符合采购人实际情况）得</w:t>
            </w:r>
            <w:r>
              <w:rPr>
                <w:rFonts w:ascii="宋体" w:hAnsi="宋体"/>
                <w:color w:val="000000"/>
                <w:sz w:val="21"/>
                <w:szCs w:val="21"/>
              </w:rPr>
              <w:t>7</w:t>
            </w:r>
            <w:r>
              <w:rPr>
                <w:rFonts w:hint="eastAsia" w:ascii="宋体" w:hAnsi="宋体"/>
                <w:color w:val="000000"/>
                <w:sz w:val="21"/>
                <w:szCs w:val="21"/>
              </w:rPr>
              <w:t>分，中（实施方案包含上述3项内容、阐述一般、可操作性一般、较符合采购人实际情况）得</w:t>
            </w:r>
            <w:r>
              <w:rPr>
                <w:rFonts w:ascii="宋体" w:hAnsi="宋体"/>
                <w:color w:val="000000"/>
                <w:sz w:val="21"/>
                <w:szCs w:val="21"/>
              </w:rPr>
              <w:t>4</w:t>
            </w:r>
            <w:r>
              <w:rPr>
                <w:rFonts w:hint="eastAsia" w:ascii="宋体" w:hAnsi="宋体"/>
                <w:color w:val="000000"/>
                <w:sz w:val="21"/>
                <w:szCs w:val="21"/>
              </w:rPr>
              <w:t>分，差（实施方案未完整包含上述3项内容、阐述不清楚、可操作性差、不符合采购人实际情况）或未提供得0分。</w:t>
            </w:r>
          </w:p>
        </w:tc>
        <w:tc>
          <w:tcPr>
            <w:tcW w:w="1803" w:type="dxa"/>
            <w:vAlign w:val="center"/>
          </w:tcPr>
          <w:p>
            <w:pPr>
              <w:widowControl/>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68"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709"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w:t>
            </w:r>
          </w:p>
        </w:tc>
        <w:tc>
          <w:tcPr>
            <w:tcW w:w="708" w:type="dxa"/>
            <w:vAlign w:val="center"/>
          </w:tcPr>
          <w:p>
            <w:pPr>
              <w:spacing w:line="240" w:lineRule="atLeast"/>
              <w:ind w:firstLine="28"/>
              <w:jc w:val="left"/>
              <w:rPr>
                <w:rFonts w:ascii="宋体" w:hAnsi="宋体"/>
                <w:color w:val="000000"/>
                <w:sz w:val="21"/>
                <w:szCs w:val="21"/>
              </w:rPr>
            </w:pPr>
            <w:r>
              <w:rPr>
                <w:rFonts w:hint="eastAsia" w:ascii="宋体" w:hAnsi="宋体"/>
                <w:color w:val="000000"/>
                <w:sz w:val="21"/>
                <w:szCs w:val="21"/>
              </w:rPr>
              <w:t>业绩（</w:t>
            </w:r>
            <w:r>
              <w:rPr>
                <w:rFonts w:ascii="宋体" w:hAnsi="宋体"/>
                <w:color w:val="000000"/>
                <w:sz w:val="21"/>
                <w:szCs w:val="21"/>
              </w:rPr>
              <w:t>2</w:t>
            </w:r>
            <w:r>
              <w:rPr>
                <w:rFonts w:hint="eastAsia" w:ascii="宋体" w:hAnsi="宋体"/>
                <w:color w:val="000000"/>
                <w:sz w:val="21"/>
                <w:szCs w:val="21"/>
              </w:rPr>
              <w:t>%）</w:t>
            </w:r>
          </w:p>
        </w:tc>
        <w:tc>
          <w:tcPr>
            <w:tcW w:w="567"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5557" w:type="dxa"/>
            <w:vAlign w:val="center"/>
          </w:tcPr>
          <w:p>
            <w:pPr>
              <w:pStyle w:val="41"/>
              <w:pBdr>
                <w:bottom w:val="none" w:color="auto" w:sz="0" w:space="0"/>
              </w:pBdr>
              <w:tabs>
                <w:tab w:val="left" w:pos="420"/>
              </w:tabs>
              <w:snapToGrid/>
              <w:jc w:val="left"/>
              <w:rPr>
                <w:rFonts w:ascii="宋体" w:hAnsi="宋体"/>
                <w:color w:val="000000"/>
                <w:sz w:val="21"/>
                <w:szCs w:val="21"/>
              </w:rPr>
            </w:pPr>
            <w:r>
              <w:rPr>
                <w:rFonts w:hint="eastAsia" w:ascii="宋体" w:hAnsi="宋体"/>
                <w:color w:val="000000"/>
                <w:sz w:val="21"/>
                <w:szCs w:val="21"/>
              </w:rPr>
              <w:t>业绩（2分）</w:t>
            </w:r>
          </w:p>
          <w:p>
            <w:pPr>
              <w:pStyle w:val="41"/>
              <w:pBdr>
                <w:bottom w:val="none" w:color="auto" w:sz="0" w:space="0"/>
              </w:pBdr>
              <w:tabs>
                <w:tab w:val="left" w:pos="420"/>
              </w:tabs>
              <w:snapToGrid/>
              <w:jc w:val="left"/>
              <w:rPr>
                <w:rFonts w:ascii="宋体" w:hAnsi="宋体"/>
                <w:color w:val="000000"/>
                <w:sz w:val="21"/>
                <w:szCs w:val="21"/>
              </w:rPr>
            </w:pPr>
            <w:r>
              <w:rPr>
                <w:rFonts w:hint="eastAsia" w:ascii="宋体" w:hAnsi="宋体"/>
                <w:color w:val="000000"/>
                <w:sz w:val="21"/>
                <w:szCs w:val="21"/>
              </w:rPr>
              <w:t>20</w:t>
            </w:r>
            <w:r>
              <w:rPr>
                <w:rFonts w:ascii="宋体" w:hAnsi="宋体"/>
                <w:color w:val="000000"/>
                <w:sz w:val="21"/>
                <w:szCs w:val="21"/>
              </w:rPr>
              <w:t>18</w:t>
            </w:r>
            <w:r>
              <w:rPr>
                <w:rFonts w:hint="eastAsia" w:ascii="宋体" w:hAnsi="宋体"/>
                <w:color w:val="000000"/>
                <w:sz w:val="21"/>
                <w:szCs w:val="21"/>
              </w:rPr>
              <w:t>年1月1日至响应文件递交截止时间，供应商承担过频率台站监测检测类似项目的（以签订合同时间为准），提供一项得</w:t>
            </w:r>
            <w:r>
              <w:rPr>
                <w:rFonts w:ascii="宋体" w:hAnsi="宋体"/>
                <w:color w:val="000000"/>
                <w:sz w:val="21"/>
                <w:szCs w:val="21"/>
              </w:rPr>
              <w:t>1</w:t>
            </w:r>
            <w:r>
              <w:rPr>
                <w:rFonts w:hint="eastAsia" w:ascii="宋体" w:hAnsi="宋体"/>
                <w:color w:val="000000"/>
                <w:sz w:val="21"/>
                <w:szCs w:val="21"/>
              </w:rPr>
              <w:t>分，满分</w:t>
            </w:r>
            <w:r>
              <w:rPr>
                <w:rFonts w:ascii="宋体" w:hAnsi="宋体"/>
                <w:color w:val="000000"/>
                <w:sz w:val="21"/>
                <w:szCs w:val="21"/>
              </w:rPr>
              <w:t>2</w:t>
            </w:r>
            <w:r>
              <w:rPr>
                <w:rFonts w:hint="eastAsia" w:ascii="宋体" w:hAnsi="宋体"/>
                <w:color w:val="000000"/>
                <w:sz w:val="21"/>
                <w:szCs w:val="21"/>
              </w:rPr>
              <w:t>分。</w:t>
            </w:r>
          </w:p>
        </w:tc>
        <w:tc>
          <w:tcPr>
            <w:tcW w:w="1803" w:type="dxa"/>
            <w:vAlign w:val="center"/>
          </w:tcPr>
          <w:p>
            <w:pPr>
              <w:spacing w:line="240" w:lineRule="atLeast"/>
              <w:ind w:left="-38"/>
              <w:jc w:val="left"/>
              <w:rPr>
                <w:rFonts w:ascii="宋体" w:hAnsi="宋体"/>
                <w:sz w:val="21"/>
                <w:szCs w:val="21"/>
              </w:rPr>
            </w:pPr>
            <w:r>
              <w:rPr>
                <w:rFonts w:hint="eastAsia" w:ascii="宋体" w:hAnsi="宋体"/>
                <w:color w:val="000000"/>
                <w:sz w:val="21"/>
                <w:szCs w:val="21"/>
              </w:rPr>
              <w:t>供应商须提供合同及验收报告复印件，加盖供应商公章。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trPr>
        <w:tc>
          <w:tcPr>
            <w:tcW w:w="568" w:type="dxa"/>
            <w:vMerge w:val="continue"/>
            <w:vAlign w:val="center"/>
          </w:tcPr>
          <w:p>
            <w:pPr>
              <w:spacing w:line="240" w:lineRule="atLeast"/>
              <w:ind w:firstLine="28"/>
              <w:jc w:val="center"/>
              <w:rPr>
                <w:rFonts w:ascii="宋体" w:hAnsi="宋体"/>
                <w:sz w:val="21"/>
                <w:szCs w:val="21"/>
              </w:rPr>
            </w:pPr>
          </w:p>
        </w:tc>
        <w:tc>
          <w:tcPr>
            <w:tcW w:w="709" w:type="dxa"/>
            <w:vMerge w:val="continue"/>
            <w:vAlign w:val="center"/>
          </w:tcPr>
          <w:p>
            <w:pPr>
              <w:spacing w:line="240" w:lineRule="atLeast"/>
              <w:ind w:firstLine="28"/>
              <w:jc w:val="center"/>
              <w:rPr>
                <w:rFonts w:ascii="宋体" w:hAnsi="宋体"/>
                <w:sz w:val="21"/>
                <w:szCs w:val="21"/>
              </w:rPr>
            </w:pPr>
          </w:p>
        </w:tc>
        <w:tc>
          <w:tcPr>
            <w:tcW w:w="708" w:type="dxa"/>
            <w:vAlign w:val="center"/>
          </w:tcPr>
          <w:p>
            <w:pPr>
              <w:spacing w:line="240" w:lineRule="atLeast"/>
              <w:ind w:firstLine="28"/>
              <w:jc w:val="left"/>
              <w:rPr>
                <w:rFonts w:ascii="宋体" w:hAnsi="宋体"/>
                <w:color w:val="000000"/>
                <w:sz w:val="21"/>
                <w:szCs w:val="21"/>
              </w:rPr>
            </w:pPr>
            <w:r>
              <w:rPr>
                <w:rFonts w:ascii="宋体" w:hAnsi="宋体"/>
                <w:color w:val="000000"/>
                <w:sz w:val="21"/>
                <w:szCs w:val="21"/>
              </w:rPr>
              <w:t>培训</w:t>
            </w: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p>
        </w:tc>
        <w:tc>
          <w:tcPr>
            <w:tcW w:w="567"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3</w:t>
            </w:r>
          </w:p>
        </w:tc>
        <w:tc>
          <w:tcPr>
            <w:tcW w:w="5557" w:type="dxa"/>
            <w:vAlign w:val="center"/>
          </w:tcPr>
          <w:p>
            <w:pPr>
              <w:spacing w:line="240" w:lineRule="atLeast"/>
              <w:rPr>
                <w:rFonts w:ascii="宋体" w:hAnsi="宋体"/>
                <w:color w:val="000000"/>
                <w:sz w:val="21"/>
                <w:szCs w:val="21"/>
              </w:rPr>
            </w:pPr>
            <w:r>
              <w:rPr>
                <w:rFonts w:hint="eastAsia" w:ascii="宋体" w:hAnsi="宋体"/>
                <w:color w:val="000000"/>
                <w:sz w:val="21"/>
                <w:szCs w:val="21"/>
              </w:rPr>
              <w:t>培训方案（</w:t>
            </w:r>
            <w:r>
              <w:rPr>
                <w:rFonts w:ascii="宋体" w:hAnsi="宋体"/>
                <w:color w:val="000000"/>
                <w:sz w:val="21"/>
                <w:szCs w:val="21"/>
              </w:rPr>
              <w:t>3</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供应商提书面《项目培训方案》。要求对本项目的培训有较全面的考虑，培训计划和培训讲师安排合理，培训方案科学可行、内容详实。</w:t>
            </w:r>
          </w:p>
          <w:p>
            <w:pPr>
              <w:spacing w:line="240" w:lineRule="atLeast"/>
              <w:rPr>
                <w:rFonts w:ascii="宋体" w:hAnsi="宋体"/>
                <w:sz w:val="21"/>
                <w:szCs w:val="21"/>
              </w:rPr>
            </w:pPr>
            <w:r>
              <w:rPr>
                <w:rFonts w:hint="eastAsia" w:ascii="宋体" w:hAnsi="宋体"/>
                <w:sz w:val="21"/>
                <w:szCs w:val="21"/>
              </w:rPr>
              <w:t>优（师资配备齐全、课程安排科学合理、完全满足培训要求）得</w:t>
            </w:r>
            <w:r>
              <w:rPr>
                <w:rFonts w:ascii="宋体" w:hAnsi="宋体"/>
                <w:sz w:val="21"/>
                <w:szCs w:val="21"/>
              </w:rPr>
              <w:t>3</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良（师资配备基本齐全、课程安排较为科学合理、较为满足项目培训要求）得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中（师资配备勉强够用、课程安排科学合理性一般勉强满足培训要求）得</w:t>
            </w:r>
            <w:r>
              <w:rPr>
                <w:rFonts w:ascii="宋体" w:hAnsi="宋体"/>
                <w:sz w:val="21"/>
                <w:szCs w:val="21"/>
              </w:rPr>
              <w:t>1</w:t>
            </w:r>
            <w:r>
              <w:rPr>
                <w:rFonts w:hint="eastAsia" w:ascii="宋体" w:hAnsi="宋体"/>
                <w:sz w:val="21"/>
                <w:szCs w:val="21"/>
              </w:rPr>
              <w:t>分；</w:t>
            </w:r>
          </w:p>
          <w:p>
            <w:pPr>
              <w:spacing w:line="240" w:lineRule="atLeast"/>
              <w:rPr>
                <w:rFonts w:ascii="宋体" w:hAnsi="宋体"/>
                <w:color w:val="000000"/>
                <w:sz w:val="21"/>
                <w:szCs w:val="21"/>
              </w:rPr>
            </w:pPr>
            <w:r>
              <w:rPr>
                <w:rFonts w:hint="eastAsia" w:ascii="宋体" w:hAnsi="宋体"/>
                <w:sz w:val="21"/>
                <w:szCs w:val="21"/>
              </w:rPr>
              <w:t>差（师资配备不足、课程安排科学合理性差、不能满足培训要求）或未提供得0分。</w:t>
            </w:r>
          </w:p>
        </w:tc>
        <w:tc>
          <w:tcPr>
            <w:tcW w:w="1803" w:type="dxa"/>
            <w:vAlign w:val="center"/>
          </w:tcPr>
          <w:p>
            <w:pPr>
              <w:spacing w:line="240" w:lineRule="atLeast"/>
              <w:ind w:left="-38"/>
              <w:jc w:val="left"/>
              <w:rPr>
                <w:rFonts w:ascii="宋体" w:hAnsi="宋体"/>
                <w:sz w:val="21"/>
                <w:szCs w:val="21"/>
              </w:rPr>
            </w:pPr>
          </w:p>
        </w:tc>
      </w:tr>
    </w:tbl>
    <w:p>
      <w:pPr>
        <w:snapToGrid w:val="0"/>
        <w:spacing w:line="360" w:lineRule="auto"/>
        <w:ind w:firstLine="465"/>
        <w:rPr>
          <w:rFonts w:ascii="宋体"/>
          <w:b/>
          <w:sz w:val="24"/>
          <w:szCs w:val="24"/>
        </w:rPr>
      </w:pPr>
      <w:r>
        <w:rPr>
          <w:rFonts w:hint="eastAsia" w:ascii="宋体"/>
          <w:b/>
          <w:sz w:val="24"/>
          <w:szCs w:val="24"/>
        </w:rPr>
        <w:t>说明：</w:t>
      </w:r>
    </w:p>
    <w:p>
      <w:pPr>
        <w:snapToGrid w:val="0"/>
        <w:spacing w:line="360" w:lineRule="auto"/>
        <w:ind w:firstLine="465"/>
        <w:rPr>
          <w:rFonts w:ascii="宋体"/>
          <w:sz w:val="24"/>
          <w:szCs w:val="24"/>
        </w:rPr>
      </w:pPr>
      <w:r>
        <w:rPr>
          <w:rFonts w:hint="eastAsia" w:asci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snapToGrid w:val="0"/>
        <w:spacing w:line="360" w:lineRule="auto"/>
        <w:ind w:firstLine="465"/>
        <w:rPr>
          <w:rFonts w:ascii="宋体"/>
          <w:sz w:val="24"/>
          <w:szCs w:val="24"/>
        </w:rPr>
      </w:pPr>
      <w:r>
        <w:rPr>
          <w:rFonts w:hint="eastAsia" w:ascii="宋体"/>
          <w:sz w:val="24"/>
          <w:szCs w:val="24"/>
        </w:rPr>
        <w:t>（二）关于小微企业报价扣除比例说明</w:t>
      </w:r>
    </w:p>
    <w:p>
      <w:pPr>
        <w:snapToGrid w:val="0"/>
        <w:spacing w:line="360" w:lineRule="auto"/>
        <w:ind w:firstLine="465"/>
        <w:rPr>
          <w:rFonts w:ascii="宋体"/>
          <w:sz w:val="24"/>
          <w:szCs w:val="24"/>
        </w:rPr>
      </w:pPr>
      <w:r>
        <w:rPr>
          <w:rFonts w:hint="eastAsia" w:asci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sz w:val="24"/>
          <w:szCs w:val="24"/>
        </w:rPr>
      </w:pPr>
      <w:r>
        <w:rPr>
          <w:rFonts w:hint="eastAsia" w:asci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sz w:val="24"/>
          <w:szCs w:val="24"/>
        </w:rPr>
      </w:pPr>
      <w:r>
        <w:rPr>
          <w:rFonts w:hint="eastAsia" w:ascii="宋体"/>
          <w:sz w:val="24"/>
          <w:szCs w:val="24"/>
        </w:rPr>
        <w:t>（2）在工程采购项目中，工程由中小企业承建，即工程施工单位为中小企业；</w:t>
      </w:r>
    </w:p>
    <w:p>
      <w:pPr>
        <w:snapToGrid w:val="0"/>
        <w:spacing w:line="360" w:lineRule="auto"/>
        <w:ind w:firstLine="465"/>
        <w:rPr>
          <w:rFonts w:ascii="宋体"/>
          <w:sz w:val="24"/>
          <w:szCs w:val="24"/>
        </w:rPr>
      </w:pPr>
      <w:r>
        <w:rPr>
          <w:rFonts w:hint="eastAsia" w:ascii="宋体"/>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65"/>
        <w:rPr>
          <w:rFonts w:ascii="宋体"/>
          <w:sz w:val="24"/>
          <w:szCs w:val="24"/>
        </w:rPr>
      </w:pPr>
      <w:r>
        <w:rPr>
          <w:rFonts w:hint="eastAsia" w:ascii="宋体"/>
          <w:sz w:val="24"/>
          <w:szCs w:val="24"/>
        </w:rPr>
        <w:t>2.对小微型企业给予</w:t>
      </w:r>
      <w:r>
        <w:rPr>
          <w:rFonts w:ascii="宋体"/>
          <w:b/>
          <w:bCs/>
          <w:sz w:val="24"/>
          <w:szCs w:val="24"/>
          <w:u w:val="single"/>
        </w:rPr>
        <w:t>20</w:t>
      </w:r>
      <w:r>
        <w:rPr>
          <w:rFonts w:hint="eastAsia" w:ascii="宋体"/>
          <w:b/>
          <w:bCs/>
          <w:sz w:val="24"/>
          <w:szCs w:val="24"/>
          <w:u w:val="single"/>
        </w:rPr>
        <w:t xml:space="preserve"> %</w:t>
      </w:r>
      <w:r>
        <w:rPr>
          <w:rFonts w:hint="eastAsia" w:ascii="宋体"/>
          <w:sz w:val="24"/>
          <w:szCs w:val="24"/>
        </w:rPr>
        <w:t>的扣除，以扣除后的报价参与评审。</w:t>
      </w:r>
    </w:p>
    <w:p>
      <w:pPr>
        <w:snapToGrid w:val="0"/>
        <w:spacing w:line="360" w:lineRule="auto"/>
        <w:ind w:firstLine="465"/>
        <w:rPr>
          <w:rFonts w:ascii="宋体"/>
          <w:sz w:val="24"/>
          <w:szCs w:val="24"/>
        </w:rPr>
      </w:pPr>
      <w:r>
        <w:rPr>
          <w:rFonts w:hint="eastAsia" w:ascii="宋体"/>
          <w:sz w:val="24"/>
          <w:szCs w:val="24"/>
        </w:rPr>
        <w:t>3.监狱企业、残疾人福利性单位视同小型、微型企业。</w:t>
      </w:r>
    </w:p>
    <w:p>
      <w:pPr>
        <w:pStyle w:val="6"/>
        <w:spacing w:before="0" w:after="0" w:line="360" w:lineRule="auto"/>
        <w:ind w:firstLine="482" w:firstLineChars="200"/>
        <w:rPr>
          <w:rFonts w:ascii="宋体"/>
          <w:sz w:val="24"/>
          <w:szCs w:val="24"/>
        </w:rPr>
      </w:pPr>
      <w:bookmarkStart w:id="83" w:name="_Toc128558912"/>
      <w:r>
        <w:rPr>
          <w:rFonts w:hint="eastAsia" w:ascii="宋体"/>
          <w:sz w:val="24"/>
          <w:szCs w:val="24"/>
        </w:rPr>
        <w:t>三、无效响应</w:t>
      </w:r>
      <w:bookmarkEnd w:id="83"/>
    </w:p>
    <w:p>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sz w:val="24"/>
          <w:szCs w:val="24"/>
        </w:rPr>
      </w:pPr>
      <w:bookmarkStart w:id="84" w:name="_Toc128558913"/>
      <w:r>
        <w:rPr>
          <w:rFonts w:hint="eastAsia" w:ascii="宋体"/>
          <w:sz w:val="24"/>
          <w:szCs w:val="24"/>
        </w:rPr>
        <w:t>四、</w:t>
      </w:r>
      <w:bookmarkEnd w:id="81"/>
      <w:bookmarkEnd w:id="82"/>
      <w:r>
        <w:rPr>
          <w:rFonts w:hint="eastAsia" w:ascii="宋体"/>
          <w:sz w:val="24"/>
          <w:szCs w:val="24"/>
        </w:rPr>
        <w:t>采购终止</w:t>
      </w:r>
      <w:bookmarkEnd w:id="84"/>
    </w:p>
    <w:p>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pPr>
        <w:snapToGrid w:val="0"/>
        <w:spacing w:line="360" w:lineRule="auto"/>
        <w:ind w:firstLine="465"/>
        <w:rPr>
          <w:rFonts w:ascii="宋体"/>
          <w:sz w:val="24"/>
          <w:szCs w:val="24"/>
        </w:rPr>
      </w:pPr>
      <w:r>
        <w:rPr>
          <w:rFonts w:hint="eastAsia" w:ascii="宋体"/>
          <w:sz w:val="24"/>
          <w:szCs w:val="24"/>
        </w:rPr>
        <w:t>（二）出现影响采购公正的违法、违规行为的；</w:t>
      </w:r>
    </w:p>
    <w:p>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eastAsia="宋体"/>
          <w:sz w:val="36"/>
          <w:szCs w:val="30"/>
        </w:rPr>
      </w:pPr>
      <w:bookmarkStart w:id="85" w:name="_Toc102227313"/>
      <w:bookmarkStart w:id="86" w:name="_Toc128558914"/>
      <w:r>
        <w:rPr>
          <w:rFonts w:hint="eastAsia" w:ascii="宋体" w:eastAsia="宋体"/>
          <w:sz w:val="36"/>
          <w:szCs w:val="30"/>
        </w:rPr>
        <w:t>第五篇  供应商须知</w:t>
      </w:r>
      <w:bookmarkEnd w:id="85"/>
      <w:bookmarkEnd w:id="86"/>
    </w:p>
    <w:p>
      <w:pPr>
        <w:pStyle w:val="6"/>
        <w:spacing w:before="0" w:after="0" w:line="360" w:lineRule="auto"/>
        <w:ind w:firstLine="482" w:firstLineChars="200"/>
        <w:rPr>
          <w:rFonts w:ascii="宋体"/>
          <w:sz w:val="24"/>
          <w:szCs w:val="24"/>
        </w:rPr>
      </w:pPr>
      <w:bookmarkStart w:id="87" w:name="_Toc342913389"/>
      <w:bookmarkStart w:id="88" w:name="_Toc128558915"/>
      <w:r>
        <w:rPr>
          <w:rFonts w:hint="eastAsia" w:ascii="宋体"/>
          <w:sz w:val="24"/>
          <w:szCs w:val="24"/>
        </w:rPr>
        <w:t>一、磋商费用</w:t>
      </w:r>
      <w:bookmarkEnd w:id="87"/>
      <w:bookmarkEnd w:id="88"/>
    </w:p>
    <w:p>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sz w:val="24"/>
          <w:szCs w:val="24"/>
        </w:rPr>
      </w:pPr>
      <w:bookmarkStart w:id="89" w:name="_Toc128558916"/>
      <w:bookmarkStart w:id="90" w:name="_Toc342913391"/>
      <w:r>
        <w:rPr>
          <w:rFonts w:hint="eastAsia" w:ascii="宋体"/>
          <w:sz w:val="24"/>
          <w:szCs w:val="24"/>
        </w:rPr>
        <w:t>二、竞争性磋商文件</w:t>
      </w:r>
      <w:bookmarkEnd w:id="89"/>
      <w:bookmarkEnd w:id="90"/>
    </w:p>
    <w:p>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sz w:val="24"/>
          <w:szCs w:val="24"/>
        </w:rPr>
      </w:pPr>
      <w:r>
        <w:rPr>
          <w:rFonts w:hint="eastAsia" w:ascii="宋体"/>
          <w:sz w:val="24"/>
          <w:szCs w:val="24"/>
        </w:rPr>
        <w:t>（三）竞争性磋商文件的解释</w:t>
      </w:r>
    </w:p>
    <w:p>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1" w:name="_Toc318166429"/>
      <w:bookmarkStart w:id="92" w:name="_Toc318159780"/>
      <w:bookmarkStart w:id="93" w:name="_Toc318159160"/>
      <w:bookmarkStart w:id="94" w:name="_Toc318159349"/>
    </w:p>
    <w:p>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91"/>
    <w:bookmarkEnd w:id="92"/>
    <w:bookmarkEnd w:id="93"/>
    <w:bookmarkEnd w:id="94"/>
    <w:p>
      <w:pPr>
        <w:pStyle w:val="6"/>
        <w:spacing w:before="0" w:after="0" w:line="360" w:lineRule="auto"/>
        <w:ind w:firstLine="482" w:firstLineChars="200"/>
        <w:rPr>
          <w:rFonts w:ascii="宋体"/>
          <w:sz w:val="24"/>
          <w:szCs w:val="24"/>
        </w:rPr>
      </w:pPr>
      <w:bookmarkStart w:id="95" w:name="_Toc179714297"/>
      <w:bookmarkStart w:id="96" w:name="_Toc342913392"/>
      <w:bookmarkStart w:id="97" w:name="_Toc102227318"/>
      <w:bookmarkStart w:id="98" w:name="_Toc128558917"/>
      <w:r>
        <w:rPr>
          <w:rFonts w:hint="eastAsia" w:ascii="宋体"/>
          <w:sz w:val="24"/>
          <w:szCs w:val="24"/>
        </w:rPr>
        <w:t>三、磋商要求</w:t>
      </w:r>
      <w:bookmarkEnd w:id="95"/>
      <w:bookmarkEnd w:id="96"/>
      <w:bookmarkEnd w:id="97"/>
      <w:bookmarkEnd w:id="98"/>
    </w:p>
    <w:p>
      <w:pPr>
        <w:spacing w:line="360" w:lineRule="auto"/>
        <w:ind w:firstLine="480" w:firstLineChars="200"/>
        <w:rPr>
          <w:rFonts w:ascii="宋体"/>
          <w:sz w:val="24"/>
          <w:szCs w:val="24"/>
        </w:rPr>
      </w:pPr>
      <w:r>
        <w:rPr>
          <w:rFonts w:hint="eastAsia" w:ascii="宋体"/>
          <w:sz w:val="24"/>
          <w:szCs w:val="24"/>
        </w:rPr>
        <w:t>（一）响应文件</w:t>
      </w:r>
    </w:p>
    <w:p>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sz w:val="24"/>
          <w:szCs w:val="24"/>
        </w:rPr>
      </w:pPr>
      <w:r>
        <w:rPr>
          <w:rFonts w:hint="eastAsia" w:ascii="宋体"/>
          <w:sz w:val="24"/>
          <w:szCs w:val="24"/>
        </w:rPr>
        <w:t>2.响应文件组成</w:t>
      </w:r>
    </w:p>
    <w:p>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sz w:val="24"/>
          <w:szCs w:val="24"/>
        </w:rPr>
      </w:pPr>
      <w:r>
        <w:rPr>
          <w:rFonts w:hint="eastAsia" w:ascii="宋体"/>
          <w:sz w:val="24"/>
          <w:szCs w:val="24"/>
        </w:rPr>
        <w:t>（二）联合体</w:t>
      </w:r>
    </w:p>
    <w:p>
      <w:pPr>
        <w:spacing w:line="360" w:lineRule="auto"/>
        <w:ind w:firstLine="480" w:firstLineChars="200"/>
        <w:rPr>
          <w:rFonts w:ascii="宋体"/>
          <w:sz w:val="24"/>
          <w:szCs w:val="24"/>
        </w:rPr>
      </w:pPr>
      <w:r>
        <w:rPr>
          <w:rFonts w:hint="eastAsia" w:ascii="宋体"/>
          <w:sz w:val="24"/>
          <w:szCs w:val="24"/>
        </w:rPr>
        <w:t>本项目不接受联合体磋商。</w:t>
      </w:r>
    </w:p>
    <w:p>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pPr>
        <w:spacing w:line="360" w:lineRule="auto"/>
        <w:ind w:firstLine="480" w:firstLineChars="200"/>
        <w:rPr>
          <w:rFonts w:ascii="宋体"/>
          <w:sz w:val="24"/>
          <w:szCs w:val="24"/>
        </w:rPr>
      </w:pPr>
      <w:r>
        <w:rPr>
          <w:rFonts w:hint="eastAsia" w:ascii="宋体"/>
          <w:sz w:val="24"/>
          <w:szCs w:val="24"/>
        </w:rPr>
        <w:t>（四）磋商保证金：</w:t>
      </w:r>
    </w:p>
    <w:p>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pPr>
        <w:spacing w:line="360" w:lineRule="auto"/>
        <w:ind w:firstLine="480" w:firstLineChars="200"/>
        <w:rPr>
          <w:rFonts w:ascii="宋体"/>
          <w:sz w:val="24"/>
          <w:szCs w:val="24"/>
        </w:rPr>
      </w:pPr>
      <w:r>
        <w:rPr>
          <w:rFonts w:hint="eastAsia" w:ascii="宋体"/>
          <w:sz w:val="24"/>
          <w:szCs w:val="24"/>
        </w:rPr>
        <w:t>2.发生以下情况之一者，磋商保证金不予退还：</w:t>
      </w:r>
    </w:p>
    <w:p>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pPr>
        <w:spacing w:line="360" w:lineRule="auto"/>
        <w:ind w:firstLine="480" w:firstLineChars="200"/>
        <w:rPr>
          <w:rFonts w:ascii="宋体"/>
          <w:sz w:val="24"/>
          <w:szCs w:val="24"/>
        </w:rPr>
      </w:pPr>
      <w:r>
        <w:rPr>
          <w:rFonts w:hint="eastAsia" w:ascii="宋体"/>
          <w:sz w:val="24"/>
          <w:szCs w:val="24"/>
        </w:rPr>
        <w:t>2.2 供应商在响应文件中提供虚假材料的；</w:t>
      </w:r>
    </w:p>
    <w:p>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sz w:val="24"/>
          <w:szCs w:val="24"/>
        </w:rPr>
      </w:pPr>
      <w:r>
        <w:rPr>
          <w:rFonts w:hint="eastAsia" w:ascii="宋体"/>
          <w:sz w:val="24"/>
          <w:szCs w:val="24"/>
        </w:rPr>
        <w:t>（四）修正错误</w:t>
      </w:r>
    </w:p>
    <w:p>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sz w:val="24"/>
          <w:szCs w:val="24"/>
        </w:rPr>
      </w:pPr>
      <w:r>
        <w:rPr>
          <w:rFonts w:hint="eastAsia" w:ascii="宋体"/>
          <w:sz w:val="24"/>
          <w:szCs w:val="24"/>
        </w:rPr>
        <w:t>（六）响应文件的递交</w:t>
      </w:r>
    </w:p>
    <w:p>
      <w:pPr>
        <w:snapToGrid w:val="0"/>
        <w:spacing w:line="360" w:lineRule="auto"/>
        <w:ind w:firstLine="480" w:firstLineChars="200"/>
        <w:rPr>
          <w:rFonts w:ascii="宋体"/>
          <w:sz w:val="24"/>
          <w:szCs w:val="24"/>
        </w:rPr>
      </w:pPr>
      <w:r>
        <w:rPr>
          <w:rFonts w:hint="eastAsia" w:ascii="宋体"/>
          <w:sz w:val="24"/>
          <w:szCs w:val="24"/>
        </w:rPr>
        <w:t>1.响应文件的密封与标记</w:t>
      </w:r>
    </w:p>
    <w:p>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pPr>
        <w:snapToGrid w:val="0"/>
        <w:spacing w:line="360" w:lineRule="auto"/>
        <w:ind w:firstLine="480" w:firstLineChars="200"/>
        <w:rPr>
          <w:rFonts w:ascii="宋体"/>
          <w:sz w:val="24"/>
          <w:szCs w:val="24"/>
        </w:rPr>
      </w:pPr>
      <w:r>
        <w:rPr>
          <w:rFonts w:hint="eastAsia" w:ascii="宋体"/>
          <w:sz w:val="24"/>
          <w:szCs w:val="24"/>
        </w:rPr>
        <w:t>3.响应文件语言：简体中文</w:t>
      </w:r>
    </w:p>
    <w:p>
      <w:pPr>
        <w:snapToGrid w:val="0"/>
        <w:spacing w:line="360" w:lineRule="auto"/>
        <w:ind w:firstLine="480" w:firstLineChars="200"/>
        <w:rPr>
          <w:rFonts w:ascii="宋体"/>
          <w:sz w:val="24"/>
          <w:szCs w:val="24"/>
        </w:rPr>
      </w:pPr>
      <w:r>
        <w:rPr>
          <w:rFonts w:hint="eastAsia" w:ascii="宋体"/>
          <w:sz w:val="24"/>
          <w:szCs w:val="24"/>
        </w:rPr>
        <w:t>（七）供应商参与人员</w:t>
      </w:r>
    </w:p>
    <w:p>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sz w:val="24"/>
          <w:szCs w:val="24"/>
        </w:rPr>
      </w:pPr>
      <w:bookmarkStart w:id="99" w:name="_Toc128558918"/>
      <w:r>
        <w:rPr>
          <w:rFonts w:hint="eastAsia" w:ascii="宋体"/>
          <w:sz w:val="24"/>
          <w:szCs w:val="24"/>
        </w:rPr>
        <w:t>四、成交供应商的确认和变更</w:t>
      </w:r>
      <w:bookmarkEnd w:id="99"/>
    </w:p>
    <w:p>
      <w:pPr>
        <w:snapToGrid w:val="0"/>
        <w:spacing w:line="360" w:lineRule="auto"/>
        <w:ind w:firstLine="480" w:firstLineChars="200"/>
        <w:rPr>
          <w:rFonts w:ascii="宋体"/>
          <w:sz w:val="24"/>
          <w:szCs w:val="24"/>
        </w:rPr>
      </w:pPr>
      <w:r>
        <w:rPr>
          <w:rFonts w:hint="eastAsia" w:ascii="宋体"/>
          <w:sz w:val="24"/>
          <w:szCs w:val="24"/>
        </w:rPr>
        <w:t>（一）成交供应商的确认</w:t>
      </w:r>
    </w:p>
    <w:p>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sz w:val="24"/>
          <w:szCs w:val="24"/>
        </w:rPr>
      </w:pPr>
      <w:r>
        <w:rPr>
          <w:rFonts w:hint="eastAsia" w:ascii="宋体"/>
          <w:sz w:val="24"/>
          <w:szCs w:val="24"/>
        </w:rPr>
        <w:t>（二）成交供应商的变更</w:t>
      </w:r>
    </w:p>
    <w:p>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sz w:val="24"/>
          <w:szCs w:val="24"/>
        </w:rPr>
      </w:pPr>
      <w:bookmarkStart w:id="100" w:name="_Toc128558919"/>
      <w:bookmarkStart w:id="101" w:name="_Toc102227321"/>
      <w:bookmarkStart w:id="102" w:name="_Toc342913395"/>
      <w:r>
        <w:rPr>
          <w:rFonts w:hint="eastAsia" w:ascii="宋体"/>
          <w:sz w:val="24"/>
          <w:szCs w:val="24"/>
        </w:rPr>
        <w:t>五、成交通知</w:t>
      </w:r>
      <w:bookmarkEnd w:id="100"/>
      <w:bookmarkEnd w:id="101"/>
      <w:bookmarkEnd w:id="102"/>
    </w:p>
    <w:p>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sz w:val="24"/>
          <w:szCs w:val="24"/>
        </w:rPr>
      </w:pPr>
      <w:r>
        <w:rPr>
          <w:rFonts w:hint="eastAsia" w:ascii="宋体"/>
          <w:sz w:val="24"/>
          <w:szCs w:val="24"/>
        </w:rPr>
        <w:t>（三）《成交通知书》将作为签订合同的依据。</w:t>
      </w:r>
    </w:p>
    <w:p>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pPr>
        <w:pStyle w:val="6"/>
        <w:spacing w:before="0" w:after="0" w:line="360" w:lineRule="auto"/>
        <w:ind w:firstLine="482" w:firstLineChars="200"/>
        <w:rPr>
          <w:rFonts w:ascii="宋体"/>
          <w:sz w:val="24"/>
          <w:szCs w:val="24"/>
        </w:rPr>
      </w:pPr>
      <w:bookmarkStart w:id="103" w:name="_Toc128558920"/>
      <w:r>
        <w:rPr>
          <w:rFonts w:hint="eastAsia" w:ascii="宋体"/>
          <w:sz w:val="24"/>
          <w:szCs w:val="24"/>
        </w:rPr>
        <w:t>六、关于质疑和投诉</w:t>
      </w:r>
      <w:bookmarkEnd w:id="103"/>
    </w:p>
    <w:p>
      <w:pPr>
        <w:spacing w:line="360" w:lineRule="auto"/>
        <w:ind w:firstLine="480" w:firstLineChars="200"/>
        <w:rPr>
          <w:rFonts w:ascii="宋体"/>
          <w:sz w:val="24"/>
          <w:szCs w:val="24"/>
        </w:rPr>
      </w:pPr>
      <w:r>
        <w:rPr>
          <w:rFonts w:hint="eastAsia" w:ascii="宋体"/>
          <w:sz w:val="24"/>
          <w:szCs w:val="24"/>
        </w:rPr>
        <w:t>（一）质疑</w:t>
      </w:r>
    </w:p>
    <w:p>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w:t>
      </w:r>
      <w:bookmarkStart w:id="171" w:name="_GoBack"/>
      <w:bookmarkEnd w:id="171"/>
      <w:r>
        <w:rPr>
          <w:rFonts w:hint="eastAsia" w:ascii="宋体"/>
          <w:sz w:val="24"/>
          <w:szCs w:val="24"/>
        </w:rPr>
        <w:t>到伤害的，可向采购人或采购代理机构以书面形式提出质疑。</w:t>
      </w:r>
    </w:p>
    <w:p>
      <w:pPr>
        <w:spacing w:line="360" w:lineRule="auto"/>
        <w:ind w:firstLine="570"/>
        <w:rPr>
          <w:rFonts w:ascii="宋体"/>
          <w:sz w:val="24"/>
          <w:szCs w:val="24"/>
        </w:rPr>
      </w:pPr>
      <w:r>
        <w:rPr>
          <w:rFonts w:hint="eastAsia" w:ascii="宋体"/>
          <w:sz w:val="24"/>
          <w:szCs w:val="24"/>
        </w:rPr>
        <w:t>提出质疑的应当是参与所质疑项目采购活动的供应商。</w:t>
      </w:r>
    </w:p>
    <w:p>
      <w:pPr>
        <w:spacing w:line="360" w:lineRule="auto"/>
        <w:ind w:firstLine="570"/>
        <w:rPr>
          <w:rFonts w:ascii="宋体"/>
          <w:sz w:val="24"/>
          <w:szCs w:val="24"/>
        </w:rPr>
      </w:pPr>
      <w:r>
        <w:rPr>
          <w:rFonts w:hint="eastAsia" w:ascii="宋体"/>
          <w:sz w:val="24"/>
          <w:szCs w:val="24"/>
        </w:rPr>
        <w:t>1.质疑内容、时限</w:t>
      </w:r>
    </w:p>
    <w:p>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pPr>
        <w:spacing w:line="360" w:lineRule="auto"/>
        <w:ind w:firstLine="570"/>
        <w:rPr>
          <w:rFonts w:ascii="宋体"/>
          <w:sz w:val="24"/>
          <w:szCs w:val="24"/>
        </w:rPr>
      </w:pPr>
      <w:r>
        <w:rPr>
          <w:rFonts w:hint="eastAsia" w:ascii="宋体"/>
          <w:sz w:val="24"/>
          <w:szCs w:val="24"/>
        </w:rPr>
        <w:t>（1）供应商的姓名或者名称、地址、邮编、联系人及联系电话；</w:t>
      </w:r>
    </w:p>
    <w:p>
      <w:pPr>
        <w:spacing w:line="360" w:lineRule="auto"/>
        <w:ind w:firstLine="570"/>
        <w:rPr>
          <w:rFonts w:ascii="宋体"/>
          <w:sz w:val="24"/>
          <w:szCs w:val="24"/>
        </w:rPr>
      </w:pPr>
      <w:r>
        <w:rPr>
          <w:rFonts w:hint="eastAsia" w:ascii="宋体"/>
          <w:sz w:val="24"/>
          <w:szCs w:val="24"/>
        </w:rPr>
        <w:t>（2）质疑项目的名称、项目号以及招标项目编号；</w:t>
      </w:r>
    </w:p>
    <w:p>
      <w:pPr>
        <w:spacing w:line="360" w:lineRule="auto"/>
        <w:ind w:firstLine="570"/>
        <w:rPr>
          <w:rFonts w:ascii="宋体"/>
          <w:sz w:val="24"/>
          <w:szCs w:val="24"/>
        </w:rPr>
      </w:pPr>
      <w:r>
        <w:rPr>
          <w:rFonts w:hint="eastAsia" w:ascii="宋体"/>
          <w:sz w:val="24"/>
          <w:szCs w:val="24"/>
        </w:rPr>
        <w:t>（3）具体、明确的质疑事项和与质疑事项相关的请求；</w:t>
      </w:r>
    </w:p>
    <w:p>
      <w:pPr>
        <w:spacing w:line="360" w:lineRule="auto"/>
        <w:ind w:firstLine="570"/>
        <w:rPr>
          <w:rFonts w:ascii="宋体"/>
          <w:sz w:val="24"/>
          <w:szCs w:val="24"/>
        </w:rPr>
      </w:pPr>
      <w:r>
        <w:rPr>
          <w:rFonts w:hint="eastAsia" w:ascii="宋体"/>
          <w:sz w:val="24"/>
          <w:szCs w:val="24"/>
        </w:rPr>
        <w:t>（4）事实依据；</w:t>
      </w:r>
    </w:p>
    <w:p>
      <w:pPr>
        <w:spacing w:line="360" w:lineRule="auto"/>
        <w:ind w:firstLine="570"/>
        <w:rPr>
          <w:rFonts w:ascii="宋体"/>
          <w:sz w:val="24"/>
          <w:szCs w:val="24"/>
        </w:rPr>
      </w:pPr>
      <w:r>
        <w:rPr>
          <w:rFonts w:hint="eastAsia" w:ascii="宋体"/>
          <w:sz w:val="24"/>
          <w:szCs w:val="24"/>
        </w:rPr>
        <w:t>（5）必要的法律依据；</w:t>
      </w:r>
    </w:p>
    <w:p>
      <w:pPr>
        <w:spacing w:line="360" w:lineRule="auto"/>
        <w:ind w:firstLine="570"/>
        <w:rPr>
          <w:rFonts w:ascii="宋体"/>
          <w:sz w:val="24"/>
          <w:szCs w:val="24"/>
        </w:rPr>
      </w:pPr>
      <w:r>
        <w:rPr>
          <w:rFonts w:hint="eastAsia" w:ascii="宋体"/>
          <w:sz w:val="24"/>
          <w:szCs w:val="24"/>
        </w:rPr>
        <w:t>（6）提出质疑的日期；</w:t>
      </w:r>
    </w:p>
    <w:p>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sz w:val="24"/>
          <w:szCs w:val="24"/>
        </w:rPr>
      </w:pPr>
      <w:r>
        <w:rPr>
          <w:rFonts w:hint="eastAsia" w:ascii="宋体"/>
          <w:sz w:val="24"/>
          <w:szCs w:val="24"/>
        </w:rPr>
        <w:t>2.质疑答复</w:t>
      </w:r>
    </w:p>
    <w:p>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sz w:val="24"/>
          <w:szCs w:val="24"/>
        </w:rPr>
      </w:pPr>
      <w:r>
        <w:rPr>
          <w:rFonts w:hint="eastAsia" w:ascii="宋体"/>
          <w:sz w:val="24"/>
          <w:szCs w:val="24"/>
        </w:rPr>
        <w:t>3.其他</w:t>
      </w:r>
    </w:p>
    <w:p>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sz w:val="24"/>
          <w:szCs w:val="24"/>
        </w:rPr>
      </w:pPr>
      <w:r>
        <w:rPr>
          <w:rFonts w:hint="eastAsia" w:ascii="宋体"/>
          <w:sz w:val="24"/>
          <w:szCs w:val="24"/>
        </w:rPr>
        <w:t>3.2 质疑函范本可在财政部门户网站和中国政府采购网下载。</w:t>
      </w:r>
    </w:p>
    <w:p>
      <w:pPr>
        <w:spacing w:line="360" w:lineRule="auto"/>
        <w:ind w:firstLine="570"/>
        <w:rPr>
          <w:rFonts w:ascii="宋体"/>
          <w:sz w:val="24"/>
          <w:szCs w:val="24"/>
        </w:rPr>
      </w:pPr>
      <w:r>
        <w:rPr>
          <w:rFonts w:hint="eastAsia" w:ascii="宋体"/>
          <w:sz w:val="24"/>
          <w:szCs w:val="24"/>
        </w:rPr>
        <w:t>（二）投诉</w:t>
      </w:r>
    </w:p>
    <w:p>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sz w:val="24"/>
          <w:szCs w:val="24"/>
        </w:rPr>
      </w:pPr>
      <w:bookmarkStart w:id="104" w:name="_Toc128558921"/>
      <w:r>
        <w:rPr>
          <w:rFonts w:hint="eastAsia" w:ascii="宋体"/>
          <w:sz w:val="24"/>
          <w:szCs w:val="24"/>
        </w:rPr>
        <w:t>七、采购代理服务费</w:t>
      </w:r>
      <w:bookmarkEnd w:id="104"/>
    </w:p>
    <w:p>
      <w:pPr>
        <w:spacing w:line="360" w:lineRule="auto"/>
        <w:ind w:firstLine="480" w:firstLineChars="200"/>
        <w:rPr>
          <w:rFonts w:ascii="宋体"/>
          <w:sz w:val="24"/>
        </w:rPr>
      </w:pPr>
      <w:r>
        <w:rPr>
          <w:rFonts w:hint="eastAsia" w:ascii="宋体"/>
          <w:sz w:val="24"/>
        </w:rPr>
        <w:t>（一）招标代理服务费标准</w:t>
      </w:r>
    </w:p>
    <w:p>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sz w:val="21"/>
                <w:szCs w:val="21"/>
              </w:rPr>
            </w:pPr>
            <w:r>
              <w:rPr>
                <w:rFonts w:asci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7" name="直线 2"/>
                      <wp:cNvGraphicFramePr/>
                      <a:graphic xmlns:a="http://schemas.openxmlformats.org/drawingml/2006/main">
                        <a:graphicData uri="http://schemas.microsoft.com/office/word/2010/wordprocessingShape">
                          <wps:wsp>
                            <wps:cNvCnPr/>
                            <wps:spPr>
                              <a:xfrm>
                                <a:off x="0" y="0"/>
                                <a:ext cx="635" cy="635"/>
                              </a:xfrm>
                              <a:prstGeom prst="line">
                                <a:avLst/>
                              </a:prstGeom>
                              <a:noFill/>
                              <a:ln w="9525" cap="flat" cmpd="sng">
                                <a:solidFill>
                                  <a:srgbClr val="000000"/>
                                </a:solidFill>
                                <a:prstDash val="solid"/>
                                <a:roun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fPvmD1gAAAAgB&#10;AAAPAAAAAAAAAAEAIAAAACIAAABkcnMvZG93bnJldi54bWxQSwECFAAUAAAACACHTuJAugRBPqsB&#10;AABAAwAADgAAAAAAAAABACAAAAAlAQAAZHJzL2Uyb0RvYy54bWxQSwUGAAAAAAYABgBZAQAAQgUA&#10;AAAA&#10;">
                      <v:fill on="f" focussize="0,0"/>
                      <v:stroke color="#000000" joinstyle="round"/>
                      <v:imagedata o:title=""/>
                      <o:lock v:ext="edit" aspectratio="f"/>
                    </v:line>
                  </w:pict>
                </mc:Fallback>
              </mc:AlternateContent>
            </w:r>
            <w:r>
              <w:rPr>
                <w:rFonts w:hint="eastAsia" w:ascii="宋体"/>
                <w:sz w:val="21"/>
                <w:szCs w:val="21"/>
              </w:rPr>
              <w:t>招标类型</w:t>
            </w:r>
          </w:p>
          <w:p>
            <w:pPr>
              <w:spacing w:line="240" w:lineRule="atLeast"/>
              <w:rPr>
                <w:rFonts w:ascii="宋体"/>
                <w:sz w:val="21"/>
                <w:szCs w:val="21"/>
              </w:rPr>
            </w:pPr>
            <w:r>
              <w:rPr>
                <w:rFonts w:hint="eastAsia" w:ascii="宋体"/>
                <w:sz w:val="21"/>
                <w:szCs w:val="21"/>
              </w:rPr>
              <w:t>中标金额（万元）</w:t>
            </w:r>
          </w:p>
        </w:tc>
        <w:tc>
          <w:tcPr>
            <w:tcW w:w="2273" w:type="dxa"/>
            <w:vAlign w:val="center"/>
          </w:tcPr>
          <w:p>
            <w:pPr>
              <w:spacing w:line="240" w:lineRule="atLeast"/>
              <w:jc w:val="center"/>
              <w:rPr>
                <w:rFonts w:ascii="宋体"/>
                <w:sz w:val="21"/>
                <w:szCs w:val="21"/>
              </w:rPr>
            </w:pPr>
            <w:r>
              <w:rPr>
                <w:rFonts w:hint="eastAsia" w:ascii="宋体"/>
                <w:sz w:val="21"/>
                <w:szCs w:val="21"/>
              </w:rPr>
              <w:t>货物招标</w:t>
            </w:r>
          </w:p>
        </w:tc>
        <w:tc>
          <w:tcPr>
            <w:tcW w:w="2273" w:type="dxa"/>
            <w:vAlign w:val="center"/>
          </w:tcPr>
          <w:p>
            <w:pPr>
              <w:spacing w:line="240" w:lineRule="atLeast"/>
              <w:jc w:val="center"/>
              <w:rPr>
                <w:rFonts w:ascii="宋体"/>
                <w:sz w:val="21"/>
                <w:szCs w:val="21"/>
              </w:rPr>
            </w:pPr>
            <w:r>
              <w:rPr>
                <w:rFonts w:hint="eastAsia" w:ascii="宋体"/>
                <w:sz w:val="21"/>
                <w:szCs w:val="21"/>
              </w:rPr>
              <w:t>服务招标</w:t>
            </w:r>
          </w:p>
        </w:tc>
        <w:tc>
          <w:tcPr>
            <w:tcW w:w="2272" w:type="dxa"/>
            <w:vAlign w:val="center"/>
          </w:tcPr>
          <w:p>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100（含）以下</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2" w:type="dxa"/>
            <w:vAlign w:val="center"/>
          </w:tcPr>
          <w:p>
            <w:pPr>
              <w:spacing w:line="240" w:lineRule="atLeast"/>
              <w:jc w:val="center"/>
              <w:rPr>
                <w:rFonts w:ascii="宋体"/>
                <w:sz w:val="21"/>
                <w:szCs w:val="21"/>
              </w:rPr>
            </w:pPr>
            <w:r>
              <w:rPr>
                <w:rFonts w:hint="eastAsia" w:asci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100以上-500</w:t>
            </w:r>
          </w:p>
        </w:tc>
        <w:tc>
          <w:tcPr>
            <w:tcW w:w="2273" w:type="dxa"/>
            <w:vAlign w:val="center"/>
          </w:tcPr>
          <w:p>
            <w:pPr>
              <w:spacing w:line="240" w:lineRule="atLeast"/>
              <w:jc w:val="center"/>
              <w:rPr>
                <w:rFonts w:ascii="宋体"/>
                <w:sz w:val="21"/>
                <w:szCs w:val="21"/>
              </w:rPr>
            </w:pPr>
            <w:r>
              <w:rPr>
                <w:rFonts w:hint="eastAsia" w:ascii="宋体"/>
                <w:sz w:val="21"/>
                <w:szCs w:val="21"/>
              </w:rPr>
              <w:t>1.1%</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2" w:type="dxa"/>
            <w:vAlign w:val="center"/>
          </w:tcPr>
          <w:p>
            <w:pPr>
              <w:spacing w:line="240" w:lineRule="atLeast"/>
              <w:jc w:val="center"/>
              <w:rPr>
                <w:rFonts w:ascii="宋体"/>
                <w:sz w:val="21"/>
                <w:szCs w:val="21"/>
              </w:rPr>
            </w:pPr>
            <w:r>
              <w:rPr>
                <w:rFonts w:hint="eastAsia" w:asci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500以上-1000</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3" w:type="dxa"/>
            <w:vAlign w:val="center"/>
          </w:tcPr>
          <w:p>
            <w:pPr>
              <w:spacing w:line="240" w:lineRule="atLeast"/>
              <w:jc w:val="center"/>
              <w:rPr>
                <w:rFonts w:ascii="宋体"/>
                <w:sz w:val="21"/>
                <w:szCs w:val="21"/>
              </w:rPr>
            </w:pPr>
            <w:r>
              <w:rPr>
                <w:rFonts w:hint="eastAsia" w:ascii="宋体"/>
                <w:sz w:val="21"/>
                <w:szCs w:val="21"/>
              </w:rPr>
              <w:t>0.45%</w:t>
            </w:r>
          </w:p>
        </w:tc>
        <w:tc>
          <w:tcPr>
            <w:tcW w:w="2272" w:type="dxa"/>
            <w:vAlign w:val="center"/>
          </w:tcPr>
          <w:p>
            <w:pPr>
              <w:spacing w:line="240" w:lineRule="atLeast"/>
              <w:jc w:val="center"/>
              <w:rPr>
                <w:rFonts w:ascii="宋体"/>
                <w:sz w:val="21"/>
                <w:szCs w:val="21"/>
              </w:rPr>
            </w:pPr>
            <w:r>
              <w:rPr>
                <w:rFonts w:hint="eastAsia" w:ascii="宋体"/>
                <w:sz w:val="21"/>
                <w:szCs w:val="21"/>
              </w:rPr>
              <w:t>0.55%</w:t>
            </w:r>
          </w:p>
        </w:tc>
      </w:tr>
    </w:tbl>
    <w:p>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pPr>
        <w:snapToGrid w:val="0"/>
        <w:spacing w:line="360" w:lineRule="auto"/>
        <w:ind w:firstLine="482" w:firstLineChars="200"/>
        <w:rPr>
          <w:rFonts w:ascii="宋体"/>
          <w:b/>
          <w:sz w:val="24"/>
          <w:szCs w:val="24"/>
        </w:rPr>
      </w:pPr>
      <w:r>
        <w:rPr>
          <w:rFonts w:hint="eastAsia" w:ascii="宋体"/>
          <w:b/>
          <w:sz w:val="24"/>
          <w:szCs w:val="24"/>
        </w:rPr>
        <w:t>账  号：1144 6718 4234</w:t>
      </w:r>
    </w:p>
    <w:p>
      <w:pPr>
        <w:pStyle w:val="6"/>
        <w:spacing w:before="0" w:after="0" w:line="360" w:lineRule="auto"/>
        <w:ind w:firstLine="482" w:firstLineChars="200"/>
        <w:rPr>
          <w:rFonts w:ascii="宋体"/>
          <w:sz w:val="24"/>
          <w:szCs w:val="24"/>
        </w:rPr>
      </w:pPr>
      <w:bookmarkStart w:id="105" w:name="_Toc102227322"/>
      <w:bookmarkStart w:id="106" w:name="_Toc342913396"/>
      <w:bookmarkStart w:id="107" w:name="_Toc128558922"/>
      <w:bookmarkStart w:id="108" w:name="_Toc11641055"/>
      <w:bookmarkStart w:id="109" w:name="_Toc12789059"/>
      <w:r>
        <w:rPr>
          <w:rFonts w:hint="eastAsia" w:ascii="宋体"/>
          <w:sz w:val="24"/>
          <w:szCs w:val="24"/>
        </w:rPr>
        <w:t>八、签订</w:t>
      </w:r>
      <w:bookmarkEnd w:id="105"/>
      <w:r>
        <w:rPr>
          <w:rFonts w:hint="eastAsia" w:ascii="宋体"/>
          <w:sz w:val="24"/>
          <w:szCs w:val="24"/>
        </w:rPr>
        <w:t>合同</w:t>
      </w:r>
      <w:bookmarkEnd w:id="106"/>
      <w:bookmarkEnd w:id="107"/>
    </w:p>
    <w:p>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eastAsia="宋体"/>
          <w:sz w:val="36"/>
          <w:szCs w:val="30"/>
        </w:rPr>
      </w:pPr>
      <w:bookmarkStart w:id="110" w:name="_Toc128558923"/>
      <w:r>
        <w:rPr>
          <w:rFonts w:hint="eastAsia" w:ascii="宋体" w:eastAsia="宋体"/>
          <w:sz w:val="36"/>
          <w:szCs w:val="30"/>
        </w:rPr>
        <w:t xml:space="preserve">第六篇  </w:t>
      </w:r>
      <w:bookmarkEnd w:id="108"/>
      <w:bookmarkEnd w:id="109"/>
      <w:r>
        <w:rPr>
          <w:rFonts w:hint="eastAsia" w:ascii="宋体" w:eastAsia="宋体"/>
          <w:sz w:val="36"/>
          <w:szCs w:val="30"/>
        </w:rPr>
        <w:t>合同草案条款</w:t>
      </w:r>
      <w:bookmarkEnd w:id="110"/>
    </w:p>
    <w:p>
      <w:pPr>
        <w:pStyle w:val="6"/>
        <w:spacing w:before="0" w:after="0" w:line="360" w:lineRule="auto"/>
        <w:ind w:firstLine="482" w:firstLineChars="200"/>
        <w:rPr>
          <w:rFonts w:ascii="宋体"/>
          <w:sz w:val="24"/>
          <w:szCs w:val="24"/>
        </w:rPr>
      </w:pPr>
      <w:bookmarkStart w:id="111" w:name="_Hlt41879464"/>
      <w:bookmarkEnd w:id="111"/>
      <w:bookmarkStart w:id="112" w:name="_Toc285722712"/>
      <w:bookmarkStart w:id="113" w:name="_Toc508007737"/>
      <w:bookmarkStart w:id="114" w:name="_Toc128558924"/>
      <w:bookmarkStart w:id="115" w:name="_Toc277084870"/>
      <w:bookmarkStart w:id="116" w:name="_Toc78194465"/>
      <w:bookmarkStart w:id="117" w:name="_Toc12789072"/>
      <w:r>
        <w:rPr>
          <w:rFonts w:hint="eastAsia" w:ascii="宋体"/>
          <w:sz w:val="24"/>
          <w:szCs w:val="24"/>
        </w:rPr>
        <w:t>一、合同主要条款</w:t>
      </w:r>
      <w:bookmarkEnd w:id="112"/>
      <w:bookmarkEnd w:id="113"/>
      <w:bookmarkEnd w:id="114"/>
      <w:bookmarkEnd w:id="115"/>
      <w:bookmarkEnd w:id="116"/>
    </w:p>
    <w:p>
      <w:pPr>
        <w:snapToGrid w:val="0"/>
        <w:spacing w:line="360" w:lineRule="auto"/>
        <w:ind w:firstLine="480" w:firstLineChars="200"/>
        <w:outlineLvl w:val="0"/>
        <w:rPr>
          <w:rFonts w:ascii="宋体"/>
          <w:bCs/>
          <w:sz w:val="24"/>
        </w:rPr>
      </w:pPr>
      <w:r>
        <w:rPr>
          <w:rFonts w:hint="eastAsia" w:ascii="宋体"/>
          <w:bCs/>
          <w:sz w:val="24"/>
        </w:rPr>
        <w:t>（一）定义</w:t>
      </w:r>
    </w:p>
    <w:p>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pPr>
        <w:snapToGrid w:val="0"/>
        <w:spacing w:line="360" w:lineRule="auto"/>
        <w:ind w:firstLine="480" w:firstLineChars="200"/>
        <w:outlineLvl w:val="0"/>
        <w:rPr>
          <w:rFonts w:ascii="宋体"/>
          <w:bCs/>
          <w:sz w:val="24"/>
        </w:rPr>
      </w:pPr>
      <w:r>
        <w:rPr>
          <w:rFonts w:hint="eastAsia" w:ascii="宋体"/>
          <w:bCs/>
          <w:sz w:val="24"/>
        </w:rPr>
        <w:t>（二）服务内容</w:t>
      </w:r>
    </w:p>
    <w:p>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pPr>
        <w:snapToGrid w:val="0"/>
        <w:spacing w:line="360" w:lineRule="auto"/>
        <w:ind w:firstLine="480" w:firstLineChars="200"/>
        <w:outlineLvl w:val="0"/>
        <w:rPr>
          <w:rFonts w:ascii="宋体"/>
          <w:bCs/>
          <w:sz w:val="24"/>
        </w:rPr>
      </w:pPr>
      <w:r>
        <w:rPr>
          <w:rFonts w:hint="eastAsia" w:ascii="宋体"/>
          <w:bCs/>
          <w:sz w:val="24"/>
        </w:rPr>
        <w:t>（三）合同价格</w:t>
      </w:r>
    </w:p>
    <w:p>
      <w:pPr>
        <w:snapToGrid w:val="0"/>
        <w:spacing w:line="360" w:lineRule="auto"/>
        <w:ind w:firstLine="480" w:firstLineChars="200"/>
        <w:outlineLvl w:val="0"/>
        <w:rPr>
          <w:rFonts w:ascii="宋体"/>
          <w:bCs/>
          <w:sz w:val="24"/>
        </w:rPr>
      </w:pPr>
      <w:r>
        <w:rPr>
          <w:rFonts w:hint="eastAsia" w:ascii="宋体"/>
          <w:bCs/>
          <w:sz w:val="24"/>
        </w:rPr>
        <w:t>1.合同价格即合同总价。</w:t>
      </w:r>
    </w:p>
    <w:p>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包括（但不限于）测试费、技术服务费、软件开发费、差旅费、交通费、税费及其它与本项目相关的一切费用。因乙方供应商自身原因造成漏报、少报皆由其自行承担责任，甲方不再补偿。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bCs/>
          <w:sz w:val="24"/>
        </w:rPr>
      </w:pPr>
      <w:r>
        <w:rPr>
          <w:rFonts w:hint="eastAsia" w:ascii="宋体"/>
          <w:bCs/>
          <w:sz w:val="24"/>
        </w:rPr>
        <w:t>3.合同价为不变价。</w:t>
      </w:r>
    </w:p>
    <w:p>
      <w:pPr>
        <w:snapToGrid w:val="0"/>
        <w:spacing w:line="360" w:lineRule="auto"/>
        <w:ind w:firstLine="480" w:firstLineChars="200"/>
        <w:outlineLvl w:val="0"/>
        <w:rPr>
          <w:rFonts w:ascii="宋体"/>
          <w:bCs/>
          <w:sz w:val="24"/>
        </w:rPr>
      </w:pPr>
      <w:r>
        <w:rPr>
          <w:rFonts w:hint="eastAsia" w:ascii="宋体"/>
          <w:bCs/>
          <w:sz w:val="24"/>
        </w:rPr>
        <w:t>（四）转包和分包</w:t>
      </w:r>
    </w:p>
    <w:p>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sz w:val="24"/>
        </w:rPr>
      </w:pPr>
      <w:r>
        <w:rPr>
          <w:rFonts w:hint="eastAsia" w:ascii="宋体"/>
          <w:bCs/>
          <w:sz w:val="24"/>
        </w:rPr>
        <w:t>（五）质量保证及售后服务</w:t>
      </w:r>
    </w:p>
    <w:p>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sz w:val="24"/>
        </w:rPr>
      </w:pPr>
      <w:r>
        <w:rPr>
          <w:rFonts w:hint="eastAsia" w:ascii="宋体"/>
          <w:sz w:val="24"/>
        </w:rPr>
        <w:t>（六）付款</w:t>
      </w:r>
    </w:p>
    <w:p>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pPr>
        <w:adjustRightInd w:val="0"/>
        <w:snapToGrid w:val="0"/>
        <w:spacing w:line="360" w:lineRule="auto"/>
        <w:ind w:firstLine="480" w:firstLineChars="200"/>
        <w:rPr>
          <w:rFonts w:ascii="宋体"/>
          <w:sz w:val="24"/>
        </w:rPr>
      </w:pPr>
      <w:r>
        <w:rPr>
          <w:rFonts w:hint="eastAsia" w:ascii="宋体"/>
          <w:sz w:val="24"/>
        </w:rPr>
        <w:t>2.付款方式：银行转账、现金支票。</w:t>
      </w:r>
    </w:p>
    <w:p>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pPr>
        <w:adjustRightInd w:val="0"/>
        <w:snapToGrid w:val="0"/>
        <w:spacing w:line="360" w:lineRule="auto"/>
        <w:ind w:firstLine="480" w:firstLineChars="200"/>
        <w:rPr>
          <w:rFonts w:ascii="宋体"/>
          <w:sz w:val="24"/>
        </w:rPr>
      </w:pPr>
      <w:r>
        <w:rPr>
          <w:rFonts w:hint="eastAsia" w:ascii="宋体"/>
          <w:sz w:val="24"/>
        </w:rPr>
        <w:t>（七）检查验收</w:t>
      </w:r>
    </w:p>
    <w:p>
      <w:pPr>
        <w:adjustRightInd w:val="0"/>
        <w:snapToGrid w:val="0"/>
        <w:spacing w:line="360" w:lineRule="auto"/>
        <w:ind w:firstLine="480" w:firstLineChars="200"/>
        <w:rPr>
          <w:rFonts w:ascii="宋体"/>
          <w:sz w:val="24"/>
        </w:rPr>
      </w:pPr>
      <w:r>
        <w:rPr>
          <w:rFonts w:hint="eastAsia" w:ascii="宋体"/>
          <w:sz w:val="24"/>
        </w:rPr>
        <w:t>（八）索赔</w:t>
      </w:r>
    </w:p>
    <w:p>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sz w:val="24"/>
        </w:rPr>
      </w:pPr>
      <w:r>
        <w:rPr>
          <w:rFonts w:hint="eastAsia" w:ascii="宋体"/>
          <w:sz w:val="24"/>
        </w:rPr>
        <w:t>（九）知识产权</w:t>
      </w:r>
    </w:p>
    <w:p>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bCs/>
          <w:sz w:val="24"/>
        </w:rPr>
      </w:pPr>
      <w:r>
        <w:rPr>
          <w:rFonts w:hint="eastAsia" w:ascii="宋体"/>
          <w:bCs/>
          <w:sz w:val="24"/>
        </w:rPr>
        <w:t>（十）合同争议的解决</w:t>
      </w:r>
    </w:p>
    <w:p>
      <w:pPr>
        <w:snapToGrid w:val="0"/>
        <w:spacing w:line="360" w:lineRule="auto"/>
        <w:ind w:firstLine="480" w:firstLineChars="200"/>
        <w:outlineLvl w:val="0"/>
        <w:rPr>
          <w:rFonts w:ascii="宋体"/>
          <w:bCs/>
          <w:sz w:val="24"/>
        </w:rPr>
      </w:pPr>
      <w:r>
        <w:rPr>
          <w:rFonts w:hint="eastAsia" w:ascii="宋体"/>
          <w:bCs/>
          <w:sz w:val="24"/>
        </w:rPr>
        <w:t>1.当事人友好协商达成一致；</w:t>
      </w:r>
    </w:p>
    <w:p>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2.在60天内当事人协商不能达成协议的，可提请向采购人所在人民法院提请诉讼。</w:t>
      </w:r>
    </w:p>
    <w:p>
      <w:pPr>
        <w:snapToGrid w:val="0"/>
        <w:spacing w:line="360" w:lineRule="auto"/>
        <w:ind w:firstLine="480" w:firstLineChars="200"/>
        <w:outlineLvl w:val="0"/>
        <w:rPr>
          <w:rFonts w:ascii="宋体"/>
          <w:bCs/>
          <w:sz w:val="24"/>
        </w:rPr>
      </w:pPr>
      <w:r>
        <w:rPr>
          <w:rFonts w:hint="eastAsia" w:ascii="宋体"/>
          <w:bCs/>
          <w:sz w:val="24"/>
        </w:rPr>
        <w:t>（十一）违约责任</w:t>
      </w:r>
    </w:p>
    <w:p>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bCs/>
          <w:sz w:val="24"/>
        </w:rPr>
      </w:pPr>
      <w:r>
        <w:rPr>
          <w:rFonts w:hint="eastAsia" w:ascii="宋体"/>
          <w:bCs/>
          <w:sz w:val="24"/>
        </w:rPr>
        <w:t>（十二）合同生效及其它</w:t>
      </w:r>
    </w:p>
    <w:p>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sz w:val="24"/>
          <w:szCs w:val="24"/>
        </w:rPr>
      </w:pPr>
      <w:bookmarkStart w:id="118" w:name="_Toc277084871"/>
      <w:bookmarkStart w:id="119" w:name="_Toc285722713"/>
      <w:bookmarkStart w:id="120" w:name="_Toc128558925"/>
      <w:bookmarkStart w:id="121" w:name="_Toc508178250"/>
      <w:r>
        <w:rPr>
          <w:rFonts w:hint="eastAsia" w:ascii="宋体"/>
          <w:sz w:val="24"/>
          <w:szCs w:val="24"/>
        </w:rPr>
        <w:t>二、政府采购合同（格式）</w:t>
      </w:r>
      <w:bookmarkEnd w:id="118"/>
      <w:bookmarkEnd w:id="119"/>
      <w:bookmarkEnd w:id="120"/>
      <w:bookmarkEnd w:id="121"/>
    </w:p>
    <w:p>
      <w:pPr>
        <w:spacing w:line="500" w:lineRule="exact"/>
        <w:jc w:val="center"/>
        <w:rPr>
          <w:rFonts w:ascii="宋体"/>
          <w:b/>
          <w:sz w:val="44"/>
        </w:rPr>
      </w:pPr>
    </w:p>
    <w:bookmarkEnd w:id="117"/>
    <w:p>
      <w:pPr>
        <w:spacing w:line="360" w:lineRule="auto"/>
        <w:jc w:val="center"/>
        <w:rPr>
          <w:rFonts w:ascii="宋体"/>
          <w:b/>
          <w:sz w:val="44"/>
        </w:rPr>
      </w:pPr>
      <w:bookmarkStart w:id="122" w:name="_Toc23764521"/>
      <w:r>
        <w:rPr>
          <w:rFonts w:ascii="宋体"/>
          <w:b/>
          <w:sz w:val="44"/>
        </w:rPr>
        <w:t>重庆市政府采购合同</w:t>
      </w:r>
    </w:p>
    <w:p>
      <w:pPr>
        <w:spacing w:line="360" w:lineRule="auto"/>
        <w:jc w:val="center"/>
        <w:rPr>
          <w:rFonts w:ascii="宋体"/>
        </w:rPr>
      </w:pPr>
      <w:r>
        <w:rPr>
          <w:rFonts w:ascii="宋体"/>
        </w:rPr>
        <w:t>（项目编号：     ）</w:t>
      </w:r>
    </w:p>
    <w:p>
      <w:pPr>
        <w:spacing w:line="360" w:lineRule="auto"/>
        <w:rPr>
          <w:rFonts w:ascii="宋体"/>
          <w:sz w:val="24"/>
        </w:rPr>
      </w:pPr>
      <w:r>
        <w:rPr>
          <w:rFonts w:ascii="宋体"/>
          <w:sz w:val="24"/>
        </w:rPr>
        <w:t>甲方（需方）：___________________________      计价单位：____________</w:t>
      </w:r>
    </w:p>
    <w:p>
      <w:pPr>
        <w:spacing w:line="360" w:lineRule="auto"/>
        <w:rPr>
          <w:rFonts w:ascii="宋体"/>
          <w:sz w:val="24"/>
        </w:rPr>
      </w:pPr>
      <w:r>
        <w:rPr>
          <w:rFonts w:ascii="宋体"/>
          <w:sz w:val="24"/>
        </w:rPr>
        <w:t>乙方（供方）：___________________________      计量单位：_____________</w:t>
      </w:r>
    </w:p>
    <w:p>
      <w:pPr>
        <w:spacing w:line="360" w:lineRule="auto"/>
        <w:rPr>
          <w:rFonts w:ascii="宋体"/>
          <w:sz w:val="24"/>
        </w:rPr>
      </w:pPr>
    </w:p>
    <w:p>
      <w:pPr>
        <w:spacing w:line="360" w:lineRule="auto"/>
        <w:rPr>
          <w:rFonts w:ascii="宋体"/>
          <w:sz w:val="24"/>
        </w:rPr>
      </w:pPr>
      <w:r>
        <w:rPr>
          <w:rFonts w:asci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sz w:val="21"/>
                <w:szCs w:val="21"/>
              </w:rPr>
            </w:pPr>
            <w:r>
              <w:rPr>
                <w:rFonts w:hint="eastAsia" w:ascii="宋体"/>
                <w:sz w:val="21"/>
                <w:szCs w:val="21"/>
              </w:rPr>
              <w:t>项目类别</w:t>
            </w:r>
          </w:p>
        </w:tc>
        <w:tc>
          <w:tcPr>
            <w:tcW w:w="984" w:type="dxa"/>
            <w:vAlign w:val="center"/>
          </w:tcPr>
          <w:p>
            <w:pPr>
              <w:spacing w:line="360" w:lineRule="auto"/>
              <w:jc w:val="center"/>
              <w:rPr>
                <w:rFonts w:ascii="宋体"/>
                <w:sz w:val="21"/>
                <w:szCs w:val="21"/>
              </w:rPr>
            </w:pPr>
            <w:r>
              <w:rPr>
                <w:rFonts w:ascii="宋体"/>
                <w:sz w:val="21"/>
                <w:szCs w:val="21"/>
              </w:rPr>
              <w:t>数量</w:t>
            </w:r>
          </w:p>
        </w:tc>
        <w:tc>
          <w:tcPr>
            <w:tcW w:w="1298" w:type="dxa"/>
            <w:gridSpan w:val="2"/>
            <w:vAlign w:val="center"/>
          </w:tcPr>
          <w:p>
            <w:pPr>
              <w:spacing w:line="360" w:lineRule="auto"/>
              <w:jc w:val="center"/>
              <w:rPr>
                <w:rFonts w:ascii="宋体"/>
                <w:sz w:val="21"/>
                <w:szCs w:val="21"/>
              </w:rPr>
            </w:pPr>
            <w:r>
              <w:rPr>
                <w:rFonts w:ascii="宋体"/>
                <w:sz w:val="21"/>
                <w:szCs w:val="21"/>
              </w:rPr>
              <w:t>综合单价</w:t>
            </w:r>
          </w:p>
        </w:tc>
        <w:tc>
          <w:tcPr>
            <w:tcW w:w="1134" w:type="dxa"/>
            <w:vAlign w:val="center"/>
          </w:tcPr>
          <w:p>
            <w:pPr>
              <w:spacing w:line="360" w:lineRule="auto"/>
              <w:jc w:val="center"/>
              <w:rPr>
                <w:rFonts w:ascii="宋体"/>
                <w:sz w:val="21"/>
                <w:szCs w:val="21"/>
              </w:rPr>
            </w:pPr>
            <w:r>
              <w:rPr>
                <w:rFonts w:ascii="宋体"/>
                <w:sz w:val="21"/>
                <w:szCs w:val="21"/>
              </w:rPr>
              <w:t>总价</w:t>
            </w:r>
          </w:p>
        </w:tc>
        <w:tc>
          <w:tcPr>
            <w:tcW w:w="1559"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sz w:val="21"/>
                <w:szCs w:val="21"/>
              </w:rPr>
            </w:pPr>
            <w:r>
              <w:rPr>
                <w:rFonts w:ascii="宋体"/>
                <w:sz w:val="21"/>
                <w:szCs w:val="21"/>
              </w:rPr>
              <w:t>一、质量要求和技术标准：</w:t>
            </w:r>
          </w:p>
          <w:p>
            <w:pPr>
              <w:spacing w:line="360" w:lineRule="auto"/>
              <w:rPr>
                <w:rFonts w:ascii="宋体"/>
                <w:sz w:val="21"/>
                <w:szCs w:val="21"/>
              </w:rPr>
            </w:pPr>
            <w:r>
              <w:rPr>
                <w:rFonts w:ascii="宋体"/>
                <w:sz w:val="21"/>
                <w:szCs w:val="21"/>
              </w:rPr>
              <w:t>1、服务措施：</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sz w:val="21"/>
                <w:szCs w:val="21"/>
              </w:rPr>
            </w:pPr>
            <w:r>
              <w:rPr>
                <w:rFonts w:hint="eastAsia" w:ascii="宋体"/>
                <w:sz w:val="21"/>
                <w:szCs w:val="21"/>
              </w:rPr>
              <w:t>二</w:t>
            </w:r>
            <w:r>
              <w:rPr>
                <w:rFonts w:ascii="宋体"/>
                <w:sz w:val="21"/>
                <w:szCs w:val="21"/>
              </w:rPr>
              <w:t>、验收标准、方法：</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三</w:t>
            </w:r>
            <w:r>
              <w:rPr>
                <w:rFonts w:ascii="宋体"/>
                <w:sz w:val="21"/>
                <w:szCs w:val="21"/>
              </w:rPr>
              <w:t>、付款方式：</w:t>
            </w:r>
          </w:p>
          <w:p>
            <w:pPr>
              <w:pStyle w:val="36"/>
              <w:spacing w:line="360" w:lineRule="auto"/>
              <w:ind w:left="98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四</w:t>
            </w:r>
            <w:r>
              <w:rPr>
                <w:rFonts w:ascii="宋体"/>
                <w:sz w:val="21"/>
                <w:szCs w:val="21"/>
              </w:rPr>
              <w:t>、违约责任：</w:t>
            </w:r>
          </w:p>
          <w:p>
            <w:pPr>
              <w:spacing w:line="360" w:lineRule="auto"/>
              <w:rPr>
                <w:rFonts w:ascii="宋体"/>
                <w:sz w:val="21"/>
                <w:szCs w:val="21"/>
              </w:rPr>
            </w:pPr>
            <w:r>
              <w:rPr>
                <w:rFonts w:ascii="宋体"/>
                <w:sz w:val="21"/>
                <w:szCs w:val="21"/>
              </w:rPr>
              <w:t>按《</w:t>
            </w:r>
            <w:r>
              <w:rPr>
                <w:rFonts w:hint="eastAsia" w:ascii="宋体"/>
                <w:sz w:val="21"/>
                <w:szCs w:val="21"/>
              </w:rPr>
              <w:t>民法典</w:t>
            </w:r>
            <w:r>
              <w:rPr>
                <w:rFonts w:asci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sz w:val="21"/>
                <w:szCs w:val="21"/>
              </w:rPr>
            </w:pPr>
            <w:r>
              <w:rPr>
                <w:rFonts w:hint="eastAsia" w:ascii="宋体"/>
                <w:sz w:val="21"/>
                <w:szCs w:val="21"/>
              </w:rPr>
              <w:t>五</w:t>
            </w:r>
            <w:r>
              <w:rPr>
                <w:rFonts w:ascii="宋体"/>
                <w:sz w:val="21"/>
                <w:szCs w:val="21"/>
              </w:rPr>
              <w:t>、其他约定事项：</w:t>
            </w:r>
          </w:p>
          <w:p>
            <w:pPr>
              <w:spacing w:line="360" w:lineRule="auto"/>
              <w:rPr>
                <w:rFonts w:ascii="宋体"/>
                <w:sz w:val="21"/>
                <w:szCs w:val="21"/>
              </w:rPr>
            </w:pPr>
            <w:r>
              <w:rPr>
                <w:rFonts w:ascii="宋体"/>
                <w:sz w:val="21"/>
                <w:szCs w:val="21"/>
              </w:rPr>
              <w:t>1、</w:t>
            </w:r>
            <w:r>
              <w:rPr>
                <w:rFonts w:hint="eastAsia" w:ascii="宋体"/>
                <w:sz w:val="21"/>
                <w:szCs w:val="21"/>
              </w:rPr>
              <w:t>磋商</w:t>
            </w:r>
            <w:r>
              <w:rPr>
                <w:rFonts w:ascii="宋体"/>
                <w:sz w:val="21"/>
                <w:szCs w:val="21"/>
              </w:rPr>
              <w:t>文件及其补遗文件、</w:t>
            </w:r>
            <w:r>
              <w:rPr>
                <w:rFonts w:hint="eastAsia" w:ascii="宋体"/>
                <w:sz w:val="21"/>
                <w:szCs w:val="21"/>
              </w:rPr>
              <w:t>响应</w:t>
            </w:r>
            <w:r>
              <w:rPr>
                <w:rFonts w:ascii="宋体"/>
                <w:sz w:val="21"/>
                <w:szCs w:val="21"/>
              </w:rPr>
              <w:t>文件和承诺是本合同不可分割的部分。</w:t>
            </w:r>
          </w:p>
          <w:p>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pPr>
              <w:spacing w:line="360" w:lineRule="auto"/>
              <w:ind w:left="360"/>
              <w:rPr>
                <w:rFonts w:ascii="宋体"/>
                <w:sz w:val="21"/>
                <w:szCs w:val="21"/>
              </w:rPr>
            </w:pPr>
            <w:r>
              <w:rPr>
                <w:rFonts w:ascii="宋体"/>
                <w:sz w:val="21"/>
                <w:szCs w:val="21"/>
              </w:rPr>
              <w:t>本合同一式__份， 需方__份，供方__份，具同等法律效力。</w:t>
            </w:r>
          </w:p>
          <w:p>
            <w:pPr>
              <w:spacing w:line="360" w:lineRule="auto"/>
              <w:rPr>
                <w:rFonts w:ascii="宋体"/>
                <w:sz w:val="21"/>
                <w:szCs w:val="21"/>
              </w:rPr>
            </w:pPr>
            <w:r>
              <w:rPr>
                <w:rFonts w:hint="eastAsia" w:ascii="宋体"/>
                <w:sz w:val="21"/>
                <w:szCs w:val="21"/>
              </w:rPr>
              <w:t>2</w:t>
            </w:r>
            <w:r>
              <w:rPr>
                <w:rFonts w:asci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sz w:val="21"/>
                <w:szCs w:val="21"/>
              </w:rPr>
            </w:pPr>
            <w:r>
              <w:rPr>
                <w:rFonts w:ascii="宋体"/>
                <w:sz w:val="21"/>
                <w:szCs w:val="21"/>
              </w:rPr>
              <w:t>需方：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联系电话：</w:t>
            </w:r>
          </w:p>
          <w:p>
            <w:pPr>
              <w:spacing w:line="360" w:lineRule="auto"/>
              <w:rPr>
                <w:rFonts w:ascii="宋体"/>
                <w:sz w:val="21"/>
                <w:szCs w:val="21"/>
              </w:rPr>
            </w:pPr>
            <w:r>
              <w:rPr>
                <w:rFonts w:ascii="宋体"/>
                <w:sz w:val="21"/>
                <w:szCs w:val="21"/>
              </w:rPr>
              <w:t>授权代表：</w:t>
            </w:r>
          </w:p>
        </w:tc>
        <w:tc>
          <w:tcPr>
            <w:tcW w:w="5125" w:type="dxa"/>
            <w:gridSpan w:val="5"/>
          </w:tcPr>
          <w:p>
            <w:pPr>
              <w:spacing w:line="360" w:lineRule="auto"/>
              <w:rPr>
                <w:rFonts w:ascii="宋体"/>
                <w:sz w:val="21"/>
                <w:szCs w:val="21"/>
              </w:rPr>
            </w:pPr>
            <w:r>
              <w:rPr>
                <w:rFonts w:ascii="宋体"/>
                <w:sz w:val="21"/>
                <w:szCs w:val="21"/>
              </w:rPr>
              <w:t>供方：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电话：</w:t>
            </w:r>
          </w:p>
          <w:p>
            <w:pPr>
              <w:spacing w:line="360" w:lineRule="auto"/>
              <w:rPr>
                <w:rFonts w:ascii="宋体"/>
                <w:sz w:val="21"/>
                <w:szCs w:val="21"/>
              </w:rPr>
            </w:pPr>
            <w:r>
              <w:rPr>
                <w:rFonts w:ascii="宋体"/>
                <w:sz w:val="21"/>
                <w:szCs w:val="21"/>
              </w:rPr>
              <w:t>传真：</w:t>
            </w:r>
          </w:p>
          <w:p>
            <w:pPr>
              <w:spacing w:line="360" w:lineRule="auto"/>
              <w:rPr>
                <w:rFonts w:ascii="宋体"/>
                <w:sz w:val="21"/>
                <w:szCs w:val="21"/>
              </w:rPr>
            </w:pPr>
            <w:r>
              <w:rPr>
                <w:rFonts w:ascii="宋体"/>
                <w:sz w:val="21"/>
                <w:szCs w:val="21"/>
              </w:rPr>
              <w:t>开户银行：</w:t>
            </w:r>
          </w:p>
          <w:p>
            <w:pPr>
              <w:spacing w:line="360" w:lineRule="auto"/>
              <w:rPr>
                <w:rFonts w:ascii="宋体"/>
                <w:sz w:val="21"/>
                <w:szCs w:val="21"/>
              </w:rPr>
            </w:pPr>
            <w:r>
              <w:rPr>
                <w:rFonts w:ascii="宋体"/>
                <w:sz w:val="21"/>
                <w:szCs w:val="21"/>
              </w:rPr>
              <w:t>账号：</w:t>
            </w:r>
          </w:p>
          <w:p>
            <w:pPr>
              <w:spacing w:line="360" w:lineRule="auto"/>
              <w:rPr>
                <w:rFonts w:ascii="宋体"/>
                <w:sz w:val="21"/>
                <w:szCs w:val="21"/>
              </w:rPr>
            </w:pPr>
            <w:r>
              <w:rPr>
                <w:rFonts w:ascii="宋体"/>
                <w:sz w:val="21"/>
                <w:szCs w:val="21"/>
              </w:rPr>
              <w:t>授权代表：</w:t>
            </w:r>
          </w:p>
          <w:p>
            <w:pPr>
              <w:widowControl/>
              <w:spacing w:line="360" w:lineRule="auto"/>
              <w:jc w:val="left"/>
              <w:rPr>
                <w:rFonts w:ascii="宋体"/>
                <w:sz w:val="21"/>
                <w:szCs w:val="21"/>
              </w:rPr>
            </w:pPr>
            <w:r>
              <w:rPr>
                <w:rFonts w:asci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sz w:val="21"/>
                <w:szCs w:val="21"/>
              </w:rPr>
            </w:pPr>
            <w:r>
              <w:rPr>
                <w:rFonts w:ascii="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rPr>
      </w:pPr>
      <w:r>
        <w:rPr>
          <w:rFonts w:ascii="宋体"/>
          <w:sz w:val="24"/>
        </w:rPr>
        <w:t>签约时间：           年   月   日      签约地点：</w:t>
      </w:r>
    </w:p>
    <w:p>
      <w:pPr>
        <w:spacing w:line="500" w:lineRule="exact"/>
        <w:ind w:firstLine="480" w:firstLineChars="200"/>
        <w:rPr>
          <w:rFonts w:asci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eastAsia="宋体"/>
          <w:sz w:val="36"/>
          <w:szCs w:val="30"/>
        </w:rPr>
      </w:pPr>
      <w:bookmarkStart w:id="123" w:name="_Toc128558926"/>
      <w:r>
        <w:rPr>
          <w:rFonts w:ascii="宋体" w:eastAsia="宋体"/>
          <w:sz w:val="36"/>
          <w:szCs w:val="30"/>
        </w:rPr>
        <w:t>第七篇  响应文件编制要求</w:t>
      </w:r>
      <w:bookmarkEnd w:id="122"/>
      <w:bookmarkEnd w:id="123"/>
    </w:p>
    <w:p>
      <w:pPr>
        <w:snapToGrid w:val="0"/>
        <w:spacing w:line="360" w:lineRule="auto"/>
        <w:ind w:firstLine="482" w:firstLineChars="200"/>
        <w:rPr>
          <w:rFonts w:ascii="宋体" w:hAnsi="宋体"/>
          <w:b/>
          <w:bCs/>
          <w:sz w:val="24"/>
          <w:szCs w:val="24"/>
        </w:rPr>
      </w:pPr>
      <w:bookmarkStart w:id="124" w:name="_Toc113370378"/>
      <w:bookmarkStart w:id="125" w:name="_Toc107399308"/>
      <w:r>
        <w:rPr>
          <w:rFonts w:ascii="宋体" w:hAnsi="宋体"/>
          <w:b/>
          <w:bCs/>
          <w:sz w:val="24"/>
          <w:szCs w:val="24"/>
        </w:rPr>
        <w:t>一、经济部分</w:t>
      </w:r>
      <w:bookmarkEnd w:id="124"/>
      <w:bookmarkEnd w:id="125"/>
    </w:p>
    <w:p>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pPr>
        <w:snapToGrid w:val="0"/>
        <w:spacing w:line="360" w:lineRule="auto"/>
        <w:ind w:firstLine="482" w:firstLineChars="200"/>
        <w:rPr>
          <w:rFonts w:ascii="宋体" w:hAnsi="宋体"/>
          <w:b/>
          <w:bCs/>
          <w:sz w:val="24"/>
          <w:szCs w:val="24"/>
        </w:rPr>
      </w:pPr>
      <w:bookmarkStart w:id="126" w:name="_Toc113370379"/>
      <w:bookmarkStart w:id="127" w:name="_Toc107399309"/>
      <w:bookmarkStart w:id="128" w:name="_Toc78194469"/>
      <w:r>
        <w:rPr>
          <w:rFonts w:hint="eastAsia" w:ascii="宋体" w:hAnsi="宋体"/>
          <w:b/>
          <w:bCs/>
          <w:sz w:val="24"/>
          <w:szCs w:val="24"/>
        </w:rPr>
        <w:t>二、服务部分</w:t>
      </w:r>
      <w:bookmarkEnd w:id="126"/>
      <w:bookmarkEnd w:id="127"/>
      <w:bookmarkEnd w:id="128"/>
    </w:p>
    <w:p>
      <w:pPr>
        <w:snapToGrid w:val="0"/>
        <w:spacing w:line="360" w:lineRule="auto"/>
        <w:ind w:firstLine="480" w:firstLineChars="200"/>
        <w:rPr>
          <w:rFonts w:ascii="宋体" w:hAnsi="宋体"/>
          <w:sz w:val="24"/>
          <w:szCs w:val="24"/>
        </w:rPr>
      </w:pPr>
      <w:r>
        <w:rPr>
          <w:rFonts w:hint="eastAsia" w:ascii="宋体" w:hAnsi="宋体"/>
          <w:sz w:val="24"/>
          <w:szCs w:val="24"/>
        </w:rPr>
        <w:t>（一）服务响应偏离表</w:t>
      </w:r>
    </w:p>
    <w:p>
      <w:pPr>
        <w:snapToGrid w:val="0"/>
        <w:spacing w:line="360" w:lineRule="auto"/>
        <w:ind w:firstLine="480" w:firstLineChars="200"/>
        <w:rPr>
          <w:rFonts w:ascii="宋体" w:hAnsi="宋体"/>
          <w:sz w:val="24"/>
          <w:szCs w:val="24"/>
        </w:rPr>
      </w:pPr>
      <w:r>
        <w:rPr>
          <w:rFonts w:hint="eastAsia" w:ascii="宋体" w:hAnsi="宋体"/>
          <w:sz w:val="24"/>
          <w:szCs w:val="24"/>
        </w:rPr>
        <w:t>（二）其他资料（格式自定）</w:t>
      </w:r>
    </w:p>
    <w:p>
      <w:pPr>
        <w:snapToGrid w:val="0"/>
        <w:spacing w:line="360" w:lineRule="auto"/>
        <w:ind w:firstLine="482" w:firstLineChars="200"/>
        <w:rPr>
          <w:rFonts w:ascii="宋体" w:hAnsi="宋体"/>
          <w:b/>
          <w:bCs/>
          <w:sz w:val="24"/>
          <w:szCs w:val="24"/>
        </w:rPr>
      </w:pPr>
      <w:bookmarkStart w:id="129" w:name="_Toc113370380"/>
      <w:bookmarkStart w:id="130" w:name="_Toc107399310"/>
      <w:r>
        <w:rPr>
          <w:rFonts w:ascii="宋体" w:hAnsi="宋体"/>
          <w:b/>
          <w:bCs/>
          <w:sz w:val="24"/>
          <w:szCs w:val="24"/>
        </w:rPr>
        <w:t>三、商务部分</w:t>
      </w:r>
      <w:bookmarkEnd w:id="129"/>
      <w:bookmarkEnd w:id="130"/>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napToGrid w:val="0"/>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pPr>
        <w:snapToGrid w:val="0"/>
        <w:spacing w:line="360" w:lineRule="auto"/>
        <w:ind w:firstLine="482" w:firstLineChars="200"/>
        <w:rPr>
          <w:rFonts w:ascii="宋体" w:hAnsi="宋体"/>
          <w:b/>
          <w:bCs/>
          <w:sz w:val="24"/>
          <w:szCs w:val="24"/>
        </w:rPr>
      </w:pPr>
      <w:bookmarkStart w:id="131" w:name="_Toc107399311"/>
      <w:bookmarkStart w:id="132" w:name="_Toc113370381"/>
      <w:r>
        <w:rPr>
          <w:rFonts w:ascii="宋体" w:hAnsi="宋体"/>
          <w:b/>
          <w:bCs/>
          <w:sz w:val="24"/>
          <w:szCs w:val="24"/>
        </w:rPr>
        <w:t>四、资格条件及其他</w:t>
      </w:r>
      <w:bookmarkEnd w:id="131"/>
      <w:bookmarkEnd w:id="132"/>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napToGrid w:val="0"/>
        <w:spacing w:line="360" w:lineRule="auto"/>
        <w:ind w:firstLine="482" w:firstLineChars="200"/>
        <w:rPr>
          <w:rFonts w:ascii="宋体" w:hAnsi="宋体"/>
          <w:b/>
          <w:bCs/>
          <w:sz w:val="24"/>
          <w:szCs w:val="24"/>
        </w:rPr>
      </w:pPr>
      <w:r>
        <w:rPr>
          <w:rFonts w:hint="eastAsia" w:ascii="宋体" w:hAnsi="宋体"/>
          <w:b/>
          <w:bCs/>
          <w:sz w:val="24"/>
          <w:szCs w:val="24"/>
        </w:rPr>
        <w:t>五、其他资料</w:t>
      </w:r>
    </w:p>
    <w:p>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440" w:lineRule="exact"/>
        <w:ind w:firstLine="480" w:firstLineChars="200"/>
        <w:rPr>
          <w:rFonts w:ascii="宋体" w:hAnsi="宋体"/>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pPr>
        <w:pStyle w:val="6"/>
        <w:spacing w:before="0" w:after="0" w:line="360" w:lineRule="auto"/>
        <w:ind w:firstLine="482" w:firstLineChars="200"/>
        <w:rPr>
          <w:rFonts w:ascii="宋体"/>
          <w:sz w:val="24"/>
          <w:szCs w:val="24"/>
        </w:rPr>
      </w:pPr>
      <w:bookmarkStart w:id="133" w:name="_Toc23764522"/>
      <w:bookmarkStart w:id="134" w:name="_Toc313888360"/>
      <w:bookmarkStart w:id="135" w:name="_Toc313008356"/>
      <w:bookmarkStart w:id="136" w:name="_Toc128558927"/>
      <w:bookmarkStart w:id="137" w:name="_Toc342913419"/>
      <w:bookmarkStart w:id="138" w:name="_Toc283382454"/>
      <w:bookmarkStart w:id="139" w:name="_Toc12789073"/>
      <w:r>
        <w:rPr>
          <w:rFonts w:ascii="宋体"/>
          <w:sz w:val="24"/>
          <w:szCs w:val="24"/>
        </w:rPr>
        <w:t>一、经济部分</w:t>
      </w:r>
      <w:bookmarkEnd w:id="133"/>
      <w:bookmarkEnd w:id="134"/>
      <w:bookmarkEnd w:id="135"/>
      <w:bookmarkEnd w:id="136"/>
      <w:bookmarkEnd w:id="137"/>
    </w:p>
    <w:bookmarkEnd w:id="138"/>
    <w:bookmarkEnd w:id="139"/>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（一）竞争性磋商报价函</w:t>
      </w:r>
    </w:p>
    <w:p>
      <w:pPr>
        <w:tabs>
          <w:tab w:val="left" w:pos="6300"/>
        </w:tabs>
        <w:snapToGrid w:val="0"/>
        <w:spacing w:line="520" w:lineRule="exact"/>
        <w:jc w:val="center"/>
        <w:outlineLvl w:val="0"/>
        <w:rPr>
          <w:rFonts w:ascii="宋体" w:hAnsi="宋体"/>
          <w:b/>
          <w:szCs w:val="28"/>
        </w:rPr>
      </w:pPr>
      <w:r>
        <w:rPr>
          <w:rFonts w:ascii="宋体" w:hAnsi="宋体"/>
          <w:b/>
          <w:szCs w:val="28"/>
        </w:rPr>
        <w:t>竞争性磋商报价函</w:t>
      </w:r>
    </w:p>
    <w:p>
      <w:pPr>
        <w:tabs>
          <w:tab w:val="left" w:pos="6300"/>
        </w:tabs>
        <w:snapToGrid w:val="0"/>
        <w:spacing w:line="520" w:lineRule="exact"/>
        <w:rPr>
          <w:rFonts w:ascii="宋体" w:hAnsi="宋体"/>
          <w:sz w:val="24"/>
          <w:szCs w:val="24"/>
        </w:rPr>
      </w:pPr>
      <w:r>
        <w:rPr>
          <w:rFonts w:ascii="宋体" w:hAnsi="宋体"/>
          <w:sz w:val="24"/>
          <w:szCs w:val="24"/>
          <w:u w:val="single"/>
        </w:rPr>
        <w:t>（采购代理机构名称）</w:t>
      </w:r>
      <w:r>
        <w:rPr>
          <w:rFonts w:ascii="宋体" w:hAnsi="宋体"/>
          <w:sz w:val="24"/>
          <w:szCs w:val="24"/>
        </w:rPr>
        <w:t>：</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1.愿意按照竞争性磋商文件中的一切要求，提供本项目的服务，初始报价为人民币大写：元整；人民币小写：元。以我公司最后报价为准。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份，副本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8.</w:t>
      </w:r>
      <w:r>
        <w:rPr>
          <w:rFonts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520" w:lineRule="exact"/>
        <w:ind w:firstLine="57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570"/>
        <w:rPr>
          <w:rFonts w:ascii="宋体" w:hAnsi="宋体"/>
          <w:sz w:val="24"/>
          <w:szCs w:val="24"/>
        </w:rPr>
      </w:pPr>
      <w:r>
        <w:rPr>
          <w:rFonts w:ascii="宋体" w:hAnsi="宋体"/>
          <w:sz w:val="24"/>
          <w:szCs w:val="24"/>
        </w:rPr>
        <w:t>地址：</w:t>
      </w:r>
    </w:p>
    <w:p>
      <w:pPr>
        <w:tabs>
          <w:tab w:val="left" w:pos="6300"/>
        </w:tabs>
        <w:snapToGrid w:val="0"/>
        <w:spacing w:line="520" w:lineRule="exact"/>
        <w:ind w:firstLine="570"/>
        <w:rPr>
          <w:rFonts w:ascii="宋体" w:hAnsi="宋体"/>
          <w:sz w:val="24"/>
          <w:szCs w:val="24"/>
        </w:rPr>
      </w:pPr>
      <w:r>
        <w:rPr>
          <w:rFonts w:ascii="宋体" w:hAnsi="宋体"/>
          <w:sz w:val="24"/>
          <w:szCs w:val="24"/>
        </w:rPr>
        <w:t>电话：传真：</w:t>
      </w:r>
    </w:p>
    <w:p>
      <w:pPr>
        <w:tabs>
          <w:tab w:val="left" w:pos="6300"/>
        </w:tabs>
        <w:snapToGrid w:val="0"/>
        <w:spacing w:line="520" w:lineRule="exact"/>
        <w:ind w:firstLine="570"/>
        <w:rPr>
          <w:rFonts w:ascii="宋体" w:hAnsi="宋体"/>
          <w:sz w:val="24"/>
          <w:szCs w:val="24"/>
        </w:rPr>
      </w:pPr>
      <w:r>
        <w:rPr>
          <w:rFonts w:ascii="宋体" w:hAnsi="宋体"/>
          <w:sz w:val="24"/>
          <w:szCs w:val="24"/>
        </w:rPr>
        <w:t>网址：邮编：</w:t>
      </w:r>
    </w:p>
    <w:p>
      <w:pPr>
        <w:tabs>
          <w:tab w:val="left" w:pos="6300"/>
        </w:tabs>
        <w:snapToGrid w:val="0"/>
        <w:spacing w:line="520" w:lineRule="exact"/>
        <w:ind w:firstLine="57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rFonts w:ascii="宋体" w:hAnsi="宋体"/>
          <w:sz w:val="24"/>
          <w:szCs w:val="24"/>
        </w:rPr>
      </w:pPr>
    </w:p>
    <w:p>
      <w:pPr>
        <w:snapToGrid w:val="0"/>
        <w:spacing w:line="520" w:lineRule="exact"/>
        <w:ind w:firstLine="480" w:firstLineChars="200"/>
        <w:jc w:val="right"/>
        <w:rPr>
          <w:rFonts w:ascii="宋体" w:hAnsi="宋体"/>
          <w:sz w:val="24"/>
          <w:szCs w:val="24"/>
        </w:rPr>
      </w:pP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pPr>
        <w:snapToGrid w:val="0"/>
        <w:spacing w:line="520" w:lineRule="exact"/>
        <w:ind w:firstLine="480" w:firstLineChars="200"/>
        <w:rPr>
          <w:rFonts w:ascii="宋体" w:hAnsi="宋体"/>
          <w:sz w:val="24"/>
          <w:szCs w:val="24"/>
        </w:rPr>
      </w:pPr>
    </w:p>
    <w:p>
      <w:pPr>
        <w:snapToGrid w:val="0"/>
        <w:spacing w:line="520" w:lineRule="exact"/>
        <w:ind w:firstLine="480" w:firstLineChars="200"/>
        <w:rPr>
          <w:rFonts w:ascii="宋体" w:hAnsi="宋体"/>
          <w:sz w:val="24"/>
          <w:szCs w:val="24"/>
        </w:rPr>
        <w:sectPr>
          <w:pgSz w:w="11907" w:h="16840"/>
          <w:pgMar w:top="1134" w:right="1191" w:bottom="1134" w:left="1191" w:header="851" w:footer="992" w:gutter="0"/>
          <w:pgNumType w:fmt="numberInDash"/>
          <w:cols w:space="720" w:num="1"/>
          <w:docGrid w:linePitch="380" w:charSpace="-5734"/>
        </w:sectPr>
      </w:pPr>
    </w:p>
    <w:p>
      <w:pPr>
        <w:tabs>
          <w:tab w:val="left" w:pos="6300"/>
        </w:tabs>
        <w:snapToGrid w:val="0"/>
        <w:spacing w:line="520" w:lineRule="exact"/>
        <w:ind w:firstLine="480" w:firstLineChars="200"/>
        <w:rPr>
          <w:rFonts w:ascii="宋体" w:hAnsi="宋体"/>
          <w:sz w:val="24"/>
          <w:szCs w:val="24"/>
        </w:rPr>
      </w:pPr>
      <w:bookmarkStart w:id="140" w:name="_Toc313888361"/>
      <w:bookmarkStart w:id="141" w:name="_Toc342913420"/>
      <w:bookmarkStart w:id="142" w:name="_Toc23764523"/>
      <w:bookmarkStart w:id="143"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ind w:firstLine="480" w:firstLineChars="200"/>
        <w:rPr>
          <w:rFonts w:ascii="宋体" w:hAnsi="宋体"/>
          <w:sz w:val="24"/>
          <w:szCs w:val="24"/>
        </w:rPr>
      </w:pPr>
      <w:r>
        <w:rPr>
          <w:rFonts w:hint="eastAsia" w:ascii="宋体" w:hAnsi="宋体"/>
          <w:sz w:val="24"/>
          <w:szCs w:val="24"/>
        </w:rPr>
        <w:t>项目号：</w:t>
      </w:r>
    </w:p>
    <w:p>
      <w:pPr>
        <w:snapToGrid w:val="0"/>
        <w:ind w:firstLine="480" w:firstLineChars="200"/>
        <w:rPr>
          <w:rFonts w:ascii="宋体" w:hAnsi="宋体"/>
          <w:sz w:val="24"/>
          <w:szCs w:val="24"/>
        </w:rPr>
      </w:pPr>
      <w:r>
        <w:rPr>
          <w:rFonts w:hint="eastAsia" w:ascii="宋体" w:hAnsi="宋体"/>
          <w:sz w:val="24"/>
          <w:szCs w:val="24"/>
        </w:rPr>
        <w:t>项目名称：</w:t>
      </w:r>
    </w:p>
    <w:tbl>
      <w:tblPr>
        <w:tblStyle w:val="68"/>
        <w:tblW w:w="9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75" w:type="dxa"/>
            <w:vAlign w:val="center"/>
          </w:tcPr>
          <w:p>
            <w:pPr>
              <w:jc w:val="center"/>
              <w:rPr>
                <w:rFonts w:ascii="宋体" w:hAnsi="宋体"/>
                <w:b/>
                <w:sz w:val="21"/>
                <w:szCs w:val="21"/>
              </w:rPr>
            </w:pPr>
            <w:r>
              <w:rPr>
                <w:rFonts w:hint="eastAsia" w:ascii="宋体" w:hAnsi="宋体"/>
                <w:b/>
                <w:sz w:val="21"/>
                <w:szCs w:val="21"/>
              </w:rPr>
              <w:t>序号</w:t>
            </w:r>
          </w:p>
        </w:tc>
        <w:tc>
          <w:tcPr>
            <w:tcW w:w="2835" w:type="dxa"/>
            <w:vAlign w:val="center"/>
          </w:tcPr>
          <w:p>
            <w:pPr>
              <w:jc w:val="center"/>
              <w:rPr>
                <w:rFonts w:ascii="宋体" w:hAnsi="宋体"/>
                <w:b/>
                <w:sz w:val="21"/>
                <w:szCs w:val="21"/>
              </w:rPr>
            </w:pPr>
            <w:r>
              <w:rPr>
                <w:rFonts w:hint="eastAsia" w:ascii="宋体" w:hAnsi="宋体"/>
                <w:b/>
                <w:sz w:val="21"/>
                <w:szCs w:val="21"/>
              </w:rPr>
              <w:t>名称</w:t>
            </w:r>
          </w:p>
        </w:tc>
        <w:tc>
          <w:tcPr>
            <w:tcW w:w="2228" w:type="dxa"/>
            <w:vAlign w:val="center"/>
          </w:tcPr>
          <w:p>
            <w:pPr>
              <w:jc w:val="center"/>
              <w:rPr>
                <w:rFonts w:ascii="宋体" w:hAnsi="宋体"/>
                <w:b/>
                <w:sz w:val="21"/>
                <w:szCs w:val="21"/>
              </w:rPr>
            </w:pPr>
            <w:r>
              <w:rPr>
                <w:rFonts w:hint="eastAsia" w:ascii="宋体" w:hAnsi="宋体"/>
                <w:b/>
                <w:sz w:val="21"/>
                <w:szCs w:val="21"/>
              </w:rPr>
              <w:t>相关信息</w:t>
            </w:r>
          </w:p>
        </w:tc>
        <w:tc>
          <w:tcPr>
            <w:tcW w:w="1235" w:type="dxa"/>
            <w:vAlign w:val="center"/>
          </w:tcPr>
          <w:p>
            <w:pPr>
              <w:jc w:val="center"/>
              <w:rPr>
                <w:rFonts w:ascii="宋体" w:hAnsi="宋体"/>
                <w:b/>
                <w:sz w:val="21"/>
                <w:szCs w:val="21"/>
              </w:rPr>
            </w:pPr>
            <w:r>
              <w:rPr>
                <w:rFonts w:hint="eastAsia" w:ascii="宋体" w:hAnsi="宋体"/>
                <w:b/>
                <w:sz w:val="21"/>
                <w:szCs w:val="21"/>
              </w:rPr>
              <w:t>数量</w:t>
            </w:r>
          </w:p>
        </w:tc>
        <w:tc>
          <w:tcPr>
            <w:tcW w:w="1235" w:type="dxa"/>
            <w:vAlign w:val="center"/>
          </w:tcPr>
          <w:p>
            <w:pPr>
              <w:jc w:val="center"/>
              <w:rPr>
                <w:rFonts w:ascii="宋体" w:hAnsi="宋体"/>
                <w:b/>
                <w:sz w:val="21"/>
                <w:szCs w:val="21"/>
              </w:rPr>
            </w:pPr>
            <w:r>
              <w:rPr>
                <w:rFonts w:hint="eastAsia" w:ascii="宋体" w:hAnsi="宋体"/>
                <w:b/>
                <w:sz w:val="21"/>
                <w:szCs w:val="21"/>
              </w:rPr>
              <w:t>单价</w:t>
            </w:r>
          </w:p>
        </w:tc>
        <w:tc>
          <w:tcPr>
            <w:tcW w:w="1235" w:type="dxa"/>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1</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2</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3</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4</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5</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6</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7</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8</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9</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2835" w:type="dxa"/>
            <w:vAlign w:val="center"/>
          </w:tcPr>
          <w:p>
            <w:pPr>
              <w:snapToGrid w:val="0"/>
              <w:spacing w:line="360" w:lineRule="auto"/>
              <w:jc w:val="center"/>
              <w:rPr>
                <w:rFonts w:ascii="宋体" w:hAnsi="宋体"/>
                <w:bCs/>
                <w:sz w:val="21"/>
                <w:szCs w:val="21"/>
              </w:rPr>
            </w:pP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hAnsi="宋体"/>
                <w:sz w:val="21"/>
                <w:szCs w:val="21"/>
              </w:rPr>
            </w:pPr>
          </w:p>
        </w:tc>
        <w:tc>
          <w:tcPr>
            <w:tcW w:w="2835" w:type="dxa"/>
            <w:vAlign w:val="center"/>
          </w:tcPr>
          <w:p>
            <w:pPr>
              <w:jc w:val="center"/>
              <w:rPr>
                <w:rFonts w:ascii="宋体" w:hAnsi="宋体"/>
                <w:sz w:val="21"/>
                <w:szCs w:val="21"/>
              </w:rPr>
            </w:pPr>
            <w:r>
              <w:rPr>
                <w:rFonts w:ascii="宋体" w:hAnsi="宋体"/>
                <w:sz w:val="21"/>
                <w:szCs w:val="21"/>
              </w:rPr>
              <w:t>…</w:t>
            </w:r>
          </w:p>
        </w:tc>
        <w:tc>
          <w:tcPr>
            <w:tcW w:w="2228" w:type="dxa"/>
          </w:tcPr>
          <w:p>
            <w:pPr>
              <w:jc w:val="center"/>
              <w:rPr>
                <w:rFonts w:ascii="宋体" w:hAnsi="宋体"/>
                <w:sz w:val="21"/>
                <w:szCs w:val="21"/>
              </w:rPr>
            </w:pPr>
          </w:p>
        </w:tc>
        <w:tc>
          <w:tcPr>
            <w:tcW w:w="1235" w:type="dxa"/>
            <w:vAlign w:val="center"/>
          </w:tcPr>
          <w:p>
            <w:pPr>
              <w:jc w:val="center"/>
              <w:rPr>
                <w:rFonts w:ascii="宋体" w:hAnsi="宋体"/>
                <w:sz w:val="21"/>
                <w:szCs w:val="21"/>
              </w:rPr>
            </w:pPr>
          </w:p>
        </w:tc>
        <w:tc>
          <w:tcPr>
            <w:tcW w:w="1235" w:type="dxa"/>
          </w:tcPr>
          <w:p>
            <w:pPr>
              <w:jc w:val="center"/>
              <w:rPr>
                <w:rFonts w:ascii="宋体" w:hAnsi="宋体"/>
                <w:sz w:val="21"/>
                <w:szCs w:val="21"/>
              </w:rPr>
            </w:pPr>
          </w:p>
        </w:tc>
        <w:tc>
          <w:tcPr>
            <w:tcW w:w="1235" w:type="dxa"/>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hAnsi="宋体"/>
                <w:sz w:val="21"/>
                <w:szCs w:val="21"/>
              </w:rPr>
            </w:pPr>
          </w:p>
        </w:tc>
        <w:tc>
          <w:tcPr>
            <w:tcW w:w="2835" w:type="dxa"/>
            <w:vAlign w:val="center"/>
          </w:tcPr>
          <w:p>
            <w:pPr>
              <w:jc w:val="center"/>
              <w:rPr>
                <w:rFonts w:ascii="宋体" w:hAnsi="宋体"/>
                <w:sz w:val="21"/>
                <w:szCs w:val="21"/>
              </w:rPr>
            </w:pPr>
            <w:r>
              <w:rPr>
                <w:rFonts w:hint="eastAsia" w:ascii="宋体" w:hAnsi="宋体"/>
                <w:sz w:val="21"/>
                <w:szCs w:val="21"/>
              </w:rPr>
              <w:t>总计</w:t>
            </w:r>
          </w:p>
        </w:tc>
        <w:tc>
          <w:tcPr>
            <w:tcW w:w="5933" w:type="dxa"/>
            <w:gridSpan w:val="4"/>
          </w:tcPr>
          <w:p>
            <w:pPr>
              <w:rPr>
                <w:rFonts w:ascii="宋体" w:hAnsi="宋体"/>
                <w:sz w:val="21"/>
                <w:szCs w:val="21"/>
              </w:rPr>
            </w:pPr>
          </w:p>
        </w:tc>
      </w:tr>
    </w:tbl>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bookmarkEnd w:id="140"/>
    <w:bookmarkEnd w:id="141"/>
    <w:bookmarkEnd w:id="142"/>
    <w:bookmarkEnd w:id="143"/>
    <w:p>
      <w:pPr>
        <w:pStyle w:val="6"/>
        <w:spacing w:before="0" w:after="0" w:line="360" w:lineRule="auto"/>
        <w:ind w:firstLine="482" w:firstLineChars="200"/>
        <w:rPr>
          <w:rFonts w:ascii="宋体"/>
          <w:sz w:val="24"/>
          <w:szCs w:val="24"/>
        </w:rPr>
      </w:pPr>
      <w:bookmarkStart w:id="144" w:name="_Toc128558928"/>
      <w:bookmarkStart w:id="145" w:name="_Toc113370382"/>
      <w:bookmarkStart w:id="146" w:name="_Toc107399312"/>
      <w:bookmarkStart w:id="147" w:name="_Toc76462351"/>
      <w:bookmarkStart w:id="148" w:name="_Toc106637996"/>
      <w:r>
        <w:rPr>
          <w:rFonts w:hint="eastAsia" w:ascii="宋体"/>
          <w:sz w:val="24"/>
          <w:szCs w:val="24"/>
        </w:rPr>
        <w:t>二、服务部分</w:t>
      </w:r>
      <w:bookmarkEnd w:id="144"/>
      <w:bookmarkEnd w:id="145"/>
      <w:bookmarkEnd w:id="146"/>
      <w:bookmarkEnd w:id="147"/>
      <w:bookmarkEnd w:id="148"/>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pacing w:line="360" w:lineRule="auto"/>
        <w:ind w:firstLine="480" w:firstLineChars="200"/>
        <w:rPr>
          <w:rFonts w:ascii="宋体" w:hAnsi="宋体"/>
          <w:sz w:val="24"/>
          <w:szCs w:val="24"/>
        </w:rPr>
      </w:pPr>
      <w:r>
        <w:rPr>
          <w:rFonts w:hint="eastAsia" w:ascii="宋体" w:hAnsi="宋体"/>
          <w:sz w:val="24"/>
          <w:szCs w:val="24"/>
        </w:rPr>
        <w:t>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pPr>
        <w:snapToGrid w:val="0"/>
        <w:spacing w:line="360" w:lineRule="auto"/>
        <w:ind w:firstLine="480" w:firstLineChars="200"/>
        <w:jc w:val="left"/>
        <w:rPr>
          <w:rFonts w:ascii="宋体" w:hAnsi="宋体"/>
          <w:sz w:val="24"/>
        </w:rPr>
      </w:pPr>
      <w:r>
        <w:rPr>
          <w:rFonts w:hint="eastAsia" w:ascii="宋体" w:hAnsi="宋体"/>
          <w:sz w:val="24"/>
        </w:rPr>
        <w:t>2.本表可扩展。</w:t>
      </w:r>
    </w:p>
    <w:p>
      <w:pPr>
        <w:snapToGrid w:val="0"/>
        <w:spacing w:line="360" w:lineRule="auto"/>
        <w:ind w:firstLine="480" w:firstLineChars="200"/>
        <w:jc w:val="left"/>
        <w:rPr>
          <w:rFonts w:ascii="宋体" w:hAnsi="宋体"/>
          <w:sz w:val="24"/>
        </w:rPr>
      </w:pPr>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pPr>
        <w:widowControl/>
        <w:jc w:val="left"/>
        <w:rPr>
          <w:rFonts w:ascii="宋体"/>
          <w:b/>
          <w:sz w:val="24"/>
          <w:szCs w:val="24"/>
        </w:rPr>
      </w:pPr>
      <w:bookmarkStart w:id="149" w:name="_Toc76462352"/>
      <w:bookmarkStart w:id="150" w:name="_Toc313888362"/>
      <w:bookmarkStart w:id="151" w:name="_Toc342913421"/>
      <w:bookmarkStart w:id="152" w:name="_Toc106637997"/>
      <w:bookmarkStart w:id="153" w:name="_Toc113370383"/>
      <w:bookmarkStart w:id="154" w:name="_Toc313008358"/>
      <w:bookmarkStart w:id="155" w:name="_Toc107399313"/>
      <w:r>
        <w:rPr>
          <w:rFonts w:ascii="宋体"/>
          <w:sz w:val="24"/>
          <w:szCs w:val="24"/>
        </w:rPr>
        <w:br w:type="page"/>
      </w:r>
    </w:p>
    <w:p>
      <w:pPr>
        <w:pStyle w:val="6"/>
        <w:spacing w:before="0" w:after="0" w:line="360" w:lineRule="auto"/>
        <w:ind w:firstLine="482" w:firstLineChars="200"/>
        <w:rPr>
          <w:rFonts w:ascii="宋体"/>
          <w:sz w:val="24"/>
          <w:szCs w:val="24"/>
        </w:rPr>
      </w:pPr>
      <w:bookmarkStart w:id="156" w:name="_Toc128558929"/>
      <w:r>
        <w:rPr>
          <w:rFonts w:hint="eastAsia" w:ascii="宋体"/>
          <w:sz w:val="24"/>
          <w:szCs w:val="24"/>
        </w:rPr>
        <w:t>三、商务部分</w:t>
      </w:r>
      <w:bookmarkEnd w:id="149"/>
      <w:bookmarkEnd w:id="150"/>
      <w:bookmarkEnd w:id="151"/>
      <w:bookmarkEnd w:id="152"/>
      <w:bookmarkEnd w:id="153"/>
      <w:bookmarkEnd w:id="154"/>
      <w:bookmarkEnd w:id="155"/>
      <w:bookmarkEnd w:id="156"/>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jc w:val="center"/>
        <w:rPr>
          <w:rFonts w:ascii="宋体" w:hAnsi="宋体"/>
          <w:sz w:val="24"/>
          <w:szCs w:val="24"/>
        </w:rPr>
      </w:pPr>
      <w:r>
        <w:rPr>
          <w:rFonts w:hint="eastAsia" w:ascii="宋体" w:hAnsi="宋体"/>
          <w:b/>
          <w:szCs w:val="28"/>
        </w:rPr>
        <w:t>商务响应偏离表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项目名称： </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项目商务需求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napToGrid w:val="0"/>
        <w:spacing w:line="360" w:lineRule="auto"/>
        <w:ind w:firstLine="465"/>
        <w:rPr>
          <w:rFonts w:ascii="宋体" w:hAnsi="宋体"/>
          <w:sz w:val="24"/>
          <w:szCs w:val="24"/>
        </w:rPr>
      </w:pPr>
    </w:p>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pPr>
        <w:snapToGrid w:val="0"/>
        <w:spacing w:line="360" w:lineRule="auto"/>
        <w:ind w:firstLine="480" w:firstLineChars="200"/>
        <w:rPr>
          <w:rFonts w:ascii="宋体" w:hAnsi="宋体"/>
          <w:sz w:val="24"/>
        </w:rPr>
      </w:pPr>
      <w:r>
        <w:rPr>
          <w:rFonts w:hint="eastAsia" w:ascii="宋体" w:hAnsi="宋体"/>
          <w:sz w:val="24"/>
        </w:rPr>
        <w:t>2.本表可扩展。</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snapToGrid w:val="0"/>
        <w:spacing w:line="360" w:lineRule="auto"/>
        <w:ind w:firstLine="480" w:firstLineChars="200"/>
        <w:rPr>
          <w:rFonts w:ascii="宋体" w:hAnsi="宋体"/>
          <w:sz w:val="24"/>
          <w:szCs w:val="24"/>
        </w:rPr>
      </w:pPr>
    </w:p>
    <w:p>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pPr>
        <w:pStyle w:val="6"/>
        <w:spacing w:before="0" w:after="0" w:line="360" w:lineRule="auto"/>
        <w:ind w:firstLine="482" w:firstLineChars="200"/>
        <w:rPr>
          <w:rFonts w:ascii="宋体"/>
          <w:sz w:val="24"/>
          <w:szCs w:val="24"/>
        </w:rPr>
      </w:pPr>
      <w:bookmarkStart w:id="157" w:name="_Toc313888363"/>
      <w:bookmarkStart w:id="158" w:name="_Toc313008359"/>
      <w:bookmarkStart w:id="159" w:name="_Toc107399314"/>
      <w:bookmarkStart w:id="160" w:name="_Toc113370384"/>
      <w:bookmarkStart w:id="161" w:name="_Toc106637998"/>
      <w:bookmarkStart w:id="162" w:name="_Toc76462353"/>
      <w:bookmarkStart w:id="163" w:name="_Toc128558930"/>
      <w:bookmarkStart w:id="164" w:name="_Toc342913422"/>
      <w:r>
        <w:rPr>
          <w:rFonts w:hint="eastAsia" w:ascii="宋体"/>
          <w:sz w:val="24"/>
          <w:szCs w:val="24"/>
        </w:rPr>
        <w:t>四、资格条件</w:t>
      </w:r>
      <w:bookmarkEnd w:id="157"/>
      <w:bookmarkEnd w:id="158"/>
      <w:bookmarkEnd w:id="159"/>
      <w:bookmarkEnd w:id="160"/>
      <w:bookmarkEnd w:id="161"/>
      <w:bookmarkEnd w:id="162"/>
      <w:bookmarkEnd w:id="163"/>
      <w:bookmarkEnd w:id="164"/>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磋商项目名称：</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widowControl/>
        <w:jc w:val="left"/>
        <w:rPr>
          <w:rFonts w:ascii="宋体" w:hAnsi="宋体"/>
          <w:sz w:val="24"/>
          <w:szCs w:val="24"/>
        </w:rPr>
      </w:pPr>
      <w:r>
        <w:rPr>
          <w:rFonts w:ascii="宋体" w:hAnsi="宋体"/>
          <w:sz w:val="24"/>
          <w:szCs w:val="24"/>
        </w:rPr>
        <w:br w:type="page"/>
      </w:r>
    </w:p>
    <w:p>
      <w:pPr>
        <w:snapToGrid w:val="0"/>
        <w:spacing w:line="360" w:lineRule="auto"/>
        <w:ind w:firstLine="480" w:firstLineChars="200"/>
        <w:rPr>
          <w:rFonts w:ascii="宋体" w:hAnsi="宋体"/>
          <w:sz w:val="24"/>
          <w:szCs w:val="24"/>
        </w:rPr>
      </w:pP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widowControl/>
        <w:jc w:val="left"/>
        <w:rPr>
          <w:rFonts w:ascii="宋体"/>
          <w:b/>
          <w:sz w:val="24"/>
          <w:szCs w:val="24"/>
        </w:rPr>
      </w:pPr>
      <w:bookmarkStart w:id="165" w:name="_Toc107399315"/>
      <w:bookmarkStart w:id="166" w:name="_Toc113370385"/>
      <w:bookmarkStart w:id="167" w:name="_Toc14422"/>
      <w:bookmarkStart w:id="168" w:name="_Toc76462354"/>
      <w:bookmarkStart w:id="169" w:name="_Toc106637999"/>
      <w:r>
        <w:rPr>
          <w:rFonts w:ascii="宋体"/>
          <w:sz w:val="24"/>
          <w:szCs w:val="24"/>
        </w:rPr>
        <w:br w:type="page"/>
      </w:r>
    </w:p>
    <w:p>
      <w:pPr>
        <w:pStyle w:val="6"/>
        <w:spacing w:before="0" w:after="0" w:line="360" w:lineRule="auto"/>
        <w:ind w:firstLine="482" w:firstLineChars="200"/>
        <w:rPr>
          <w:rFonts w:ascii="宋体"/>
          <w:sz w:val="24"/>
          <w:szCs w:val="24"/>
        </w:rPr>
      </w:pPr>
      <w:bookmarkStart w:id="170" w:name="_Toc128558931"/>
      <w:r>
        <w:rPr>
          <w:rFonts w:hint="eastAsia" w:ascii="宋体"/>
          <w:sz w:val="24"/>
          <w:szCs w:val="24"/>
        </w:rPr>
        <w:t>五、其他资料</w:t>
      </w:r>
      <w:bookmarkEnd w:id="165"/>
      <w:bookmarkEnd w:id="166"/>
      <w:bookmarkEnd w:id="167"/>
      <w:bookmarkEnd w:id="168"/>
      <w:bookmarkEnd w:id="169"/>
      <w:bookmarkEnd w:id="170"/>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widowControl/>
        <w:jc w:val="left"/>
        <w:rPr>
          <w:rFonts w:ascii="宋体" w:hAnsi="宋体"/>
        </w:rPr>
      </w:pPr>
      <w:r>
        <w:rPr>
          <w:rFonts w:ascii="宋体" w:hAnsi="宋体"/>
        </w:rPr>
        <w:br w:type="page"/>
      </w:r>
    </w:p>
    <w:p>
      <w:pPr>
        <w:tabs>
          <w:tab w:val="left" w:pos="6300"/>
        </w:tabs>
        <w:snapToGrid w:val="0"/>
        <w:spacing w:line="360" w:lineRule="auto"/>
        <w:ind w:firstLine="560" w:firstLineChars="200"/>
        <w:jc w:val="center"/>
        <w:rPr>
          <w:rFonts w:ascii="宋体" w:hAnsi="宋体"/>
        </w:rPr>
      </w:pP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sectPr>
      <w:headerReference r:id="rId12" w:type="default"/>
      <w:pgSz w:w="11907" w:h="16840"/>
      <w:pgMar w:top="1134" w:right="1191" w:bottom="1134" w:left="1191" w:header="851" w:footer="992" w:gutter="0"/>
      <w:pgNumType w:fmt="numberInDash"/>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- 13 -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 xml:space="preserve">重庆中基                   </w:t>
    </w:r>
    <w:r>
      <w:rPr>
        <w:rFonts w:ascii="宋体"/>
        <w:sz w:val="21"/>
        <w:szCs w:val="21"/>
      </w:rPr>
      <w:t xml:space="preserve">                                               </w:t>
    </w:r>
    <w:r>
      <w:rPr>
        <w:rFonts w:hint="eastAsia" w:ascii="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6"/>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M2UzODNkMGQ2NWIwZTVlZmE4NmYyNmU1MDIwMjAifQ=="/>
  </w:docVars>
  <w:rsids>
    <w:rsidRoot w:val="00F8011D"/>
    <w:rsid w:val="00000B9D"/>
    <w:rsid w:val="000135BD"/>
    <w:rsid w:val="000160FE"/>
    <w:rsid w:val="00032F8C"/>
    <w:rsid w:val="00034929"/>
    <w:rsid w:val="000367F9"/>
    <w:rsid w:val="000379E8"/>
    <w:rsid w:val="000427D4"/>
    <w:rsid w:val="000475A7"/>
    <w:rsid w:val="00050BAA"/>
    <w:rsid w:val="00054EF5"/>
    <w:rsid w:val="0005510C"/>
    <w:rsid w:val="000553D1"/>
    <w:rsid w:val="00063D16"/>
    <w:rsid w:val="000707C6"/>
    <w:rsid w:val="00071483"/>
    <w:rsid w:val="0007653D"/>
    <w:rsid w:val="0008129F"/>
    <w:rsid w:val="000872F1"/>
    <w:rsid w:val="000923AE"/>
    <w:rsid w:val="0009609C"/>
    <w:rsid w:val="000A2CD4"/>
    <w:rsid w:val="000A7B64"/>
    <w:rsid w:val="000C3B32"/>
    <w:rsid w:val="000C3F62"/>
    <w:rsid w:val="000C5C5F"/>
    <w:rsid w:val="000C68FF"/>
    <w:rsid w:val="000D42EF"/>
    <w:rsid w:val="000F3295"/>
    <w:rsid w:val="000F3A51"/>
    <w:rsid w:val="000F4D70"/>
    <w:rsid w:val="00101496"/>
    <w:rsid w:val="001130BD"/>
    <w:rsid w:val="00134372"/>
    <w:rsid w:val="001606E8"/>
    <w:rsid w:val="00162748"/>
    <w:rsid w:val="00163089"/>
    <w:rsid w:val="00165027"/>
    <w:rsid w:val="001710BC"/>
    <w:rsid w:val="00172A9F"/>
    <w:rsid w:val="001773AE"/>
    <w:rsid w:val="001776F2"/>
    <w:rsid w:val="00185466"/>
    <w:rsid w:val="00194C07"/>
    <w:rsid w:val="00197C00"/>
    <w:rsid w:val="001A4D71"/>
    <w:rsid w:val="001A575A"/>
    <w:rsid w:val="001A6D1F"/>
    <w:rsid w:val="001B34B5"/>
    <w:rsid w:val="001D1556"/>
    <w:rsid w:val="001D4953"/>
    <w:rsid w:val="001D4C73"/>
    <w:rsid w:val="001F1AEC"/>
    <w:rsid w:val="00222F7B"/>
    <w:rsid w:val="0023317D"/>
    <w:rsid w:val="00242765"/>
    <w:rsid w:val="00247648"/>
    <w:rsid w:val="002528EC"/>
    <w:rsid w:val="002700D6"/>
    <w:rsid w:val="0027245C"/>
    <w:rsid w:val="002805F0"/>
    <w:rsid w:val="0028743E"/>
    <w:rsid w:val="002A3406"/>
    <w:rsid w:val="002B6CBA"/>
    <w:rsid w:val="002C38A4"/>
    <w:rsid w:val="002C6FA6"/>
    <w:rsid w:val="002D0B64"/>
    <w:rsid w:val="002D13DC"/>
    <w:rsid w:val="002D64E1"/>
    <w:rsid w:val="00305B88"/>
    <w:rsid w:val="0032307B"/>
    <w:rsid w:val="003258C8"/>
    <w:rsid w:val="00332003"/>
    <w:rsid w:val="0034003E"/>
    <w:rsid w:val="0034063A"/>
    <w:rsid w:val="00343F62"/>
    <w:rsid w:val="003510C6"/>
    <w:rsid w:val="00355867"/>
    <w:rsid w:val="00382F90"/>
    <w:rsid w:val="003836E0"/>
    <w:rsid w:val="00386212"/>
    <w:rsid w:val="003A0132"/>
    <w:rsid w:val="003A2341"/>
    <w:rsid w:val="003A5B20"/>
    <w:rsid w:val="003A751F"/>
    <w:rsid w:val="003A7E7A"/>
    <w:rsid w:val="003B195C"/>
    <w:rsid w:val="003B4489"/>
    <w:rsid w:val="003E0950"/>
    <w:rsid w:val="003F0107"/>
    <w:rsid w:val="003F59B6"/>
    <w:rsid w:val="0040200D"/>
    <w:rsid w:val="00413B10"/>
    <w:rsid w:val="0041452A"/>
    <w:rsid w:val="00441CBC"/>
    <w:rsid w:val="00443705"/>
    <w:rsid w:val="00443914"/>
    <w:rsid w:val="00444742"/>
    <w:rsid w:val="00447EA7"/>
    <w:rsid w:val="0045670E"/>
    <w:rsid w:val="004613D2"/>
    <w:rsid w:val="004761CF"/>
    <w:rsid w:val="004836D7"/>
    <w:rsid w:val="00493425"/>
    <w:rsid w:val="00496B99"/>
    <w:rsid w:val="004972FB"/>
    <w:rsid w:val="004A467A"/>
    <w:rsid w:val="004A4D41"/>
    <w:rsid w:val="004B4A1C"/>
    <w:rsid w:val="004F3A8F"/>
    <w:rsid w:val="004F7912"/>
    <w:rsid w:val="004F7AAB"/>
    <w:rsid w:val="00500638"/>
    <w:rsid w:val="00500788"/>
    <w:rsid w:val="00500DA4"/>
    <w:rsid w:val="0050150D"/>
    <w:rsid w:val="00506F55"/>
    <w:rsid w:val="005076E2"/>
    <w:rsid w:val="0051356F"/>
    <w:rsid w:val="00513C64"/>
    <w:rsid w:val="005141C6"/>
    <w:rsid w:val="00526710"/>
    <w:rsid w:val="00533B64"/>
    <w:rsid w:val="00537054"/>
    <w:rsid w:val="00540225"/>
    <w:rsid w:val="005473FD"/>
    <w:rsid w:val="00550FA3"/>
    <w:rsid w:val="00565185"/>
    <w:rsid w:val="005736AE"/>
    <w:rsid w:val="00592FA5"/>
    <w:rsid w:val="005942F9"/>
    <w:rsid w:val="005951F8"/>
    <w:rsid w:val="005A5D7F"/>
    <w:rsid w:val="005B0833"/>
    <w:rsid w:val="005B44CC"/>
    <w:rsid w:val="005B61B5"/>
    <w:rsid w:val="005C0AED"/>
    <w:rsid w:val="005C319F"/>
    <w:rsid w:val="005C7EFF"/>
    <w:rsid w:val="005D0758"/>
    <w:rsid w:val="005D39E7"/>
    <w:rsid w:val="005D4923"/>
    <w:rsid w:val="005E46CF"/>
    <w:rsid w:val="005F2440"/>
    <w:rsid w:val="005F3EF5"/>
    <w:rsid w:val="005F46EB"/>
    <w:rsid w:val="00601439"/>
    <w:rsid w:val="006100BB"/>
    <w:rsid w:val="00616C76"/>
    <w:rsid w:val="00620D68"/>
    <w:rsid w:val="0062427B"/>
    <w:rsid w:val="00637753"/>
    <w:rsid w:val="00637980"/>
    <w:rsid w:val="0064515E"/>
    <w:rsid w:val="006528C9"/>
    <w:rsid w:val="00652F2D"/>
    <w:rsid w:val="006537FE"/>
    <w:rsid w:val="0065693F"/>
    <w:rsid w:val="00656D7E"/>
    <w:rsid w:val="00657690"/>
    <w:rsid w:val="006616BA"/>
    <w:rsid w:val="006651EA"/>
    <w:rsid w:val="00681D4A"/>
    <w:rsid w:val="0069351D"/>
    <w:rsid w:val="006A078B"/>
    <w:rsid w:val="006C4449"/>
    <w:rsid w:val="006D152D"/>
    <w:rsid w:val="006D2D41"/>
    <w:rsid w:val="006E5BA2"/>
    <w:rsid w:val="006F09AF"/>
    <w:rsid w:val="00707848"/>
    <w:rsid w:val="007134A2"/>
    <w:rsid w:val="007249D7"/>
    <w:rsid w:val="00727257"/>
    <w:rsid w:val="00742BD7"/>
    <w:rsid w:val="00750AF9"/>
    <w:rsid w:val="00757475"/>
    <w:rsid w:val="00760B9D"/>
    <w:rsid w:val="00764CA0"/>
    <w:rsid w:val="00765D9F"/>
    <w:rsid w:val="00776EEF"/>
    <w:rsid w:val="00782ED5"/>
    <w:rsid w:val="00790E80"/>
    <w:rsid w:val="007A1847"/>
    <w:rsid w:val="007D0A4C"/>
    <w:rsid w:val="007F732E"/>
    <w:rsid w:val="00802490"/>
    <w:rsid w:val="00804635"/>
    <w:rsid w:val="00810128"/>
    <w:rsid w:val="008164DD"/>
    <w:rsid w:val="00841500"/>
    <w:rsid w:val="00841E0A"/>
    <w:rsid w:val="00847CDA"/>
    <w:rsid w:val="00847EF4"/>
    <w:rsid w:val="00851015"/>
    <w:rsid w:val="00862D36"/>
    <w:rsid w:val="0086414A"/>
    <w:rsid w:val="00864CF5"/>
    <w:rsid w:val="00876AA6"/>
    <w:rsid w:val="00892993"/>
    <w:rsid w:val="008A693D"/>
    <w:rsid w:val="008A77D5"/>
    <w:rsid w:val="008B6331"/>
    <w:rsid w:val="008C0018"/>
    <w:rsid w:val="008C3BCF"/>
    <w:rsid w:val="008D42B1"/>
    <w:rsid w:val="008D7160"/>
    <w:rsid w:val="008E7EE1"/>
    <w:rsid w:val="008F341B"/>
    <w:rsid w:val="00916A60"/>
    <w:rsid w:val="009501F6"/>
    <w:rsid w:val="009529A5"/>
    <w:rsid w:val="0095305B"/>
    <w:rsid w:val="00966408"/>
    <w:rsid w:val="009669EE"/>
    <w:rsid w:val="00970A2C"/>
    <w:rsid w:val="00972AD9"/>
    <w:rsid w:val="00974E4D"/>
    <w:rsid w:val="00982E3F"/>
    <w:rsid w:val="009879A2"/>
    <w:rsid w:val="00994564"/>
    <w:rsid w:val="009B1D8F"/>
    <w:rsid w:val="009B592A"/>
    <w:rsid w:val="009B7815"/>
    <w:rsid w:val="009C1688"/>
    <w:rsid w:val="009D1BAE"/>
    <w:rsid w:val="009D328C"/>
    <w:rsid w:val="009D4B24"/>
    <w:rsid w:val="009D632D"/>
    <w:rsid w:val="009E4AEC"/>
    <w:rsid w:val="009E55D6"/>
    <w:rsid w:val="009E6026"/>
    <w:rsid w:val="00A06330"/>
    <w:rsid w:val="00A06BA6"/>
    <w:rsid w:val="00A11700"/>
    <w:rsid w:val="00A3239E"/>
    <w:rsid w:val="00A32832"/>
    <w:rsid w:val="00A440CE"/>
    <w:rsid w:val="00A463A6"/>
    <w:rsid w:val="00A47159"/>
    <w:rsid w:val="00A775B0"/>
    <w:rsid w:val="00A90DC0"/>
    <w:rsid w:val="00AB6E46"/>
    <w:rsid w:val="00AC20E4"/>
    <w:rsid w:val="00AC7A66"/>
    <w:rsid w:val="00AD0C16"/>
    <w:rsid w:val="00AE119A"/>
    <w:rsid w:val="00AF2296"/>
    <w:rsid w:val="00AF2A12"/>
    <w:rsid w:val="00B01E44"/>
    <w:rsid w:val="00B031D9"/>
    <w:rsid w:val="00B07D65"/>
    <w:rsid w:val="00B1141B"/>
    <w:rsid w:val="00B130A4"/>
    <w:rsid w:val="00B37FF5"/>
    <w:rsid w:val="00B421B9"/>
    <w:rsid w:val="00B50593"/>
    <w:rsid w:val="00B51D7C"/>
    <w:rsid w:val="00B537A7"/>
    <w:rsid w:val="00B567B5"/>
    <w:rsid w:val="00B57A04"/>
    <w:rsid w:val="00B71F14"/>
    <w:rsid w:val="00B819FE"/>
    <w:rsid w:val="00B82AC2"/>
    <w:rsid w:val="00B84D50"/>
    <w:rsid w:val="00B92E1E"/>
    <w:rsid w:val="00B96DB5"/>
    <w:rsid w:val="00BA0E0A"/>
    <w:rsid w:val="00BB37A2"/>
    <w:rsid w:val="00BC2B55"/>
    <w:rsid w:val="00BD42EB"/>
    <w:rsid w:val="00BD50C6"/>
    <w:rsid w:val="00BD72A8"/>
    <w:rsid w:val="00BF1E22"/>
    <w:rsid w:val="00BF68B4"/>
    <w:rsid w:val="00C00677"/>
    <w:rsid w:val="00C00871"/>
    <w:rsid w:val="00C35FE1"/>
    <w:rsid w:val="00C45454"/>
    <w:rsid w:val="00C46F5E"/>
    <w:rsid w:val="00C65D26"/>
    <w:rsid w:val="00C70CAE"/>
    <w:rsid w:val="00C85780"/>
    <w:rsid w:val="00C94049"/>
    <w:rsid w:val="00CA0335"/>
    <w:rsid w:val="00CC588F"/>
    <w:rsid w:val="00CD329D"/>
    <w:rsid w:val="00CE1B39"/>
    <w:rsid w:val="00CE3C73"/>
    <w:rsid w:val="00CE5C9B"/>
    <w:rsid w:val="00CE6445"/>
    <w:rsid w:val="00CF7FFC"/>
    <w:rsid w:val="00D13AAE"/>
    <w:rsid w:val="00D31451"/>
    <w:rsid w:val="00D31DFB"/>
    <w:rsid w:val="00D33507"/>
    <w:rsid w:val="00D47B53"/>
    <w:rsid w:val="00D54093"/>
    <w:rsid w:val="00D6342E"/>
    <w:rsid w:val="00D72220"/>
    <w:rsid w:val="00D81459"/>
    <w:rsid w:val="00DA3ED9"/>
    <w:rsid w:val="00DA503E"/>
    <w:rsid w:val="00DB74A8"/>
    <w:rsid w:val="00DE1967"/>
    <w:rsid w:val="00DE46DE"/>
    <w:rsid w:val="00DE5CED"/>
    <w:rsid w:val="00DE79A3"/>
    <w:rsid w:val="00E0437C"/>
    <w:rsid w:val="00E13FFB"/>
    <w:rsid w:val="00E1537A"/>
    <w:rsid w:val="00E21BD9"/>
    <w:rsid w:val="00E22E83"/>
    <w:rsid w:val="00E42FD6"/>
    <w:rsid w:val="00E52803"/>
    <w:rsid w:val="00E60C1D"/>
    <w:rsid w:val="00E65025"/>
    <w:rsid w:val="00E732DF"/>
    <w:rsid w:val="00E80378"/>
    <w:rsid w:val="00E9195C"/>
    <w:rsid w:val="00E9208D"/>
    <w:rsid w:val="00E95671"/>
    <w:rsid w:val="00EB205A"/>
    <w:rsid w:val="00ED1888"/>
    <w:rsid w:val="00EE1B2C"/>
    <w:rsid w:val="00EF2CEF"/>
    <w:rsid w:val="00F04C5E"/>
    <w:rsid w:val="00F05D2D"/>
    <w:rsid w:val="00F125A4"/>
    <w:rsid w:val="00F14ED2"/>
    <w:rsid w:val="00F24251"/>
    <w:rsid w:val="00F315E9"/>
    <w:rsid w:val="00F33022"/>
    <w:rsid w:val="00F36031"/>
    <w:rsid w:val="00F41D08"/>
    <w:rsid w:val="00F5302F"/>
    <w:rsid w:val="00F7309B"/>
    <w:rsid w:val="00F754B4"/>
    <w:rsid w:val="00F7793B"/>
    <w:rsid w:val="00F8011D"/>
    <w:rsid w:val="00F82896"/>
    <w:rsid w:val="00F9412D"/>
    <w:rsid w:val="00FA2F9A"/>
    <w:rsid w:val="00FA6A47"/>
    <w:rsid w:val="00FB2690"/>
    <w:rsid w:val="00FB5F63"/>
    <w:rsid w:val="00FC420C"/>
    <w:rsid w:val="00FD5CE4"/>
    <w:rsid w:val="00FE16D8"/>
    <w:rsid w:val="00FE194F"/>
    <w:rsid w:val="00FE19DB"/>
    <w:rsid w:val="00FE4C9A"/>
    <w:rsid w:val="00FF08CC"/>
    <w:rsid w:val="00FF185F"/>
    <w:rsid w:val="00FF1CFB"/>
    <w:rsid w:val="00FF3903"/>
    <w:rsid w:val="01BD6429"/>
    <w:rsid w:val="04AC2681"/>
    <w:rsid w:val="1F1A5B8F"/>
    <w:rsid w:val="242B013B"/>
    <w:rsid w:val="30DC38C3"/>
    <w:rsid w:val="368424A8"/>
    <w:rsid w:val="44D373DA"/>
    <w:rsid w:val="480C1C24"/>
    <w:rsid w:val="4ECC2160"/>
    <w:rsid w:val="614526E3"/>
    <w:rsid w:val="62B45691"/>
    <w:rsid w:val="69957EAE"/>
    <w:rsid w:val="73BA22F0"/>
    <w:rsid w:val="766255A4"/>
    <w:rsid w:val="7A885852"/>
    <w:rsid w:val="7B231095"/>
    <w:rsid w:val="7E2234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6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94"/>
    <w:qFormat/>
    <w:uiPriority w:val="99"/>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link w:val="295"/>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7"/>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uiPriority w:val="0"/>
    <w:pPr>
      <w:tabs>
        <w:tab w:val="left" w:pos="2120"/>
      </w:tabs>
      <w:ind w:firstLine="0" w:firstLineChars="0"/>
    </w:pPr>
    <w:rPr>
      <w:b/>
    </w:rPr>
  </w:style>
  <w:style w:type="paragraph" w:customStyle="1" w:styleId="124">
    <w:name w:val="表文字"/>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uiPriority w:val="0"/>
    <w:pPr>
      <w:widowControl/>
      <w:spacing w:after="160" w:line="240" w:lineRule="exact"/>
      <w:jc w:val="left"/>
    </w:pPr>
    <w:rPr>
      <w:rFonts w:ascii="Verdana" w:hAnsi="Verdana"/>
      <w:kern w:val="0"/>
      <w:sz w:val="18"/>
    </w:rPr>
  </w:style>
  <w:style w:type="paragraph" w:customStyle="1" w:styleId="126">
    <w:name w:val="摘要"/>
    <w:basedOn w:val="1"/>
    <w:next w:val="5"/>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uiPriority w:val="0"/>
    <w:pPr>
      <w:tabs>
        <w:tab w:val="left" w:pos="0"/>
        <w:tab w:val="left" w:pos="709"/>
      </w:tabs>
      <w:ind w:left="1620" w:hanging="360"/>
    </w:pPr>
  </w:style>
  <w:style w:type="paragraph" w:customStyle="1" w:styleId="132">
    <w:name w:val="Char Char Char Char Char Char Char Char Char Char Char Char Char"/>
    <w:basedOn w:val="1"/>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uiPriority w:val="0"/>
    <w:pPr>
      <w:autoSpaceDE w:val="0"/>
      <w:autoSpaceDN w:val="0"/>
      <w:adjustRightInd w:val="0"/>
      <w:jc w:val="left"/>
    </w:pPr>
    <w:rPr>
      <w:rFonts w:ascii="黑体" w:eastAsia="黑体"/>
      <w:b/>
      <w:kern w:val="0"/>
      <w:sz w:val="20"/>
    </w:rPr>
  </w:style>
  <w:style w:type="paragraph" w:customStyle="1" w:styleId="137">
    <w:name w:val="正文 + 三号"/>
    <w:basedOn w:val="1"/>
    <w:uiPriority w:val="0"/>
    <w:rPr>
      <w:sz w:val="21"/>
    </w:rPr>
  </w:style>
  <w:style w:type="paragraph" w:customStyle="1" w:styleId="138">
    <w:name w:val="章标题"/>
    <w:next w:val="1"/>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uiPriority w:val="0"/>
    <w:pPr>
      <w:numPr>
        <w:ilvl w:val="0"/>
        <w:numId w:val="0"/>
      </w:numPr>
      <w:spacing w:beforeLines="0" w:afterLines="0"/>
      <w:ind w:left="525"/>
      <w:outlineLvl w:val="2"/>
    </w:pPr>
    <w:rPr>
      <w:sz w:val="21"/>
    </w:rPr>
  </w:style>
  <w:style w:type="paragraph" w:customStyle="1" w:styleId="140">
    <w:name w:val="二级条标题"/>
    <w:basedOn w:val="139"/>
    <w:next w:val="122"/>
    <w:qFormat/>
    <w:uiPriority w:val="0"/>
    <w:pPr>
      <w:ind w:left="840"/>
      <w:outlineLvl w:val="3"/>
    </w:pPr>
  </w:style>
  <w:style w:type="paragraph" w:customStyle="1" w:styleId="141">
    <w:name w:val="文本框样式1"/>
    <w:basedOn w:val="1"/>
    <w:uiPriority w:val="0"/>
    <w:pPr>
      <w:adjustRightInd w:val="0"/>
      <w:snapToGrid w:val="0"/>
      <w:spacing w:before="60" w:line="180" w:lineRule="exact"/>
      <w:jc w:val="center"/>
    </w:pPr>
    <w:rPr>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uiPriority w:val="0"/>
    <w:pPr>
      <w:widowControl/>
      <w:spacing w:line="300" w:lineRule="atLeast"/>
      <w:jc w:val="left"/>
    </w:pPr>
    <w:rPr>
      <w:rFonts w:ascii="宋体"/>
      <w:kern w:val="0"/>
      <w:sz w:val="18"/>
    </w:rPr>
  </w:style>
  <w:style w:type="paragraph" w:customStyle="1" w:styleId="144">
    <w:name w:val="Char Char1"/>
    <w:basedOn w:val="1"/>
    <w:uiPriority w:val="0"/>
    <w:pPr>
      <w:widowControl/>
      <w:spacing w:after="160" w:line="240" w:lineRule="exact"/>
      <w:jc w:val="left"/>
    </w:pPr>
    <w:rPr>
      <w:rFonts w:ascii="Verdana" w:hAnsi="Verdana"/>
      <w:kern w:val="0"/>
      <w:sz w:val="20"/>
    </w:rPr>
  </w:style>
  <w:style w:type="paragraph" w:customStyle="1" w:styleId="145">
    <w:name w:val="没有缩进（为图形使用）"/>
    <w:basedOn w:val="1"/>
    <w:uiPriority w:val="0"/>
    <w:pPr>
      <w:spacing w:before="120" w:after="120" w:line="360" w:lineRule="auto"/>
    </w:pPr>
    <w:rPr>
      <w:sz w:val="24"/>
    </w:rPr>
  </w:style>
  <w:style w:type="paragraph" w:customStyle="1" w:styleId="146">
    <w:name w:val="样式1"/>
    <w:basedOn w:val="7"/>
    <w:uiPriority w:val="0"/>
    <w:pPr>
      <w:tabs>
        <w:tab w:val="left" w:pos="720"/>
      </w:tabs>
      <w:spacing w:before="500" w:after="260" w:line="560" w:lineRule="atLeast"/>
      <w:ind w:left="420" w:hanging="420"/>
    </w:pPr>
  </w:style>
  <w:style w:type="paragraph" w:customStyle="1" w:styleId="147">
    <w:name w:val="文章正文"/>
    <w:basedOn w:val="1"/>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uiPriority w:val="0"/>
    <w:rPr>
      <w:rFonts w:ascii="Tahoma" w:hAnsi="Tahoma"/>
      <w:sz w:val="24"/>
    </w:rPr>
  </w:style>
  <w:style w:type="paragraph" w:customStyle="1" w:styleId="153">
    <w:name w:val="Char"/>
    <w:basedOn w:val="1"/>
    <w:uiPriority w:val="0"/>
    <w:pPr>
      <w:spacing w:line="240" w:lineRule="atLeast"/>
      <w:ind w:left="420" w:firstLine="420"/>
    </w:pPr>
    <w:rPr>
      <w:kern w:val="0"/>
      <w:sz w:val="21"/>
    </w:rPr>
  </w:style>
  <w:style w:type="paragraph" w:customStyle="1" w:styleId="154">
    <w:name w:val="图片文字"/>
    <w:basedOn w:val="1"/>
    <w:uiPriority w:val="0"/>
    <w:pPr>
      <w:spacing w:line="240" w:lineRule="atLeast"/>
      <w:jc w:val="center"/>
    </w:pPr>
    <w:rPr>
      <w:sz w:val="21"/>
    </w:rPr>
  </w:style>
  <w:style w:type="paragraph" w:customStyle="1" w:styleId="155">
    <w:name w:val="样式 宋体 五号 两端对齐 行距: 单倍行距"/>
    <w:basedOn w:val="1"/>
    <w:uiPriority w:val="0"/>
    <w:pPr>
      <w:adjustRightInd w:val="0"/>
      <w:textAlignment w:val="baseline"/>
    </w:pPr>
    <w:rPr>
      <w:rFonts w:ascii="宋体"/>
      <w:kern w:val="0"/>
      <w:sz w:val="21"/>
    </w:rPr>
  </w:style>
  <w:style w:type="paragraph" w:customStyle="1" w:styleId="156">
    <w:name w:val="_Style 173"/>
    <w:uiPriority w:val="0"/>
    <w:rPr>
      <w:rFonts w:ascii="Calibri" w:hAnsi="Calibri" w:eastAsia="宋体" w:cs="Times New Roman"/>
      <w:kern w:val="2"/>
      <w:sz w:val="21"/>
      <w:lang w:val="en-US" w:eastAsia="zh-CN" w:bidi="ar-SA"/>
    </w:rPr>
  </w:style>
  <w:style w:type="paragraph" w:customStyle="1" w:styleId="157">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9"/>
    <w:next w:val="1"/>
    <w:uiPriority w:val="0"/>
    <w:pPr>
      <w:spacing w:before="240" w:after="720"/>
    </w:pPr>
    <w:rPr>
      <w:sz w:val="28"/>
    </w:rPr>
  </w:style>
  <w:style w:type="paragraph" w:customStyle="1" w:styleId="159">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uiPriority w:val="0"/>
    <w:pPr>
      <w:widowControl/>
      <w:spacing w:after="160" w:line="240" w:lineRule="exact"/>
      <w:jc w:val="left"/>
    </w:pPr>
    <w:rPr>
      <w:rFonts w:ascii="Verdana" w:hAnsi="Verdana"/>
      <w:kern w:val="0"/>
      <w:sz w:val="21"/>
    </w:rPr>
  </w:style>
  <w:style w:type="paragraph" w:customStyle="1" w:styleId="162">
    <w:name w:val="Note"/>
    <w:basedOn w:val="1"/>
    <w:uiPriority w:val="0"/>
    <w:pPr>
      <w:pBdr>
        <w:top w:val="single" w:color="auto" w:sz="12" w:space="3"/>
        <w:bottom w:val="single" w:color="auto" w:sz="12" w:space="3"/>
      </w:pBdr>
      <w:spacing w:line="360" w:lineRule="auto"/>
    </w:pPr>
    <w:rPr>
      <w:sz w:val="24"/>
    </w:rPr>
  </w:style>
  <w:style w:type="paragraph" w:customStyle="1" w:styleId="163">
    <w:name w:val="Bullets"/>
    <w:basedOn w:val="1"/>
    <w:uiPriority w:val="0"/>
    <w:pPr>
      <w:widowControl/>
      <w:adjustRightInd w:val="0"/>
      <w:snapToGrid w:val="0"/>
      <w:spacing w:before="60" w:after="60"/>
    </w:pPr>
    <w:rPr>
      <w:kern w:val="0"/>
      <w:sz w:val="24"/>
      <w:lang w:val="en-GB"/>
    </w:rPr>
  </w:style>
  <w:style w:type="paragraph" w:customStyle="1" w:styleId="164">
    <w:name w:val="正文格式"/>
    <w:basedOn w:val="1"/>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4"/>
    <w:uiPriority w:val="0"/>
    <w:pPr>
      <w:adjustRightInd w:val="0"/>
    </w:pPr>
    <w:rPr>
      <w:color w:val="000000"/>
      <w:lang w:val="en-GB"/>
    </w:rPr>
  </w:style>
  <w:style w:type="paragraph" w:customStyle="1" w:styleId="166">
    <w:name w:val="Char2 Char Char Char Char Char Char"/>
    <w:basedOn w:val="1"/>
    <w:uiPriority w:val="0"/>
    <w:rPr>
      <w:rFonts w:ascii="仿宋_GB2312" w:hAnsi="仿宋_GB2312"/>
      <w:b/>
      <w:sz w:val="30"/>
    </w:rPr>
  </w:style>
  <w:style w:type="paragraph" w:customStyle="1" w:styleId="167">
    <w:name w:val="样式 正文缩进正文（首行缩进两字）表正文正文非缩进特点标题4段1 + 首行缩进:  2 字符"/>
    <w:basedOn w:val="20"/>
    <w:uiPriority w:val="0"/>
    <w:pPr>
      <w:ind w:firstLine="200" w:firstLineChars="200"/>
    </w:pPr>
  </w:style>
  <w:style w:type="paragraph" w:customStyle="1" w:styleId="168">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uiPriority w:val="0"/>
    <w:pPr>
      <w:spacing w:line="360" w:lineRule="auto"/>
      <w:ind w:firstLine="420"/>
    </w:pPr>
    <w:rPr>
      <w:sz w:val="24"/>
    </w:rPr>
  </w:style>
  <w:style w:type="paragraph" w:customStyle="1" w:styleId="179">
    <w:name w:val="简单回函地址"/>
    <w:basedOn w:val="1"/>
    <w:uiPriority w:val="0"/>
    <w:pPr>
      <w:adjustRightInd w:val="0"/>
      <w:snapToGrid w:val="0"/>
      <w:spacing w:line="360" w:lineRule="auto"/>
    </w:pPr>
    <w:rPr>
      <w:sz w:val="24"/>
    </w:rPr>
  </w:style>
  <w:style w:type="paragraph" w:customStyle="1" w:styleId="180">
    <w:name w:val="内容标题"/>
    <w:basedOn w:val="22"/>
    <w:qFormat/>
    <w:uiPriority w:val="0"/>
    <w:rPr>
      <w:rFonts w:ascii="Tahoma" w:hAnsi="Tahoma"/>
      <w:sz w:val="24"/>
    </w:rPr>
  </w:style>
  <w:style w:type="paragraph" w:customStyle="1" w:styleId="181">
    <w:name w:val="1"/>
    <w:basedOn w:val="1"/>
    <w:next w:val="34"/>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uiPriority w:val="0"/>
    <w:pPr>
      <w:spacing w:line="360" w:lineRule="auto"/>
    </w:pPr>
    <w:rPr>
      <w:rFonts w:eastAsia="黑体"/>
      <w:sz w:val="20"/>
    </w:rPr>
  </w:style>
  <w:style w:type="paragraph" w:customStyle="1" w:styleId="184">
    <w:name w:val="style1"/>
    <w:basedOn w:val="1"/>
    <w:uiPriority w:val="0"/>
    <w:pPr>
      <w:widowControl/>
      <w:spacing w:before="100" w:beforeAutospacing="1" w:after="100" w:afterAutospacing="1"/>
      <w:jc w:val="left"/>
    </w:pPr>
    <w:rPr>
      <w:rFonts w:ascii="宋体"/>
      <w:kern w:val="0"/>
      <w:sz w:val="21"/>
    </w:rPr>
  </w:style>
  <w:style w:type="paragraph" w:customStyle="1" w:styleId="18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9"/>
    <w:uiPriority w:val="0"/>
    <w:pPr>
      <w:spacing w:before="720"/>
    </w:pPr>
  </w:style>
  <w:style w:type="paragraph" w:customStyle="1" w:styleId="189">
    <w:name w:val="标题3——2"/>
    <w:basedOn w:val="6"/>
    <w:next w:val="17"/>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uiPriority w:val="0"/>
    <w:pPr>
      <w:ind w:firstLine="200" w:firstLineChars="200"/>
    </w:pPr>
    <w:rPr>
      <w:sz w:val="21"/>
      <w:szCs w:val="24"/>
    </w:rPr>
  </w:style>
  <w:style w:type="paragraph" w:customStyle="1" w:styleId="191">
    <w:name w:val="Char1 Char Char Char"/>
    <w:basedOn w:val="1"/>
    <w:uiPriority w:val="0"/>
    <w:rPr>
      <w:rFonts w:ascii="Tahoma" w:hAnsi="Tahoma"/>
      <w:sz w:val="30"/>
    </w:rPr>
  </w:style>
  <w:style w:type="paragraph" w:customStyle="1" w:styleId="192">
    <w:name w:val="移动五期"/>
    <w:basedOn w:val="1"/>
    <w:uiPriority w:val="0"/>
    <w:pPr>
      <w:spacing w:line="360" w:lineRule="auto"/>
      <w:ind w:firstLine="454"/>
    </w:pPr>
    <w:rPr>
      <w:rFonts w:ascii="宋体"/>
      <w:sz w:val="24"/>
    </w:rPr>
  </w:style>
  <w:style w:type="paragraph" w:customStyle="1" w:styleId="193">
    <w:name w:val="xl40"/>
    <w:basedOn w:val="1"/>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22"/>
    <w:uiPriority w:val="0"/>
    <w:rPr>
      <w:rFonts w:ascii="宋体"/>
    </w:rPr>
  </w:style>
  <w:style w:type="paragraph" w:customStyle="1" w:styleId="195">
    <w:name w:val="样式 样式 首行缩进:  2 字符 + 首行缩进:  2 字符"/>
    <w:basedOn w:val="1"/>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uiPriority w:val="0"/>
    <w:pPr>
      <w:tabs>
        <w:tab w:val="left" w:pos="360"/>
      </w:tabs>
    </w:pPr>
    <w:rPr>
      <w:sz w:val="24"/>
    </w:rPr>
  </w:style>
  <w:style w:type="paragraph" w:customStyle="1" w:styleId="197">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uiPriority w:val="0"/>
    <w:pPr>
      <w:spacing w:line="300" w:lineRule="auto"/>
      <w:ind w:firstLine="200" w:firstLineChars="200"/>
    </w:pPr>
    <w:rPr>
      <w:sz w:val="24"/>
    </w:rPr>
  </w:style>
  <w:style w:type="paragraph" w:customStyle="1" w:styleId="202">
    <w:name w:val="tabletext"/>
    <w:basedOn w:val="1"/>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uiPriority w:val="0"/>
    <w:pPr>
      <w:snapToGrid w:val="0"/>
      <w:spacing w:line="360" w:lineRule="auto"/>
      <w:ind w:firstLine="420"/>
    </w:pPr>
    <w:rPr>
      <w:sz w:val="24"/>
    </w:rPr>
  </w:style>
  <w:style w:type="paragraph" w:customStyle="1" w:styleId="204">
    <w:name w:val="Char1"/>
    <w:basedOn w:val="1"/>
    <w:uiPriority w:val="0"/>
    <w:rPr>
      <w:sz w:val="21"/>
    </w:rPr>
  </w:style>
  <w:style w:type="paragraph" w:customStyle="1" w:styleId="205">
    <w:name w:val="正文（首行不缩进）"/>
    <w:basedOn w:val="1"/>
    <w:uiPriority w:val="0"/>
    <w:pPr>
      <w:autoSpaceDE w:val="0"/>
      <w:autoSpaceDN w:val="0"/>
      <w:adjustRightInd w:val="0"/>
      <w:spacing w:line="360" w:lineRule="auto"/>
      <w:jc w:val="left"/>
    </w:pPr>
    <w:rPr>
      <w:kern w:val="0"/>
      <w:sz w:val="21"/>
    </w:rPr>
  </w:style>
  <w:style w:type="paragraph" w:customStyle="1" w:styleId="20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uiPriority w:val="0"/>
    <w:pPr>
      <w:spacing w:line="360" w:lineRule="auto"/>
    </w:pPr>
    <w:rPr>
      <w:sz w:val="24"/>
    </w:rPr>
  </w:style>
  <w:style w:type="paragraph" w:customStyle="1" w:styleId="208">
    <w:name w:val="首行缩进"/>
    <w:basedOn w:val="1"/>
    <w:uiPriority w:val="0"/>
    <w:pPr>
      <w:numPr>
        <w:ilvl w:val="0"/>
        <w:numId w:val="12"/>
      </w:numPr>
      <w:spacing w:line="360" w:lineRule="auto"/>
    </w:pPr>
    <w:rPr>
      <w:rFonts w:eastAsia="仿宋_GB2312"/>
    </w:rPr>
  </w:style>
  <w:style w:type="paragraph" w:customStyle="1" w:styleId="209">
    <w:name w:val="附录3"/>
    <w:basedOn w:val="1"/>
    <w:next w:val="1"/>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uiPriority w:val="0"/>
    <w:pPr>
      <w:tabs>
        <w:tab w:val="left" w:pos="1050"/>
        <w:tab w:val="right" w:leader="dot" w:pos="8296"/>
      </w:tabs>
    </w:pPr>
    <w:rPr>
      <w:caps/>
      <w:spacing w:val="20"/>
      <w:sz w:val="24"/>
    </w:rPr>
  </w:style>
  <w:style w:type="paragraph" w:customStyle="1" w:styleId="212">
    <w:name w:val="表头文本"/>
    <w:uiPriority w:val="0"/>
    <w:pPr>
      <w:jc w:val="center"/>
    </w:pPr>
    <w:rPr>
      <w:rFonts w:ascii="Arial" w:hAnsi="Arial" w:eastAsia="宋体" w:cs="Times New Roman"/>
      <w:b/>
      <w:sz w:val="21"/>
      <w:lang w:val="en-US" w:eastAsia="zh-CN" w:bidi="ar-SA"/>
    </w:rPr>
  </w:style>
  <w:style w:type="paragraph" w:customStyle="1" w:styleId="213">
    <w:name w:val="Char Char Char"/>
    <w:basedOn w:val="1"/>
    <w:uiPriority w:val="0"/>
    <w:rPr>
      <w:rFonts w:ascii="Tahoma" w:hAnsi="Tahoma"/>
      <w:sz w:val="24"/>
    </w:rPr>
  </w:style>
  <w:style w:type="paragraph" w:customStyle="1" w:styleId="214">
    <w:name w:val="Char Char 字元 字元 字元 Char Char Char Char"/>
    <w:basedOn w:val="1"/>
    <w:uiPriority w:val="0"/>
    <w:pPr>
      <w:adjustRightInd w:val="0"/>
      <w:spacing w:line="360" w:lineRule="auto"/>
    </w:pPr>
    <w:rPr>
      <w:kern w:val="0"/>
      <w:sz w:val="24"/>
    </w:rPr>
  </w:style>
  <w:style w:type="paragraph" w:customStyle="1" w:styleId="215">
    <w:name w:val="正文格式 Char"/>
    <w:basedOn w:val="1"/>
    <w:uiPriority w:val="0"/>
    <w:pPr>
      <w:widowControl/>
      <w:adjustRightInd w:val="0"/>
      <w:spacing w:line="440" w:lineRule="atLeast"/>
      <w:ind w:firstLine="510"/>
      <w:textAlignment w:val="baseline"/>
    </w:pPr>
    <w:rPr>
      <w:kern w:val="0"/>
      <w:sz w:val="24"/>
    </w:rPr>
  </w:style>
  <w:style w:type="paragraph" w:customStyle="1" w:styleId="2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uiPriority w:val="0"/>
    <w:rPr>
      <w:rFonts w:ascii="Tahoma" w:hAnsi="Tahoma"/>
      <w:sz w:val="24"/>
    </w:rPr>
  </w:style>
  <w:style w:type="paragraph" w:customStyle="1" w:styleId="222">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uiPriority w:val="0"/>
    <w:pPr>
      <w:autoSpaceDE w:val="0"/>
      <w:autoSpaceDN w:val="0"/>
      <w:adjustRightInd w:val="0"/>
      <w:spacing w:line="360" w:lineRule="auto"/>
      <w:jc w:val="left"/>
    </w:pPr>
    <w:rPr>
      <w:b/>
      <w:kern w:val="0"/>
      <w:sz w:val="21"/>
    </w:rPr>
  </w:style>
  <w:style w:type="paragraph" w:customStyle="1" w:styleId="226">
    <w:name w:val="_"/>
    <w:basedOn w:val="1"/>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uiPriority w:val="0"/>
    <w:pPr>
      <w:adjustRightInd w:val="0"/>
      <w:snapToGrid w:val="0"/>
      <w:spacing w:after="120"/>
      <w:ind w:firstLine="257" w:firstLineChars="257"/>
    </w:pPr>
    <w:rPr>
      <w:sz w:val="21"/>
    </w:rPr>
  </w:style>
  <w:style w:type="paragraph" w:customStyle="1" w:styleId="230">
    <w:name w:val="文本1"/>
    <w:basedOn w:val="1"/>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uiPriority w:val="0"/>
    <w:pPr>
      <w:spacing w:line="240" w:lineRule="atLeast"/>
      <w:ind w:left="420" w:firstLine="420"/>
    </w:pPr>
    <w:rPr>
      <w:kern w:val="0"/>
      <w:sz w:val="21"/>
    </w:rPr>
  </w:style>
  <w:style w:type="paragraph" w:customStyle="1" w:styleId="233">
    <w:name w:val="可研正文"/>
    <w:basedOn w:val="2"/>
    <w:uiPriority w:val="0"/>
    <w:pPr>
      <w:adjustRightInd w:val="0"/>
      <w:snapToGrid w:val="0"/>
      <w:spacing w:line="440" w:lineRule="exact"/>
      <w:ind w:firstLine="567"/>
    </w:pPr>
    <w:rPr>
      <w:sz w:val="28"/>
    </w:rPr>
  </w:style>
  <w:style w:type="paragraph" w:customStyle="1" w:styleId="234">
    <w:name w:val="编号正文"/>
    <w:basedOn w:val="198"/>
    <w:uiPriority w:val="0"/>
    <w:pPr>
      <w:snapToGrid/>
      <w:spacing w:line="360" w:lineRule="auto"/>
      <w:ind w:left="1407" w:hanging="1047"/>
      <w:jc w:val="left"/>
    </w:pPr>
    <w:rPr>
      <w:rFonts w:eastAsia="仿宋_GB2312"/>
    </w:rPr>
  </w:style>
  <w:style w:type="paragraph" w:customStyle="1" w:styleId="235">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uiPriority w:val="0"/>
    <w:pPr>
      <w:adjustRightInd w:val="0"/>
      <w:spacing w:before="40" w:after="40"/>
    </w:pPr>
    <w:rPr>
      <w:sz w:val="24"/>
    </w:rPr>
  </w:style>
  <w:style w:type="paragraph" w:customStyle="1" w:styleId="23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uiPriority w:val="0"/>
    <w:pPr>
      <w:spacing w:before="60" w:after="60" w:line="360" w:lineRule="auto"/>
      <w:ind w:left="200" w:leftChars="200" w:firstLine="200" w:firstLineChars="200"/>
    </w:pPr>
    <w:rPr>
      <w:sz w:val="24"/>
    </w:rPr>
  </w:style>
  <w:style w:type="paragraph" w:customStyle="1" w:styleId="239">
    <w:name w:val="样式4"/>
    <w:basedOn w:val="7"/>
    <w:uiPriority w:val="0"/>
    <w:pPr>
      <w:adjustRightInd w:val="0"/>
      <w:snapToGrid w:val="0"/>
    </w:pPr>
  </w:style>
  <w:style w:type="paragraph" w:customStyle="1" w:styleId="240">
    <w:name w:val="正文 A"/>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uiPriority w:val="0"/>
    <w:rPr>
      <w:rFonts w:ascii="Tahoma" w:hAnsi="Tahoma"/>
      <w:sz w:val="24"/>
    </w:rPr>
  </w:style>
  <w:style w:type="paragraph" w:customStyle="1" w:styleId="245">
    <w:name w:val="样式 仿宋_GB2312 首行缩进:  2 字符"/>
    <w:basedOn w:val="1"/>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uiPriority w:val="0"/>
    <w:pPr>
      <w:snapToGrid w:val="0"/>
    </w:pPr>
    <w:rPr>
      <w:sz w:val="21"/>
    </w:rPr>
  </w:style>
  <w:style w:type="paragraph" w:customStyle="1" w:styleId="247">
    <w:name w:val="正文缩进_0"/>
    <w:basedOn w:val="1"/>
    <w:uiPriority w:val="0"/>
    <w:pPr>
      <w:ind w:firstLine="420"/>
    </w:pPr>
    <w:rPr>
      <w:rFonts w:ascii="Times New Roman" w:hAnsi="Times New Roman" w:eastAsia="Times New Roman"/>
      <w:kern w:val="0"/>
      <w:sz w:val="24"/>
      <w:szCs w:val="24"/>
    </w:rPr>
  </w:style>
  <w:style w:type="character" w:customStyle="1" w:styleId="248">
    <w:name w:val="正文缩进 字符"/>
    <w:uiPriority w:val="0"/>
    <w:rPr>
      <w:kern w:val="2"/>
      <w:sz w:val="24"/>
    </w:rPr>
  </w:style>
  <w:style w:type="character" w:customStyle="1" w:styleId="249">
    <w:name w:val="批注文字 字符"/>
    <w:uiPriority w:val="0"/>
    <w:rPr>
      <w:sz w:val="24"/>
    </w:rPr>
  </w:style>
  <w:style w:type="character" w:customStyle="1" w:styleId="250">
    <w:name w:val="正文文本缩进 字符"/>
    <w:qFormat/>
    <w:uiPriority w:val="0"/>
    <w:rPr>
      <w:kern w:val="2"/>
      <w:sz w:val="44"/>
    </w:rPr>
  </w:style>
  <w:style w:type="character" w:customStyle="1" w:styleId="251">
    <w:name w:val="正文文本缩进 2 字符"/>
    <w:uiPriority w:val="0"/>
    <w:rPr>
      <w:kern w:val="2"/>
      <w:sz w:val="28"/>
    </w:rPr>
  </w:style>
  <w:style w:type="character" w:customStyle="1" w:styleId="252">
    <w:name w:val="脚注文本 字符"/>
    <w:uiPriority w:val="0"/>
    <w:rPr>
      <w:kern w:val="2"/>
      <w:sz w:val="18"/>
    </w:rPr>
  </w:style>
  <w:style w:type="character" w:customStyle="1" w:styleId="253">
    <w:name w:val="批注主题 字符"/>
    <w:uiPriority w:val="0"/>
  </w:style>
  <w:style w:type="character" w:customStyle="1" w:styleId="254">
    <w:name w:val="正文文本首行缩进 2 字符"/>
    <w:uiPriority w:val="0"/>
  </w:style>
  <w:style w:type="character" w:customStyle="1" w:styleId="255">
    <w:name w:val="批注文字 字符1"/>
    <w:uiPriority w:val="0"/>
    <w:rPr>
      <w:rFonts w:ascii="Times New Roman" w:hAnsi="Times New Roman" w:eastAsia="宋体" w:cs="Times New Roman"/>
      <w:sz w:val="28"/>
      <w:szCs w:val="20"/>
    </w:rPr>
  </w:style>
  <w:style w:type="character" w:customStyle="1" w:styleId="256">
    <w:name w:val="NormalCharacter"/>
    <w:uiPriority w:val="0"/>
  </w:style>
  <w:style w:type="character" w:customStyle="1" w:styleId="257">
    <w:name w:val="日期 字符"/>
    <w:uiPriority w:val="0"/>
    <w:rPr>
      <w:kern w:val="2"/>
      <w:sz w:val="28"/>
    </w:rPr>
  </w:style>
  <w:style w:type="character" w:customStyle="1" w:styleId="258">
    <w:name w:val="标题 2 字符"/>
    <w:uiPriority w:val="0"/>
    <w:rPr>
      <w:rFonts w:ascii="Arial" w:hAnsi="Arial" w:eastAsia="黑体"/>
      <w:b/>
      <w:kern w:val="2"/>
      <w:sz w:val="32"/>
    </w:rPr>
  </w:style>
  <w:style w:type="character" w:customStyle="1" w:styleId="259">
    <w:name w:val="列表段落 字符"/>
    <w:uiPriority w:val="0"/>
    <w:rPr>
      <w:rFonts w:ascii="Calibri" w:hAnsi="Calibri"/>
      <w:kern w:val="2"/>
      <w:sz w:val="21"/>
      <w:szCs w:val="22"/>
    </w:rPr>
  </w:style>
  <w:style w:type="character" w:customStyle="1" w:styleId="260">
    <w:name w:val="标题 3 字符"/>
    <w:uiPriority w:val="0"/>
    <w:rPr>
      <w:b/>
      <w:kern w:val="2"/>
      <w:sz w:val="32"/>
    </w:rPr>
  </w:style>
  <w:style w:type="paragraph" w:customStyle="1" w:styleId="261">
    <w:name w:val="TOC 标题1"/>
    <w:basedOn w:val="4"/>
    <w:next w:val="1"/>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uiPriority w:val="0"/>
    <w:rPr>
      <w:rFonts w:ascii="仿宋_GB2312" w:eastAsia="仿宋_GB2312"/>
      <w:kern w:val="2"/>
      <w:sz w:val="32"/>
    </w:rPr>
  </w:style>
  <w:style w:type="character" w:customStyle="1" w:styleId="263">
    <w:name w:val="font01"/>
    <w:uiPriority w:val="0"/>
    <w:rPr>
      <w:rFonts w:ascii="Times New Roman" w:hAnsi="Times New Roman" w:cs="Times New Roman"/>
      <w:color w:val="000000"/>
      <w:sz w:val="18"/>
      <w:szCs w:val="18"/>
      <w:u w:val="none"/>
    </w:rPr>
  </w:style>
  <w:style w:type="character" w:customStyle="1" w:styleId="264">
    <w:name w:val="font11"/>
    <w:qFormat/>
    <w:uiPriority w:val="0"/>
    <w:rPr>
      <w:rFonts w:ascii="宋体" w:eastAsia="宋体" w:cs="宋体"/>
      <w:b/>
      <w:color w:val="000000"/>
      <w:sz w:val="18"/>
      <w:szCs w:val="18"/>
      <w:u w:val="none"/>
    </w:rPr>
  </w:style>
  <w:style w:type="character" w:customStyle="1" w:styleId="265">
    <w:name w:val="font61"/>
    <w:uiPriority w:val="0"/>
    <w:rPr>
      <w:rFonts w:ascii="宋体" w:eastAsia="宋体" w:cs="宋体"/>
      <w:color w:val="000000"/>
      <w:sz w:val="20"/>
      <w:szCs w:val="20"/>
      <w:u w:val="none"/>
    </w:rPr>
  </w:style>
  <w:style w:type="character" w:customStyle="1" w:styleId="266">
    <w:name w:val="文字 Char Char"/>
    <w:locked/>
    <w:uiPriority w:val="0"/>
    <w:rPr>
      <w:rFonts w:ascii="宋体" w:eastAsia="宋体"/>
      <w:sz w:val="28"/>
    </w:rPr>
  </w:style>
  <w:style w:type="character" w:customStyle="1" w:styleId="267">
    <w:name w:val="font81"/>
    <w:uiPriority w:val="0"/>
    <w:rPr>
      <w:rFonts w:ascii="宋体" w:eastAsia="宋体" w:cs="宋体"/>
      <w:color w:val="000000"/>
      <w:sz w:val="18"/>
      <w:szCs w:val="18"/>
      <w:u w:val="none"/>
    </w:rPr>
  </w:style>
  <w:style w:type="character" w:customStyle="1" w:styleId="268">
    <w:name w:val="Char Char Char Char Char Char Char Char Char"/>
    <w:uiPriority w:val="0"/>
    <w:rPr>
      <w:rFonts w:ascii="宋体" w:eastAsia="宋体"/>
      <w:kern w:val="2"/>
      <w:sz w:val="24"/>
      <w:lang w:val="en-US" w:eastAsia="zh-CN" w:bidi="ar-SA"/>
    </w:rPr>
  </w:style>
  <w:style w:type="character" w:customStyle="1" w:styleId="269">
    <w:name w:val="fontstyle11"/>
    <w:uiPriority w:val="0"/>
    <w:rPr>
      <w:rFonts w:ascii="FrutigerNextLT-Light" w:hAnsi="FrutigerNextLT-Light"/>
      <w:color w:val="000000"/>
      <w:sz w:val="18"/>
      <w:szCs w:val="18"/>
    </w:rPr>
  </w:style>
  <w:style w:type="character" w:customStyle="1" w:styleId="270">
    <w:name w:val="font31"/>
    <w:uiPriority w:val="0"/>
    <w:rPr>
      <w:rFonts w:ascii="宋体" w:eastAsia="宋体" w:cs="宋体"/>
      <w:color w:val="000000"/>
      <w:sz w:val="18"/>
      <w:szCs w:val="18"/>
      <w:u w:val="none"/>
    </w:rPr>
  </w:style>
  <w:style w:type="character" w:customStyle="1" w:styleId="271">
    <w:name w:val="font21"/>
    <w:uiPriority w:val="0"/>
    <w:rPr>
      <w:rFonts w:ascii="宋体" w:eastAsia="宋体" w:cs="宋体"/>
      <w:color w:val="000000"/>
      <w:sz w:val="18"/>
      <w:szCs w:val="18"/>
      <w:u w:val="none"/>
    </w:rPr>
  </w:style>
  <w:style w:type="character" w:customStyle="1" w:styleId="272">
    <w:name w:val="副标题 Char"/>
    <w:uiPriority w:val="0"/>
    <w:rPr>
      <w:rFonts w:ascii="Cambria" w:hAnsi="Cambria" w:eastAsia="宋体" w:cs="Times New Roman"/>
      <w:b/>
      <w:bCs/>
      <w:kern w:val="28"/>
      <w:sz w:val="32"/>
      <w:szCs w:val="32"/>
    </w:rPr>
  </w:style>
  <w:style w:type="paragraph" w:customStyle="1" w:styleId="273">
    <w:name w:val="标题1级"/>
    <w:basedOn w:val="4"/>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uiPriority w:val="0"/>
    <w:pPr>
      <w:ind w:left="2524" w:hanging="397"/>
    </w:pPr>
    <w:rPr>
      <w:sz w:val="36"/>
      <w:szCs w:val="36"/>
    </w:rPr>
  </w:style>
  <w:style w:type="paragraph" w:customStyle="1" w:styleId="275">
    <w:name w:val="样式5"/>
    <w:basedOn w:val="1"/>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uiPriority w:val="0"/>
    <w:pPr>
      <w:spacing w:line="360" w:lineRule="auto"/>
      <w:ind w:firstLine="200" w:firstLineChars="200"/>
    </w:pPr>
    <w:rPr>
      <w:rFonts w:ascii="Times New Roman" w:hAnsi="Times New Roman"/>
      <w:sz w:val="24"/>
      <w:szCs w:val="24"/>
    </w:rPr>
  </w:style>
  <w:style w:type="paragraph" w:customStyle="1" w:styleId="277">
    <w:name w:val="三级标题"/>
    <w:basedOn w:val="1"/>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uiPriority w:val="0"/>
    <w:pPr>
      <w:spacing w:beforeLines="50" w:afterLines="50" w:line="400" w:lineRule="atLeast"/>
    </w:pPr>
    <w:rPr>
      <w:rFonts w:ascii="宋体"/>
      <w:sz w:val="24"/>
    </w:rPr>
  </w:style>
  <w:style w:type="paragraph" w:customStyle="1" w:styleId="279">
    <w:name w:val="WPSOffice手动目录 2"/>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uiPriority w:val="0"/>
    <w:rPr>
      <w:rFonts w:ascii="Times New Roman" w:hAnsi="Times New Roman"/>
    </w:rPr>
  </w:style>
  <w:style w:type="paragraph" w:customStyle="1" w:styleId="282">
    <w:name w:val="List Paragraph1"/>
    <w:basedOn w:val="1"/>
    <w:uiPriority w:val="0"/>
    <w:pPr>
      <w:ind w:firstLine="200" w:firstLineChars="200"/>
    </w:pPr>
    <w:rPr>
      <w:sz w:val="21"/>
      <w:szCs w:val="22"/>
    </w:rPr>
  </w:style>
  <w:style w:type="paragraph" w:customStyle="1" w:styleId="283">
    <w:name w:val="标题4级"/>
    <w:basedOn w:val="7"/>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uiPriority w:val="0"/>
    <w:rPr>
      <w:rFonts w:ascii="Times New Roman" w:hAnsi="Times New Roman" w:eastAsia="宋体" w:cs="Times New Roman"/>
      <w:lang w:val="en-US" w:eastAsia="zh-CN" w:bidi="ar-SA"/>
    </w:rPr>
  </w:style>
  <w:style w:type="paragraph" w:customStyle="1" w:styleId="289">
    <w:name w:val="二级标题"/>
    <w:basedOn w:val="5"/>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uiPriority w:val="0"/>
    <w:pPr>
      <w:tabs>
        <w:tab w:val="left" w:pos="425"/>
      </w:tabs>
      <w:ind w:left="425" w:hanging="425"/>
    </w:pPr>
    <w:rPr>
      <w:rFonts w:ascii="Tahoma" w:hAnsi="Tahoma"/>
      <w:sz w:val="24"/>
    </w:rPr>
  </w:style>
  <w:style w:type="paragraph" w:customStyle="1" w:styleId="291">
    <w:name w:val="Char Char1 Char Char Char Char Char Char Char Char"/>
    <w:basedOn w:val="1"/>
    <w:uiPriority w:val="0"/>
    <w:pPr>
      <w:widowControl/>
      <w:spacing w:after="160" w:line="240" w:lineRule="exact"/>
      <w:jc w:val="left"/>
    </w:pPr>
    <w:rPr>
      <w:rFonts w:ascii="Verdana" w:hAnsi="Verdana"/>
      <w:kern w:val="0"/>
      <w:sz w:val="20"/>
    </w:rPr>
  </w:style>
  <w:style w:type="character" w:customStyle="1" w:styleId="292">
    <w:name w:val="页眉 Char"/>
    <w:locked/>
    <w:uiPriority w:val="0"/>
    <w:rPr>
      <w:rFonts w:eastAsia="宋体"/>
      <w:kern w:val="2"/>
      <w:sz w:val="18"/>
      <w:lang w:val="en-US" w:eastAsia="zh-CN" w:bidi="ar-SA"/>
    </w:rPr>
  </w:style>
  <w:style w:type="paragraph" w:customStyle="1" w:styleId="293">
    <w:name w:val="修订1"/>
    <w:uiPriority w:val="0"/>
    <w:rPr>
      <w:rFonts w:ascii="Calibri" w:hAnsi="Calibri" w:eastAsia="宋体" w:cs="Times New Roman"/>
      <w:kern w:val="2"/>
      <w:sz w:val="28"/>
      <w:lang w:val="en-US" w:eastAsia="zh-CN" w:bidi="ar-SA"/>
    </w:rPr>
  </w:style>
  <w:style w:type="character" w:customStyle="1" w:styleId="294">
    <w:name w:val="页脚 字符"/>
    <w:link w:val="39"/>
    <w:uiPriority w:val="99"/>
    <w:rPr>
      <w:rFonts w:ascii="Calibri" w:hAnsi="Calibri"/>
      <w:kern w:val="2"/>
      <w:sz w:val="18"/>
    </w:rPr>
  </w:style>
  <w:style w:type="character" w:customStyle="1" w:styleId="295">
    <w:name w:val="页眉 字符"/>
    <w:link w:val="41"/>
    <w:qFormat/>
    <w:uiPriority w:val="0"/>
    <w:rPr>
      <w:rFonts w:ascii="Calibri" w:hAnsi="Calibri"/>
      <w:kern w:val="2"/>
      <w:sz w:val="18"/>
    </w:rPr>
  </w:style>
  <w:style w:type="paragraph" w:customStyle="1" w:styleId="296">
    <w:name w:val="修订2"/>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3848</Words>
  <Characters>21938</Characters>
  <Lines>182</Lines>
  <Paragraphs>51</Paragraphs>
  <TotalTime>61</TotalTime>
  <ScaleCrop>false</ScaleCrop>
  <LinksUpToDate>false</LinksUpToDate>
  <CharactersWithSpaces>25735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2022-09-28T07:57:00Z</dcterms:created>
  <dc:creator>罗成</dc:creator>
  <cp:lastModifiedBy>hp</cp:lastModifiedBy>
  <cp:lastPrinted>2020-09-18T07:14:00Z</cp:lastPrinted>
  <dcterms:modified xsi:type="dcterms:W3CDTF">2024-12-13T08:46:51Z</dcterms:modified>
  <dc:title>竞争性谈判文件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7CCECF5840EA438F9E3C9E8629D2C536</vt:lpwstr>
  </property>
</Properties>
</file>