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400" w:lineRule="exact"/>
        <w:jc w:val="center"/>
        <w:rPr>
          <w:rFonts w:hint="default" w:asciiTheme="majorEastAsia" w:hAnsiTheme="majorEastAsia" w:eastAsiaTheme="majorEastAsia"/>
          <w:color w:val="333333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2023年无线电频率台站监督检查服务</w:t>
      </w:r>
    </w:p>
    <w:p>
      <w:pPr>
        <w:pStyle w:val="3"/>
        <w:shd w:val="clear" w:color="auto" w:fill="FFFFFF"/>
        <w:spacing w:line="400" w:lineRule="exact"/>
        <w:jc w:val="center"/>
        <w:rPr>
          <w:rFonts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结果公示</w:t>
      </w:r>
    </w:p>
    <w:p>
      <w:pPr>
        <w:snapToGrid w:val="0"/>
        <w:spacing w:line="360" w:lineRule="auto"/>
        <w:ind w:firstLine="422" w:firstLineChars="200"/>
        <w:rPr>
          <w:rFonts w:hint="default" w:asciiTheme="majorEastAsia" w:hAnsiTheme="majorEastAsia" w:eastAsiaTheme="majorEastAsia"/>
          <w:b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一、项目号：</w:t>
      </w:r>
      <w:r>
        <w:rPr>
          <w:rFonts w:asciiTheme="majorEastAsia" w:hAnsiTheme="majorEastAsia" w:eastAsiaTheme="majorEastAsia"/>
          <w:b/>
          <w:color w:val="333333"/>
          <w:szCs w:val="21"/>
        </w:rPr>
        <w:t>CQCBJQ2302-0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30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二、项目名称：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2023年无线电频率台监督检查服务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三、采购方式：竞争性磋商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四、评审日期：2023年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13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五、公示日期：2023年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14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六、成交结果</w:t>
      </w:r>
    </w:p>
    <w:tbl>
      <w:tblPr>
        <w:tblStyle w:val="8"/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2"/>
        <w:gridCol w:w="1560"/>
        <w:gridCol w:w="34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3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项目内容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金额（元）</w:t>
            </w:r>
          </w:p>
        </w:tc>
        <w:tc>
          <w:tcPr>
            <w:tcW w:w="3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成交供应商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3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2023年无线电频率台站监督检查服务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491000.00</w:t>
            </w:r>
          </w:p>
        </w:tc>
        <w:tc>
          <w:tcPr>
            <w:tcW w:w="3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重庆信息通信研究院</w:t>
            </w:r>
          </w:p>
        </w:tc>
      </w:tr>
    </w:tbl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七、磋商小组成员名单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赖宁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戴春林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彭浣嘉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八、公告期限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公告期限：1个工作日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九、联系人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采购人：重庆市无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333333"/>
          <w:szCs w:val="21"/>
        </w:rPr>
        <w:t>线电监测站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采购经办人：罗国兰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电  话：</w:t>
      </w:r>
      <w:r>
        <w:rPr>
          <w:rFonts w:hint="eastAsia" w:asciiTheme="majorEastAsia" w:hAnsiTheme="majorEastAsia" w:eastAsiaTheme="majorEastAsia"/>
          <w:color w:val="333333"/>
          <w:szCs w:val="21"/>
        </w:rPr>
        <w:t>（023）67710873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采购人地址：重庆市江北区兴隆路26号数码大厦16楼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代理机构：重庆市中基致信招标代理有限公司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  <w:lang w:eastAsia="zh-CN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代理机构经办人：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游建伟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代理机构电话：（023）887588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47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代理机构地址：重庆市渝北区财富大道2号财富A座9楼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3NzljNDU5YTA3MDJkZWJlOTE0ZWQzZTU0ODQ4ZjgifQ=="/>
  </w:docVars>
  <w:rsids>
    <w:rsidRoot w:val="0074372C"/>
    <w:rsid w:val="00002A9C"/>
    <w:rsid w:val="00005A43"/>
    <w:rsid w:val="000119BC"/>
    <w:rsid w:val="000347C0"/>
    <w:rsid w:val="000551E5"/>
    <w:rsid w:val="00055EFD"/>
    <w:rsid w:val="00061AA6"/>
    <w:rsid w:val="0009216D"/>
    <w:rsid w:val="000E0F5D"/>
    <w:rsid w:val="000F532C"/>
    <w:rsid w:val="00106AE1"/>
    <w:rsid w:val="00141565"/>
    <w:rsid w:val="0014290D"/>
    <w:rsid w:val="001455CB"/>
    <w:rsid w:val="001523E9"/>
    <w:rsid w:val="00153732"/>
    <w:rsid w:val="00156097"/>
    <w:rsid w:val="00156AA3"/>
    <w:rsid w:val="00166793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514A0"/>
    <w:rsid w:val="0025451E"/>
    <w:rsid w:val="00254D38"/>
    <w:rsid w:val="00287671"/>
    <w:rsid w:val="002C25CC"/>
    <w:rsid w:val="002D4CB9"/>
    <w:rsid w:val="002F45CE"/>
    <w:rsid w:val="00305CAE"/>
    <w:rsid w:val="00317D0E"/>
    <w:rsid w:val="00322E1B"/>
    <w:rsid w:val="00362F6A"/>
    <w:rsid w:val="003820E6"/>
    <w:rsid w:val="00386248"/>
    <w:rsid w:val="003958C6"/>
    <w:rsid w:val="003A1F4B"/>
    <w:rsid w:val="003D2B37"/>
    <w:rsid w:val="003E037A"/>
    <w:rsid w:val="0041419D"/>
    <w:rsid w:val="004157C9"/>
    <w:rsid w:val="00423EEA"/>
    <w:rsid w:val="00431107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06D44"/>
    <w:rsid w:val="00811BFC"/>
    <w:rsid w:val="00832AB4"/>
    <w:rsid w:val="0084120C"/>
    <w:rsid w:val="008474E6"/>
    <w:rsid w:val="008613A7"/>
    <w:rsid w:val="00867DA9"/>
    <w:rsid w:val="008A0D4F"/>
    <w:rsid w:val="008A6F10"/>
    <w:rsid w:val="008D23BB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0425"/>
    <w:rsid w:val="00A2600E"/>
    <w:rsid w:val="00A51757"/>
    <w:rsid w:val="00A811A7"/>
    <w:rsid w:val="00A85C9F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1F77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16FAC"/>
    <w:rsid w:val="00D20D01"/>
    <w:rsid w:val="00D232B7"/>
    <w:rsid w:val="00D25F3A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20926D29"/>
    <w:rsid w:val="31906646"/>
    <w:rsid w:val="388001CF"/>
    <w:rsid w:val="51866F48"/>
    <w:rsid w:val="5FC05563"/>
    <w:rsid w:val="6A1C0F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styl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pple-converted-space"/>
    <w:basedOn w:val="9"/>
    <w:uiPriority w:val="0"/>
  </w:style>
  <w:style w:type="paragraph" w:customStyle="1" w:styleId="15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标题 4 Char"/>
    <w:basedOn w:val="9"/>
    <w:link w:val="4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3 Char"/>
    <w:basedOn w:val="9"/>
    <w:link w:val="3"/>
    <w:uiPriority w:val="9"/>
    <w:rPr>
      <w:b/>
      <w:bCs/>
      <w:sz w:val="32"/>
      <w:szCs w:val="32"/>
    </w:rPr>
  </w:style>
  <w:style w:type="character" w:customStyle="1" w:styleId="18">
    <w:name w:val="title_emph1"/>
    <w:uiPriority w:val="0"/>
    <w:rPr>
      <w:rFonts w:hint="default" w:ascii="Arial" w:hAnsi="Arial"/>
      <w:b/>
      <w:sz w:val="20"/>
    </w:rPr>
  </w:style>
  <w:style w:type="character" w:customStyle="1" w:styleId="19">
    <w:name w:val="Table Text Char"/>
    <w:link w:val="20"/>
    <w:uiPriority w:val="0"/>
    <w:rPr>
      <w:rFonts w:ascii="Arial" w:hAnsi="Arial"/>
      <w:sz w:val="18"/>
    </w:rPr>
  </w:style>
  <w:style w:type="paragraph" w:customStyle="1" w:styleId="20">
    <w:name w:val="Table Text"/>
    <w:link w:val="19"/>
    <w:uiPriority w:val="0"/>
    <w:pPr>
      <w:snapToGrid w:val="0"/>
      <w:spacing w:before="80" w:after="80"/>
    </w:pPr>
    <w:rPr>
      <w:rFonts w:ascii="Arial" w:hAnsi="Arial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283</Words>
  <Characters>340</Characters>
  <Lines>2</Lines>
  <Paragraphs>1</Paragraphs>
  <TotalTime>0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2017-03-14T01:58:00Z</dcterms:created>
  <dc:creator>Administrator</dc:creator>
  <cp:lastModifiedBy>周菲童</cp:lastModifiedBy>
  <dcterms:modified xsi:type="dcterms:W3CDTF">2023-03-14T01:29:23Z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E09A7048E6194FEC8E6DA9D2B9B8AB67</vt:lpwstr>
  </property>
</Properties>
</file>