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b/>
          <w:sz w:val="52"/>
          <w:szCs w:val="52"/>
        </w:rPr>
      </w:pPr>
      <w:r>
        <w:rPr>
          <w:rFonts w:hint="eastAsia" w:ascii="宋体"/>
          <w:b/>
          <w:sz w:val="52"/>
          <w:szCs w:val="52"/>
        </w:rPr>
        <w:t>重庆市无线电监测站检测中心防水工程</w:t>
      </w:r>
    </w:p>
    <w:p>
      <w:pPr>
        <w:jc w:val="center"/>
        <w:outlineLvl w:val="0"/>
        <w:rPr>
          <w:rFonts w:ascii="宋体"/>
          <w:b/>
          <w:sz w:val="52"/>
          <w:szCs w:val="52"/>
        </w:rPr>
      </w:pPr>
      <w:r>
        <w:rPr>
          <w:rFonts w:hint="eastAsia" w:ascii="宋体"/>
          <w:b/>
          <w:sz w:val="52"/>
          <w:szCs w:val="52"/>
        </w:rPr>
        <w:t>政府采购项目（第二次）</w:t>
      </w:r>
    </w:p>
    <w:p>
      <w:pPr>
        <w:outlineLvl w:val="0"/>
        <w:rPr>
          <w:rFonts w:ascii="宋体"/>
          <w:spacing w:val="80"/>
          <w:sz w:val="72"/>
          <w:szCs w:val="72"/>
        </w:rPr>
      </w:pPr>
    </w:p>
    <w:p>
      <w:pPr>
        <w:pStyle w:val="2"/>
      </w:pPr>
    </w:p>
    <w:p>
      <w:pPr>
        <w:jc w:val="center"/>
        <w:outlineLvl w:val="0"/>
        <w:rPr>
          <w:rFonts w:ascii="宋体"/>
          <w:spacing w:val="80"/>
          <w:sz w:val="72"/>
          <w:szCs w:val="72"/>
        </w:rPr>
      </w:pPr>
    </w:p>
    <w:p>
      <w:pPr>
        <w:jc w:val="center"/>
        <w:outlineLvl w:val="0"/>
        <w:rPr>
          <w:spacing w:val="80"/>
          <w:sz w:val="72"/>
          <w:szCs w:val="72"/>
        </w:rPr>
      </w:pPr>
      <w:r>
        <w:rPr>
          <w:spacing w:val="80"/>
          <w:sz w:val="72"/>
          <w:szCs w:val="72"/>
        </w:rPr>
        <w:t>竞争性磋商文件</w:t>
      </w:r>
    </w:p>
    <w:p>
      <w:pPr>
        <w:spacing w:line="700" w:lineRule="exact"/>
        <w:jc w:val="center"/>
        <w:rPr>
          <w:sz w:val="36"/>
          <w:szCs w:val="30"/>
        </w:rPr>
      </w:pPr>
      <w:r>
        <w:rPr>
          <w:sz w:val="36"/>
          <w:szCs w:val="30"/>
        </w:rPr>
        <w:t>项目号：</w:t>
      </w:r>
      <w:r>
        <w:rPr>
          <w:rFonts w:hint="eastAsia" w:ascii="宋体"/>
          <w:sz w:val="36"/>
          <w:szCs w:val="30"/>
        </w:rPr>
        <w:t>CQCBJQ2206-174</w:t>
      </w:r>
    </w:p>
    <w:p>
      <w:pPr>
        <w:spacing w:line="700" w:lineRule="exact"/>
        <w:ind w:firstLine="2700" w:firstLineChars="750"/>
        <w:rPr>
          <w:rFonts w:ascii="宋体"/>
          <w:sz w:val="36"/>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rPr>
          <w:rFonts w:ascii="宋体"/>
          <w:b/>
          <w:sz w:val="30"/>
          <w:szCs w:val="30"/>
        </w:rPr>
      </w:pPr>
    </w:p>
    <w:p>
      <w:pPr>
        <w:spacing w:line="700" w:lineRule="exact"/>
        <w:rPr>
          <w:rFonts w:ascii="宋体"/>
          <w:b/>
          <w:sz w:val="30"/>
          <w:szCs w:val="30"/>
        </w:rPr>
      </w:pPr>
    </w:p>
    <w:p>
      <w:pPr>
        <w:spacing w:line="700" w:lineRule="exact"/>
        <w:ind w:left="84" w:leftChars="30"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pPr>
        <w:spacing w:line="700" w:lineRule="exact"/>
        <w:ind w:left="84" w:leftChars="30" w:firstLine="1440" w:firstLineChars="400"/>
        <w:jc w:val="left"/>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二</w:t>
      </w:r>
      <w:r>
        <w:rPr>
          <w:sz w:val="36"/>
          <w:szCs w:val="30"/>
        </w:rPr>
        <w:t>年</w:t>
      </w:r>
      <w:r>
        <w:rPr>
          <w:rFonts w:hint="eastAsia"/>
          <w:sz w:val="36"/>
          <w:szCs w:val="30"/>
        </w:rPr>
        <w:t>七</w:t>
      </w:r>
      <w:r>
        <w:rPr>
          <w:sz w:val="36"/>
          <w:szCs w:val="30"/>
        </w:rPr>
        <w:t>月</w:t>
      </w:r>
    </w:p>
    <w:p>
      <w:pPr>
        <w:pageBreakBefore/>
        <w:spacing w:line="480" w:lineRule="exact"/>
        <w:jc w:val="center"/>
        <w:outlineLvl w:val="0"/>
        <w:rPr>
          <w:rFonts w:ascii="宋体"/>
          <w:sz w:val="44"/>
          <w:szCs w:val="28"/>
        </w:rPr>
      </w:pPr>
      <w:r>
        <w:rPr>
          <w:rFonts w:hint="eastAsia" w:asci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"_Toc109296510" </w:instrText>
      </w:r>
      <w:r>
        <w:fldChar w:fldCharType="separate"/>
      </w:r>
      <w:r>
        <w:rPr>
          <w:rStyle w:val="65"/>
          <w:rFonts w:ascii="宋体"/>
        </w:rPr>
        <w:t>第一篇  采购邀请书</w:t>
      </w:r>
      <w:r>
        <w:tab/>
      </w:r>
      <w:r>
        <w:fldChar w:fldCharType="begin"/>
      </w:r>
      <w:r>
        <w:instrText xml:space="preserve"> PAGEREF _Toc109296510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"_Toc109296511" </w:instrText>
      </w:r>
      <w:r>
        <w:fldChar w:fldCharType="separate"/>
      </w:r>
      <w:r>
        <w:rPr>
          <w:rStyle w:val="65"/>
          <w:rFonts w:ascii="宋体"/>
        </w:rPr>
        <w:t>一、竞争性磋商内容</w:t>
      </w:r>
      <w:r>
        <w:tab/>
      </w:r>
      <w:r>
        <w:fldChar w:fldCharType="begin"/>
      </w:r>
      <w:r>
        <w:instrText xml:space="preserve"> PAGEREF _Toc109296511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"_Toc109296512" </w:instrText>
      </w:r>
      <w:r>
        <w:fldChar w:fldCharType="separate"/>
      </w:r>
      <w:r>
        <w:rPr>
          <w:rStyle w:val="65"/>
          <w:rFonts w:ascii="宋体"/>
        </w:rPr>
        <w:t>二、资金来源</w:t>
      </w:r>
      <w:r>
        <w:tab/>
      </w:r>
      <w:r>
        <w:fldChar w:fldCharType="begin"/>
      </w:r>
      <w:r>
        <w:instrText xml:space="preserve"> PAGEREF _Toc109296512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"_Toc109296513" </w:instrText>
      </w:r>
      <w:r>
        <w:fldChar w:fldCharType="separate"/>
      </w:r>
      <w:r>
        <w:rPr>
          <w:rStyle w:val="65"/>
          <w:rFonts w:ascii="宋体"/>
        </w:rPr>
        <w:t>三、供应商资格条件</w:t>
      </w:r>
      <w:r>
        <w:tab/>
      </w:r>
      <w:r>
        <w:fldChar w:fldCharType="begin"/>
      </w:r>
      <w:r>
        <w:instrText xml:space="preserve"> PAGEREF _Toc109296513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"_Toc109296514" </w:instrText>
      </w:r>
      <w:r>
        <w:fldChar w:fldCharType="separate"/>
      </w:r>
      <w:r>
        <w:rPr>
          <w:rStyle w:val="65"/>
          <w:rFonts w:ascii="宋体"/>
        </w:rPr>
        <w:t>四、磋商有关说明</w:t>
      </w:r>
      <w:r>
        <w:tab/>
      </w:r>
      <w:r>
        <w:fldChar w:fldCharType="begin"/>
      </w:r>
      <w:r>
        <w:instrText xml:space="preserve"> PAGEREF _Toc109296514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"_Toc109296515" </w:instrText>
      </w:r>
      <w:r>
        <w:fldChar w:fldCharType="separate"/>
      </w:r>
      <w:r>
        <w:rPr>
          <w:rStyle w:val="65"/>
          <w:rFonts w:ascii="宋体"/>
        </w:rPr>
        <w:t>五、磋商保证金</w:t>
      </w:r>
      <w:r>
        <w:tab/>
      </w:r>
      <w:r>
        <w:fldChar w:fldCharType="begin"/>
      </w:r>
      <w:r>
        <w:instrText xml:space="preserve"> PAGEREF _Toc109296515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"_Toc109296516" </w:instrText>
      </w:r>
      <w:r>
        <w:fldChar w:fldCharType="separate"/>
      </w:r>
      <w:r>
        <w:rPr>
          <w:rStyle w:val="65"/>
          <w:rFonts w:ascii="宋体"/>
        </w:rPr>
        <w:t>六、采购项目需落实的政府采购政策</w:t>
      </w:r>
      <w:r>
        <w:tab/>
      </w:r>
      <w:r>
        <w:fldChar w:fldCharType="begin"/>
      </w:r>
      <w:r>
        <w:instrText xml:space="preserve"> PAGEREF _Toc109296516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"_Toc109296517" </w:instrText>
      </w:r>
      <w:r>
        <w:fldChar w:fldCharType="separate"/>
      </w:r>
      <w:r>
        <w:rPr>
          <w:rStyle w:val="65"/>
          <w:rFonts w:ascii="宋体"/>
        </w:rPr>
        <w:t>七、其它有关规定</w:t>
      </w:r>
      <w:r>
        <w:tab/>
      </w:r>
      <w:r>
        <w:fldChar w:fldCharType="begin"/>
      </w:r>
      <w:r>
        <w:instrText xml:space="preserve"> PAGEREF _Toc109296517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"_Toc109296518" </w:instrText>
      </w:r>
      <w:r>
        <w:fldChar w:fldCharType="separate"/>
      </w:r>
      <w:r>
        <w:rPr>
          <w:rStyle w:val="65"/>
          <w:rFonts w:ascii="宋体"/>
        </w:rPr>
        <w:t>八、联系方式</w:t>
      </w:r>
      <w:r>
        <w:tab/>
      </w:r>
      <w:r>
        <w:fldChar w:fldCharType="begin"/>
      </w:r>
      <w:r>
        <w:instrText xml:space="preserve"> PAGEREF _Toc109296518 \h </w:instrText>
      </w:r>
      <w:r>
        <w:fldChar w:fldCharType="separate"/>
      </w:r>
      <w:r>
        <w:t>- 5 -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"_Toc109296519" </w:instrText>
      </w:r>
      <w:r>
        <w:fldChar w:fldCharType="separate"/>
      </w:r>
      <w:r>
        <w:rPr>
          <w:rStyle w:val="65"/>
          <w:rFonts w:ascii="宋体"/>
        </w:rPr>
        <w:t>第二篇  项目服务需求</w:t>
      </w:r>
      <w:r>
        <w:tab/>
      </w:r>
      <w:r>
        <w:fldChar w:fldCharType="begin"/>
      </w:r>
      <w:r>
        <w:instrText xml:space="preserve"> PAGEREF _Toc109296519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"_Toc109296520" </w:instrText>
      </w:r>
      <w:r>
        <w:fldChar w:fldCharType="separate"/>
      </w:r>
      <w:r>
        <w:rPr>
          <w:rStyle w:val="65"/>
          <w:rFonts w:ascii="宋体"/>
        </w:rPr>
        <w:t>一、采购项目一览表</w:t>
      </w:r>
      <w:r>
        <w:tab/>
      </w:r>
      <w:r>
        <w:fldChar w:fldCharType="begin"/>
      </w:r>
      <w:r>
        <w:instrText xml:space="preserve"> PAGEREF _Toc109296520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"_Toc109296521" </w:instrText>
      </w:r>
      <w:r>
        <w:fldChar w:fldCharType="separate"/>
      </w:r>
      <w:r>
        <w:rPr>
          <w:rStyle w:val="65"/>
          <w:rFonts w:ascii="宋体"/>
        </w:rPr>
        <w:t>二、采购项目要求</w:t>
      </w:r>
      <w:r>
        <w:tab/>
      </w:r>
      <w:r>
        <w:fldChar w:fldCharType="begin"/>
      </w:r>
      <w:r>
        <w:instrText xml:space="preserve"> PAGEREF _Toc109296521 \h </w:instrText>
      </w:r>
      <w:r>
        <w:fldChar w:fldCharType="separate"/>
      </w:r>
      <w:r>
        <w:t>- 7 -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"_Toc109296522" </w:instrText>
      </w:r>
      <w:r>
        <w:fldChar w:fldCharType="separate"/>
      </w:r>
      <w:r>
        <w:rPr>
          <w:rStyle w:val="65"/>
          <w:rFonts w:ascii="宋体"/>
        </w:rPr>
        <w:t>第三篇  项目商务需求</w:t>
      </w:r>
      <w:r>
        <w:tab/>
      </w:r>
      <w:r>
        <w:fldChar w:fldCharType="begin"/>
      </w:r>
      <w:r>
        <w:instrText xml:space="preserve"> PAGEREF _Toc109296522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"_Toc109296523" </w:instrText>
      </w:r>
      <w:r>
        <w:fldChar w:fldCharType="separate"/>
      </w:r>
      <w:r>
        <w:rPr>
          <w:rStyle w:val="65"/>
          <w:rFonts w:hint="eastAsia" w:ascii="宋体" w:hAnsi="宋体" w:cs="宋体"/>
        </w:rPr>
        <w:t>※</w:t>
      </w:r>
      <w:r>
        <w:rPr>
          <w:rStyle w:val="65"/>
          <w:rFonts w:ascii="宋体"/>
        </w:rPr>
        <w:t>一、完成时间、实施地点及验收方式</w:t>
      </w:r>
      <w:r>
        <w:tab/>
      </w:r>
      <w:r>
        <w:fldChar w:fldCharType="begin"/>
      </w:r>
      <w:r>
        <w:instrText xml:space="preserve"> PAGEREF _Toc109296523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"_Toc109296524" </w:instrText>
      </w:r>
      <w:r>
        <w:fldChar w:fldCharType="separate"/>
      </w:r>
      <w:r>
        <w:rPr>
          <w:rStyle w:val="65"/>
          <w:rFonts w:hint="eastAsia" w:ascii="宋体" w:hAnsi="宋体" w:cs="宋体"/>
        </w:rPr>
        <w:t>※</w:t>
      </w:r>
      <w:r>
        <w:rPr>
          <w:rStyle w:val="65"/>
          <w:rFonts w:ascii="宋体"/>
        </w:rPr>
        <w:t>二、报价要求</w:t>
      </w:r>
      <w:r>
        <w:tab/>
      </w:r>
      <w:r>
        <w:fldChar w:fldCharType="begin"/>
      </w:r>
      <w:r>
        <w:instrText xml:space="preserve"> PAGEREF _Toc109296524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"_Toc109296525" </w:instrText>
      </w:r>
      <w:r>
        <w:fldChar w:fldCharType="separate"/>
      </w:r>
      <w:r>
        <w:rPr>
          <w:rStyle w:val="65"/>
          <w:rFonts w:hint="eastAsia" w:ascii="宋体" w:hAnsi="宋体" w:cs="宋体"/>
        </w:rPr>
        <w:t>※</w:t>
      </w:r>
      <w:r>
        <w:rPr>
          <w:rStyle w:val="65"/>
          <w:rFonts w:ascii="宋体"/>
        </w:rPr>
        <w:t>三、质量保证及售后服务</w:t>
      </w:r>
      <w:r>
        <w:tab/>
      </w:r>
      <w:r>
        <w:fldChar w:fldCharType="begin"/>
      </w:r>
      <w:r>
        <w:instrText xml:space="preserve"> PAGEREF _Toc109296525 \h </w:instrText>
      </w:r>
      <w:r>
        <w:fldChar w:fldCharType="separate"/>
      </w:r>
      <w:r>
        <w:t>- 11 -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"_Toc109296526" </w:instrText>
      </w:r>
      <w:r>
        <w:fldChar w:fldCharType="separate"/>
      </w:r>
      <w:r>
        <w:rPr>
          <w:rStyle w:val="65"/>
          <w:rFonts w:hint="eastAsia" w:ascii="宋体" w:hAnsi="宋体" w:cs="宋体"/>
        </w:rPr>
        <w:t>※</w:t>
      </w:r>
      <w:r>
        <w:rPr>
          <w:rStyle w:val="65"/>
          <w:rFonts w:ascii="宋体"/>
        </w:rPr>
        <w:t>四、付款方式</w:t>
      </w:r>
      <w:r>
        <w:tab/>
      </w:r>
      <w:r>
        <w:fldChar w:fldCharType="begin"/>
      </w:r>
      <w:r>
        <w:instrText xml:space="preserve"> PAGEREF _Toc109296526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"_Toc109296527" </w:instrText>
      </w:r>
      <w:r>
        <w:fldChar w:fldCharType="separate"/>
      </w:r>
      <w:r>
        <w:rPr>
          <w:rStyle w:val="65"/>
          <w:rFonts w:ascii="宋体"/>
        </w:rPr>
        <w:t>五、其他</w:t>
      </w:r>
      <w:r>
        <w:tab/>
      </w:r>
      <w:r>
        <w:fldChar w:fldCharType="begin"/>
      </w:r>
      <w:r>
        <w:instrText xml:space="preserve"> PAGEREF _Toc109296527 \h </w:instrText>
      </w:r>
      <w:r>
        <w:fldChar w:fldCharType="separate"/>
      </w:r>
      <w:r>
        <w:t>- 12 -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"_Toc109296528" </w:instrText>
      </w:r>
      <w:r>
        <w:fldChar w:fldCharType="separate"/>
      </w:r>
      <w:r>
        <w:rPr>
          <w:rStyle w:val="65"/>
          <w:rFonts w:ascii="宋体"/>
        </w:rPr>
        <w:t>第四篇  磋商程序及方法、评审标准、无效响应和采购终止</w:t>
      </w:r>
      <w:r>
        <w:tab/>
      </w:r>
      <w:r>
        <w:fldChar w:fldCharType="begin"/>
      </w:r>
      <w:r>
        <w:instrText xml:space="preserve"> PAGEREF _Toc109296528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"_Toc109296529" </w:instrText>
      </w:r>
      <w:r>
        <w:fldChar w:fldCharType="separate"/>
      </w:r>
      <w:r>
        <w:rPr>
          <w:rStyle w:val="65"/>
          <w:rFonts w:ascii="宋体"/>
        </w:rPr>
        <w:t>一、磋商程序及方法</w:t>
      </w:r>
      <w:r>
        <w:tab/>
      </w:r>
      <w:r>
        <w:fldChar w:fldCharType="begin"/>
      </w:r>
      <w:r>
        <w:instrText xml:space="preserve"> PAGEREF _Toc109296529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"_Toc109296530" </w:instrText>
      </w:r>
      <w:r>
        <w:fldChar w:fldCharType="separate"/>
      </w:r>
      <w:r>
        <w:rPr>
          <w:rStyle w:val="65"/>
          <w:rFonts w:ascii="宋体"/>
        </w:rPr>
        <w:t>二、评审标准</w:t>
      </w:r>
      <w:r>
        <w:tab/>
      </w:r>
      <w:r>
        <w:fldChar w:fldCharType="begin"/>
      </w:r>
      <w:r>
        <w:instrText xml:space="preserve"> PAGEREF _Toc109296530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"_Toc109296531" </w:instrText>
      </w:r>
      <w:r>
        <w:fldChar w:fldCharType="separate"/>
      </w:r>
      <w:r>
        <w:rPr>
          <w:rStyle w:val="65"/>
          <w:rFonts w:ascii="宋体"/>
        </w:rPr>
        <w:t>三、无效响应</w:t>
      </w:r>
      <w:r>
        <w:tab/>
      </w:r>
      <w:r>
        <w:fldChar w:fldCharType="begin"/>
      </w:r>
      <w:r>
        <w:instrText xml:space="preserve"> PAGEREF _Toc109296531 \h </w:instrText>
      </w:r>
      <w:r>
        <w:fldChar w:fldCharType="separate"/>
      </w:r>
      <w:r>
        <w:t>- 16 -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"_Toc109296532" </w:instrText>
      </w:r>
      <w:r>
        <w:fldChar w:fldCharType="separate"/>
      </w:r>
      <w:r>
        <w:rPr>
          <w:rStyle w:val="65"/>
          <w:rFonts w:ascii="宋体"/>
        </w:rPr>
        <w:t>四、采购终止</w:t>
      </w:r>
      <w:r>
        <w:tab/>
      </w:r>
      <w:r>
        <w:fldChar w:fldCharType="begin"/>
      </w:r>
      <w:r>
        <w:instrText xml:space="preserve"> PAGEREF _Toc109296532 \h </w:instrText>
      </w:r>
      <w:r>
        <w:fldChar w:fldCharType="separate"/>
      </w:r>
      <w:r>
        <w:t>- 16 -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"_Toc109296533" </w:instrText>
      </w:r>
      <w:r>
        <w:fldChar w:fldCharType="separate"/>
      </w:r>
      <w:r>
        <w:rPr>
          <w:rStyle w:val="65"/>
          <w:rFonts w:ascii="宋体"/>
        </w:rPr>
        <w:t>第五篇  供应商须知</w:t>
      </w:r>
      <w:r>
        <w:tab/>
      </w:r>
      <w:r>
        <w:fldChar w:fldCharType="begin"/>
      </w:r>
      <w:r>
        <w:instrText xml:space="preserve"> PAGEREF _Toc109296533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"_Toc109296534" </w:instrText>
      </w:r>
      <w:r>
        <w:fldChar w:fldCharType="separate"/>
      </w:r>
      <w:r>
        <w:rPr>
          <w:rStyle w:val="65"/>
          <w:rFonts w:ascii="宋体"/>
        </w:rPr>
        <w:t>一、磋商费用</w:t>
      </w:r>
      <w:r>
        <w:tab/>
      </w:r>
      <w:r>
        <w:fldChar w:fldCharType="begin"/>
      </w:r>
      <w:r>
        <w:instrText xml:space="preserve"> PAGEREF _Toc109296534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"_Toc109296535" </w:instrText>
      </w:r>
      <w:r>
        <w:fldChar w:fldCharType="separate"/>
      </w:r>
      <w:r>
        <w:rPr>
          <w:rStyle w:val="65"/>
          <w:rFonts w:ascii="宋体"/>
        </w:rPr>
        <w:t>二、竞争性磋商文件</w:t>
      </w:r>
      <w:r>
        <w:tab/>
      </w:r>
      <w:r>
        <w:fldChar w:fldCharType="begin"/>
      </w:r>
      <w:r>
        <w:instrText xml:space="preserve"> PAGEREF _Toc109296535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"_Toc109296536" </w:instrText>
      </w:r>
      <w:r>
        <w:fldChar w:fldCharType="separate"/>
      </w:r>
      <w:r>
        <w:rPr>
          <w:rStyle w:val="65"/>
          <w:rFonts w:ascii="宋体"/>
        </w:rPr>
        <w:t>三、磋商要求</w:t>
      </w:r>
      <w:r>
        <w:tab/>
      </w:r>
      <w:r>
        <w:fldChar w:fldCharType="begin"/>
      </w:r>
      <w:r>
        <w:instrText xml:space="preserve"> PAGEREF _Toc109296536 \h </w:instrText>
      </w:r>
      <w:r>
        <w:fldChar w:fldCharType="separate"/>
      </w:r>
      <w:r>
        <w:t>- 18 -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"_Toc109296537" </w:instrText>
      </w:r>
      <w:r>
        <w:fldChar w:fldCharType="separate"/>
      </w:r>
      <w:r>
        <w:rPr>
          <w:rStyle w:val="65"/>
          <w:rFonts w:ascii="宋体"/>
        </w:rPr>
        <w:t>四、成交供应商的确认和变更</w:t>
      </w:r>
      <w:r>
        <w:tab/>
      </w:r>
      <w:r>
        <w:fldChar w:fldCharType="begin"/>
      </w:r>
      <w:r>
        <w:instrText xml:space="preserve"> PAGEREF _Toc109296537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"_Toc109296538" </w:instrText>
      </w:r>
      <w:r>
        <w:fldChar w:fldCharType="separate"/>
      </w:r>
      <w:r>
        <w:rPr>
          <w:rStyle w:val="65"/>
          <w:rFonts w:ascii="宋体"/>
        </w:rPr>
        <w:t>五、成交通知</w:t>
      </w:r>
      <w:r>
        <w:tab/>
      </w:r>
      <w:r>
        <w:fldChar w:fldCharType="begin"/>
      </w:r>
      <w:r>
        <w:instrText xml:space="preserve"> PAGEREF _Toc109296538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"_Toc109296539" </w:instrText>
      </w:r>
      <w:r>
        <w:fldChar w:fldCharType="separate"/>
      </w:r>
      <w:r>
        <w:rPr>
          <w:rStyle w:val="65"/>
          <w:rFonts w:ascii="宋体"/>
        </w:rPr>
        <w:t>六、关于质疑和投诉</w:t>
      </w:r>
      <w:r>
        <w:tab/>
      </w:r>
      <w:r>
        <w:fldChar w:fldCharType="begin"/>
      </w:r>
      <w:r>
        <w:instrText xml:space="preserve"> PAGEREF _Toc109296539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"_Toc109296540" </w:instrText>
      </w:r>
      <w:r>
        <w:fldChar w:fldCharType="separate"/>
      </w:r>
      <w:r>
        <w:rPr>
          <w:rStyle w:val="65"/>
          <w:rFonts w:ascii="宋体"/>
        </w:rPr>
        <w:t>七、采购代理服务费</w:t>
      </w:r>
      <w:r>
        <w:tab/>
      </w:r>
      <w:r>
        <w:fldChar w:fldCharType="begin"/>
      </w:r>
      <w:r>
        <w:instrText xml:space="preserve"> PAGEREF _Toc109296540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"_Toc109296541" </w:instrText>
      </w:r>
      <w:r>
        <w:fldChar w:fldCharType="separate"/>
      </w:r>
      <w:r>
        <w:rPr>
          <w:rStyle w:val="65"/>
          <w:rFonts w:ascii="宋体"/>
        </w:rPr>
        <w:t>八、签订合同</w:t>
      </w:r>
      <w:r>
        <w:tab/>
      </w:r>
      <w:r>
        <w:fldChar w:fldCharType="begin"/>
      </w:r>
      <w:r>
        <w:instrText xml:space="preserve"> PAGEREF _Toc109296541 \h </w:instrText>
      </w:r>
      <w:r>
        <w:fldChar w:fldCharType="separate"/>
      </w:r>
      <w:r>
        <w:t>- 22 -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"_Toc109296542" </w:instrText>
      </w:r>
      <w:r>
        <w:fldChar w:fldCharType="separate"/>
      </w:r>
      <w:r>
        <w:rPr>
          <w:rStyle w:val="65"/>
          <w:rFonts w:ascii="宋体"/>
        </w:rPr>
        <w:t>第六篇  合同草案条款</w:t>
      </w:r>
      <w:r>
        <w:tab/>
      </w:r>
      <w:r>
        <w:fldChar w:fldCharType="begin"/>
      </w:r>
      <w:r>
        <w:instrText xml:space="preserve"> PAGEREF _Toc109296542 \h </w:instrText>
      </w:r>
      <w:r>
        <w:fldChar w:fldCharType="separate"/>
      </w:r>
      <w:r>
        <w:t>- 23 -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"_Toc109296543" </w:instrText>
      </w:r>
      <w:r>
        <w:fldChar w:fldCharType="separate"/>
      </w:r>
      <w:r>
        <w:rPr>
          <w:rStyle w:val="65"/>
          <w:rFonts w:ascii="宋体"/>
        </w:rPr>
        <w:t>第七篇  响应文件编制要求</w:t>
      </w:r>
      <w:r>
        <w:tab/>
      </w:r>
      <w:r>
        <w:fldChar w:fldCharType="begin"/>
      </w:r>
      <w:r>
        <w:instrText xml:space="preserve"> PAGEREF _Toc109296543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"_Toc109296544" </w:instrText>
      </w:r>
      <w:r>
        <w:fldChar w:fldCharType="separate"/>
      </w:r>
      <w:r>
        <w:rPr>
          <w:rStyle w:val="65"/>
          <w:rFonts w:ascii="宋体"/>
        </w:rPr>
        <w:t>一、经济部分</w:t>
      </w:r>
      <w:r>
        <w:tab/>
      </w:r>
      <w:r>
        <w:fldChar w:fldCharType="begin"/>
      </w:r>
      <w:r>
        <w:instrText xml:space="preserve"> PAGEREF _Toc109296544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"_Toc109296545" </w:instrText>
      </w:r>
      <w:r>
        <w:fldChar w:fldCharType="separate"/>
      </w:r>
      <w:r>
        <w:rPr>
          <w:rStyle w:val="65"/>
          <w:rFonts w:ascii="宋体"/>
        </w:rPr>
        <w:t>二、服务部分</w:t>
      </w:r>
      <w:r>
        <w:tab/>
      </w:r>
      <w:r>
        <w:fldChar w:fldCharType="begin"/>
      </w:r>
      <w:r>
        <w:instrText xml:space="preserve"> PAGEREF _Toc109296545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"_Toc109296546" </w:instrText>
      </w:r>
      <w:r>
        <w:fldChar w:fldCharType="separate"/>
      </w:r>
      <w:r>
        <w:rPr>
          <w:rStyle w:val="65"/>
          <w:rFonts w:ascii="宋体"/>
        </w:rPr>
        <w:t>三、商务部分</w:t>
      </w:r>
      <w:r>
        <w:tab/>
      </w:r>
      <w:r>
        <w:fldChar w:fldCharType="begin"/>
      </w:r>
      <w:r>
        <w:instrText xml:space="preserve"> PAGEREF _Toc109296546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"_Toc109296547" </w:instrText>
      </w:r>
      <w:r>
        <w:fldChar w:fldCharType="separate"/>
      </w:r>
      <w:r>
        <w:rPr>
          <w:rStyle w:val="65"/>
          <w:rFonts w:ascii="宋体"/>
        </w:rPr>
        <w:t>四、资格条件及其他</w:t>
      </w:r>
      <w:r>
        <w:tab/>
      </w:r>
      <w:r>
        <w:fldChar w:fldCharType="begin"/>
      </w:r>
      <w:r>
        <w:instrText xml:space="preserve"> PAGEREF _Toc109296547 \h </w:instrText>
      </w:r>
      <w:r>
        <w:fldChar w:fldCharType="separate"/>
      </w:r>
      <w:r>
        <w:t>- 25 -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"_Toc109296548" </w:instrText>
      </w:r>
      <w:r>
        <w:fldChar w:fldCharType="separate"/>
      </w:r>
      <w:r>
        <w:rPr>
          <w:rStyle w:val="65"/>
        </w:rPr>
        <w:t>二、服务部分</w:t>
      </w:r>
      <w:r>
        <w:tab/>
      </w:r>
      <w:r>
        <w:fldChar w:fldCharType="begin"/>
      </w:r>
      <w:r>
        <w:instrText xml:space="preserve"> PAGEREF _Toc109296548 \h </w:instrText>
      </w:r>
      <w:r>
        <w:fldChar w:fldCharType="separate"/>
      </w:r>
      <w:r>
        <w:t>- 28 -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"_Toc109296549" </w:instrText>
      </w:r>
      <w:r>
        <w:fldChar w:fldCharType="separate"/>
      </w:r>
      <w:r>
        <w:rPr>
          <w:rStyle w:val="65"/>
        </w:rPr>
        <w:t>三、商务部分</w:t>
      </w:r>
      <w:r>
        <w:tab/>
      </w:r>
      <w:r>
        <w:fldChar w:fldCharType="begin"/>
      </w:r>
      <w:r>
        <w:instrText xml:space="preserve"> PAGEREF _Toc109296549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"_Toc109296550" </w:instrText>
      </w:r>
      <w:r>
        <w:fldChar w:fldCharType="separate"/>
      </w:r>
      <w:r>
        <w:rPr>
          <w:rStyle w:val="65"/>
        </w:rPr>
        <w:t>四、资格条件</w:t>
      </w:r>
      <w:r>
        <w:tab/>
      </w:r>
      <w:r>
        <w:fldChar w:fldCharType="begin"/>
      </w:r>
      <w:r>
        <w:instrText xml:space="preserve"> PAGEREF _Toc109296550 \h </w:instrText>
      </w:r>
      <w:r>
        <w:fldChar w:fldCharType="separate"/>
      </w:r>
      <w:r>
        <w:t>- 30 -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"_Toc109296551" </w:instrText>
      </w:r>
      <w:r>
        <w:fldChar w:fldCharType="separate"/>
      </w:r>
      <w:r>
        <w:rPr>
          <w:rStyle w:val="65"/>
        </w:rPr>
        <w:t>五、其他资料</w:t>
      </w:r>
      <w:r>
        <w:tab/>
      </w:r>
      <w:r>
        <w:fldChar w:fldCharType="begin"/>
      </w:r>
      <w:r>
        <w:instrText xml:space="preserve"> PAGEREF _Toc109296551 \h </w:instrText>
      </w:r>
      <w:r>
        <w:fldChar w:fldCharType="separate"/>
      </w:r>
      <w:r>
        <w:t>- 33 -</w:t>
      </w:r>
      <w:r>
        <w:fldChar w:fldCharType="end"/>
      </w:r>
      <w:r>
        <w:fldChar w:fldCharType="end"/>
      </w:r>
    </w:p>
    <w:p>
      <w:pPr>
        <w:pStyle w:val="51"/>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pPr>
        <w:pStyle w:val="5"/>
        <w:spacing w:line="360" w:lineRule="auto"/>
        <w:jc w:val="center"/>
        <w:rPr>
          <w:rFonts w:ascii="宋体" w:eastAsia="宋体"/>
          <w:sz w:val="36"/>
          <w:szCs w:val="30"/>
        </w:rPr>
      </w:pPr>
      <w:bookmarkStart w:id="0" w:name="_Toc11641050"/>
      <w:bookmarkStart w:id="1" w:name="_Toc12789052"/>
      <w:bookmarkStart w:id="2" w:name="_Toc109296510"/>
      <w:r>
        <w:rPr>
          <w:rFonts w:hint="eastAsia" w:ascii="宋体" w:eastAsia="宋体"/>
          <w:sz w:val="36"/>
          <w:szCs w:val="30"/>
        </w:rPr>
        <w:t>第一篇  采购邀请书</w:t>
      </w:r>
      <w:bookmarkEnd w:id="0"/>
      <w:bookmarkEnd w:id="1"/>
      <w:bookmarkEnd w:id="2"/>
    </w:p>
    <w:p>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重庆市无线电监测站的委托，对重庆市无线电监测站检测中心防水工程政府采购项目（第二次）（项目号：CQCBJQ2206-174）进行竞争性磋商采购。欢迎有资格的供应商前来参与磋商。</w:t>
      </w:r>
    </w:p>
    <w:p>
      <w:pPr>
        <w:pStyle w:val="6"/>
        <w:spacing w:before="0" w:after="0" w:line="360" w:lineRule="auto"/>
        <w:ind w:firstLine="482" w:firstLineChars="200"/>
        <w:rPr>
          <w:rFonts w:ascii="宋体"/>
          <w:sz w:val="24"/>
          <w:szCs w:val="24"/>
        </w:rPr>
      </w:pPr>
      <w:bookmarkStart w:id="3" w:name="_Toc317775175"/>
      <w:bookmarkStart w:id="4" w:name="_Toc313893526"/>
      <w:bookmarkStart w:id="5" w:name="_Toc109296511"/>
      <w:r>
        <w:rPr>
          <w:rFonts w:hint="eastAsia" w:ascii="宋体"/>
          <w:sz w:val="24"/>
          <w:szCs w:val="24"/>
        </w:rPr>
        <w:t>一、竞争性磋商内容</w:t>
      </w:r>
      <w:bookmarkEnd w:id="3"/>
      <w:bookmarkEnd w:id="4"/>
      <w:bookmarkEnd w:id="5"/>
    </w:p>
    <w:tbl>
      <w:tblPr>
        <w:tblStyle w:val="6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bookmarkStart w:id="6" w:name="_Toc373860293"/>
            <w:bookmarkStart w:id="7" w:name="_Toc317775178"/>
            <w:r>
              <w:rPr>
                <w:rFonts w:hint="eastAsia" w:ascii="宋体" w:cs="宋体"/>
                <w:b/>
                <w:bCs/>
                <w:kern w:val="0"/>
                <w:sz w:val="21"/>
                <w:szCs w:val="24"/>
              </w:rPr>
              <w:t>项目内容</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最高限价</w:t>
            </w:r>
          </w:p>
          <w:p>
            <w:pPr>
              <w:widowControl/>
              <w:jc w:val="center"/>
              <w:rPr>
                <w:rFonts w:ascii="宋体" w:cs="宋体"/>
                <w:b/>
                <w:bCs/>
                <w:kern w:val="0"/>
                <w:sz w:val="21"/>
                <w:szCs w:val="24"/>
              </w:rPr>
            </w:pPr>
            <w:r>
              <w:rPr>
                <w:rFonts w:hint="eastAsia" w:ascii="宋体" w:cs="宋体"/>
                <w:b/>
                <w:bCs/>
                <w:kern w:val="0"/>
                <w:sz w:val="21"/>
                <w:szCs w:val="24"/>
              </w:rPr>
              <w:t>（万元）</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磋商保证金</w:t>
            </w:r>
          </w:p>
          <w:p>
            <w:pPr>
              <w:widowControl/>
              <w:jc w:val="center"/>
              <w:rPr>
                <w:rFonts w:ascii="宋体" w:cs="宋体"/>
                <w:b/>
                <w:bCs/>
                <w:kern w:val="0"/>
                <w:sz w:val="21"/>
                <w:szCs w:val="24"/>
              </w:rPr>
            </w:pPr>
            <w:r>
              <w:rPr>
                <w:rFonts w:hint="eastAsia" w:ascii="宋体" w:cs="宋体"/>
                <w:b/>
                <w:bCs/>
                <w:kern w:val="0"/>
                <w:sz w:val="21"/>
                <w:szCs w:val="24"/>
              </w:rPr>
              <w:t>（万元）</w:t>
            </w:r>
          </w:p>
        </w:tc>
        <w:tc>
          <w:tcPr>
            <w:tcW w:w="1701"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bookmarkStart w:id="8" w:name="_Hlk344477914"/>
            <w:r>
              <w:rPr>
                <w:rFonts w:hint="eastAsia" w:ascii="宋体"/>
                <w:sz w:val="21"/>
                <w:szCs w:val="21"/>
              </w:rPr>
              <w:t>重庆市无线电监测站检测中心防水工程</w:t>
            </w:r>
          </w:p>
        </w:tc>
        <w:tc>
          <w:tcPr>
            <w:tcW w:w="1347"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hAnsi="宋体"/>
                <w:kern w:val="0"/>
                <w:sz w:val="21"/>
                <w:szCs w:val="24"/>
              </w:rPr>
              <w:t>28</w:t>
            </w:r>
          </w:p>
        </w:tc>
        <w:tc>
          <w:tcPr>
            <w:tcW w:w="1347"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hAnsi="宋体"/>
                <w:kern w:val="0"/>
                <w:sz w:val="21"/>
                <w:szCs w:val="24"/>
              </w:rPr>
              <w:t>0.56</w:t>
            </w:r>
          </w:p>
        </w:tc>
        <w:tc>
          <w:tcPr>
            <w:tcW w:w="1701"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hint="eastAsia" w:ascii="宋体"/>
                <w:sz w:val="21"/>
                <w:szCs w:val="21"/>
              </w:rPr>
              <w:t>建筑业</w:t>
            </w:r>
          </w:p>
        </w:tc>
      </w:tr>
      <w:bookmarkEnd w:id="8"/>
    </w:tbl>
    <w:p>
      <w:pPr>
        <w:pStyle w:val="6"/>
        <w:spacing w:before="0" w:after="0" w:line="360" w:lineRule="auto"/>
        <w:ind w:firstLine="482" w:firstLineChars="200"/>
        <w:rPr>
          <w:rFonts w:ascii="宋体"/>
          <w:sz w:val="24"/>
          <w:szCs w:val="24"/>
        </w:rPr>
      </w:pPr>
      <w:bookmarkStart w:id="9" w:name="_Toc109296512"/>
      <w:r>
        <w:rPr>
          <w:rFonts w:hint="eastAsia" w:ascii="宋体"/>
          <w:sz w:val="24"/>
          <w:szCs w:val="24"/>
        </w:rPr>
        <w:t>二、资金来源</w:t>
      </w:r>
      <w:bookmarkEnd w:id="9"/>
    </w:p>
    <w:p>
      <w:pPr>
        <w:spacing w:line="360" w:lineRule="auto"/>
        <w:ind w:firstLine="480" w:firstLineChars="200"/>
        <w:rPr>
          <w:rFonts w:ascii="宋体"/>
          <w:sz w:val="24"/>
          <w:szCs w:val="24"/>
        </w:rPr>
      </w:pPr>
      <w:r>
        <w:rPr>
          <w:rFonts w:hint="eastAsia" w:ascii="宋体"/>
          <w:sz w:val="24"/>
          <w:szCs w:val="24"/>
        </w:rPr>
        <w:t>财政预算资金,预算金额为</w:t>
      </w:r>
      <w:r>
        <w:rPr>
          <w:rFonts w:ascii="宋体"/>
          <w:sz w:val="24"/>
          <w:szCs w:val="24"/>
          <w:u w:val="single"/>
        </w:rPr>
        <w:t>28</w:t>
      </w:r>
      <w:r>
        <w:rPr>
          <w:rFonts w:hint="eastAsia" w:ascii="宋体"/>
          <w:sz w:val="24"/>
          <w:szCs w:val="24"/>
        </w:rPr>
        <w:t>万元。</w:t>
      </w:r>
    </w:p>
    <w:bookmarkEnd w:id="6"/>
    <w:bookmarkEnd w:id="7"/>
    <w:p>
      <w:pPr>
        <w:pStyle w:val="6"/>
        <w:spacing w:before="0" w:after="0" w:line="360" w:lineRule="auto"/>
        <w:ind w:firstLine="482" w:firstLineChars="200"/>
        <w:rPr>
          <w:rFonts w:ascii="宋体"/>
          <w:sz w:val="24"/>
          <w:szCs w:val="24"/>
        </w:rPr>
      </w:pPr>
      <w:bookmarkStart w:id="10" w:name="_Toc75258773"/>
      <w:bookmarkStart w:id="11" w:name="_Toc109296513"/>
      <w:r>
        <w:rPr>
          <w:rFonts w:hint="eastAsia" w:ascii="宋体"/>
          <w:sz w:val="24"/>
          <w:szCs w:val="24"/>
        </w:rPr>
        <w:t>三、供应商资格条件</w:t>
      </w:r>
      <w:bookmarkEnd w:id="10"/>
      <w:bookmarkEnd w:id="11"/>
    </w:p>
    <w:p>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pPr>
        <w:spacing w:line="360" w:lineRule="auto"/>
        <w:ind w:firstLine="480" w:firstLineChars="200"/>
        <w:rPr>
          <w:rFonts w:ascii="宋体"/>
          <w:sz w:val="24"/>
          <w:szCs w:val="24"/>
        </w:rPr>
      </w:pPr>
      <w:r>
        <w:rPr>
          <w:rFonts w:hint="eastAsia" w:ascii="宋体"/>
          <w:sz w:val="24"/>
          <w:szCs w:val="24"/>
        </w:rPr>
        <w:t>（二）本项目的特定资格条件：无；</w:t>
      </w:r>
    </w:p>
    <w:p>
      <w:pPr>
        <w:spacing w:line="360" w:lineRule="auto"/>
        <w:ind w:firstLine="480" w:firstLineChars="200"/>
        <w:rPr>
          <w:rFonts w:ascii="宋体"/>
          <w:sz w:val="24"/>
          <w:szCs w:val="24"/>
        </w:rPr>
      </w:pPr>
      <w:r>
        <w:rPr>
          <w:rFonts w:hint="eastAsia" w:ascii="宋体"/>
          <w:sz w:val="24"/>
          <w:szCs w:val="24"/>
        </w:rPr>
        <w:t>（三）落实政府采购政策需满足的资格要求：</w:t>
      </w:r>
    </w:p>
    <w:p>
      <w:pPr>
        <w:spacing w:line="360" w:lineRule="auto"/>
        <w:ind w:firstLine="480" w:firstLineChars="200"/>
        <w:rPr>
          <w:rFonts w:ascii="宋体"/>
          <w:sz w:val="24"/>
          <w:szCs w:val="24"/>
        </w:rPr>
      </w:pPr>
      <w:r>
        <w:rPr>
          <w:rFonts w:hint="eastAsia" w:ascii="宋体"/>
          <w:sz w:val="24"/>
          <w:szCs w:val="24"/>
        </w:rPr>
        <w:t>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pPr>
        <w:pStyle w:val="6"/>
        <w:spacing w:before="0" w:after="0" w:line="360" w:lineRule="auto"/>
        <w:ind w:firstLine="482" w:firstLineChars="200"/>
        <w:rPr>
          <w:rFonts w:ascii="宋体"/>
          <w:sz w:val="24"/>
          <w:szCs w:val="24"/>
        </w:rPr>
      </w:pPr>
      <w:bookmarkStart w:id="13" w:name="_Toc109296514"/>
      <w:r>
        <w:rPr>
          <w:rFonts w:hint="eastAsia" w:ascii="宋体"/>
          <w:sz w:val="24"/>
          <w:szCs w:val="24"/>
        </w:rPr>
        <w:t>四、磋商有关说明</w:t>
      </w:r>
      <w:bookmarkEnd w:id="12"/>
      <w:bookmarkEnd w:id="13"/>
    </w:p>
    <w:p>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2022</w:t>
      </w:r>
      <w:r>
        <w:rPr>
          <w:rFonts w:hint="eastAsia" w:ascii="宋体"/>
          <w:sz w:val="24"/>
          <w:szCs w:val="24"/>
        </w:rPr>
        <w:t>年</w:t>
      </w:r>
      <w:r>
        <w:rPr>
          <w:rFonts w:ascii="宋体"/>
          <w:sz w:val="24"/>
          <w:szCs w:val="24"/>
        </w:rPr>
        <w:t>7</w:t>
      </w:r>
      <w:r>
        <w:rPr>
          <w:rFonts w:hint="eastAsia" w:ascii="宋体"/>
          <w:sz w:val="24"/>
          <w:szCs w:val="24"/>
        </w:rPr>
        <w:t>月</w:t>
      </w:r>
      <w:r>
        <w:rPr>
          <w:rFonts w:ascii="宋体"/>
          <w:sz w:val="24"/>
          <w:szCs w:val="24"/>
        </w:rPr>
        <w:t>21</w:t>
      </w:r>
      <w:r>
        <w:rPr>
          <w:rFonts w:hint="eastAsia" w:ascii="宋体"/>
          <w:sz w:val="24"/>
          <w:szCs w:val="24"/>
        </w:rPr>
        <w:t>日</w:t>
      </w:r>
      <w:r>
        <w:rPr>
          <w:rFonts w:ascii="宋体"/>
          <w:sz w:val="24"/>
          <w:szCs w:val="24"/>
        </w:rPr>
        <w:t>-2022</w:t>
      </w:r>
      <w:r>
        <w:rPr>
          <w:rFonts w:hint="eastAsia" w:ascii="宋体"/>
          <w:sz w:val="24"/>
          <w:szCs w:val="24"/>
        </w:rPr>
        <w:t>年7月</w:t>
      </w:r>
      <w:r>
        <w:rPr>
          <w:rFonts w:ascii="宋体"/>
          <w:sz w:val="24"/>
          <w:szCs w:val="24"/>
        </w:rPr>
        <w:t>28</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（三）竞争性磋商文件发售</w:t>
      </w:r>
    </w:p>
    <w:p>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pPr>
        <w:spacing w:line="360" w:lineRule="auto"/>
        <w:ind w:firstLine="480" w:firstLineChars="200"/>
        <w:rPr>
          <w:rFonts w:ascii="宋体" w:cs="宋体"/>
          <w:sz w:val="24"/>
          <w:szCs w:val="24"/>
        </w:rPr>
      </w:pPr>
      <w:r>
        <w:rPr>
          <w:rFonts w:hint="eastAsia" w:ascii="宋体" w:cs="宋体"/>
          <w:sz w:val="24"/>
          <w:szCs w:val="24"/>
        </w:rPr>
        <w:t>3.收款账户：</w:t>
      </w:r>
    </w:p>
    <w:p>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pPr>
        <w:spacing w:line="360" w:lineRule="auto"/>
        <w:ind w:firstLine="720" w:firstLineChars="300"/>
        <w:rPr>
          <w:rFonts w:ascii="宋体" w:cs="宋体"/>
          <w:sz w:val="24"/>
          <w:szCs w:val="24"/>
        </w:rPr>
      </w:pPr>
      <w:r>
        <w:rPr>
          <w:rFonts w:hint="eastAsia" w:ascii="宋体" w:cs="宋体"/>
          <w:sz w:val="24"/>
          <w:szCs w:val="24"/>
        </w:rPr>
        <w:t>账  号：1144 6718 4234</w:t>
      </w:r>
    </w:p>
    <w:p>
      <w:pPr>
        <w:spacing w:line="360" w:lineRule="auto"/>
        <w:ind w:firstLine="480" w:firstLineChars="200"/>
        <w:rPr>
          <w:rFonts w:ascii="宋体"/>
          <w:sz w:val="24"/>
          <w:szCs w:val="24"/>
        </w:rPr>
      </w:pPr>
      <w:r>
        <w:rPr>
          <w:rFonts w:hint="eastAsia" w:ascii="宋体"/>
          <w:sz w:val="24"/>
          <w:szCs w:val="24"/>
        </w:rPr>
        <w:t>4.未进行报名的潜在供应商将不得参与磋商。</w:t>
      </w:r>
    </w:p>
    <w:p>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2</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16</w:t>
      </w:r>
      <w:r>
        <w:rPr>
          <w:rFonts w:hint="eastAsia" w:ascii="宋体"/>
          <w:sz w:val="24"/>
          <w:szCs w:val="24"/>
        </w:rPr>
        <w:t>:</w:t>
      </w:r>
      <w:r>
        <w:rPr>
          <w:rFonts w:ascii="宋体"/>
          <w:sz w:val="24"/>
          <w:szCs w:val="24"/>
        </w:rPr>
        <w:t>0</w:t>
      </w:r>
      <w:r>
        <w:rPr>
          <w:rFonts w:hint="eastAsia" w:ascii="宋体"/>
          <w:sz w:val="24"/>
          <w:szCs w:val="24"/>
        </w:rPr>
        <w:t>0</w:t>
      </w:r>
    </w:p>
    <w:p>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2</w:t>
      </w:r>
      <w:r>
        <w:rPr>
          <w:rFonts w:hint="eastAsia" w:ascii="宋体"/>
          <w:sz w:val="24"/>
          <w:szCs w:val="24"/>
        </w:rPr>
        <w:t>日北京时间</w:t>
      </w:r>
      <w:r>
        <w:rPr>
          <w:rFonts w:ascii="宋体"/>
          <w:sz w:val="24"/>
          <w:szCs w:val="24"/>
        </w:rPr>
        <w:t>16</w:t>
      </w:r>
      <w:r>
        <w:rPr>
          <w:rFonts w:hint="eastAsia" w:ascii="宋体"/>
          <w:sz w:val="24"/>
          <w:szCs w:val="24"/>
        </w:rPr>
        <w:t>:</w:t>
      </w:r>
      <w:r>
        <w:rPr>
          <w:rFonts w:ascii="宋体"/>
          <w:sz w:val="24"/>
          <w:szCs w:val="24"/>
        </w:rPr>
        <w:t>0</w:t>
      </w:r>
      <w:r>
        <w:rPr>
          <w:rFonts w:hint="eastAsia" w:ascii="宋体"/>
          <w:sz w:val="24"/>
          <w:szCs w:val="24"/>
        </w:rPr>
        <w:t>0</w:t>
      </w:r>
    </w:p>
    <w:p>
      <w:pPr>
        <w:pStyle w:val="6"/>
        <w:spacing w:before="0" w:after="0" w:line="360" w:lineRule="auto"/>
        <w:ind w:firstLine="482" w:firstLineChars="200"/>
        <w:rPr>
          <w:rFonts w:ascii="宋体"/>
          <w:sz w:val="24"/>
          <w:szCs w:val="24"/>
        </w:rPr>
      </w:pPr>
      <w:bookmarkStart w:id="14" w:name="_Toc373860294"/>
      <w:bookmarkStart w:id="15" w:name="_Toc109296515"/>
      <w:bookmarkStart w:id="16" w:name="_Toc75258775"/>
      <w:r>
        <w:rPr>
          <w:rFonts w:hint="eastAsia" w:ascii="宋体"/>
          <w:sz w:val="24"/>
          <w:szCs w:val="24"/>
        </w:rPr>
        <w:t>五、磋商保证金</w:t>
      </w:r>
      <w:bookmarkEnd w:id="14"/>
      <w:bookmarkEnd w:id="15"/>
      <w:bookmarkEnd w:id="16"/>
    </w:p>
    <w:p>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），由供应商从其单位账户将磋商保证金汇至以下任一账户，磋商保证金的到账截止时间为202</w:t>
      </w:r>
      <w:r>
        <w:rPr>
          <w:rFonts w:ascii="宋体"/>
          <w:sz w:val="24"/>
          <w:szCs w:val="24"/>
        </w:rPr>
        <w:t>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1</w:t>
      </w:r>
      <w:r>
        <w:rPr>
          <w:rFonts w:hint="eastAsia" w:ascii="宋体"/>
          <w:sz w:val="24"/>
          <w:szCs w:val="24"/>
        </w:rPr>
        <w:t>日17:00。缴纳保证金时必须备注项目号。</w:t>
      </w:r>
    </w:p>
    <w:p>
      <w:pPr>
        <w:snapToGrid w:val="0"/>
        <w:spacing w:line="360" w:lineRule="auto"/>
        <w:ind w:firstLine="480" w:firstLineChars="200"/>
        <w:rPr>
          <w:rFonts w:ascii="宋体"/>
          <w:sz w:val="24"/>
          <w:szCs w:val="24"/>
        </w:rPr>
      </w:pPr>
      <w:r>
        <w:rPr>
          <w:rFonts w:hint="eastAsia" w:ascii="宋体"/>
          <w:sz w:val="24"/>
          <w:szCs w:val="24"/>
        </w:rPr>
        <w:t>投标保证金账户：</w:t>
      </w:r>
    </w:p>
    <w:p>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pPr>
        <w:snapToGrid w:val="0"/>
        <w:spacing w:line="360" w:lineRule="auto"/>
        <w:ind w:firstLine="480" w:firstLineChars="200"/>
        <w:rPr>
          <w:rFonts w:ascii="宋体"/>
          <w:sz w:val="24"/>
          <w:szCs w:val="24"/>
        </w:rPr>
      </w:pPr>
      <w:r>
        <w:rPr>
          <w:rFonts w:hint="eastAsia" w:ascii="宋体"/>
          <w:sz w:val="24"/>
          <w:szCs w:val="24"/>
        </w:rPr>
        <w:t>账  号：1144 6718 4234</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sz w:val="24"/>
          <w:szCs w:val="24"/>
        </w:rPr>
      </w:pPr>
      <w:r>
        <w:rPr>
          <w:rFonts w:hint="eastAsia" w:ascii="宋体"/>
          <w:sz w:val="24"/>
          <w:szCs w:val="24"/>
        </w:rPr>
        <w:t>咨询电话：（023）88758852。</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sz w:val="24"/>
          <w:szCs w:val="24"/>
        </w:rPr>
      </w:pPr>
      <w:r>
        <w:rPr>
          <w:rFonts w:hint="eastAsia" w:ascii="宋体"/>
          <w:sz w:val="24"/>
          <w:szCs w:val="24"/>
        </w:rPr>
        <w:t>咨询电话：（023）88758852。</w:t>
      </w:r>
    </w:p>
    <w:p>
      <w:pPr>
        <w:pStyle w:val="6"/>
        <w:spacing w:before="0" w:after="0" w:line="360" w:lineRule="auto"/>
        <w:ind w:firstLine="482" w:firstLineChars="200"/>
        <w:rPr>
          <w:rFonts w:ascii="宋体"/>
          <w:sz w:val="24"/>
          <w:szCs w:val="24"/>
        </w:rPr>
      </w:pPr>
      <w:bookmarkStart w:id="18" w:name="_Toc75258776"/>
      <w:bookmarkStart w:id="19" w:name="_Toc109296516"/>
      <w:r>
        <w:rPr>
          <w:rFonts w:hint="eastAsia" w:ascii="宋体"/>
          <w:sz w:val="24"/>
          <w:szCs w:val="24"/>
        </w:rPr>
        <w:t>六、采购项目需落实的政府采购政策</w:t>
      </w:r>
      <w:bookmarkEnd w:id="17"/>
      <w:bookmarkEnd w:id="18"/>
      <w:bookmarkEnd w:id="19"/>
    </w:p>
    <w:p>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pPr>
        <w:pStyle w:val="6"/>
        <w:spacing w:before="0" w:after="0" w:line="360" w:lineRule="auto"/>
        <w:ind w:firstLine="482" w:firstLineChars="200"/>
        <w:rPr>
          <w:rFonts w:ascii="宋体"/>
          <w:sz w:val="24"/>
          <w:szCs w:val="24"/>
        </w:rPr>
      </w:pPr>
      <w:bookmarkStart w:id="20" w:name="_Toc109296517"/>
      <w:bookmarkStart w:id="21" w:name="_Toc75258777"/>
      <w:r>
        <w:rPr>
          <w:rFonts w:hint="eastAsia" w:ascii="宋体"/>
          <w:sz w:val="24"/>
          <w:szCs w:val="24"/>
        </w:rPr>
        <w:t>七、其它有关规定</w:t>
      </w:r>
      <w:bookmarkEnd w:id="20"/>
      <w:bookmarkEnd w:id="21"/>
    </w:p>
    <w:p>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pPr>
        <w:snapToGrid w:val="0"/>
        <w:spacing w:line="360" w:lineRule="auto"/>
        <w:ind w:firstLine="480" w:firstLineChars="200"/>
        <w:rPr>
          <w:rFonts w:ascii="宋体"/>
          <w:sz w:val="24"/>
          <w:szCs w:val="24"/>
        </w:rPr>
      </w:pPr>
      <w:r>
        <w:rPr>
          <w:rFonts w:hint="eastAsia" w:ascii="宋体"/>
          <w:sz w:val="24"/>
          <w:szCs w:val="24"/>
        </w:rPr>
        <w:t>（七）本项目不接受合同分包。</w:t>
      </w:r>
    </w:p>
    <w:p>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sz w:val="24"/>
          <w:szCs w:val="24"/>
        </w:rPr>
      </w:pPr>
      <w:bookmarkStart w:id="22" w:name="_Toc109296518"/>
      <w:r>
        <w:rPr>
          <w:rFonts w:hint="eastAsia" w:ascii="宋体"/>
          <w:sz w:val="24"/>
          <w:szCs w:val="24"/>
        </w:rPr>
        <w:t>八、联系方式</w:t>
      </w:r>
      <w:bookmarkEnd w:id="22"/>
    </w:p>
    <w:p>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pPr>
        <w:snapToGrid w:val="0"/>
        <w:spacing w:line="360" w:lineRule="auto"/>
        <w:ind w:firstLine="480" w:firstLineChars="200"/>
        <w:rPr>
          <w:rFonts w:ascii="宋体"/>
          <w:sz w:val="24"/>
          <w:szCs w:val="24"/>
        </w:rPr>
      </w:pPr>
      <w:r>
        <w:rPr>
          <w:rFonts w:hint="eastAsia" w:ascii="宋体"/>
          <w:sz w:val="24"/>
          <w:szCs w:val="24"/>
        </w:rPr>
        <w:t>联系人：罗老师</w:t>
      </w:r>
    </w:p>
    <w:p>
      <w:pPr>
        <w:snapToGrid w:val="0"/>
        <w:spacing w:line="360" w:lineRule="auto"/>
        <w:ind w:firstLine="480" w:firstLineChars="200"/>
        <w:rPr>
          <w:rFonts w:ascii="宋体"/>
          <w:sz w:val="24"/>
          <w:szCs w:val="24"/>
        </w:rPr>
      </w:pPr>
      <w:r>
        <w:rPr>
          <w:rFonts w:hint="eastAsia" w:ascii="宋体"/>
          <w:sz w:val="24"/>
          <w:szCs w:val="24"/>
        </w:rPr>
        <w:t>电  话：（0</w:t>
      </w:r>
      <w:r>
        <w:rPr>
          <w:rFonts w:ascii="宋体"/>
          <w:sz w:val="24"/>
          <w:szCs w:val="24"/>
        </w:rPr>
        <w:t>23</w:t>
      </w:r>
      <w:r>
        <w:rPr>
          <w:rFonts w:hint="eastAsia" w:ascii="宋体"/>
          <w:sz w:val="24"/>
          <w:szCs w:val="24"/>
        </w:rPr>
        <w:t>）67710873</w:t>
      </w:r>
    </w:p>
    <w:p>
      <w:pPr>
        <w:snapToGrid w:val="0"/>
        <w:spacing w:line="360" w:lineRule="auto"/>
        <w:ind w:firstLine="480" w:firstLineChars="200"/>
        <w:rPr>
          <w:rFonts w:ascii="宋体"/>
          <w:sz w:val="24"/>
          <w:szCs w:val="24"/>
        </w:rPr>
      </w:pPr>
      <w:r>
        <w:rPr>
          <w:rFonts w:hint="eastAsia" w:ascii="宋体"/>
          <w:sz w:val="24"/>
          <w:szCs w:val="24"/>
        </w:rPr>
        <w:t>传  真：（0</w:t>
      </w:r>
      <w:r>
        <w:rPr>
          <w:rFonts w:ascii="宋体"/>
          <w:sz w:val="24"/>
          <w:szCs w:val="24"/>
        </w:rPr>
        <w:t>23</w:t>
      </w:r>
      <w:r>
        <w:rPr>
          <w:rFonts w:hint="eastAsia" w:ascii="宋体"/>
          <w:sz w:val="24"/>
          <w:szCs w:val="24"/>
        </w:rPr>
        <w:t>）67710873</w:t>
      </w:r>
    </w:p>
    <w:p>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联系人：陈老师、胡老师</w:t>
      </w:r>
    </w:p>
    <w:p>
      <w:pPr>
        <w:snapToGrid w:val="0"/>
        <w:spacing w:line="360" w:lineRule="auto"/>
        <w:ind w:firstLine="480" w:firstLineChars="200"/>
        <w:rPr>
          <w:rFonts w:ascii="宋体"/>
          <w:sz w:val="24"/>
          <w:szCs w:val="24"/>
        </w:rPr>
      </w:pPr>
      <w:r>
        <w:rPr>
          <w:rFonts w:hint="eastAsia" w:ascii="宋体"/>
          <w:sz w:val="24"/>
          <w:szCs w:val="24"/>
        </w:rPr>
        <w:t>电  话：（023）88758852</w:t>
      </w:r>
    </w:p>
    <w:p>
      <w:pPr>
        <w:snapToGrid w:val="0"/>
        <w:spacing w:line="360" w:lineRule="auto"/>
        <w:ind w:firstLine="480" w:firstLineChars="200"/>
        <w:rPr>
          <w:rFonts w:ascii="宋体"/>
          <w:sz w:val="24"/>
          <w:szCs w:val="24"/>
        </w:rPr>
      </w:pPr>
      <w:r>
        <w:rPr>
          <w:rFonts w:hint="eastAsia" w:ascii="宋体"/>
          <w:sz w:val="24"/>
          <w:szCs w:val="24"/>
        </w:rPr>
        <w:t>传  真：（023）88505947</w:t>
      </w:r>
    </w:p>
    <w:p>
      <w:pPr>
        <w:snapToGrid w:val="0"/>
        <w:spacing w:line="360" w:lineRule="auto"/>
        <w:ind w:firstLine="480" w:firstLineChars="200"/>
        <w:rPr>
          <w:rFonts w:ascii="宋体"/>
          <w:sz w:val="24"/>
          <w:szCs w:val="24"/>
        </w:rPr>
      </w:pPr>
      <w:bookmarkStart w:id="23" w:name="_Toc178828108"/>
      <w:bookmarkStart w:id="24" w:name="_Toc180051219"/>
      <w:bookmarkStart w:id="25" w:name="_Toc216163282"/>
      <w:r>
        <w:rPr>
          <w:rFonts w:hint="eastAsia" w:ascii="宋体"/>
          <w:sz w:val="24"/>
          <w:szCs w:val="24"/>
        </w:rPr>
        <w:t>地  址：重庆市渝北区财富大道2号财富大厦A座9楼</w:t>
      </w:r>
    </w:p>
    <w:p>
      <w:pPr>
        <w:pStyle w:val="2"/>
      </w:pPr>
    </w:p>
    <w:p>
      <w:pPr>
        <w:pStyle w:val="3"/>
      </w:pPr>
    </w:p>
    <w:bookmarkEnd w:id="23"/>
    <w:bookmarkEnd w:id="24"/>
    <w:bookmarkEnd w:id="25"/>
    <w:p>
      <w:pPr>
        <w:pStyle w:val="5"/>
        <w:pageBreakBefore/>
        <w:spacing w:line="360" w:lineRule="auto"/>
        <w:jc w:val="center"/>
        <w:rPr>
          <w:rFonts w:ascii="宋体" w:eastAsia="宋体"/>
          <w:sz w:val="36"/>
          <w:szCs w:val="30"/>
        </w:rPr>
      </w:pPr>
      <w:bookmarkStart w:id="26" w:name="_Toc109296519"/>
      <w:r>
        <w:rPr>
          <w:rFonts w:hint="eastAsia" w:ascii="宋体" w:eastAsia="宋体"/>
          <w:sz w:val="36"/>
          <w:szCs w:val="30"/>
        </w:rPr>
        <w:t>第二篇  项目服务需求</w:t>
      </w:r>
      <w:bookmarkEnd w:id="26"/>
    </w:p>
    <w:p>
      <w:pPr>
        <w:snapToGrid w:val="0"/>
        <w:spacing w:line="360" w:lineRule="auto"/>
        <w:ind w:firstLine="422" w:firstLineChars="200"/>
        <w:rPr>
          <w:rFonts w:ascii="宋体"/>
          <w:b/>
          <w:sz w:val="21"/>
          <w:szCs w:val="21"/>
        </w:rPr>
      </w:pPr>
      <w:bookmarkStart w:id="27" w:name="_Toc441065663"/>
      <w:bookmarkStart w:id="28" w:name="_Toc78194437"/>
      <w:bookmarkStart w:id="29" w:name="_Toc5006885"/>
      <w:bookmarkStart w:id="30" w:name="_Toc516989213"/>
      <w:bookmarkStart w:id="31" w:name="_Toc6232092"/>
      <w:bookmarkStart w:id="32" w:name="_Toc12789058"/>
      <w:r>
        <w:rPr>
          <w:rFonts w:hint="eastAsia" w:ascii="宋体"/>
          <w:b/>
          <w:sz w:val="21"/>
          <w:szCs w:val="21"/>
        </w:rPr>
        <w:t>“※”标注的要求为符合性审查中的实质性要求，响应文件若不满足按无效响应处理。</w:t>
      </w:r>
    </w:p>
    <w:p>
      <w:pPr>
        <w:snapToGrid w:val="0"/>
        <w:spacing w:line="360" w:lineRule="auto"/>
        <w:ind w:firstLine="422" w:firstLineChars="200"/>
        <w:rPr>
          <w:rFonts w:ascii="宋体"/>
          <w:b/>
          <w:sz w:val="21"/>
          <w:szCs w:val="21"/>
        </w:rPr>
      </w:pPr>
      <w:r>
        <w:rPr>
          <w:rFonts w:hint="eastAsia" w:ascii="宋体"/>
          <w:b/>
          <w:sz w:val="21"/>
          <w:szCs w:val="21"/>
        </w:rPr>
        <w:t>“★”标注的要求为重要技术需求，若不满足将按照评标因素中相关规定处理。</w:t>
      </w:r>
    </w:p>
    <w:bookmarkEnd w:id="27"/>
    <w:bookmarkEnd w:id="28"/>
    <w:bookmarkEnd w:id="29"/>
    <w:bookmarkEnd w:id="30"/>
    <w:bookmarkEnd w:id="31"/>
    <w:p>
      <w:pPr>
        <w:pStyle w:val="6"/>
        <w:spacing w:before="0" w:after="0" w:line="360" w:lineRule="auto"/>
        <w:ind w:firstLine="482" w:firstLineChars="200"/>
        <w:rPr>
          <w:rFonts w:ascii="宋体"/>
          <w:sz w:val="24"/>
          <w:szCs w:val="24"/>
        </w:rPr>
      </w:pPr>
      <w:bookmarkStart w:id="33" w:name="_Toc106202218"/>
      <w:bookmarkStart w:id="34" w:name="_Toc109296520"/>
      <w:bookmarkStart w:id="35" w:name="_Toc44251725"/>
      <w:r>
        <w:rPr>
          <w:rFonts w:hint="eastAsia" w:ascii="宋体"/>
          <w:sz w:val="24"/>
          <w:szCs w:val="24"/>
        </w:rPr>
        <w:t>一、采购项目一览表</w:t>
      </w:r>
      <w:bookmarkEnd w:id="33"/>
      <w:bookmarkEnd w:id="34"/>
      <w:bookmarkEnd w:id="35"/>
    </w:p>
    <w:tbl>
      <w:tblPr>
        <w:tblStyle w:val="68"/>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3"/>
        <w:gridCol w:w="1564"/>
        <w:gridCol w:w="156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053"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项目名称</w:t>
            </w:r>
          </w:p>
        </w:tc>
        <w:tc>
          <w:tcPr>
            <w:tcW w:w="1564"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单位</w:t>
            </w:r>
          </w:p>
        </w:tc>
        <w:tc>
          <w:tcPr>
            <w:tcW w:w="1564"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数量</w:t>
            </w:r>
          </w:p>
        </w:tc>
        <w:tc>
          <w:tcPr>
            <w:tcW w:w="1131" w:type="dxa"/>
            <w:vAlign w:val="center"/>
          </w:tcPr>
          <w:p>
            <w:pPr>
              <w:snapToGrid w:val="0"/>
              <w:jc w:val="center"/>
              <w:rPr>
                <w:rFonts w:ascii="宋体" w:hAnsi="宋体" w:cs="宋体"/>
                <w:b/>
                <w:color w:val="000000"/>
                <w:sz w:val="24"/>
                <w:szCs w:val="24"/>
              </w:rPr>
            </w:pPr>
            <w:r>
              <w:rPr>
                <w:rFonts w:hint="eastAsia" w:ascii="宋体" w:hAnsi="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5053" w:type="dxa"/>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重庆市无线电监测站检测中心防水工程</w:t>
            </w:r>
          </w:p>
        </w:tc>
        <w:tc>
          <w:tcPr>
            <w:tcW w:w="1564" w:type="dxa"/>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项</w:t>
            </w:r>
          </w:p>
        </w:tc>
        <w:tc>
          <w:tcPr>
            <w:tcW w:w="1564" w:type="dxa"/>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1131" w:type="dxa"/>
            <w:vAlign w:val="center"/>
          </w:tcPr>
          <w:p>
            <w:pPr>
              <w:snapToGrid w:val="0"/>
              <w:jc w:val="center"/>
              <w:rPr>
                <w:rFonts w:ascii="宋体" w:hAnsi="宋体" w:cs="宋体"/>
                <w:color w:val="000000"/>
                <w:sz w:val="24"/>
                <w:szCs w:val="24"/>
              </w:rPr>
            </w:pPr>
          </w:p>
        </w:tc>
      </w:tr>
    </w:tbl>
    <w:p>
      <w:pPr>
        <w:pStyle w:val="6"/>
        <w:spacing w:before="0" w:after="0" w:line="360" w:lineRule="auto"/>
        <w:ind w:firstLine="482" w:firstLineChars="200"/>
        <w:rPr>
          <w:rFonts w:ascii="宋体"/>
          <w:sz w:val="24"/>
          <w:szCs w:val="24"/>
        </w:rPr>
      </w:pPr>
      <w:bookmarkStart w:id="36" w:name="_Toc106202219"/>
      <w:bookmarkStart w:id="37" w:name="_Toc44251726"/>
      <w:bookmarkStart w:id="38" w:name="_Toc109296521"/>
      <w:r>
        <w:rPr>
          <w:rFonts w:hint="eastAsia" w:ascii="宋体"/>
          <w:sz w:val="24"/>
          <w:szCs w:val="24"/>
        </w:rPr>
        <w:t>二、采购项目要求</w:t>
      </w:r>
      <w:bookmarkEnd w:id="36"/>
      <w:bookmarkEnd w:id="37"/>
      <w:bookmarkEnd w:id="38"/>
    </w:p>
    <w:p>
      <w:pPr>
        <w:snapToGrid w:val="0"/>
        <w:spacing w:line="360" w:lineRule="auto"/>
        <w:ind w:firstLine="480" w:firstLineChars="200"/>
        <w:rPr>
          <w:rFonts w:ascii="宋体"/>
          <w:sz w:val="24"/>
          <w:szCs w:val="24"/>
        </w:rPr>
      </w:pPr>
      <w:r>
        <w:rPr>
          <w:rFonts w:hint="eastAsia" w:ascii="宋体"/>
          <w:sz w:val="24"/>
          <w:szCs w:val="24"/>
        </w:rPr>
        <w:t>（一）项目概况</w:t>
      </w:r>
    </w:p>
    <w:p>
      <w:pPr>
        <w:snapToGrid w:val="0"/>
        <w:spacing w:line="360" w:lineRule="auto"/>
        <w:ind w:firstLine="480" w:firstLineChars="200"/>
        <w:rPr>
          <w:rFonts w:ascii="宋体"/>
          <w:sz w:val="24"/>
          <w:szCs w:val="24"/>
        </w:rPr>
      </w:pPr>
      <w:r>
        <w:rPr>
          <w:rFonts w:hint="eastAsia" w:ascii="宋体"/>
          <w:sz w:val="24"/>
          <w:szCs w:val="24"/>
        </w:rPr>
        <w:t>1.重庆市无线电监测站检测中心伸缩缝漏水，渗漏水比较严重，进行翻新处理，部分基础设施需要更新，部分回填层需要挖掘和转移。</w:t>
      </w:r>
    </w:p>
    <w:p>
      <w:pPr>
        <w:snapToGrid w:val="0"/>
        <w:spacing w:line="360" w:lineRule="auto"/>
        <w:ind w:firstLine="480" w:firstLineChars="200"/>
        <w:rPr>
          <w:rFonts w:ascii="宋体"/>
          <w:sz w:val="24"/>
          <w:szCs w:val="24"/>
        </w:rPr>
      </w:pPr>
      <w:r>
        <w:rPr>
          <w:rFonts w:hint="eastAsia" w:ascii="宋体"/>
          <w:sz w:val="24"/>
          <w:szCs w:val="24"/>
        </w:rPr>
        <w:t>2.消防水池长期渗漏水，内墙防水已经失效老化，需重新施工翻新处理。</w:t>
      </w:r>
    </w:p>
    <w:p>
      <w:pPr>
        <w:snapToGrid w:val="0"/>
        <w:spacing w:line="360" w:lineRule="auto"/>
        <w:ind w:firstLine="480" w:firstLineChars="200"/>
        <w:rPr>
          <w:rFonts w:ascii="宋体"/>
          <w:sz w:val="24"/>
          <w:szCs w:val="24"/>
        </w:rPr>
      </w:pPr>
      <w:r>
        <w:rPr>
          <w:rFonts w:hint="eastAsia" w:ascii="宋体"/>
          <w:sz w:val="24"/>
          <w:szCs w:val="24"/>
        </w:rPr>
        <w:t>3.实验室四楼顶板大面积整体防水，屋顶防水层日晒雨淋均已老化，需重新施工翻新处理。</w:t>
      </w:r>
    </w:p>
    <w:p>
      <w:pPr>
        <w:snapToGrid w:val="0"/>
        <w:spacing w:line="360" w:lineRule="auto"/>
        <w:ind w:firstLine="480" w:firstLineChars="200"/>
        <w:rPr>
          <w:rFonts w:ascii="宋体"/>
          <w:sz w:val="24"/>
          <w:szCs w:val="24"/>
        </w:rPr>
      </w:pPr>
      <w:r>
        <w:rPr>
          <w:rFonts w:hint="eastAsia" w:ascii="宋体"/>
          <w:sz w:val="24"/>
          <w:szCs w:val="24"/>
        </w:rPr>
        <w:t>4.三楼花园交接缝渗漏水，深层土女儿墙需要挖开处理防水。</w:t>
      </w:r>
    </w:p>
    <w:p>
      <w:pPr>
        <w:snapToGrid w:val="0"/>
        <w:spacing w:line="360" w:lineRule="auto"/>
        <w:ind w:firstLine="480" w:firstLineChars="200"/>
        <w:rPr>
          <w:rFonts w:ascii="宋体"/>
          <w:sz w:val="24"/>
          <w:szCs w:val="24"/>
        </w:rPr>
      </w:pPr>
      <w:r>
        <w:rPr>
          <w:rFonts w:hint="eastAsia" w:ascii="宋体"/>
          <w:sz w:val="24"/>
          <w:szCs w:val="24"/>
        </w:rPr>
        <w:t>（二）标准规范</w:t>
      </w:r>
    </w:p>
    <w:p>
      <w:pPr>
        <w:snapToGrid w:val="0"/>
        <w:spacing w:line="360" w:lineRule="auto"/>
        <w:ind w:firstLine="480" w:firstLineChars="200"/>
        <w:rPr>
          <w:rFonts w:ascii="宋体"/>
          <w:sz w:val="24"/>
          <w:szCs w:val="24"/>
        </w:rPr>
      </w:pPr>
      <w:r>
        <w:rPr>
          <w:rFonts w:hint="eastAsia" w:ascii="宋体"/>
          <w:sz w:val="24"/>
          <w:szCs w:val="24"/>
        </w:rPr>
        <w:t>1.《建筑工程施工质量验收统一标准》GBJ50300-2013</w:t>
      </w:r>
    </w:p>
    <w:p>
      <w:pPr>
        <w:snapToGrid w:val="0"/>
        <w:spacing w:line="360" w:lineRule="auto"/>
        <w:ind w:firstLine="480" w:firstLineChars="200"/>
        <w:rPr>
          <w:rFonts w:ascii="宋体"/>
          <w:sz w:val="24"/>
          <w:szCs w:val="24"/>
        </w:rPr>
      </w:pPr>
      <w:r>
        <w:rPr>
          <w:rFonts w:hint="eastAsia" w:ascii="宋体"/>
          <w:sz w:val="24"/>
          <w:szCs w:val="24"/>
        </w:rPr>
        <w:t>2.</w:t>
      </w:r>
      <w:r>
        <w:rPr>
          <w:rFonts w:ascii="宋体"/>
          <w:sz w:val="24"/>
          <w:szCs w:val="24"/>
        </w:rPr>
        <w:t>《建筑装饰装修工程质量验收规范》GB50210-2018</w:t>
      </w:r>
    </w:p>
    <w:p>
      <w:pPr>
        <w:snapToGrid w:val="0"/>
        <w:spacing w:line="360" w:lineRule="auto"/>
        <w:ind w:firstLine="480" w:firstLineChars="200"/>
        <w:rPr>
          <w:rFonts w:ascii="宋体"/>
          <w:sz w:val="24"/>
          <w:szCs w:val="24"/>
        </w:rPr>
      </w:pPr>
      <w:r>
        <w:rPr>
          <w:rFonts w:hint="eastAsia" w:ascii="宋体"/>
          <w:sz w:val="24"/>
          <w:szCs w:val="24"/>
        </w:rPr>
        <w:t>（三）项目内容</w:t>
      </w:r>
    </w:p>
    <w:p>
      <w:pPr>
        <w:snapToGrid w:val="0"/>
        <w:spacing w:line="360" w:lineRule="auto"/>
        <w:ind w:firstLine="480" w:firstLineChars="200"/>
        <w:rPr>
          <w:rFonts w:ascii="宋体"/>
          <w:sz w:val="24"/>
          <w:szCs w:val="24"/>
        </w:rPr>
      </w:pPr>
      <w:r>
        <w:rPr>
          <w:rFonts w:hint="eastAsia" w:ascii="宋体"/>
          <w:sz w:val="24"/>
          <w:szCs w:val="24"/>
        </w:rPr>
        <w:t>1.施工区域及要求</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（1）伸缩缝渗漏水。</w:t>
      </w:r>
    </w:p>
    <w:p>
      <w:pPr>
        <w:snapToGrid w:val="0"/>
        <w:spacing w:line="360" w:lineRule="auto"/>
        <w:ind w:firstLine="480" w:firstLineChars="200"/>
        <w:rPr>
          <w:rFonts w:ascii="宋体"/>
          <w:sz w:val="24"/>
          <w:szCs w:val="24"/>
        </w:rPr>
      </w:pPr>
      <w:r>
        <w:rPr>
          <w:rFonts w:hint="eastAsia" w:ascii="宋体"/>
          <w:sz w:val="24"/>
          <w:szCs w:val="24"/>
        </w:rPr>
        <w:t>1）需防水层拆除：防水层种类:铲除伸缩缝缝宽150mm及两边500mm范围内原防水做法至结构层，清理干净基面。</w:t>
      </w:r>
    </w:p>
    <w:p>
      <w:pPr>
        <w:snapToGrid w:val="0"/>
        <w:spacing w:line="360" w:lineRule="auto"/>
        <w:ind w:firstLine="480" w:firstLineChars="200"/>
        <w:rPr>
          <w:rFonts w:ascii="宋体"/>
          <w:sz w:val="24"/>
          <w:szCs w:val="24"/>
        </w:rPr>
      </w:pPr>
      <w:r>
        <w:rPr>
          <w:rFonts w:hint="eastAsia" w:ascii="宋体"/>
          <w:sz w:val="24"/>
          <w:szCs w:val="24"/>
        </w:rPr>
        <w:t>2）伸缩缝卷材防水：①基层处理（铲除伸缩缝原防水做法，清理干净基面）；②找平层:1：3水泥砂浆找平层；③卷材品种、规格、厚度:3mmSBS页岩砂面沥青防水卷材；④防水层数:两道防水层；⑤防水层做法:3mmSBS页岩砂面沥青防水卷材一道，缝隙处做成V型，中间泡沫塑料棒，3mmSBS页岩砂面沥青防水卷材一道；⑥保护层:20mm厚1：2.5水泥砂浆保护层。</w:t>
      </w:r>
    </w:p>
    <w:p>
      <w:pPr>
        <w:snapToGrid w:val="0"/>
        <w:spacing w:line="360" w:lineRule="auto"/>
        <w:ind w:firstLine="480" w:firstLineChars="200"/>
        <w:rPr>
          <w:rFonts w:ascii="宋体"/>
          <w:sz w:val="24"/>
          <w:szCs w:val="24"/>
        </w:rPr>
      </w:pPr>
      <w:r>
        <w:rPr>
          <w:rFonts w:hint="eastAsia" w:ascii="宋体"/>
          <w:sz w:val="24"/>
          <w:szCs w:val="24"/>
        </w:rPr>
        <w:t>3)屋面变形缝：①盖缝材料:不锈钢板1.0mm厚②防护材料种类:缝隙处密封材料密封</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（2）消防水池渗漏水。</w:t>
      </w:r>
    </w:p>
    <w:p>
      <w:pPr>
        <w:snapToGrid w:val="0"/>
        <w:spacing w:line="360" w:lineRule="auto"/>
        <w:ind w:firstLine="480" w:firstLineChars="200"/>
        <w:rPr>
          <w:rFonts w:ascii="宋体"/>
          <w:sz w:val="24"/>
          <w:szCs w:val="24"/>
        </w:rPr>
      </w:pPr>
      <w:r>
        <w:rPr>
          <w:rFonts w:hint="eastAsia" w:ascii="宋体"/>
          <w:sz w:val="24"/>
          <w:szCs w:val="24"/>
        </w:rPr>
        <w:t>1)防水层拆除。防水层种类:铲除原设计防水做法至结构层，清理干净基面；</w:t>
      </w:r>
    </w:p>
    <w:p>
      <w:pPr>
        <w:snapToGrid w:val="0"/>
        <w:spacing w:line="360" w:lineRule="auto"/>
        <w:ind w:firstLine="480" w:firstLineChars="200"/>
        <w:rPr>
          <w:rFonts w:ascii="宋体"/>
          <w:sz w:val="24"/>
          <w:szCs w:val="24"/>
        </w:rPr>
      </w:pPr>
      <w:r>
        <w:rPr>
          <w:rFonts w:hint="eastAsia" w:ascii="宋体"/>
          <w:sz w:val="24"/>
          <w:szCs w:val="24"/>
        </w:rPr>
        <w:t>2)平面砂浆找平层。①名称:对基面进行必要的基层修复（局部水泥砂浆找平），使之达到新施作柔性防水层的基层要求②找平层厚度:20mm③砂浆种类及配合比:1:3水泥砂浆；</w:t>
      </w:r>
    </w:p>
    <w:p>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pPr>
        <w:snapToGrid w:val="0"/>
        <w:spacing w:line="360" w:lineRule="auto"/>
        <w:ind w:firstLine="480" w:firstLineChars="200"/>
        <w:rPr>
          <w:rFonts w:ascii="宋体"/>
          <w:sz w:val="24"/>
          <w:szCs w:val="24"/>
        </w:rPr>
      </w:pPr>
      <w:r>
        <w:rPr>
          <w:rFonts w:hint="eastAsia" w:ascii="宋体"/>
          <w:sz w:val="24"/>
          <w:szCs w:val="24"/>
        </w:rPr>
        <w:t>5)墙面卷材防水。①卷材品种、规格、厚度:1.5mm厚自粘湿铺防水卷材②防水层数:1层③防水层做法:阴阳角、穿墙管等节点部位基面处理，抹圆弧形，再做1.5mm厚CPS自粘湿铺防水卷材防水加强层；水池内大面积铺设1.5mm厚CPS自粘湿铺防水卷材防水层；卷材收头密封，检查验收;保护层：20mm厚1：2.5水泥砂浆面层。</w:t>
      </w:r>
    </w:p>
    <w:p>
      <w:pPr>
        <w:snapToGrid w:val="0"/>
        <w:spacing w:line="360" w:lineRule="auto"/>
        <w:ind w:firstLine="480" w:firstLineChars="200"/>
        <w:rPr>
          <w:rFonts w:ascii="宋体"/>
          <w:sz w:val="24"/>
          <w:szCs w:val="24"/>
        </w:rPr>
      </w:pPr>
      <w:r>
        <w:rPr>
          <w:rFonts w:hint="eastAsia" w:ascii="宋体"/>
          <w:sz w:val="24"/>
          <w:szCs w:val="24"/>
        </w:rPr>
        <w:t>6)地面卷材防水。①卷材品种、规格、厚度:1.5mm厚CPS自粘湿铺防水卷材②防水层数:1层③防水层做法:阴阳角、穿墙管等节点部位做1.5mm厚CPS自粘湿铺防水卷材加强层；水池内大面积铺设1.5mm厚CPS自粘湿铺防水卷材防水层；卷材收头密封，检查验收;保护层：20mm厚1：2.5水泥砂浆面层</w:t>
      </w:r>
    </w:p>
    <w:p>
      <w:pPr>
        <w:snapToGrid w:val="0"/>
        <w:spacing w:line="360" w:lineRule="auto"/>
        <w:ind w:firstLine="480" w:firstLineChars="200"/>
        <w:rPr>
          <w:rFonts w:ascii="宋体"/>
          <w:sz w:val="24"/>
          <w:szCs w:val="24"/>
        </w:rPr>
      </w:pPr>
      <w:r>
        <w:rPr>
          <w:rFonts w:hint="eastAsia" w:ascii="宋体"/>
          <w:sz w:val="24"/>
          <w:szCs w:val="24"/>
        </w:rPr>
        <w:t>（3）屋顶防水翻新处理。</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1)防水层拆除。防水层种类:铲除原设计防水做法至结构层，清理干净基面；</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2)平面砂浆找平层。①名称:对基面进行必要的基层修复（局部水泥砂浆找平），使之达到新施作柔性防水层的基层要求②找平层厚度:20mm③砂浆种类及配合比:1:3水泥砂浆</w:t>
      </w:r>
    </w:p>
    <w:p>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pPr>
        <w:snapToGrid w:val="0"/>
        <w:spacing w:line="360" w:lineRule="auto"/>
        <w:ind w:firstLine="480" w:firstLineChars="200"/>
        <w:rPr>
          <w:rFonts w:ascii="宋体"/>
          <w:sz w:val="24"/>
          <w:szCs w:val="24"/>
        </w:rPr>
      </w:pPr>
      <w:r>
        <w:rPr>
          <w:rFonts w:hint="eastAsia" w:ascii="宋体"/>
          <w:sz w:val="24"/>
          <w:szCs w:val="24"/>
        </w:rPr>
        <w:t>5)顶板卷材防水。①卷材品种、规格、厚度:3mm厚SBS页岩砂面沥青防水卷材②防水层数:1层③防水层做法:阴阳角、穿楼板管道等节点部位做3mm厚SBS页岩砂面沥青防水卷材加强层；大面积铺设3.mm厚SBS页岩砂面沥青防水卷材防水层；卷材收头密封，检查验收;试验:屋面蓄水试验；</w:t>
      </w:r>
    </w:p>
    <w:p>
      <w:pPr>
        <w:snapToGrid w:val="0"/>
        <w:spacing w:line="360" w:lineRule="auto"/>
        <w:ind w:firstLine="480" w:firstLineChars="200"/>
        <w:rPr>
          <w:rFonts w:ascii="宋体"/>
          <w:sz w:val="24"/>
          <w:szCs w:val="24"/>
        </w:rPr>
      </w:pPr>
      <w:r>
        <w:rPr>
          <w:rFonts w:hint="eastAsia" w:ascii="宋体"/>
          <w:sz w:val="24"/>
          <w:szCs w:val="24"/>
        </w:rPr>
        <w:t>6)屋面φ50PVC排水管。排水管品种、规格:φ50PVC排水管;做法:屋面开孔安装直径50PVC管，防水层上外露0.5米管端加弯头防水，防水层下伸至保温层内距屋面混凝土板约3cm，伸至保温层内50PVC管间隔2cm每圈钻直径8-10mm排水气孔</w:t>
      </w:r>
    </w:p>
    <w:p>
      <w:pPr>
        <w:snapToGrid w:val="0"/>
        <w:spacing w:line="360" w:lineRule="auto"/>
        <w:ind w:firstLine="480" w:firstLineChars="200"/>
        <w:rPr>
          <w:rFonts w:ascii="宋体"/>
          <w:sz w:val="24"/>
          <w:szCs w:val="24"/>
        </w:rPr>
      </w:pPr>
      <w:r>
        <w:rPr>
          <w:rFonts w:hint="eastAsia" w:ascii="宋体"/>
          <w:sz w:val="24"/>
          <w:szCs w:val="24"/>
        </w:rPr>
        <w:t>（4）三楼花园深层土女儿墙挖开处理防水。</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1)挖沟槽土方。①土壤类别:花园深层土②开挖方式:人工③挖土深度:500mm</w:t>
      </w:r>
    </w:p>
    <w:p>
      <w:pPr>
        <w:snapToGrid w:val="0"/>
        <w:spacing w:line="360" w:lineRule="auto"/>
        <w:ind w:firstLine="560" w:firstLineChars="200"/>
        <w:rPr>
          <w:rFonts w:ascii="宋体"/>
          <w:sz w:val="24"/>
          <w:szCs w:val="24"/>
        </w:rPr>
      </w:pPr>
      <w:r>
        <w:rPr>
          <w:rFonts w:hint="eastAsia"/>
        </w:rPr>
        <w:t>★</w:t>
      </w:r>
      <w:r>
        <w:rPr>
          <w:rFonts w:hint="eastAsia" w:ascii="宋体"/>
          <w:sz w:val="24"/>
          <w:szCs w:val="24"/>
        </w:rPr>
        <w:t>2)防水层拆除。防水层种类:破拆女儿墙根部500mm，清理出原设计防水层方便搭接，清理干净基面；</w:t>
      </w:r>
    </w:p>
    <w:p>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pPr>
        <w:snapToGrid w:val="0"/>
        <w:spacing w:line="360" w:lineRule="auto"/>
        <w:ind w:firstLine="480" w:firstLineChars="200"/>
        <w:rPr>
          <w:rFonts w:ascii="宋体"/>
          <w:sz w:val="24"/>
          <w:szCs w:val="24"/>
        </w:rPr>
      </w:pPr>
      <w:r>
        <w:rPr>
          <w:rFonts w:hint="eastAsia" w:ascii="宋体"/>
          <w:sz w:val="24"/>
          <w:szCs w:val="24"/>
        </w:rPr>
        <w:t>5)墙面卷材防水。①卷材品种、规格、厚度:3mm厚SBS页岩砂面沥青防水卷材②防水层数:1层③防水层做法:整体做3mm厚SBS页岩砂面沥青防水卷材加强层，上翻女儿墙500高；大面积铺设3.mm厚SBS页岩砂面沥青防水卷材防水层；卷材收头密封，检查验收；</w:t>
      </w:r>
    </w:p>
    <w:p>
      <w:pPr>
        <w:snapToGrid w:val="0"/>
        <w:spacing w:line="360" w:lineRule="auto"/>
        <w:ind w:firstLine="480" w:firstLineChars="200"/>
        <w:rPr>
          <w:rFonts w:ascii="宋体"/>
          <w:sz w:val="24"/>
          <w:szCs w:val="24"/>
        </w:rPr>
      </w:pPr>
      <w:r>
        <w:rPr>
          <w:rFonts w:hint="eastAsia" w:ascii="宋体"/>
          <w:sz w:val="24"/>
          <w:szCs w:val="24"/>
        </w:rPr>
        <w:t>6)墙面水泥砂浆保护层。①墙体类型:女儿墙②面层厚度、砂浆配合比:20厚1：3水泥砂浆保护层；</w:t>
      </w:r>
    </w:p>
    <w:p>
      <w:pPr>
        <w:snapToGrid w:val="0"/>
        <w:spacing w:line="360" w:lineRule="auto"/>
        <w:ind w:firstLine="480" w:firstLineChars="200"/>
        <w:rPr>
          <w:rFonts w:ascii="宋体"/>
          <w:sz w:val="24"/>
          <w:szCs w:val="24"/>
        </w:rPr>
      </w:pPr>
      <w:r>
        <w:rPr>
          <w:rFonts w:hint="eastAsia" w:ascii="宋体"/>
          <w:sz w:val="24"/>
          <w:szCs w:val="24"/>
        </w:rPr>
        <w:t>7)开挖处屋面恢复。①卷材品种、规格、厚度:3mm厚SBS页岩砂面沥青防水卷材②防水层数:1层③防水层做法:铺设3mm厚SBS页岩砂面沥青防水卷材防水层；10厚低标号砂浆隔离层；50厚C20混凝土双向配8@200；</w:t>
      </w:r>
    </w:p>
    <w:p>
      <w:pPr>
        <w:snapToGrid w:val="0"/>
        <w:spacing w:line="360" w:lineRule="auto"/>
        <w:ind w:firstLine="480" w:firstLineChars="200"/>
        <w:rPr>
          <w:rFonts w:ascii="宋体"/>
          <w:sz w:val="24"/>
          <w:szCs w:val="24"/>
        </w:rPr>
      </w:pPr>
      <w:r>
        <w:rPr>
          <w:rFonts w:hint="eastAsia" w:ascii="宋体"/>
          <w:sz w:val="24"/>
          <w:szCs w:val="24"/>
        </w:rPr>
        <w:t>塑料排（蓄）水层；土工布过滤层；种植土（其中含人造土透气层）；</w:t>
      </w:r>
    </w:p>
    <w:p>
      <w:pPr>
        <w:snapToGrid w:val="0"/>
        <w:spacing w:line="360" w:lineRule="auto"/>
        <w:ind w:firstLine="480" w:firstLineChars="200"/>
        <w:rPr>
          <w:rFonts w:ascii="宋体"/>
          <w:sz w:val="24"/>
          <w:szCs w:val="24"/>
        </w:rPr>
      </w:pPr>
      <w:r>
        <w:rPr>
          <w:rFonts w:hint="eastAsia" w:ascii="宋体"/>
          <w:sz w:val="24"/>
          <w:szCs w:val="24"/>
        </w:rPr>
        <w:t>2．主要设备材料清单(数量不限于，不包含耗材)。</w:t>
      </w:r>
    </w:p>
    <w:tbl>
      <w:tblPr>
        <w:tblStyle w:val="68"/>
        <w:tblW w:w="8871" w:type="dxa"/>
        <w:jc w:val="center"/>
        <w:tblInd w:w="0" w:type="dxa"/>
        <w:tblLayout w:type="fixed"/>
        <w:tblCellMar>
          <w:top w:w="0" w:type="dxa"/>
          <w:left w:w="108" w:type="dxa"/>
          <w:bottom w:w="0" w:type="dxa"/>
          <w:right w:w="108" w:type="dxa"/>
        </w:tblCellMar>
      </w:tblPr>
      <w:tblGrid>
        <w:gridCol w:w="816"/>
        <w:gridCol w:w="3677"/>
        <w:gridCol w:w="1417"/>
        <w:gridCol w:w="1191"/>
        <w:gridCol w:w="1770"/>
      </w:tblGrid>
      <w:tr>
        <w:tblPrEx>
          <w:tblLayout w:type="fixed"/>
          <w:tblCellMar>
            <w:top w:w="0" w:type="dxa"/>
            <w:left w:w="108" w:type="dxa"/>
            <w:bottom w:w="0" w:type="dxa"/>
            <w:right w:w="108" w:type="dxa"/>
          </w:tblCellMar>
        </w:tblPrEx>
        <w:trPr>
          <w:trHeight w:val="851" w:hRule="exact"/>
          <w:jc w:val="center"/>
        </w:trPr>
        <w:tc>
          <w:tcPr>
            <w:tcW w:w="816" w:type="dxa"/>
            <w:tcBorders>
              <w:top w:val="single" w:color="auto" w:sz="4" w:space="0"/>
              <w:left w:val="single" w:color="auto" w:sz="4" w:space="0"/>
              <w:bottom w:val="single" w:color="auto" w:sz="4" w:space="0"/>
              <w:right w:val="single" w:color="auto" w:sz="4" w:space="0"/>
            </w:tcBorders>
            <w:shd w:val="clear" w:color="FFFFFF" w:fill="FFFFFF"/>
            <w:vAlign w:val="center"/>
          </w:tcPr>
          <w:p>
            <w:pPr>
              <w:rPr>
                <w:sz w:val="24"/>
                <w:szCs w:val="24"/>
              </w:rPr>
            </w:pPr>
            <w:r>
              <w:rPr>
                <w:rFonts w:hint="eastAsia"/>
                <w:sz w:val="24"/>
                <w:szCs w:val="24"/>
              </w:rPr>
              <w:t>序号</w:t>
            </w:r>
          </w:p>
        </w:tc>
        <w:tc>
          <w:tcPr>
            <w:tcW w:w="3677" w:type="dxa"/>
            <w:tcBorders>
              <w:top w:val="single" w:color="auto" w:sz="4" w:space="0"/>
              <w:left w:val="nil"/>
              <w:bottom w:val="single" w:color="auto" w:sz="4" w:space="0"/>
              <w:right w:val="single" w:color="auto" w:sz="4" w:space="0"/>
            </w:tcBorders>
            <w:shd w:val="clear" w:color="FFFFFF" w:fill="FFFFFF"/>
            <w:vAlign w:val="center"/>
          </w:tcPr>
          <w:p>
            <w:pPr>
              <w:jc w:val="center"/>
              <w:rPr>
                <w:sz w:val="24"/>
                <w:szCs w:val="24"/>
              </w:rPr>
            </w:pPr>
            <w:r>
              <w:rPr>
                <w:rFonts w:hint="eastAsia"/>
                <w:sz w:val="24"/>
                <w:szCs w:val="24"/>
              </w:rPr>
              <w:t>维修区域</w:t>
            </w:r>
          </w:p>
        </w:tc>
        <w:tc>
          <w:tcPr>
            <w:tcW w:w="1417" w:type="dxa"/>
            <w:tcBorders>
              <w:top w:val="single" w:color="auto" w:sz="4" w:space="0"/>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数量</w:t>
            </w:r>
          </w:p>
        </w:tc>
        <w:tc>
          <w:tcPr>
            <w:tcW w:w="1191" w:type="dxa"/>
            <w:tcBorders>
              <w:top w:val="single" w:color="auto" w:sz="4" w:space="0"/>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单位</w:t>
            </w:r>
          </w:p>
        </w:tc>
        <w:tc>
          <w:tcPr>
            <w:tcW w:w="1770" w:type="dxa"/>
            <w:tcBorders>
              <w:top w:val="single" w:color="auto" w:sz="4" w:space="0"/>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备注</w:t>
            </w:r>
          </w:p>
        </w:tc>
      </w:tr>
      <w:tr>
        <w:tblPrEx>
          <w:tblLayout w:type="fixed"/>
          <w:tblCellMar>
            <w:top w:w="0" w:type="dxa"/>
            <w:left w:w="108" w:type="dxa"/>
            <w:bottom w:w="0" w:type="dxa"/>
            <w:right w:w="108" w:type="dxa"/>
          </w:tblCellMar>
        </w:tblPrEx>
        <w:trPr>
          <w:trHeight w:val="413"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pPr>
              <w:widowControl/>
              <w:jc w:val="center"/>
              <w:rPr>
                <w:sz w:val="24"/>
                <w:szCs w:val="24"/>
              </w:rPr>
            </w:pPr>
            <w:r>
              <w:rPr>
                <w:rFonts w:hint="eastAsia"/>
                <w:sz w:val="24"/>
                <w:szCs w:val="24"/>
              </w:rPr>
              <w:t>1</w:t>
            </w:r>
          </w:p>
        </w:tc>
        <w:tc>
          <w:tcPr>
            <w:tcW w:w="3677" w:type="dxa"/>
            <w:tcBorders>
              <w:top w:val="single" w:color="auto" w:sz="4" w:space="0"/>
              <w:left w:val="nil"/>
              <w:bottom w:val="single" w:color="auto" w:sz="4" w:space="0"/>
              <w:right w:val="single" w:color="auto" w:sz="4" w:space="0"/>
            </w:tcBorders>
            <w:shd w:val="clear" w:color="FFFFFF" w:fill="FFFFFF"/>
            <w:vAlign w:val="center"/>
          </w:tcPr>
          <w:p>
            <w:pPr>
              <w:widowControl/>
              <w:rPr>
                <w:sz w:val="24"/>
                <w:szCs w:val="24"/>
              </w:rPr>
            </w:pPr>
            <w:r>
              <w:rPr>
                <w:rFonts w:hint="eastAsia"/>
                <w:sz w:val="24"/>
                <w:szCs w:val="24"/>
              </w:rPr>
              <w:t>伸缩缝</w:t>
            </w:r>
          </w:p>
        </w:tc>
        <w:tc>
          <w:tcPr>
            <w:tcW w:w="1417" w:type="dxa"/>
            <w:tcBorders>
              <w:top w:val="nil"/>
              <w:left w:val="nil"/>
              <w:bottom w:val="single" w:color="auto" w:sz="4" w:space="0"/>
              <w:right w:val="single" w:color="auto" w:sz="4" w:space="0"/>
            </w:tcBorders>
            <w:shd w:val="clear" w:color="FFFFFF" w:fill="FFFFFF"/>
            <w:vAlign w:val="center"/>
          </w:tcPr>
          <w:p>
            <w:pPr>
              <w:widowControl/>
              <w:snapToGrid w:val="0"/>
              <w:jc w:val="center"/>
              <w:rPr>
                <w:sz w:val="24"/>
                <w:szCs w:val="24"/>
              </w:rPr>
            </w:pPr>
            <w:r>
              <w:rPr>
                <w:rFonts w:hint="eastAsia"/>
                <w:sz w:val="24"/>
                <w:szCs w:val="24"/>
              </w:rPr>
              <w:t>30.6</w:t>
            </w:r>
          </w:p>
        </w:tc>
        <w:tc>
          <w:tcPr>
            <w:tcW w:w="1191" w:type="dxa"/>
            <w:tcBorders>
              <w:top w:val="nil"/>
              <w:left w:val="nil"/>
              <w:bottom w:val="single" w:color="auto" w:sz="4" w:space="0"/>
              <w:right w:val="single" w:color="auto" w:sz="4" w:space="0"/>
            </w:tcBorders>
            <w:shd w:val="clear" w:color="FFFFFF" w:fill="FFFFFF"/>
            <w:vAlign w:val="center"/>
          </w:tcPr>
          <w:p>
            <w:pPr>
              <w:widowControl/>
              <w:snapToGrid w:val="0"/>
              <w:jc w:val="center"/>
              <w:rPr>
                <w:sz w:val="24"/>
                <w:szCs w:val="24"/>
              </w:rPr>
            </w:pPr>
            <w:r>
              <w:rPr>
                <w:rFonts w:hint="eastAsia"/>
                <w:sz w:val="24"/>
                <w:szCs w:val="24"/>
              </w:rPr>
              <w:t>米</w:t>
            </w:r>
          </w:p>
        </w:tc>
        <w:tc>
          <w:tcPr>
            <w:tcW w:w="1770" w:type="dxa"/>
            <w:tcBorders>
              <w:top w:val="nil"/>
              <w:left w:val="nil"/>
              <w:bottom w:val="single" w:color="auto" w:sz="4" w:space="0"/>
              <w:right w:val="single" w:color="auto" w:sz="4" w:space="0"/>
            </w:tcBorders>
            <w:shd w:val="clear" w:color="FFFFFF" w:fill="FFFFFF"/>
            <w:vAlign w:val="center"/>
          </w:tcPr>
          <w:p>
            <w:pPr>
              <w:widowControl/>
              <w:snapToGrid w:val="0"/>
              <w:jc w:val="center"/>
              <w:rPr>
                <w:sz w:val="24"/>
                <w:szCs w:val="24"/>
              </w:rPr>
            </w:pPr>
          </w:p>
        </w:tc>
      </w:tr>
      <w:tr>
        <w:tblPrEx>
          <w:tblLayout w:type="fixed"/>
          <w:tblCellMar>
            <w:top w:w="0" w:type="dxa"/>
            <w:left w:w="108" w:type="dxa"/>
            <w:bottom w:w="0" w:type="dxa"/>
            <w:right w:w="108" w:type="dxa"/>
          </w:tblCellMar>
        </w:tblPrEx>
        <w:trPr>
          <w:trHeight w:val="434"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pPr>
              <w:widowControl/>
              <w:jc w:val="center"/>
              <w:rPr>
                <w:sz w:val="24"/>
                <w:szCs w:val="24"/>
              </w:rPr>
            </w:pPr>
            <w:r>
              <w:rPr>
                <w:rFonts w:hint="eastAsia"/>
                <w:sz w:val="24"/>
                <w:szCs w:val="24"/>
              </w:rPr>
              <w:t>2</w:t>
            </w:r>
          </w:p>
        </w:tc>
        <w:tc>
          <w:tcPr>
            <w:tcW w:w="3677" w:type="dxa"/>
            <w:tcBorders>
              <w:top w:val="single" w:color="auto" w:sz="4" w:space="0"/>
              <w:left w:val="nil"/>
              <w:bottom w:val="single" w:color="auto" w:sz="4" w:space="0"/>
              <w:right w:val="single" w:color="auto" w:sz="4" w:space="0"/>
            </w:tcBorders>
            <w:shd w:val="clear" w:color="FFFFFF" w:fill="FFFFFF"/>
            <w:vAlign w:val="center"/>
          </w:tcPr>
          <w:p>
            <w:pPr>
              <w:widowControl/>
              <w:jc w:val="left"/>
              <w:rPr>
                <w:sz w:val="24"/>
                <w:szCs w:val="24"/>
              </w:rPr>
            </w:pPr>
            <w:r>
              <w:rPr>
                <w:rFonts w:hint="eastAsia"/>
                <w:sz w:val="24"/>
                <w:szCs w:val="24"/>
              </w:rPr>
              <w:t>消防水池内部整体防水</w:t>
            </w:r>
          </w:p>
        </w:tc>
        <w:tc>
          <w:tcPr>
            <w:tcW w:w="1417"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690.51</w:t>
            </w:r>
          </w:p>
        </w:tc>
        <w:tc>
          <w:tcPr>
            <w:tcW w:w="1191"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平方米</w:t>
            </w:r>
          </w:p>
        </w:tc>
        <w:tc>
          <w:tcPr>
            <w:tcW w:w="1770" w:type="dxa"/>
            <w:tcBorders>
              <w:top w:val="nil"/>
              <w:left w:val="nil"/>
              <w:bottom w:val="single" w:color="auto" w:sz="4" w:space="0"/>
              <w:right w:val="single" w:color="auto" w:sz="4" w:space="0"/>
            </w:tcBorders>
            <w:shd w:val="clear" w:color="FFFFFF" w:fill="FFFFFF"/>
            <w:vAlign w:val="center"/>
          </w:tcPr>
          <w:p>
            <w:pPr>
              <w:snapToGrid w:val="0"/>
              <w:ind w:firstLine="480" w:firstLineChars="200"/>
              <w:jc w:val="center"/>
              <w:rPr>
                <w:sz w:val="24"/>
                <w:szCs w:val="24"/>
              </w:rPr>
            </w:pPr>
          </w:p>
        </w:tc>
      </w:tr>
      <w:tr>
        <w:tblPrEx>
          <w:tblLayout w:type="fixed"/>
          <w:tblCellMar>
            <w:top w:w="0" w:type="dxa"/>
            <w:left w:w="108" w:type="dxa"/>
            <w:bottom w:w="0" w:type="dxa"/>
            <w:right w:w="108" w:type="dxa"/>
          </w:tblCellMar>
        </w:tblPrEx>
        <w:trPr>
          <w:trHeight w:val="425"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pPr>
              <w:widowControl/>
              <w:jc w:val="center"/>
              <w:rPr>
                <w:sz w:val="24"/>
                <w:szCs w:val="24"/>
              </w:rPr>
            </w:pPr>
            <w:r>
              <w:rPr>
                <w:rFonts w:hint="eastAsia"/>
                <w:sz w:val="24"/>
                <w:szCs w:val="24"/>
              </w:rPr>
              <w:t>3</w:t>
            </w:r>
          </w:p>
        </w:tc>
        <w:tc>
          <w:tcPr>
            <w:tcW w:w="3677" w:type="dxa"/>
            <w:tcBorders>
              <w:top w:val="single" w:color="auto" w:sz="4" w:space="0"/>
              <w:left w:val="nil"/>
              <w:bottom w:val="single" w:color="auto" w:sz="4" w:space="0"/>
              <w:right w:val="single" w:color="auto" w:sz="4" w:space="0"/>
            </w:tcBorders>
            <w:shd w:val="clear" w:color="FFFFFF" w:fill="FFFFFF"/>
            <w:vAlign w:val="center"/>
          </w:tcPr>
          <w:p>
            <w:pPr>
              <w:widowControl/>
              <w:jc w:val="left"/>
              <w:rPr>
                <w:sz w:val="24"/>
                <w:szCs w:val="24"/>
              </w:rPr>
            </w:pPr>
            <w:r>
              <w:rPr>
                <w:rFonts w:hint="eastAsia"/>
                <w:sz w:val="24"/>
                <w:szCs w:val="24"/>
              </w:rPr>
              <w:t>实验室四楼顶板大面积整体防水</w:t>
            </w:r>
          </w:p>
        </w:tc>
        <w:tc>
          <w:tcPr>
            <w:tcW w:w="1417"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791.13</w:t>
            </w:r>
          </w:p>
        </w:tc>
        <w:tc>
          <w:tcPr>
            <w:tcW w:w="1191"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平方米</w:t>
            </w:r>
          </w:p>
        </w:tc>
        <w:tc>
          <w:tcPr>
            <w:tcW w:w="1770" w:type="dxa"/>
            <w:tcBorders>
              <w:top w:val="nil"/>
              <w:left w:val="nil"/>
              <w:bottom w:val="single" w:color="auto" w:sz="4" w:space="0"/>
              <w:right w:val="single" w:color="auto" w:sz="4" w:space="0"/>
            </w:tcBorders>
            <w:shd w:val="clear" w:color="FFFFFF" w:fill="FFFFFF"/>
            <w:vAlign w:val="center"/>
          </w:tcPr>
          <w:p>
            <w:pPr>
              <w:snapToGrid w:val="0"/>
              <w:ind w:firstLine="480" w:firstLineChars="200"/>
              <w:jc w:val="center"/>
              <w:rPr>
                <w:sz w:val="24"/>
                <w:szCs w:val="24"/>
              </w:rPr>
            </w:pPr>
          </w:p>
        </w:tc>
      </w:tr>
      <w:tr>
        <w:tblPrEx>
          <w:tblLayout w:type="fixed"/>
          <w:tblCellMar>
            <w:top w:w="0" w:type="dxa"/>
            <w:left w:w="108" w:type="dxa"/>
            <w:bottom w:w="0" w:type="dxa"/>
            <w:right w:w="108" w:type="dxa"/>
          </w:tblCellMar>
        </w:tblPrEx>
        <w:trPr>
          <w:trHeight w:val="417"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pPr>
              <w:widowControl/>
              <w:jc w:val="center"/>
              <w:rPr>
                <w:sz w:val="24"/>
                <w:szCs w:val="24"/>
              </w:rPr>
            </w:pPr>
            <w:r>
              <w:rPr>
                <w:rFonts w:hint="eastAsia"/>
                <w:sz w:val="24"/>
                <w:szCs w:val="24"/>
              </w:rPr>
              <w:t>4</w:t>
            </w:r>
          </w:p>
        </w:tc>
        <w:tc>
          <w:tcPr>
            <w:tcW w:w="3677" w:type="dxa"/>
            <w:tcBorders>
              <w:top w:val="single" w:color="auto" w:sz="4" w:space="0"/>
              <w:left w:val="nil"/>
              <w:bottom w:val="single" w:color="auto" w:sz="4" w:space="0"/>
              <w:right w:val="single" w:color="auto" w:sz="4" w:space="0"/>
            </w:tcBorders>
            <w:shd w:val="clear" w:color="FFFFFF" w:fill="FFFFFF"/>
            <w:vAlign w:val="center"/>
          </w:tcPr>
          <w:p>
            <w:pPr>
              <w:widowControl/>
              <w:jc w:val="left"/>
              <w:rPr>
                <w:sz w:val="24"/>
                <w:szCs w:val="24"/>
              </w:rPr>
            </w:pPr>
            <w:r>
              <w:rPr>
                <w:rFonts w:hint="eastAsia"/>
                <w:sz w:val="24"/>
                <w:szCs w:val="24"/>
              </w:rPr>
              <w:t>三楼花园深层土女儿墙交接缝</w:t>
            </w:r>
          </w:p>
        </w:tc>
        <w:tc>
          <w:tcPr>
            <w:tcW w:w="1417"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28.2</w:t>
            </w:r>
          </w:p>
        </w:tc>
        <w:tc>
          <w:tcPr>
            <w:tcW w:w="1191" w:type="dxa"/>
            <w:tcBorders>
              <w:top w:val="nil"/>
              <w:left w:val="nil"/>
              <w:bottom w:val="single" w:color="auto" w:sz="4" w:space="0"/>
              <w:right w:val="single" w:color="auto" w:sz="4" w:space="0"/>
            </w:tcBorders>
            <w:shd w:val="clear" w:color="FFFFFF" w:fill="FFFFFF"/>
            <w:vAlign w:val="center"/>
          </w:tcPr>
          <w:p>
            <w:pPr>
              <w:snapToGrid w:val="0"/>
              <w:jc w:val="center"/>
              <w:rPr>
                <w:sz w:val="24"/>
                <w:szCs w:val="24"/>
              </w:rPr>
            </w:pPr>
            <w:r>
              <w:rPr>
                <w:rFonts w:hint="eastAsia"/>
                <w:sz w:val="24"/>
                <w:szCs w:val="24"/>
              </w:rPr>
              <w:t>米</w:t>
            </w:r>
          </w:p>
        </w:tc>
        <w:tc>
          <w:tcPr>
            <w:tcW w:w="1770" w:type="dxa"/>
            <w:tcBorders>
              <w:top w:val="nil"/>
              <w:left w:val="nil"/>
              <w:bottom w:val="single" w:color="auto" w:sz="4" w:space="0"/>
              <w:right w:val="single" w:color="auto" w:sz="4" w:space="0"/>
            </w:tcBorders>
            <w:shd w:val="clear" w:color="FFFFFF" w:fill="FFFFFF"/>
            <w:vAlign w:val="center"/>
          </w:tcPr>
          <w:p>
            <w:pPr>
              <w:snapToGrid w:val="0"/>
              <w:ind w:firstLine="480" w:firstLineChars="200"/>
              <w:jc w:val="center"/>
              <w:rPr>
                <w:sz w:val="24"/>
                <w:szCs w:val="24"/>
              </w:rPr>
            </w:pPr>
          </w:p>
        </w:tc>
      </w:tr>
    </w:tbl>
    <w:p>
      <w:pPr>
        <w:snapToGrid w:val="0"/>
        <w:spacing w:line="360" w:lineRule="auto"/>
        <w:ind w:firstLine="480" w:firstLineChars="200"/>
        <w:rPr>
          <w:rFonts w:ascii="宋体"/>
          <w:sz w:val="24"/>
          <w:szCs w:val="24"/>
        </w:rPr>
      </w:pPr>
      <w:r>
        <w:rPr>
          <w:rFonts w:hint="eastAsia" w:ascii="宋体"/>
          <w:sz w:val="24"/>
          <w:szCs w:val="24"/>
        </w:rPr>
        <w:t>3.本项目为包干工程。</w:t>
      </w:r>
    </w:p>
    <w:p>
      <w:pPr>
        <w:snapToGrid w:val="0"/>
        <w:spacing w:line="360" w:lineRule="auto"/>
        <w:ind w:firstLine="480" w:firstLineChars="200"/>
        <w:rPr>
          <w:rFonts w:ascii="宋体"/>
          <w:sz w:val="24"/>
          <w:szCs w:val="24"/>
        </w:rPr>
      </w:pPr>
      <w:r>
        <w:rPr>
          <w:rFonts w:hint="eastAsia" w:ascii="宋体"/>
          <w:sz w:val="24"/>
          <w:szCs w:val="24"/>
        </w:rPr>
        <w:t>4.供应商应加强施工人员的安全教育和管理，</w:t>
      </w:r>
      <w:r>
        <w:rPr>
          <w:rFonts w:ascii="宋体"/>
          <w:sz w:val="24"/>
          <w:szCs w:val="24"/>
        </w:rPr>
        <w:t>在</w:t>
      </w:r>
      <w:r>
        <w:rPr>
          <w:rFonts w:hint="eastAsia" w:ascii="宋体"/>
          <w:sz w:val="24"/>
          <w:szCs w:val="24"/>
        </w:rPr>
        <w:t>施工</w:t>
      </w:r>
      <w:r>
        <w:rPr>
          <w:rFonts w:ascii="宋体"/>
          <w:sz w:val="24"/>
          <w:szCs w:val="24"/>
        </w:rPr>
        <w:t>过程中</w:t>
      </w:r>
      <w:r>
        <w:rPr>
          <w:rFonts w:hint="eastAsia" w:ascii="宋体"/>
          <w:sz w:val="24"/>
          <w:szCs w:val="24"/>
        </w:rPr>
        <w:t>出现安全事故等责任和后果由供应商</w:t>
      </w:r>
      <w:r>
        <w:rPr>
          <w:rFonts w:ascii="宋体"/>
          <w:sz w:val="24"/>
          <w:szCs w:val="24"/>
        </w:rPr>
        <w:t>自行</w:t>
      </w:r>
      <w:r>
        <w:rPr>
          <w:rFonts w:hint="eastAsia" w:ascii="宋体"/>
          <w:sz w:val="24"/>
          <w:szCs w:val="24"/>
        </w:rPr>
        <w:t>承担。</w:t>
      </w:r>
    </w:p>
    <w:p>
      <w:pPr>
        <w:snapToGrid w:val="0"/>
        <w:spacing w:line="360" w:lineRule="auto"/>
        <w:ind w:firstLine="480" w:firstLineChars="200"/>
        <w:rPr>
          <w:rFonts w:ascii="宋体"/>
          <w:sz w:val="24"/>
          <w:szCs w:val="24"/>
        </w:rPr>
      </w:pPr>
      <w:r>
        <w:rPr>
          <w:rFonts w:hint="eastAsia" w:ascii="宋体"/>
          <w:sz w:val="24"/>
          <w:szCs w:val="24"/>
        </w:rPr>
        <w:t>5．其它</w:t>
      </w:r>
    </w:p>
    <w:p>
      <w:pPr>
        <w:snapToGrid w:val="0"/>
        <w:spacing w:line="360" w:lineRule="auto"/>
        <w:ind w:firstLine="480" w:firstLineChars="200"/>
        <w:rPr>
          <w:rFonts w:ascii="宋体"/>
          <w:sz w:val="24"/>
          <w:szCs w:val="24"/>
        </w:rPr>
      </w:pPr>
      <w:r>
        <w:rPr>
          <w:rFonts w:hint="eastAsia" w:ascii="宋体"/>
          <w:sz w:val="24"/>
          <w:szCs w:val="24"/>
        </w:rPr>
        <w:t>（1）供应商不按竞争性磋商文件要求实施，弄虚作假、降低质量标准、超过工期等行为，采购人有权终止合同，供应商自行承担经济损失和责任。</w:t>
      </w:r>
    </w:p>
    <w:p>
      <w:pPr>
        <w:snapToGrid w:val="0"/>
        <w:spacing w:line="360" w:lineRule="auto"/>
        <w:ind w:firstLine="480" w:firstLineChars="200"/>
        <w:rPr>
          <w:rFonts w:ascii="宋体"/>
          <w:sz w:val="24"/>
          <w:szCs w:val="24"/>
        </w:rPr>
      </w:pPr>
      <w:r>
        <w:rPr>
          <w:rFonts w:hint="eastAsia" w:ascii="宋体"/>
          <w:sz w:val="24"/>
          <w:szCs w:val="24"/>
        </w:rPr>
        <w:t>（2）供应商的技术建议书中，要求对本技术要求所提出各项要求进行逐条逐项答复、说明和解释，首先对实现或满足程度明确做出“满足”、“不满足”、“部分满足”等应答，然后做出具体、详细的说明。在答复中，要求明确满足程度，并做出总结性的详细解释。说明中有“详见”、“参见”的，应指明参见文档中的具体的章节或页码。</w:t>
      </w:r>
    </w:p>
    <w:p>
      <w:pPr>
        <w:snapToGrid w:val="0"/>
        <w:spacing w:line="360" w:lineRule="auto"/>
        <w:ind w:firstLine="480" w:firstLineChars="200"/>
        <w:rPr>
          <w:rFonts w:ascii="宋体"/>
          <w:sz w:val="24"/>
          <w:szCs w:val="24"/>
        </w:rPr>
      </w:pPr>
      <w:r>
        <w:rPr>
          <w:rFonts w:ascii="宋体"/>
          <w:sz w:val="24"/>
          <w:szCs w:val="24"/>
        </w:rPr>
        <w:t>1</w:t>
      </w:r>
      <w:r>
        <w:rPr>
          <w:rFonts w:hint="eastAsia" w:ascii="宋体"/>
          <w:sz w:val="24"/>
          <w:szCs w:val="24"/>
        </w:rPr>
        <w:t>）供应商应在技术建议书中做出系统解决方案。</w:t>
      </w:r>
    </w:p>
    <w:p>
      <w:pPr>
        <w:snapToGrid w:val="0"/>
        <w:spacing w:line="360" w:lineRule="auto"/>
        <w:ind w:firstLine="480" w:firstLineChars="200"/>
        <w:rPr>
          <w:rFonts w:ascii="宋体"/>
          <w:sz w:val="24"/>
          <w:szCs w:val="24"/>
        </w:rPr>
      </w:pPr>
      <w:r>
        <w:rPr>
          <w:rFonts w:hint="eastAsia" w:ascii="宋体"/>
          <w:sz w:val="24"/>
          <w:szCs w:val="24"/>
        </w:rPr>
        <w:t>2）供应商在技术建议书中应说明对供货时间、安装、调测等进度的具体安排。</w:t>
      </w:r>
    </w:p>
    <w:p>
      <w:pPr>
        <w:snapToGrid w:val="0"/>
        <w:spacing w:line="360" w:lineRule="auto"/>
        <w:ind w:firstLine="480" w:firstLineChars="200"/>
        <w:rPr>
          <w:rFonts w:ascii="宋体"/>
          <w:sz w:val="24"/>
          <w:szCs w:val="24"/>
        </w:rPr>
      </w:pPr>
      <w:r>
        <w:rPr>
          <w:rFonts w:ascii="宋体"/>
          <w:sz w:val="24"/>
          <w:szCs w:val="24"/>
        </w:rPr>
        <w:t>3</w:t>
      </w:r>
      <w:r>
        <w:rPr>
          <w:rFonts w:hint="eastAsia" w:ascii="宋体"/>
          <w:sz w:val="24"/>
          <w:szCs w:val="24"/>
        </w:rPr>
        <w:t>）供应商在技术建议书中应说明给采购人提供的技术文件、技术支持、技术服务、人员培训等的范围和程度。</w:t>
      </w:r>
    </w:p>
    <w:p>
      <w:pPr>
        <w:snapToGrid w:val="0"/>
        <w:spacing w:line="360" w:lineRule="auto"/>
        <w:ind w:firstLine="480" w:firstLineChars="200"/>
        <w:rPr>
          <w:rFonts w:ascii="宋体"/>
          <w:sz w:val="24"/>
          <w:szCs w:val="24"/>
        </w:rPr>
      </w:pPr>
      <w:r>
        <w:rPr>
          <w:rFonts w:hint="eastAsia" w:ascii="宋体"/>
          <w:sz w:val="24"/>
          <w:szCs w:val="24"/>
        </w:rPr>
        <w:t>4）供应商应在技术建议书中详细提供：系统功能及性能、系统配置</w:t>
      </w:r>
    </w:p>
    <w:p>
      <w:pPr>
        <w:snapToGrid w:val="0"/>
        <w:spacing w:line="360" w:lineRule="auto"/>
        <w:ind w:firstLine="480" w:firstLineChars="200"/>
        <w:rPr>
          <w:rFonts w:ascii="宋体"/>
          <w:sz w:val="24"/>
          <w:szCs w:val="24"/>
        </w:rPr>
      </w:pPr>
      <w:r>
        <w:rPr>
          <w:rFonts w:hint="eastAsia" w:ascii="宋体"/>
          <w:sz w:val="24"/>
          <w:szCs w:val="24"/>
        </w:rPr>
        <w:t>（4）供应商应按照本篇的要求提供报价和详细的技术建议。供应商提供的各项设备及系统的功能、性能应完全符合采购人指明的标准，并满足或高于采购人指出的要求。对于本文件未规定的有关设备性能，供应商应提出建议，并陈述其理由。</w:t>
      </w:r>
    </w:p>
    <w:p>
      <w:pPr>
        <w:snapToGrid w:val="0"/>
        <w:spacing w:line="360" w:lineRule="auto"/>
        <w:ind w:firstLine="480" w:firstLineChars="200"/>
        <w:rPr>
          <w:rFonts w:ascii="宋体"/>
          <w:sz w:val="24"/>
          <w:szCs w:val="24"/>
        </w:rPr>
      </w:pPr>
      <w:r>
        <w:rPr>
          <w:rFonts w:hint="eastAsia" w:ascii="宋体"/>
          <w:sz w:val="24"/>
          <w:szCs w:val="24"/>
        </w:rPr>
        <w:t>（5）本篇应视为保证系统运行所需的最低要求，如有遗漏，供应商应予以补充，否则一旦中标将认为成交供应商认同遗漏部分并免费提供。</w:t>
      </w:r>
    </w:p>
    <w:p>
      <w:pPr>
        <w:snapToGrid w:val="0"/>
        <w:spacing w:line="360" w:lineRule="auto"/>
        <w:ind w:firstLine="480" w:firstLineChars="200"/>
        <w:rPr>
          <w:rFonts w:ascii="宋体"/>
          <w:sz w:val="24"/>
          <w:szCs w:val="24"/>
        </w:rPr>
      </w:pPr>
      <w:r>
        <w:rPr>
          <w:rFonts w:hint="eastAsia" w:ascii="宋体"/>
          <w:sz w:val="24"/>
          <w:szCs w:val="24"/>
        </w:rPr>
        <w:t>（6）采购人在任何时候保留和拥有对本技术文件的解释权。采购人有权在签订合同前，根据实际需要补充本技术要求，最终技术要求将作为合同的附件。采购人有权在技术谈判的各个阶段，以书面形式要求供应商对有关问题进行进一步的技术澄清，供应商应以书面资料给予正式应答，所有各阶段的技术澄清文件都将作为合同附件。</w:t>
      </w:r>
    </w:p>
    <w:p>
      <w:pPr>
        <w:pStyle w:val="5"/>
        <w:pageBreakBefore/>
        <w:spacing w:line="360" w:lineRule="auto"/>
        <w:jc w:val="center"/>
        <w:rPr>
          <w:rFonts w:ascii="宋体" w:eastAsia="宋体"/>
          <w:sz w:val="36"/>
          <w:szCs w:val="30"/>
        </w:rPr>
      </w:pPr>
      <w:bookmarkStart w:id="39" w:name="_Toc109296522"/>
      <w:r>
        <w:rPr>
          <w:rFonts w:hint="eastAsia" w:ascii="宋体" w:eastAsia="宋体"/>
          <w:sz w:val="36"/>
          <w:szCs w:val="30"/>
        </w:rPr>
        <w:t>第三篇  项目商务需求</w:t>
      </w:r>
      <w:bookmarkEnd w:id="32"/>
      <w:bookmarkEnd w:id="39"/>
    </w:p>
    <w:p>
      <w:pPr>
        <w:snapToGrid w:val="0"/>
        <w:spacing w:line="360" w:lineRule="auto"/>
        <w:ind w:firstLine="422" w:firstLineChars="200"/>
        <w:rPr>
          <w:rFonts w:ascii="宋体"/>
          <w:b/>
          <w:sz w:val="24"/>
          <w:szCs w:val="24"/>
        </w:rPr>
      </w:pPr>
      <w:bookmarkStart w:id="40" w:name="_Toc267320049"/>
      <w:r>
        <w:rPr>
          <w:rFonts w:hint="eastAsia" w:ascii="宋体"/>
          <w:b/>
          <w:sz w:val="21"/>
          <w:szCs w:val="21"/>
        </w:rPr>
        <w:t>“※”标注的要求为符合性审查中的实质性要求，响应文件若不满足按无效投标处理。</w:t>
      </w:r>
    </w:p>
    <w:bookmarkEnd w:id="40"/>
    <w:p>
      <w:pPr>
        <w:pStyle w:val="6"/>
        <w:spacing w:before="0" w:after="0" w:line="360" w:lineRule="auto"/>
        <w:ind w:firstLine="482" w:firstLineChars="200"/>
        <w:rPr>
          <w:rFonts w:ascii="宋体"/>
          <w:sz w:val="24"/>
          <w:szCs w:val="24"/>
        </w:rPr>
      </w:pPr>
      <w:bookmarkStart w:id="41" w:name="_Toc16335"/>
      <w:bookmarkStart w:id="42" w:name="_Toc109296523"/>
      <w:bookmarkStart w:id="43" w:name="_Toc27142"/>
      <w:bookmarkStart w:id="44" w:name="_Toc79589963"/>
      <w:bookmarkStart w:id="45" w:name="_Toc21322"/>
      <w:r>
        <w:rPr>
          <w:rFonts w:hint="eastAsia" w:ascii="宋体"/>
          <w:sz w:val="24"/>
          <w:szCs w:val="24"/>
        </w:rPr>
        <w:t>※一、完成时间、实施地点及验收方式</w:t>
      </w:r>
      <w:bookmarkEnd w:id="41"/>
      <w:bookmarkEnd w:id="42"/>
      <w:bookmarkEnd w:id="43"/>
      <w:bookmarkEnd w:id="44"/>
      <w:bookmarkEnd w:id="45"/>
    </w:p>
    <w:p>
      <w:pPr>
        <w:snapToGrid w:val="0"/>
        <w:spacing w:line="360" w:lineRule="auto"/>
        <w:ind w:firstLine="480" w:firstLineChars="200"/>
        <w:rPr>
          <w:sz w:val="24"/>
          <w:szCs w:val="24"/>
        </w:rPr>
      </w:pPr>
      <w:r>
        <w:rPr>
          <w:rFonts w:hint="eastAsia"/>
          <w:sz w:val="24"/>
          <w:szCs w:val="24"/>
        </w:rPr>
        <w:t>（一）完成时间</w:t>
      </w:r>
    </w:p>
    <w:p>
      <w:pPr>
        <w:snapToGrid w:val="0"/>
        <w:spacing w:line="360" w:lineRule="auto"/>
        <w:ind w:firstLine="480" w:firstLineChars="200"/>
        <w:rPr>
          <w:sz w:val="24"/>
          <w:szCs w:val="24"/>
        </w:rPr>
      </w:pPr>
      <w:r>
        <w:rPr>
          <w:rFonts w:hint="eastAsia"/>
          <w:sz w:val="24"/>
          <w:szCs w:val="24"/>
        </w:rPr>
        <w:t>合同签署后30天内完成施工改造。</w:t>
      </w:r>
    </w:p>
    <w:p>
      <w:pPr>
        <w:snapToGrid w:val="0"/>
        <w:spacing w:line="360" w:lineRule="auto"/>
        <w:ind w:firstLine="480" w:firstLineChars="200"/>
        <w:rPr>
          <w:sz w:val="24"/>
          <w:szCs w:val="24"/>
        </w:rPr>
      </w:pPr>
      <w:r>
        <w:rPr>
          <w:rFonts w:hint="eastAsia"/>
          <w:sz w:val="24"/>
          <w:szCs w:val="24"/>
        </w:rPr>
        <w:t>（二）实施地点</w:t>
      </w:r>
    </w:p>
    <w:p>
      <w:pPr>
        <w:snapToGrid w:val="0"/>
        <w:spacing w:line="360" w:lineRule="auto"/>
        <w:ind w:firstLine="480" w:firstLineChars="200"/>
        <w:rPr>
          <w:sz w:val="24"/>
          <w:szCs w:val="24"/>
        </w:rPr>
      </w:pPr>
      <w:r>
        <w:rPr>
          <w:rFonts w:hint="eastAsia"/>
          <w:sz w:val="24"/>
          <w:szCs w:val="24"/>
        </w:rPr>
        <w:t>重庆市无线电监测站检测中心。</w:t>
      </w:r>
    </w:p>
    <w:p>
      <w:pPr>
        <w:snapToGrid w:val="0"/>
        <w:spacing w:line="360" w:lineRule="auto"/>
        <w:ind w:firstLine="480" w:firstLineChars="200"/>
        <w:rPr>
          <w:sz w:val="24"/>
          <w:szCs w:val="24"/>
        </w:rPr>
      </w:pPr>
      <w:r>
        <w:rPr>
          <w:rFonts w:hint="eastAsia"/>
          <w:sz w:val="24"/>
          <w:szCs w:val="24"/>
        </w:rPr>
        <w:t>（三）验收方式</w:t>
      </w:r>
    </w:p>
    <w:p>
      <w:pPr>
        <w:snapToGrid w:val="0"/>
        <w:spacing w:line="360" w:lineRule="auto"/>
        <w:ind w:firstLine="480" w:firstLineChars="200"/>
        <w:rPr>
          <w:rFonts w:ascii="宋体"/>
          <w:sz w:val="24"/>
          <w:szCs w:val="24"/>
        </w:rPr>
      </w:pPr>
      <w:r>
        <w:rPr>
          <w:rFonts w:hint="eastAsia"/>
          <w:sz w:val="24"/>
          <w:szCs w:val="24"/>
        </w:rPr>
        <w:t>项目验收分为初步验收和竣工验收，成交供应商完成项目内容，由采购人按照国家相关标准、招投标文件和合同进行初步验收。初步验收后，观察防水效果1个月正常无质量问题，采购人再组织开展竣工验收。</w:t>
      </w:r>
    </w:p>
    <w:p>
      <w:pPr>
        <w:pStyle w:val="6"/>
        <w:spacing w:before="0" w:after="0" w:line="360" w:lineRule="auto"/>
        <w:ind w:firstLine="482" w:firstLineChars="200"/>
        <w:rPr>
          <w:rFonts w:ascii="宋体"/>
          <w:sz w:val="24"/>
          <w:szCs w:val="24"/>
        </w:rPr>
      </w:pPr>
      <w:bookmarkStart w:id="46" w:name="_Toc15365"/>
      <w:bookmarkStart w:id="47" w:name="_Toc79589964"/>
      <w:bookmarkStart w:id="48" w:name="_Toc24153"/>
      <w:bookmarkStart w:id="49" w:name="_Toc109296524"/>
      <w:bookmarkStart w:id="50" w:name="_Toc22442"/>
      <w:bookmarkStart w:id="51" w:name="_Toc267320050"/>
      <w:r>
        <w:rPr>
          <w:rFonts w:hint="eastAsia" w:ascii="宋体"/>
          <w:sz w:val="24"/>
          <w:szCs w:val="24"/>
        </w:rPr>
        <w:t>※二、报价要求</w:t>
      </w:r>
      <w:bookmarkEnd w:id="46"/>
      <w:bookmarkEnd w:id="47"/>
      <w:bookmarkEnd w:id="48"/>
      <w:bookmarkEnd w:id="49"/>
      <w:bookmarkEnd w:id="50"/>
    </w:p>
    <w:p>
      <w:pPr>
        <w:snapToGrid w:val="0"/>
        <w:spacing w:line="360" w:lineRule="auto"/>
        <w:ind w:firstLine="480" w:firstLineChars="200"/>
        <w:rPr>
          <w:sz w:val="24"/>
          <w:szCs w:val="24"/>
        </w:rPr>
      </w:pPr>
      <w:r>
        <w:rPr>
          <w:rFonts w:hint="eastAsia"/>
          <w:sz w:val="24"/>
          <w:szCs w:val="24"/>
        </w:rPr>
        <w:t>（一）本次报价为人民币报价，包括但不限于完成本项目所需的设备或货物费、运输费（含装卸费）、安装调试费、人工费、材料费、税费以及项目验收费等所有费用。因成交供应商自身原因造成漏报、少报皆由其自行承担责任，采购人不再补偿。</w:t>
      </w:r>
    </w:p>
    <w:p>
      <w:pPr>
        <w:snapToGrid w:val="0"/>
        <w:spacing w:line="360" w:lineRule="auto"/>
        <w:ind w:firstLine="480" w:firstLineChars="200"/>
        <w:rPr>
          <w:sz w:val="24"/>
          <w:szCs w:val="24"/>
        </w:rPr>
      </w:pPr>
      <w:r>
        <w:rPr>
          <w:rFonts w:hint="eastAsia"/>
          <w:sz w:val="24"/>
          <w:szCs w:val="24"/>
        </w:rPr>
        <w:t>（二）供应商应根据配置情况，详细列出各种设备、材料、工具和软件等的清单，并在分项报价明细表中详细列出单价、合价等各项费用。</w:t>
      </w:r>
    </w:p>
    <w:p>
      <w:pPr>
        <w:pStyle w:val="6"/>
        <w:spacing w:before="0" w:after="0" w:line="360" w:lineRule="auto"/>
        <w:ind w:firstLine="482" w:firstLineChars="200"/>
        <w:rPr>
          <w:rFonts w:ascii="宋体"/>
          <w:sz w:val="24"/>
          <w:szCs w:val="24"/>
        </w:rPr>
      </w:pPr>
      <w:bookmarkStart w:id="52" w:name="_Toc79589965"/>
      <w:bookmarkStart w:id="53" w:name="_Toc109296525"/>
      <w:bookmarkStart w:id="54" w:name="_Toc16035"/>
      <w:bookmarkStart w:id="55" w:name="_Toc22216"/>
      <w:bookmarkStart w:id="56" w:name="_Toc24783"/>
      <w:r>
        <w:rPr>
          <w:rFonts w:hint="eastAsia" w:ascii="宋体"/>
          <w:sz w:val="24"/>
          <w:szCs w:val="24"/>
        </w:rPr>
        <w:t>※三、质量保证及售后服务</w:t>
      </w:r>
      <w:bookmarkEnd w:id="51"/>
      <w:bookmarkEnd w:id="52"/>
      <w:bookmarkEnd w:id="53"/>
      <w:bookmarkEnd w:id="54"/>
      <w:bookmarkEnd w:id="55"/>
      <w:bookmarkEnd w:id="56"/>
    </w:p>
    <w:p>
      <w:pPr>
        <w:snapToGrid w:val="0"/>
        <w:spacing w:line="360" w:lineRule="auto"/>
        <w:ind w:firstLine="480" w:firstLineChars="200"/>
        <w:rPr>
          <w:sz w:val="24"/>
          <w:szCs w:val="24"/>
        </w:rPr>
      </w:pPr>
      <w:r>
        <w:rPr>
          <w:rFonts w:hint="eastAsia"/>
          <w:sz w:val="24"/>
          <w:szCs w:val="24"/>
        </w:rPr>
        <w:t>（一）产品质量保证期</w:t>
      </w:r>
    </w:p>
    <w:p>
      <w:pPr>
        <w:snapToGrid w:val="0"/>
        <w:spacing w:line="360" w:lineRule="auto"/>
        <w:ind w:firstLine="480" w:firstLineChars="200"/>
        <w:rPr>
          <w:sz w:val="24"/>
          <w:szCs w:val="24"/>
        </w:rPr>
      </w:pPr>
      <w:r>
        <w:rPr>
          <w:rFonts w:hint="eastAsia"/>
          <w:sz w:val="24"/>
          <w:szCs w:val="24"/>
        </w:rPr>
        <w:t>1.自竣工验收合格之日起，防水质保期5年。</w:t>
      </w:r>
    </w:p>
    <w:p>
      <w:pPr>
        <w:snapToGrid w:val="0"/>
        <w:spacing w:line="360" w:lineRule="auto"/>
        <w:ind w:firstLine="480" w:firstLineChars="200"/>
        <w:rPr>
          <w:sz w:val="24"/>
          <w:szCs w:val="24"/>
        </w:rPr>
      </w:pPr>
      <w:r>
        <w:rPr>
          <w:rFonts w:hint="eastAsia"/>
          <w:sz w:val="24"/>
          <w:szCs w:val="24"/>
        </w:rPr>
        <w:t>2.采购货物属于国家规定“三包”范围的，其产品质量保证期不得低于“三包”规定。</w:t>
      </w:r>
    </w:p>
    <w:p>
      <w:pPr>
        <w:snapToGrid w:val="0"/>
        <w:spacing w:line="360" w:lineRule="auto"/>
        <w:ind w:firstLine="480" w:firstLineChars="200"/>
        <w:rPr>
          <w:sz w:val="24"/>
          <w:szCs w:val="24"/>
        </w:rPr>
      </w:pPr>
      <w:r>
        <w:rPr>
          <w:rFonts w:hint="eastAsia"/>
          <w:sz w:val="24"/>
          <w:szCs w:val="24"/>
        </w:rPr>
        <w:t>3.供应商的质量保证期承诺优于国家“三包”规定的，按供应商实际承诺执行。</w:t>
      </w:r>
    </w:p>
    <w:p>
      <w:pPr>
        <w:snapToGrid w:val="0"/>
        <w:spacing w:line="360" w:lineRule="auto"/>
        <w:ind w:firstLine="480" w:firstLineChars="200"/>
        <w:rPr>
          <w:sz w:val="24"/>
          <w:szCs w:val="24"/>
        </w:rPr>
      </w:pPr>
      <w:r>
        <w:rPr>
          <w:rFonts w:hint="eastAsia"/>
          <w:sz w:val="24"/>
          <w:szCs w:val="24"/>
        </w:rPr>
        <w:t>4.采购货物由产品制造商（指产品生产制造商以下同）负责标准售后服务，应当在响应文件中予以明确说明，并提供相关文件。</w:t>
      </w:r>
    </w:p>
    <w:p>
      <w:pPr>
        <w:snapToGrid w:val="0"/>
        <w:spacing w:line="360" w:lineRule="auto"/>
        <w:ind w:firstLine="480" w:firstLineChars="200"/>
        <w:rPr>
          <w:sz w:val="24"/>
          <w:szCs w:val="24"/>
        </w:rPr>
      </w:pPr>
      <w:r>
        <w:rPr>
          <w:rFonts w:hint="eastAsia"/>
          <w:sz w:val="24"/>
          <w:szCs w:val="24"/>
        </w:rPr>
        <w:t>（二）售后服务内容</w:t>
      </w:r>
    </w:p>
    <w:p>
      <w:pPr>
        <w:snapToGrid w:val="0"/>
        <w:spacing w:line="360" w:lineRule="auto"/>
        <w:ind w:firstLine="480" w:firstLineChars="200"/>
        <w:rPr>
          <w:sz w:val="24"/>
          <w:szCs w:val="24"/>
        </w:rPr>
      </w:pPr>
      <w:r>
        <w:rPr>
          <w:rFonts w:hint="eastAsia"/>
          <w:sz w:val="24"/>
          <w:szCs w:val="24"/>
        </w:rPr>
        <w:t>供应商和制造商在质量保证期内应当为采购人提供以下技术支持服务：</w:t>
      </w:r>
    </w:p>
    <w:p>
      <w:pPr>
        <w:snapToGrid w:val="0"/>
        <w:spacing w:line="360" w:lineRule="auto"/>
        <w:ind w:firstLine="480" w:firstLineChars="200"/>
        <w:rPr>
          <w:sz w:val="24"/>
          <w:szCs w:val="24"/>
        </w:rPr>
      </w:pPr>
      <w:r>
        <w:rPr>
          <w:rFonts w:hint="eastAsia"/>
          <w:sz w:val="24"/>
          <w:szCs w:val="24"/>
        </w:rPr>
        <w:t>1.质量保证期内服务要求</w:t>
      </w:r>
    </w:p>
    <w:p>
      <w:pPr>
        <w:snapToGrid w:val="0"/>
        <w:spacing w:line="360" w:lineRule="auto"/>
        <w:ind w:firstLine="480" w:firstLineChars="200"/>
        <w:rPr>
          <w:sz w:val="24"/>
          <w:szCs w:val="24"/>
        </w:rPr>
      </w:pPr>
      <w:r>
        <w:rPr>
          <w:rFonts w:hint="eastAsia"/>
          <w:sz w:val="24"/>
          <w:szCs w:val="24"/>
        </w:rPr>
        <w:t>1.1电话咨询</w:t>
      </w:r>
    </w:p>
    <w:p>
      <w:pPr>
        <w:snapToGrid w:val="0"/>
        <w:spacing w:line="360" w:lineRule="auto"/>
        <w:ind w:firstLine="480" w:firstLineChars="200"/>
        <w:rPr>
          <w:sz w:val="24"/>
          <w:szCs w:val="24"/>
        </w:rPr>
      </w:pPr>
      <w:r>
        <w:rPr>
          <w:rFonts w:hint="eastAsia"/>
          <w:sz w:val="24"/>
          <w:szCs w:val="24"/>
        </w:rPr>
        <w:t>成交供应商和制造商应当为用户提供技术援助电话，解答用户在使用中遇到的问题，及时为用户提出解决问题的建议。</w:t>
      </w:r>
    </w:p>
    <w:p>
      <w:pPr>
        <w:snapToGrid w:val="0"/>
        <w:spacing w:line="360" w:lineRule="auto"/>
        <w:ind w:firstLine="480" w:firstLineChars="200"/>
        <w:rPr>
          <w:sz w:val="24"/>
          <w:szCs w:val="24"/>
        </w:rPr>
      </w:pPr>
      <w:r>
        <w:rPr>
          <w:rFonts w:hint="eastAsia"/>
          <w:sz w:val="24"/>
          <w:szCs w:val="24"/>
        </w:rPr>
        <w:t>1.2现场响应</w:t>
      </w:r>
    </w:p>
    <w:p>
      <w:pPr>
        <w:snapToGrid w:val="0"/>
        <w:spacing w:line="360" w:lineRule="auto"/>
        <w:ind w:firstLine="480" w:firstLineChars="200"/>
        <w:rPr>
          <w:sz w:val="24"/>
          <w:szCs w:val="24"/>
        </w:rPr>
      </w:pPr>
      <w:r>
        <w:rPr>
          <w:rFonts w:hint="eastAsia"/>
          <w:sz w:val="24"/>
          <w:szCs w:val="24"/>
        </w:rPr>
        <w:t>用户遇到使用及技术问题，电话咨询不能解决的，成交供应商或制造商应在24小时内采取相应响应措施；无法在24小时内解决的，应在48小时内派出专业人员进行技术支持。</w:t>
      </w:r>
    </w:p>
    <w:p>
      <w:pPr>
        <w:snapToGrid w:val="0"/>
        <w:spacing w:line="360" w:lineRule="auto"/>
        <w:ind w:firstLine="480" w:firstLineChars="200"/>
        <w:rPr>
          <w:sz w:val="24"/>
          <w:szCs w:val="24"/>
        </w:rPr>
      </w:pPr>
      <w:r>
        <w:rPr>
          <w:rFonts w:hint="eastAsia"/>
          <w:sz w:val="24"/>
          <w:szCs w:val="24"/>
        </w:rPr>
        <w:t>2.质保期外服务要求</w:t>
      </w:r>
    </w:p>
    <w:p>
      <w:pPr>
        <w:snapToGrid w:val="0"/>
        <w:spacing w:line="360" w:lineRule="auto"/>
        <w:ind w:firstLine="480" w:firstLineChars="200"/>
        <w:rPr>
          <w:sz w:val="24"/>
          <w:szCs w:val="24"/>
        </w:rPr>
      </w:pPr>
      <w:r>
        <w:rPr>
          <w:rFonts w:hint="eastAsia"/>
          <w:sz w:val="24"/>
          <w:szCs w:val="24"/>
        </w:rPr>
        <w:t>2.1质量保证期过后，成交供应商和制造商应同样提供免费电话咨询服务，并应承诺提供产品上门维护服务。</w:t>
      </w:r>
    </w:p>
    <w:p>
      <w:pPr>
        <w:snapToGrid w:val="0"/>
        <w:spacing w:line="360" w:lineRule="auto"/>
        <w:ind w:firstLine="480" w:firstLineChars="200"/>
        <w:rPr>
          <w:sz w:val="24"/>
          <w:szCs w:val="24"/>
        </w:rPr>
      </w:pPr>
      <w:r>
        <w:rPr>
          <w:rFonts w:hint="eastAsia"/>
          <w:sz w:val="24"/>
          <w:szCs w:val="24"/>
        </w:rPr>
        <w:t>2.2质量保证期过后，采购人需要继续由原成交供应商和制造商提供售后服务的，成交供应商和制造商应以优惠价格提供售后服务。</w:t>
      </w:r>
    </w:p>
    <w:p>
      <w:pPr>
        <w:snapToGrid w:val="0"/>
        <w:spacing w:line="360" w:lineRule="auto"/>
        <w:ind w:firstLine="480" w:firstLineChars="200"/>
        <w:rPr>
          <w:sz w:val="24"/>
          <w:szCs w:val="24"/>
        </w:rPr>
      </w:pPr>
      <w:r>
        <w:rPr>
          <w:rFonts w:hint="eastAsia"/>
          <w:sz w:val="24"/>
          <w:szCs w:val="24"/>
        </w:rPr>
        <w:t>（三）故障响应时间要求</w:t>
      </w:r>
    </w:p>
    <w:p>
      <w:pPr>
        <w:snapToGrid w:val="0"/>
        <w:spacing w:line="360" w:lineRule="auto"/>
        <w:ind w:firstLine="480" w:firstLineChars="200"/>
        <w:rPr>
          <w:sz w:val="24"/>
          <w:szCs w:val="24"/>
        </w:rPr>
      </w:pPr>
      <w:r>
        <w:rPr>
          <w:rFonts w:hint="eastAsia"/>
          <w:sz w:val="24"/>
          <w:szCs w:val="24"/>
        </w:rPr>
        <w:t>供应商接到使用方产品出现问题的通知后立即作出响应，24小时内到达现场进行处理。</w:t>
      </w:r>
    </w:p>
    <w:p>
      <w:pPr>
        <w:pStyle w:val="6"/>
        <w:spacing w:before="0" w:after="0" w:line="360" w:lineRule="auto"/>
        <w:ind w:firstLine="482" w:firstLineChars="200"/>
        <w:rPr>
          <w:rFonts w:ascii="宋体"/>
          <w:sz w:val="24"/>
          <w:szCs w:val="24"/>
        </w:rPr>
      </w:pPr>
      <w:bookmarkStart w:id="57" w:name="_Toc109296526"/>
      <w:bookmarkStart w:id="58" w:name="_Toc523837615"/>
      <w:bookmarkStart w:id="59" w:name="_Toc7438"/>
      <w:bookmarkStart w:id="60" w:name="_Toc524444867"/>
      <w:bookmarkStart w:id="61" w:name="_Toc21833"/>
      <w:bookmarkStart w:id="62" w:name="_Toc449477398"/>
      <w:bookmarkStart w:id="63" w:name="_Toc79589966"/>
      <w:bookmarkStart w:id="64" w:name="_Toc24459"/>
      <w:bookmarkStart w:id="65" w:name="_Toc267320051"/>
      <w:r>
        <w:rPr>
          <w:rFonts w:hint="eastAsia" w:ascii="宋体"/>
          <w:sz w:val="24"/>
          <w:szCs w:val="24"/>
        </w:rPr>
        <w:t>※四、付款方式</w:t>
      </w:r>
      <w:bookmarkEnd w:id="57"/>
      <w:bookmarkEnd w:id="58"/>
      <w:bookmarkEnd w:id="59"/>
      <w:bookmarkEnd w:id="60"/>
      <w:bookmarkEnd w:id="61"/>
      <w:bookmarkEnd w:id="62"/>
      <w:bookmarkEnd w:id="63"/>
    </w:p>
    <w:p>
      <w:pPr>
        <w:snapToGrid w:val="0"/>
        <w:spacing w:line="360" w:lineRule="auto"/>
        <w:ind w:firstLine="480" w:firstLineChars="200"/>
        <w:rPr>
          <w:sz w:val="24"/>
          <w:szCs w:val="24"/>
        </w:rPr>
      </w:pPr>
      <w:bookmarkStart w:id="66" w:name="_Toc449477399"/>
      <w:bookmarkStart w:id="67" w:name="_Toc524444868"/>
      <w:bookmarkStart w:id="68" w:name="_Toc30476"/>
      <w:bookmarkStart w:id="69" w:name="_Toc523837616"/>
      <w:bookmarkStart w:id="70" w:name="_Toc14239"/>
      <w:bookmarkStart w:id="71" w:name="_Toc79589967"/>
      <w:r>
        <w:rPr>
          <w:rFonts w:hint="eastAsia"/>
          <w:sz w:val="24"/>
          <w:szCs w:val="24"/>
        </w:rPr>
        <w:t>（一）签订合同前，成交供应商向采购人指定账户汇入合同总金额3%的履约保证金；</w:t>
      </w:r>
    </w:p>
    <w:p>
      <w:pPr>
        <w:snapToGrid w:val="0"/>
        <w:spacing w:line="360" w:lineRule="auto"/>
        <w:ind w:firstLine="480" w:firstLineChars="200"/>
        <w:rPr>
          <w:sz w:val="24"/>
          <w:szCs w:val="24"/>
        </w:rPr>
      </w:pPr>
      <w:r>
        <w:rPr>
          <w:rFonts w:hint="eastAsia"/>
          <w:sz w:val="24"/>
          <w:szCs w:val="24"/>
        </w:rPr>
        <w:t>（二）签订合同后，支付合同金额50%款项。成交供应商完成所有工作内容，通过竣工验收后，支付剩余款项；</w:t>
      </w:r>
    </w:p>
    <w:p>
      <w:pPr>
        <w:snapToGrid w:val="0"/>
        <w:spacing w:line="360" w:lineRule="auto"/>
        <w:ind w:firstLine="480" w:firstLineChars="200"/>
        <w:rPr>
          <w:sz w:val="24"/>
          <w:szCs w:val="24"/>
        </w:rPr>
      </w:pPr>
      <w:r>
        <w:rPr>
          <w:rFonts w:hint="eastAsia"/>
          <w:sz w:val="24"/>
          <w:szCs w:val="24"/>
        </w:rPr>
        <w:t>（三）项目通过竣工验收后，履约保证金自动转换为质保金，质保期满后无质量问题，采购人一次性无息退还质保金。</w:t>
      </w:r>
    </w:p>
    <w:bookmarkEnd w:id="66"/>
    <w:bookmarkEnd w:id="67"/>
    <w:bookmarkEnd w:id="68"/>
    <w:bookmarkEnd w:id="69"/>
    <w:bookmarkEnd w:id="70"/>
    <w:bookmarkEnd w:id="71"/>
    <w:p>
      <w:pPr>
        <w:pStyle w:val="6"/>
        <w:spacing w:before="0" w:after="0" w:line="360" w:lineRule="auto"/>
        <w:ind w:firstLine="482" w:firstLineChars="200"/>
        <w:rPr>
          <w:rFonts w:ascii="宋体"/>
          <w:sz w:val="24"/>
          <w:szCs w:val="24"/>
        </w:rPr>
      </w:pPr>
      <w:bookmarkStart w:id="72" w:name="_Toc27507"/>
      <w:bookmarkStart w:id="73" w:name="_Toc524444870"/>
      <w:bookmarkStart w:id="74" w:name="_Toc523837618"/>
      <w:bookmarkStart w:id="75" w:name="_Toc23829"/>
      <w:bookmarkStart w:id="76" w:name="_Toc79589968"/>
      <w:bookmarkStart w:id="77" w:name="_Toc441065672"/>
      <w:bookmarkStart w:id="78" w:name="_Toc109296527"/>
      <w:r>
        <w:rPr>
          <w:rFonts w:hint="eastAsia" w:ascii="宋体"/>
          <w:sz w:val="24"/>
          <w:szCs w:val="24"/>
        </w:rPr>
        <w:t>五、其他</w:t>
      </w:r>
      <w:bookmarkEnd w:id="72"/>
      <w:bookmarkEnd w:id="73"/>
      <w:bookmarkEnd w:id="74"/>
      <w:bookmarkEnd w:id="75"/>
      <w:bookmarkEnd w:id="76"/>
      <w:bookmarkEnd w:id="77"/>
      <w:bookmarkEnd w:id="78"/>
    </w:p>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（一）供应商必须在响应文件中对以上条款和服务承诺明确列出，承诺内容必须达到本篇及采购文件其他条款的要求。</w:t>
      </w:r>
    </w:p>
    <w:p>
      <w:pPr>
        <w:snapToGrid w:val="0"/>
        <w:spacing w:line="360" w:lineRule="auto"/>
        <w:ind w:firstLine="480" w:firstLineChars="200"/>
        <w:rPr>
          <w:sz w:val="24"/>
          <w:szCs w:val="24"/>
        </w:rPr>
      </w:pPr>
      <w:r>
        <w:rPr>
          <w:rFonts w:hint="eastAsia"/>
          <w:sz w:val="24"/>
          <w:szCs w:val="24"/>
        </w:rPr>
        <w:t>（二）其他未尽事宜由双方在合同中约定。</w:t>
      </w:r>
      <w:bookmarkEnd w:id="64"/>
      <w:bookmarkEnd w:id="65"/>
    </w:p>
    <w:p>
      <w:pPr>
        <w:pStyle w:val="2"/>
        <w:ind w:firstLine="480"/>
        <w:rPr>
          <w:rFonts w:ascii="Calibri" w:eastAsia="宋体"/>
          <w:sz w:val="24"/>
          <w:szCs w:val="24"/>
        </w:rPr>
      </w:pP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pStyle w:val="5"/>
        <w:pageBreakBefore/>
        <w:spacing w:line="360" w:lineRule="auto"/>
        <w:jc w:val="center"/>
        <w:rPr>
          <w:rFonts w:ascii="宋体" w:eastAsia="宋体"/>
          <w:sz w:val="36"/>
          <w:szCs w:val="30"/>
        </w:rPr>
      </w:pPr>
      <w:bookmarkStart w:id="79" w:name="_Toc109296528"/>
      <w:r>
        <w:rPr>
          <w:rFonts w:hint="eastAsia" w:ascii="宋体" w:eastAsia="宋体"/>
          <w:sz w:val="36"/>
          <w:szCs w:val="30"/>
        </w:rPr>
        <w:t>第四篇  磋商程序及方法、评审标准、无效响应和采购终止</w:t>
      </w:r>
      <w:bookmarkEnd w:id="79"/>
    </w:p>
    <w:p>
      <w:pPr>
        <w:pStyle w:val="6"/>
        <w:snapToGrid w:val="0"/>
        <w:spacing w:before="0" w:after="0" w:line="360" w:lineRule="auto"/>
        <w:ind w:firstLine="482" w:firstLineChars="200"/>
        <w:rPr>
          <w:rFonts w:ascii="宋体"/>
          <w:sz w:val="24"/>
          <w:szCs w:val="24"/>
        </w:rPr>
      </w:pPr>
      <w:bookmarkStart w:id="80" w:name="_Toc109296529"/>
      <w:r>
        <w:rPr>
          <w:rFonts w:hint="eastAsia" w:ascii="宋体"/>
          <w:sz w:val="24"/>
          <w:szCs w:val="24"/>
        </w:rPr>
        <w:t>一、磋商程序及方法</w:t>
      </w:r>
      <w:bookmarkEnd w:id="80"/>
    </w:p>
    <w:p>
      <w:pPr>
        <w:spacing w:line="360" w:lineRule="auto"/>
        <w:ind w:firstLine="480" w:firstLineChars="200"/>
        <w:rPr>
          <w:rFonts w:ascii="宋体"/>
          <w:sz w:val="24"/>
          <w:szCs w:val="24"/>
        </w:rPr>
      </w:pPr>
      <w:r>
        <w:rPr>
          <w:rFonts w:hint="eastAsia" w:asci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sz w:val="24"/>
          <w:szCs w:val="24"/>
        </w:rPr>
      </w:pPr>
      <w:r>
        <w:rPr>
          <w:rFonts w:hint="eastAsia" w:asci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cs="宋体"/>
          <w:kern w:val="0"/>
          <w:sz w:val="24"/>
          <w:szCs w:val="24"/>
        </w:rPr>
      </w:pPr>
      <w:r>
        <w:rPr>
          <w:rFonts w:hint="eastAsia" w:ascii="宋体"/>
          <w:sz w:val="24"/>
          <w:szCs w:val="24"/>
        </w:rPr>
        <w:t>1.</w:t>
      </w:r>
      <w:r>
        <w:rPr>
          <w:rFonts w:hint="eastAsia" w:asci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宋体" w:hAnsi="宋体"/>
                <w:sz w:val="21"/>
                <w:szCs w:val="21"/>
              </w:rPr>
            </w:pPr>
            <w:r>
              <w:rPr>
                <w:rFonts w:hint="eastAsia" w:ascii="宋体" w:hAnsi="宋体"/>
                <w:sz w:val="21"/>
                <w:szCs w:val="21"/>
              </w:rPr>
              <w:t>（一）</w:t>
            </w:r>
          </w:p>
        </w:tc>
        <w:tc>
          <w:tcPr>
            <w:tcW w:w="709" w:type="dxa"/>
            <w:vMerge w:val="restart"/>
            <w:vAlign w:val="center"/>
          </w:tcPr>
          <w:p>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pPr>
              <w:rPr>
                <w:rFonts w:ascii="宋体" w:hAnsi="宋体"/>
                <w:sz w:val="21"/>
                <w:szCs w:val="21"/>
              </w:rPr>
            </w:pPr>
            <w:r>
              <w:rPr>
                <w:rFonts w:hint="eastAsia" w:ascii="宋体" w:hAnsi="宋体"/>
                <w:sz w:val="21"/>
                <w:szCs w:val="21"/>
              </w:rPr>
              <w:t>1.具有独立承担民事责任的能力</w:t>
            </w:r>
          </w:p>
        </w:tc>
        <w:tc>
          <w:tcPr>
            <w:tcW w:w="4984" w:type="dxa"/>
            <w:vAlign w:val="center"/>
          </w:tcPr>
          <w:p>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pPr>
              <w:rPr>
                <w:rFonts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6.法律、行政法规规定的其他条件</w:t>
            </w:r>
          </w:p>
        </w:tc>
        <w:tc>
          <w:tcPr>
            <w:tcW w:w="4984"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7.本项目的特定资格要求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1"/>
                <w:szCs w:val="21"/>
              </w:rPr>
            </w:pPr>
            <w:r>
              <w:rPr>
                <w:rFonts w:hint="eastAsia" w:ascii="宋体" w:hAnsi="宋体"/>
                <w:sz w:val="21"/>
                <w:szCs w:val="21"/>
              </w:rPr>
              <w:t>（二）</w:t>
            </w:r>
          </w:p>
        </w:tc>
        <w:tc>
          <w:tcPr>
            <w:tcW w:w="3827" w:type="dxa"/>
            <w:gridSpan w:val="2"/>
            <w:vAlign w:val="center"/>
          </w:tcPr>
          <w:p>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pPr>
        <w:snapToGrid w:val="0"/>
        <w:spacing w:line="360" w:lineRule="auto"/>
        <w:ind w:firstLine="480" w:firstLineChars="200"/>
        <w:rPr>
          <w:rFonts w:ascii="宋体" w:cs="宋体"/>
          <w:kern w:val="0"/>
          <w:sz w:val="24"/>
          <w:szCs w:val="24"/>
        </w:rPr>
      </w:pPr>
      <w:r>
        <w:rPr>
          <w:rFonts w:hint="eastAsia" w:ascii="宋体" w:cs="宋体"/>
          <w:kern w:val="0"/>
          <w:sz w:val="24"/>
          <w:szCs w:val="24"/>
        </w:rPr>
        <w:t>注：</w:t>
      </w:r>
    </w:p>
    <w:p>
      <w:pPr>
        <w:snapToGrid w:val="0"/>
        <w:spacing w:line="360" w:lineRule="auto"/>
        <w:ind w:firstLine="480" w:firstLineChars="200"/>
        <w:rPr>
          <w:rFonts w:ascii="宋体" w:cs="宋体"/>
          <w:kern w:val="0"/>
          <w:sz w:val="24"/>
          <w:szCs w:val="24"/>
        </w:rPr>
      </w:pPr>
      <w:r>
        <w:rPr>
          <w:rFonts w:hint="eastAsia" w:asci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pacing w:line="360" w:lineRule="auto"/>
        <w:ind w:firstLine="480" w:firstLineChars="200"/>
        <w:rPr>
          <w:rFonts w:ascii="宋体"/>
          <w:kern w:val="0"/>
          <w:sz w:val="24"/>
          <w:szCs w:val="24"/>
        </w:rPr>
      </w:pPr>
      <w:r>
        <w:rPr>
          <w:rFonts w:hint="eastAsia" w:ascii="宋体"/>
          <w:sz w:val="24"/>
          <w:szCs w:val="24"/>
        </w:rPr>
        <w:t>2.</w:t>
      </w:r>
      <w:r>
        <w:rPr>
          <w:rFonts w:hint="eastAsia" w:asci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cs="宋体"/>
                <w:b/>
                <w:kern w:val="0"/>
                <w:sz w:val="21"/>
                <w:szCs w:val="21"/>
              </w:rPr>
            </w:pPr>
            <w:r>
              <w:rPr>
                <w:rFonts w:hint="eastAsia" w:ascii="宋体" w:cs="宋体"/>
                <w:b/>
                <w:kern w:val="0"/>
                <w:sz w:val="21"/>
                <w:szCs w:val="21"/>
              </w:rPr>
              <w:t>序号</w:t>
            </w:r>
          </w:p>
        </w:tc>
        <w:tc>
          <w:tcPr>
            <w:tcW w:w="3569" w:type="dxa"/>
            <w:gridSpan w:val="2"/>
            <w:vAlign w:val="center"/>
          </w:tcPr>
          <w:p>
            <w:pPr>
              <w:spacing w:line="240" w:lineRule="exact"/>
              <w:jc w:val="center"/>
              <w:rPr>
                <w:rFonts w:ascii="宋体" w:cs="宋体"/>
                <w:b/>
                <w:kern w:val="0"/>
                <w:sz w:val="21"/>
                <w:szCs w:val="21"/>
              </w:rPr>
            </w:pPr>
            <w:r>
              <w:rPr>
                <w:rFonts w:hint="eastAsia" w:ascii="宋体" w:cs="宋体"/>
                <w:b/>
                <w:kern w:val="0"/>
                <w:sz w:val="21"/>
                <w:szCs w:val="21"/>
              </w:rPr>
              <w:t>评审因素</w:t>
            </w:r>
          </w:p>
        </w:tc>
        <w:tc>
          <w:tcPr>
            <w:tcW w:w="5220" w:type="dxa"/>
            <w:vAlign w:val="center"/>
          </w:tcPr>
          <w:p>
            <w:pPr>
              <w:spacing w:line="240" w:lineRule="exact"/>
              <w:jc w:val="center"/>
              <w:rPr>
                <w:rFonts w:ascii="宋体" w:cs="宋体"/>
                <w:b/>
                <w:kern w:val="0"/>
                <w:sz w:val="21"/>
                <w:szCs w:val="21"/>
              </w:rPr>
            </w:pPr>
            <w:r>
              <w:rPr>
                <w:rFonts w:hint="eastAsia" w:asci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cs="宋体"/>
                <w:kern w:val="0"/>
                <w:sz w:val="21"/>
                <w:szCs w:val="21"/>
              </w:rPr>
            </w:pPr>
            <w:r>
              <w:rPr>
                <w:rFonts w:hint="eastAsia" w:ascii="宋体" w:cs="宋体"/>
                <w:kern w:val="0"/>
                <w:sz w:val="21"/>
                <w:szCs w:val="21"/>
              </w:rPr>
              <w:t>1</w:t>
            </w:r>
          </w:p>
        </w:tc>
        <w:tc>
          <w:tcPr>
            <w:tcW w:w="1573" w:type="dxa"/>
            <w:vMerge w:val="restart"/>
            <w:vAlign w:val="center"/>
          </w:tcPr>
          <w:p>
            <w:pPr>
              <w:spacing w:line="240" w:lineRule="exact"/>
              <w:rPr>
                <w:rFonts w:ascii="宋体" w:cs="宋体"/>
                <w:kern w:val="0"/>
                <w:sz w:val="21"/>
                <w:szCs w:val="21"/>
              </w:rPr>
            </w:pPr>
            <w:r>
              <w:rPr>
                <w:rFonts w:hint="eastAsia" w:ascii="宋体" w:cs="宋体"/>
                <w:kern w:val="0"/>
                <w:sz w:val="21"/>
                <w:szCs w:val="21"/>
              </w:rPr>
              <w:t>有效性审查</w:t>
            </w:r>
          </w:p>
        </w:tc>
        <w:tc>
          <w:tcPr>
            <w:tcW w:w="1996" w:type="dxa"/>
            <w:vAlign w:val="center"/>
          </w:tcPr>
          <w:p>
            <w:pPr>
              <w:spacing w:line="240" w:lineRule="exact"/>
              <w:rPr>
                <w:rFonts w:ascii="宋体" w:cs="宋体"/>
                <w:kern w:val="0"/>
                <w:sz w:val="21"/>
                <w:szCs w:val="21"/>
              </w:rPr>
            </w:pPr>
            <w:r>
              <w:rPr>
                <w:rFonts w:hint="eastAsia" w:ascii="宋体"/>
                <w:sz w:val="21"/>
                <w:szCs w:val="21"/>
              </w:rPr>
              <w:t>响应文件签署及盖章</w:t>
            </w:r>
          </w:p>
        </w:tc>
        <w:tc>
          <w:tcPr>
            <w:tcW w:w="5220" w:type="dxa"/>
            <w:vAlign w:val="center"/>
          </w:tcPr>
          <w:p>
            <w:pPr>
              <w:spacing w:line="240" w:lineRule="exact"/>
              <w:rPr>
                <w:rFonts w:ascii="宋体" w:cs="宋体"/>
                <w:kern w:val="0"/>
                <w:sz w:val="21"/>
                <w:szCs w:val="21"/>
              </w:rPr>
            </w:pPr>
            <w:r>
              <w:rPr>
                <w:rFonts w:hint="eastAsia" w:ascii="宋体"/>
                <w:sz w:val="21"/>
                <w:szCs w:val="21"/>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仿宋_GB2312"/>
                <w:sz w:val="21"/>
                <w:szCs w:val="21"/>
                <w:lang w:val="zh-CN"/>
              </w:rPr>
            </w:pPr>
            <w:r>
              <w:rPr>
                <w:rFonts w:hint="eastAsia" w:ascii="宋体" w:cs="仿宋_GB2312"/>
                <w:sz w:val="21"/>
                <w:szCs w:val="21"/>
                <w:lang w:val="zh-CN"/>
              </w:rPr>
              <w:t>磋商方案</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仿宋_GB2312"/>
                <w:sz w:val="21"/>
                <w:szCs w:val="21"/>
                <w:lang w:val="zh-CN"/>
              </w:rPr>
            </w:pPr>
            <w:r>
              <w:rPr>
                <w:rFonts w:hint="eastAsia" w:ascii="宋体"/>
                <w:sz w:val="21"/>
                <w:szCs w:val="21"/>
              </w:rPr>
              <w:t>报价唯一</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只能在采购预算范围内报价，</w:t>
            </w:r>
            <w:r>
              <w:rPr>
                <w:rFonts w:hint="eastAsia" w:asci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cs="宋体"/>
                <w:kern w:val="0"/>
                <w:sz w:val="21"/>
                <w:szCs w:val="21"/>
              </w:rPr>
            </w:pPr>
            <w:r>
              <w:rPr>
                <w:rFonts w:hint="eastAsia" w:ascii="宋体" w:cs="宋体"/>
                <w:kern w:val="0"/>
                <w:sz w:val="21"/>
                <w:szCs w:val="21"/>
              </w:rPr>
              <w:t>2</w:t>
            </w:r>
          </w:p>
        </w:tc>
        <w:tc>
          <w:tcPr>
            <w:tcW w:w="1573" w:type="dxa"/>
            <w:vAlign w:val="center"/>
          </w:tcPr>
          <w:p>
            <w:pPr>
              <w:spacing w:line="240" w:lineRule="exact"/>
              <w:rPr>
                <w:rFonts w:ascii="宋体" w:cs="宋体"/>
                <w:kern w:val="0"/>
                <w:sz w:val="21"/>
                <w:szCs w:val="21"/>
              </w:rPr>
            </w:pPr>
            <w:r>
              <w:rPr>
                <w:rFonts w:hint="eastAsia" w:ascii="宋体" w:cs="宋体"/>
                <w:kern w:val="0"/>
                <w:sz w:val="21"/>
                <w:szCs w:val="21"/>
              </w:rPr>
              <w:t>完整性审查</w:t>
            </w:r>
          </w:p>
        </w:tc>
        <w:tc>
          <w:tcPr>
            <w:tcW w:w="1996" w:type="dxa"/>
            <w:vAlign w:val="center"/>
          </w:tcPr>
          <w:p>
            <w:pPr>
              <w:spacing w:line="240" w:lineRule="exact"/>
              <w:rPr>
                <w:rFonts w:ascii="宋体" w:cs="宋体"/>
                <w:kern w:val="0"/>
                <w:sz w:val="21"/>
                <w:szCs w:val="21"/>
              </w:rPr>
            </w:pPr>
            <w:r>
              <w:rPr>
                <w:rFonts w:hint="eastAsia" w:ascii="宋体" w:cs="仿宋_GB2312"/>
                <w:sz w:val="21"/>
                <w:szCs w:val="21"/>
                <w:lang w:val="zh-CN"/>
              </w:rPr>
              <w:t>响应文件份数</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cs="宋体"/>
                <w:kern w:val="0"/>
                <w:sz w:val="21"/>
                <w:szCs w:val="21"/>
              </w:rPr>
            </w:pPr>
            <w:r>
              <w:rPr>
                <w:rFonts w:hint="eastAsia" w:ascii="宋体" w:cs="宋体"/>
                <w:kern w:val="0"/>
                <w:sz w:val="21"/>
                <w:szCs w:val="21"/>
              </w:rPr>
              <w:t>3</w:t>
            </w:r>
          </w:p>
        </w:tc>
        <w:tc>
          <w:tcPr>
            <w:tcW w:w="1573" w:type="dxa"/>
            <w:vMerge w:val="restart"/>
            <w:vAlign w:val="center"/>
          </w:tcPr>
          <w:p>
            <w:pPr>
              <w:spacing w:line="240" w:lineRule="exact"/>
              <w:rPr>
                <w:rFonts w:ascii="宋体" w:cs="仿宋_GB2312"/>
                <w:sz w:val="21"/>
                <w:szCs w:val="21"/>
                <w:lang w:val="zh-CN"/>
              </w:rPr>
            </w:pPr>
            <w:r>
              <w:rPr>
                <w:rFonts w:hint="eastAsia" w:ascii="宋体" w:cs="宋体"/>
                <w:kern w:val="0"/>
                <w:sz w:val="21"/>
                <w:szCs w:val="21"/>
              </w:rPr>
              <w:t>竞争性磋商文件的响应程度审查</w:t>
            </w:r>
          </w:p>
        </w:tc>
        <w:tc>
          <w:tcPr>
            <w:tcW w:w="1996" w:type="dxa"/>
            <w:vAlign w:val="center"/>
          </w:tcPr>
          <w:p>
            <w:pPr>
              <w:spacing w:line="240" w:lineRule="exact"/>
              <w:rPr>
                <w:rFonts w:ascii="宋体" w:cs="宋体"/>
                <w:kern w:val="0"/>
                <w:sz w:val="21"/>
                <w:szCs w:val="21"/>
              </w:rPr>
            </w:pPr>
            <w:r>
              <w:rPr>
                <w:rFonts w:hint="eastAsia" w:ascii="宋体" w:cs="宋体"/>
                <w:kern w:val="0"/>
                <w:sz w:val="21"/>
                <w:szCs w:val="21"/>
              </w:rPr>
              <w:t>响应文件内容</w:t>
            </w:r>
          </w:p>
        </w:tc>
        <w:tc>
          <w:tcPr>
            <w:tcW w:w="5220" w:type="dxa"/>
            <w:vAlign w:val="center"/>
          </w:tcPr>
          <w:p>
            <w:pPr>
              <w:pStyle w:val="36"/>
              <w:spacing w:line="240" w:lineRule="exact"/>
              <w:rPr>
                <w:rFonts w:ascii="宋体" w:cs="宋体"/>
                <w:kern w:val="0"/>
                <w:sz w:val="21"/>
                <w:szCs w:val="21"/>
              </w:rPr>
            </w:pPr>
            <w:r>
              <w:rPr>
                <w:rFonts w:hint="eastAsia" w:asci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宋体"/>
                <w:kern w:val="0"/>
                <w:sz w:val="21"/>
                <w:szCs w:val="21"/>
              </w:rPr>
            </w:pPr>
            <w:r>
              <w:rPr>
                <w:rFonts w:hint="eastAsia" w:ascii="宋体" w:cs="宋体"/>
                <w:kern w:val="0"/>
                <w:sz w:val="21"/>
                <w:szCs w:val="21"/>
              </w:rPr>
              <w:t>磋商有效期</w:t>
            </w:r>
          </w:p>
        </w:tc>
        <w:tc>
          <w:tcPr>
            <w:tcW w:w="5220" w:type="dxa"/>
            <w:vAlign w:val="center"/>
          </w:tcPr>
          <w:p>
            <w:pPr>
              <w:spacing w:line="240" w:lineRule="exact"/>
              <w:rPr>
                <w:rFonts w:ascii="宋体" w:cs="宋体"/>
                <w:kern w:val="0"/>
                <w:sz w:val="21"/>
                <w:szCs w:val="21"/>
              </w:rPr>
            </w:pPr>
            <w:r>
              <w:rPr>
                <w:rFonts w:hint="eastAsia" w:ascii="宋体" w:cs="宋体"/>
                <w:kern w:val="0"/>
                <w:sz w:val="21"/>
                <w:szCs w:val="21"/>
              </w:rPr>
              <w:t>满足竞争性磋商文件</w:t>
            </w:r>
            <w:r>
              <w:rPr>
                <w:rFonts w:hint="eastAsia" w:ascii="宋体" w:cs="仿宋_GB2312"/>
                <w:sz w:val="21"/>
                <w:szCs w:val="21"/>
                <w:lang w:val="zh-CN"/>
              </w:rPr>
              <w:t>规定。</w:t>
            </w:r>
          </w:p>
        </w:tc>
      </w:tr>
    </w:tbl>
    <w:p>
      <w:pPr>
        <w:spacing w:line="360" w:lineRule="auto"/>
        <w:ind w:firstLine="480" w:firstLineChars="200"/>
        <w:rPr>
          <w:rFonts w:ascii="宋体"/>
          <w:sz w:val="24"/>
          <w:szCs w:val="24"/>
        </w:rPr>
      </w:pPr>
      <w:r>
        <w:rPr>
          <w:rFonts w:hint="eastAsia" w:asci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sz w:val="24"/>
          <w:szCs w:val="24"/>
        </w:rPr>
      </w:pPr>
      <w:r>
        <w:rPr>
          <w:rFonts w:hint="eastAsia" w:asci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sz w:val="24"/>
          <w:szCs w:val="24"/>
        </w:rPr>
      </w:pPr>
      <w:r>
        <w:rPr>
          <w:rFonts w:hint="eastAsia" w:ascii="宋体"/>
          <w:sz w:val="24"/>
          <w:szCs w:val="24"/>
        </w:rPr>
        <w:t>5.在磋商过程中磋商的任何一方不得向他人透露与磋商有关的技术资料、价格或其他信息。</w:t>
      </w:r>
    </w:p>
    <w:p>
      <w:pPr>
        <w:spacing w:line="360" w:lineRule="auto"/>
        <w:ind w:firstLine="480" w:firstLineChars="200"/>
        <w:rPr>
          <w:rFonts w:ascii="宋体"/>
          <w:sz w:val="24"/>
          <w:szCs w:val="24"/>
        </w:rPr>
      </w:pPr>
      <w:r>
        <w:rPr>
          <w:rFonts w:hint="eastAsia" w:asci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sz w:val="24"/>
          <w:szCs w:val="24"/>
        </w:rPr>
      </w:pPr>
      <w:r>
        <w:rPr>
          <w:rFonts w:hint="eastAsia" w:ascii="宋体"/>
          <w:sz w:val="24"/>
          <w:szCs w:val="24"/>
        </w:rPr>
        <w:t>7.供应商在磋商时作出的所有书面承诺须由法定代表人或其授权代表签字。</w:t>
      </w:r>
    </w:p>
    <w:p>
      <w:pPr>
        <w:spacing w:line="360" w:lineRule="auto"/>
        <w:ind w:firstLine="480" w:firstLineChars="200"/>
        <w:rPr>
          <w:rFonts w:ascii="宋体"/>
          <w:sz w:val="24"/>
          <w:szCs w:val="24"/>
        </w:rPr>
      </w:pPr>
      <w:r>
        <w:rPr>
          <w:rFonts w:hint="eastAsia" w:asci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sz w:val="24"/>
          <w:szCs w:val="24"/>
        </w:rPr>
        <w:t>已提交响应文件</w:t>
      </w:r>
      <w:r>
        <w:rPr>
          <w:rFonts w:hint="eastAsia" w:ascii="宋体"/>
          <w:sz w:val="24"/>
          <w:szCs w:val="24"/>
        </w:rPr>
        <w:t>但未在规定时间内进行最后报价</w:t>
      </w:r>
      <w:r>
        <w:rPr>
          <w:rFonts w:ascii="宋体"/>
          <w:sz w:val="24"/>
          <w:szCs w:val="24"/>
        </w:rPr>
        <w:t>的供应商，</w:t>
      </w:r>
      <w:r>
        <w:rPr>
          <w:rFonts w:hint="eastAsia" w:ascii="宋体"/>
          <w:sz w:val="24"/>
          <w:szCs w:val="24"/>
        </w:rPr>
        <w:t>视为放弃最后报价，以供应商响应文件中的报价为准。</w:t>
      </w:r>
    </w:p>
    <w:p>
      <w:pPr>
        <w:spacing w:line="360" w:lineRule="auto"/>
        <w:ind w:firstLine="480" w:firstLineChars="200"/>
        <w:rPr>
          <w:rFonts w:ascii="宋体"/>
          <w:sz w:val="24"/>
          <w:szCs w:val="24"/>
        </w:rPr>
      </w:pPr>
      <w:r>
        <w:rPr>
          <w:rFonts w:hint="eastAsia" w:asci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sz w:val="24"/>
          <w:szCs w:val="24"/>
        </w:rPr>
      </w:pPr>
      <w:r>
        <w:rPr>
          <w:rFonts w:hint="eastAsia" w:asci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sz w:val="24"/>
          <w:szCs w:val="24"/>
        </w:rPr>
      </w:pPr>
      <w:bookmarkStart w:id="81" w:name="_Toc109296530"/>
      <w:r>
        <w:rPr>
          <w:rFonts w:hint="eastAsia" w:ascii="宋体"/>
          <w:sz w:val="24"/>
          <w:szCs w:val="24"/>
        </w:rPr>
        <w:t>二、</w:t>
      </w:r>
      <w:bookmarkStart w:id="82" w:name="_Toc342913394"/>
      <w:bookmarkStart w:id="83" w:name="_Toc102227320"/>
      <w:r>
        <w:rPr>
          <w:rFonts w:hint="eastAsia" w:ascii="宋体"/>
          <w:sz w:val="24"/>
          <w:szCs w:val="24"/>
        </w:rPr>
        <w:t>评审标准</w:t>
      </w:r>
      <w:bookmarkEnd w:id="81"/>
    </w:p>
    <w:tbl>
      <w:tblPr>
        <w:tblStyle w:val="6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6"/>
        <w:gridCol w:w="702"/>
        <w:gridCol w:w="567"/>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b/>
                <w:sz w:val="21"/>
                <w:szCs w:val="21"/>
              </w:rPr>
            </w:pPr>
            <w:r>
              <w:rPr>
                <w:rFonts w:hint="eastAsia" w:ascii="宋体"/>
                <w:b/>
                <w:sz w:val="21"/>
                <w:szCs w:val="21"/>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b/>
                <w:sz w:val="21"/>
                <w:szCs w:val="21"/>
              </w:rPr>
            </w:pPr>
            <w:r>
              <w:rPr>
                <w:rFonts w:hint="eastAsia" w:ascii="宋体"/>
                <w:b/>
                <w:sz w:val="21"/>
                <w:szCs w:val="21"/>
              </w:rPr>
              <w:t>评分因素</w:t>
            </w:r>
          </w:p>
          <w:p>
            <w:pPr>
              <w:spacing w:line="240" w:lineRule="atLeast"/>
              <w:ind w:firstLine="28"/>
              <w:jc w:val="center"/>
              <w:rPr>
                <w:rFonts w:ascii="宋体"/>
                <w:b/>
                <w:sz w:val="21"/>
                <w:szCs w:val="21"/>
              </w:rPr>
            </w:pPr>
            <w:r>
              <w:rPr>
                <w:rFonts w:hint="eastAsia" w:ascii="宋体"/>
                <w:b/>
                <w:sz w:val="21"/>
                <w:szCs w:val="21"/>
              </w:rPr>
              <w:t>及权重</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b/>
                <w:sz w:val="21"/>
                <w:szCs w:val="21"/>
              </w:rPr>
            </w:pPr>
            <w:r>
              <w:rPr>
                <w:rFonts w:hint="eastAsia" w:ascii="宋体"/>
                <w:b/>
                <w:sz w:val="21"/>
                <w:szCs w:val="21"/>
              </w:rPr>
              <w:t>分值</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b/>
                <w:sz w:val="21"/>
                <w:szCs w:val="21"/>
              </w:rPr>
            </w:pPr>
            <w:r>
              <w:rPr>
                <w:rFonts w:hint="eastAsia" w:ascii="宋体"/>
                <w:b/>
                <w:sz w:val="21"/>
                <w:szCs w:val="21"/>
              </w:rPr>
              <w:t>评分标准</w:t>
            </w:r>
          </w:p>
        </w:tc>
        <w:tc>
          <w:tcPr>
            <w:tcW w:w="1843" w:type="dxa"/>
            <w:tcBorders>
              <w:top w:val="single" w:color="auto" w:sz="4" w:space="0"/>
              <w:left w:val="single" w:color="auto" w:sz="4" w:space="0"/>
              <w:bottom w:val="single" w:color="auto" w:sz="4" w:space="0"/>
              <w:right w:val="single" w:color="auto" w:sz="4" w:space="0"/>
            </w:tcBorders>
            <w:vAlign w:val="center"/>
          </w:tcPr>
          <w:p>
            <w:pPr>
              <w:pStyle w:val="231"/>
              <w:spacing w:before="0" w:after="0" w:line="240" w:lineRule="atLeast"/>
              <w:rPr>
                <w:rFonts w:ascii="宋体" w:eastAsia="宋体"/>
                <w:sz w:val="21"/>
                <w:szCs w:val="21"/>
              </w:rPr>
            </w:pPr>
            <w:r>
              <w:rPr>
                <w:rFonts w:hint="eastAsia" w:asci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磋商报价</w:t>
            </w:r>
          </w:p>
          <w:p>
            <w:pPr>
              <w:spacing w:line="240" w:lineRule="atLeast"/>
              <w:ind w:firstLine="28"/>
              <w:jc w:val="center"/>
              <w:rPr>
                <w:rFonts w:ascii="宋体"/>
                <w:sz w:val="21"/>
                <w:szCs w:val="21"/>
              </w:rPr>
            </w:pPr>
            <w:r>
              <w:rPr>
                <w:rFonts w:hint="eastAsia" w:ascii="宋体"/>
                <w:sz w:val="21"/>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30</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pPr>
              <w:ind w:firstLine="28"/>
              <w:rPr>
                <w:rFonts w:ascii="宋体"/>
                <w:sz w:val="21"/>
                <w:szCs w:val="21"/>
              </w:rPr>
            </w:pPr>
            <w:r>
              <w:rPr>
                <w:rFonts w:hint="eastAsia" w:ascii="宋体"/>
                <w:sz w:val="21"/>
                <w:szCs w:val="21"/>
              </w:rPr>
              <w:t>磋商报价得分=（磋商基准价/最后磋商报价）×价格权值×100</w:t>
            </w:r>
            <w:r>
              <w:rPr>
                <w:rStyle w:val="73"/>
                <w:rFonts w:hint="eastAsia" w:ascii="宋体"/>
                <w:sz w:val="21"/>
                <w:szCs w:val="21"/>
              </w:rPr>
              <w:t>供应商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67" w:type="dxa"/>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2</w:t>
            </w:r>
          </w:p>
        </w:tc>
        <w:tc>
          <w:tcPr>
            <w:tcW w:w="1418" w:type="dxa"/>
            <w:gridSpan w:val="2"/>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技术部分</w:t>
            </w:r>
          </w:p>
          <w:p>
            <w:pPr>
              <w:spacing w:line="240" w:lineRule="atLeast"/>
              <w:ind w:firstLine="28"/>
              <w:jc w:val="center"/>
              <w:rPr>
                <w:rFonts w:ascii="宋体"/>
                <w:sz w:val="21"/>
                <w:szCs w:val="21"/>
              </w:rPr>
            </w:pPr>
            <w:r>
              <w:rPr>
                <w:rFonts w:hint="eastAsia" w:ascii="宋体"/>
                <w:sz w:val="21"/>
                <w:szCs w:val="21"/>
              </w:rPr>
              <w:t>（60%）</w:t>
            </w:r>
          </w:p>
        </w:tc>
        <w:tc>
          <w:tcPr>
            <w:tcW w:w="567" w:type="dxa"/>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30</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28"/>
              <w:rPr>
                <w:rStyle w:val="73"/>
                <w:rFonts w:ascii="宋体"/>
                <w:sz w:val="21"/>
                <w:szCs w:val="21"/>
              </w:rPr>
            </w:pPr>
            <w:r>
              <w:rPr>
                <w:rStyle w:val="73"/>
                <w:rFonts w:ascii="宋体"/>
                <w:sz w:val="21"/>
                <w:szCs w:val="21"/>
              </w:rPr>
              <w:t>A</w:t>
            </w:r>
            <w:r>
              <w:rPr>
                <w:rStyle w:val="73"/>
                <w:rFonts w:hint="eastAsia" w:ascii="宋体"/>
                <w:sz w:val="21"/>
                <w:szCs w:val="21"/>
              </w:rPr>
              <w:t>、起评分：</w:t>
            </w:r>
          </w:p>
          <w:p>
            <w:pPr>
              <w:spacing w:line="240" w:lineRule="atLeast"/>
              <w:ind w:firstLine="28"/>
              <w:rPr>
                <w:rFonts w:ascii="宋体"/>
                <w:sz w:val="21"/>
                <w:szCs w:val="21"/>
              </w:rPr>
            </w:pPr>
            <w:r>
              <w:rPr>
                <w:rStyle w:val="73"/>
                <w:rFonts w:hint="eastAsia" w:ascii="宋体"/>
                <w:sz w:val="21"/>
                <w:szCs w:val="21"/>
              </w:rPr>
              <w:t>有效供应商的起评分为30分。</w:t>
            </w:r>
          </w:p>
        </w:tc>
        <w:tc>
          <w:tcPr>
            <w:tcW w:w="1843" w:type="dxa"/>
            <w:tcBorders>
              <w:top w:val="single" w:color="auto" w:sz="4" w:space="0"/>
              <w:left w:val="single" w:color="auto" w:sz="4" w:space="0"/>
              <w:bottom w:val="single" w:color="auto" w:sz="4" w:space="0"/>
              <w:right w:val="single" w:color="auto" w:sz="4" w:space="0"/>
            </w:tcBorders>
            <w:vAlign w:val="center"/>
          </w:tcPr>
          <w:p>
            <w:pPr>
              <w:pStyle w:val="231"/>
              <w:rPr>
                <w:rFonts w:ascii="宋体" w:eastAsia="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567" w:type="dxa"/>
            <w:vMerge w:val="continue"/>
            <w:tcBorders>
              <w:left w:val="single" w:color="auto" w:sz="4" w:space="0"/>
              <w:right w:val="single" w:color="auto" w:sz="4" w:space="0"/>
            </w:tcBorders>
            <w:vAlign w:val="center"/>
          </w:tcPr>
          <w:p/>
        </w:tc>
        <w:tc>
          <w:tcPr>
            <w:tcW w:w="1418" w:type="dxa"/>
            <w:gridSpan w:val="2"/>
            <w:vMerge w:val="continue"/>
            <w:tcBorders>
              <w:left w:val="single" w:color="auto" w:sz="4" w:space="0"/>
              <w:right w:val="single" w:color="auto" w:sz="4" w:space="0"/>
            </w:tcBorders>
            <w:vAlign w:val="center"/>
          </w:tcPr>
          <w:p/>
        </w:tc>
        <w:tc>
          <w:tcPr>
            <w:tcW w:w="567" w:type="dxa"/>
            <w:vMerge w:val="continue"/>
            <w:tcBorders>
              <w:left w:val="single" w:color="auto" w:sz="4" w:space="0"/>
              <w:bottom w:val="single" w:color="auto" w:sz="4" w:space="0"/>
              <w:right w:val="single" w:color="auto" w:sz="4" w:space="0"/>
            </w:tcBorders>
            <w:vAlign w:val="center"/>
          </w:tcPr>
          <w:p/>
        </w:tc>
        <w:tc>
          <w:tcPr>
            <w:tcW w:w="5103" w:type="dxa"/>
            <w:tcBorders>
              <w:top w:val="single" w:color="auto" w:sz="4" w:space="0"/>
              <w:left w:val="single" w:color="auto" w:sz="4" w:space="0"/>
              <w:bottom w:val="single" w:color="auto" w:sz="4" w:space="0"/>
              <w:right w:val="single" w:color="auto" w:sz="4" w:space="0"/>
            </w:tcBorders>
            <w:vAlign w:val="center"/>
          </w:tcPr>
          <w:p>
            <w:pPr>
              <w:ind w:firstLine="28"/>
              <w:rPr>
                <w:rStyle w:val="73"/>
                <w:rFonts w:ascii="宋体"/>
                <w:sz w:val="21"/>
                <w:szCs w:val="21"/>
              </w:rPr>
            </w:pPr>
            <w:r>
              <w:rPr>
                <w:rStyle w:val="73"/>
                <w:rFonts w:ascii="宋体"/>
                <w:sz w:val="21"/>
                <w:szCs w:val="21"/>
              </w:rPr>
              <w:t>B</w:t>
            </w:r>
            <w:r>
              <w:rPr>
                <w:rStyle w:val="73"/>
                <w:rFonts w:hint="eastAsia" w:ascii="宋体"/>
                <w:sz w:val="21"/>
                <w:szCs w:val="21"/>
              </w:rPr>
              <w:t>、扣分条款：</w:t>
            </w:r>
          </w:p>
          <w:p>
            <w:pPr>
              <w:ind w:firstLine="28"/>
              <w:jc w:val="left"/>
              <w:rPr>
                <w:rStyle w:val="73"/>
                <w:rFonts w:ascii="宋体"/>
                <w:sz w:val="21"/>
                <w:szCs w:val="21"/>
              </w:rPr>
            </w:pPr>
            <w:r>
              <w:rPr>
                <w:rStyle w:val="73"/>
                <w:rFonts w:ascii="宋体"/>
                <w:sz w:val="21"/>
                <w:szCs w:val="21"/>
              </w:rPr>
              <w:t>1</w:t>
            </w:r>
            <w:r>
              <w:rPr>
                <w:rStyle w:val="73"/>
                <w:rFonts w:hint="eastAsia" w:ascii="宋体"/>
                <w:sz w:val="21"/>
                <w:szCs w:val="21"/>
              </w:rPr>
              <w:t>.重要技术参数（第二篇 项目服务需求中带★部分），有</w:t>
            </w:r>
            <w:r>
              <w:rPr>
                <w:rStyle w:val="73"/>
                <w:rFonts w:ascii="宋体"/>
                <w:sz w:val="21"/>
                <w:szCs w:val="21"/>
              </w:rPr>
              <w:t>1</w:t>
            </w:r>
            <w:r>
              <w:rPr>
                <w:rStyle w:val="73"/>
                <w:rFonts w:hint="eastAsia" w:ascii="宋体"/>
                <w:sz w:val="21"/>
                <w:szCs w:val="21"/>
              </w:rPr>
              <w:t>条达不到磋商文件要求，技术部分得</w:t>
            </w:r>
            <w:r>
              <w:rPr>
                <w:rStyle w:val="73"/>
                <w:rFonts w:ascii="宋体"/>
                <w:sz w:val="21"/>
                <w:szCs w:val="21"/>
              </w:rPr>
              <w:t>0</w:t>
            </w:r>
            <w:r>
              <w:rPr>
                <w:rStyle w:val="73"/>
                <w:rFonts w:hint="eastAsia" w:ascii="宋体"/>
                <w:sz w:val="21"/>
                <w:szCs w:val="21"/>
              </w:rPr>
              <w:t>分。</w:t>
            </w:r>
          </w:p>
          <w:p>
            <w:pPr>
              <w:ind w:firstLine="28"/>
              <w:jc w:val="left"/>
              <w:rPr>
                <w:rFonts w:ascii="宋体"/>
                <w:sz w:val="21"/>
                <w:szCs w:val="21"/>
              </w:rPr>
            </w:pPr>
            <w:r>
              <w:rPr>
                <w:rStyle w:val="73"/>
                <w:rFonts w:ascii="宋体"/>
                <w:sz w:val="21"/>
                <w:szCs w:val="21"/>
              </w:rPr>
              <w:t>2</w:t>
            </w:r>
            <w:r>
              <w:rPr>
                <w:rStyle w:val="73"/>
                <w:rFonts w:hint="eastAsia" w:ascii="宋体"/>
                <w:sz w:val="21"/>
                <w:szCs w:val="21"/>
              </w:rPr>
              <w:t>.一般性技术参数（第二篇 项目服务需求中非“※”及“★”部分）达不到磋商文件要求的，每负偏离</w:t>
            </w:r>
            <w:r>
              <w:rPr>
                <w:rStyle w:val="73"/>
                <w:rFonts w:ascii="宋体"/>
                <w:sz w:val="21"/>
                <w:szCs w:val="21"/>
              </w:rPr>
              <w:t>1</w:t>
            </w:r>
            <w:r>
              <w:rPr>
                <w:rStyle w:val="73"/>
                <w:rFonts w:hint="eastAsia" w:ascii="宋体"/>
                <w:sz w:val="21"/>
                <w:szCs w:val="21"/>
              </w:rPr>
              <w:t>条从起评分中扣除6分，有</w:t>
            </w:r>
            <w:r>
              <w:rPr>
                <w:rStyle w:val="73"/>
                <w:rFonts w:ascii="宋体"/>
                <w:sz w:val="21"/>
                <w:szCs w:val="21"/>
              </w:rPr>
              <w:t>3</w:t>
            </w:r>
            <w:r>
              <w:rPr>
                <w:rStyle w:val="73"/>
                <w:rFonts w:hint="eastAsia" w:ascii="宋体"/>
                <w:sz w:val="21"/>
                <w:szCs w:val="21"/>
              </w:rPr>
              <w:t>条及以上负偏离，技术部分得</w:t>
            </w:r>
            <w:r>
              <w:rPr>
                <w:rStyle w:val="73"/>
                <w:rFonts w:ascii="宋体"/>
                <w:sz w:val="21"/>
                <w:szCs w:val="21"/>
              </w:rPr>
              <w:t>0</w:t>
            </w:r>
            <w:r>
              <w:rPr>
                <w:rStyle w:val="73"/>
                <w:rFonts w:hint="eastAsia" w:ascii="宋体"/>
                <w:sz w:val="21"/>
                <w:szCs w:val="21"/>
              </w:rPr>
              <w:t>分。</w:t>
            </w:r>
          </w:p>
        </w:tc>
        <w:tc>
          <w:tcPr>
            <w:tcW w:w="1843" w:type="dxa"/>
            <w:tcBorders>
              <w:top w:val="single" w:color="auto" w:sz="4" w:space="0"/>
              <w:left w:val="single" w:color="auto" w:sz="4" w:space="0"/>
              <w:bottom w:val="single" w:color="auto" w:sz="4" w:space="0"/>
              <w:right w:val="single" w:color="auto" w:sz="4" w:space="0"/>
            </w:tcBorders>
            <w:vAlign w:val="center"/>
          </w:tcPr>
          <w:p>
            <w:pPr>
              <w:pStyle w:val="231"/>
              <w:rPr>
                <w:rFonts w:ascii="宋体" w:eastAsia="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567" w:type="dxa"/>
            <w:vMerge w:val="continue"/>
            <w:tcBorders>
              <w:left w:val="single" w:color="auto" w:sz="4" w:space="0"/>
              <w:right w:val="single" w:color="auto" w:sz="4" w:space="0"/>
            </w:tcBorders>
            <w:vAlign w:val="center"/>
          </w:tcPr>
          <w:p/>
        </w:tc>
        <w:tc>
          <w:tcPr>
            <w:tcW w:w="1418" w:type="dxa"/>
            <w:gridSpan w:val="2"/>
            <w:vMerge w:val="continue"/>
            <w:tcBorders>
              <w:left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15</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left"/>
              <w:rPr>
                <w:rFonts w:ascii="宋体"/>
                <w:sz w:val="21"/>
                <w:szCs w:val="21"/>
              </w:rPr>
            </w:pPr>
            <w:r>
              <w:rPr>
                <w:rFonts w:hint="eastAsia" w:ascii="宋体"/>
                <w:sz w:val="21"/>
                <w:szCs w:val="21"/>
              </w:rPr>
              <w:t>产品选型（15分）</w:t>
            </w:r>
          </w:p>
          <w:p>
            <w:pPr>
              <w:spacing w:line="240" w:lineRule="atLeast"/>
              <w:ind w:firstLine="28"/>
              <w:jc w:val="left"/>
              <w:rPr>
                <w:rFonts w:ascii="宋体"/>
                <w:sz w:val="21"/>
                <w:szCs w:val="21"/>
              </w:rPr>
            </w:pPr>
            <w:r>
              <w:rPr>
                <w:rFonts w:hint="eastAsia" w:ascii="宋体"/>
                <w:sz w:val="21"/>
                <w:szCs w:val="21"/>
              </w:rPr>
              <w:t>供应商提供产品选型报告，从设备先进度、市场使用率等方面打分。</w:t>
            </w:r>
          </w:p>
          <w:p>
            <w:pPr>
              <w:spacing w:line="240" w:lineRule="atLeast"/>
              <w:ind w:firstLine="28"/>
              <w:jc w:val="left"/>
              <w:rPr>
                <w:rFonts w:ascii="Times New Roman" w:hAnsi="Times New Roman" w:cs="宋体"/>
                <w:sz w:val="21"/>
                <w:szCs w:val="21"/>
                <w:lang w:val="zh-TW"/>
              </w:rPr>
            </w:pPr>
            <w:r>
              <w:rPr>
                <w:rFonts w:hint="eastAsia" w:ascii="宋体"/>
                <w:sz w:val="21"/>
                <w:szCs w:val="21"/>
              </w:rPr>
              <w:t>主要材料（防水涂料、防水管等）</w:t>
            </w:r>
            <w:r>
              <w:rPr>
                <w:rStyle w:val="73"/>
                <w:rFonts w:hint="eastAsia" w:cs="宋体"/>
                <w:sz w:val="21"/>
                <w:szCs w:val="21"/>
                <w:lang w:val="zh-TW"/>
              </w:rPr>
              <w:t>设备选型合理、技术先进得</w:t>
            </w:r>
            <w:r>
              <w:rPr>
                <w:rStyle w:val="73"/>
                <w:rFonts w:eastAsia="PMingLiU" w:cs="宋体"/>
                <w:sz w:val="21"/>
                <w:szCs w:val="21"/>
                <w:lang w:val="zh-TW"/>
              </w:rPr>
              <w:t>15</w:t>
            </w:r>
            <w:r>
              <w:rPr>
                <w:rStyle w:val="73"/>
                <w:rFonts w:hint="eastAsia" w:cs="宋体"/>
                <w:sz w:val="21"/>
                <w:szCs w:val="21"/>
                <w:lang w:val="zh-TW"/>
              </w:rPr>
              <w:t>分；选型较合理、技术较先进得</w:t>
            </w:r>
            <w:r>
              <w:rPr>
                <w:rStyle w:val="73"/>
                <w:rFonts w:eastAsia="PMingLiU" w:cs="宋体"/>
                <w:sz w:val="21"/>
                <w:szCs w:val="21"/>
                <w:lang w:val="zh-TW"/>
              </w:rPr>
              <w:t>10</w:t>
            </w:r>
            <w:r>
              <w:rPr>
                <w:rStyle w:val="73"/>
                <w:rFonts w:hint="eastAsia" w:cs="宋体"/>
                <w:sz w:val="21"/>
                <w:szCs w:val="21"/>
                <w:lang w:val="zh-TW"/>
              </w:rPr>
              <w:t>分；选型一般、技术先进性一般得</w:t>
            </w:r>
            <w:r>
              <w:rPr>
                <w:rStyle w:val="73"/>
                <w:rFonts w:eastAsia="PMingLiU" w:cs="宋体"/>
                <w:sz w:val="21"/>
                <w:szCs w:val="21"/>
                <w:lang w:val="zh-TW"/>
              </w:rPr>
              <w:t>5</w:t>
            </w:r>
            <w:r>
              <w:rPr>
                <w:rStyle w:val="73"/>
                <w:rFonts w:hint="eastAsia" w:cs="宋体"/>
                <w:sz w:val="21"/>
                <w:szCs w:val="21"/>
                <w:lang w:val="zh-TW"/>
              </w:rPr>
              <w:t>分；选型差、技术先进性差得0分。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vMerge w:val="continue"/>
            <w:tcBorders>
              <w:left w:val="single" w:color="auto" w:sz="4" w:space="0"/>
              <w:bottom w:val="single" w:color="auto" w:sz="4" w:space="0"/>
              <w:right w:val="single" w:color="auto" w:sz="4" w:space="0"/>
            </w:tcBorders>
            <w:vAlign w:val="center"/>
          </w:tcPr>
          <w:p/>
        </w:tc>
        <w:tc>
          <w:tcPr>
            <w:tcW w:w="1418" w:type="dxa"/>
            <w:gridSpan w:val="2"/>
            <w:vMerge w:val="continue"/>
            <w:tcBorders>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sz w:val="21"/>
                <w:szCs w:val="21"/>
              </w:rPr>
            </w:pPr>
            <w:r>
              <w:rPr>
                <w:rFonts w:hint="eastAsia" w:ascii="宋体"/>
                <w:sz w:val="21"/>
                <w:szCs w:val="21"/>
              </w:rPr>
              <w:t>15</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left"/>
              <w:rPr>
                <w:rFonts w:ascii="宋体"/>
                <w:sz w:val="21"/>
                <w:szCs w:val="21"/>
              </w:rPr>
            </w:pPr>
            <w:r>
              <w:rPr>
                <w:rFonts w:hint="eastAsia" w:ascii="宋体"/>
                <w:sz w:val="21"/>
                <w:szCs w:val="21"/>
              </w:rPr>
              <w:t>项目实施方案（1</w:t>
            </w:r>
            <w:r>
              <w:rPr>
                <w:rFonts w:ascii="宋体"/>
                <w:sz w:val="21"/>
                <w:szCs w:val="21"/>
              </w:rPr>
              <w:t>5</w:t>
            </w:r>
            <w:r>
              <w:rPr>
                <w:rFonts w:hint="eastAsia" w:ascii="宋体"/>
                <w:sz w:val="21"/>
                <w:szCs w:val="21"/>
              </w:rPr>
              <w:t>分）</w:t>
            </w:r>
          </w:p>
          <w:p>
            <w:pPr>
              <w:spacing w:line="240" w:lineRule="atLeast"/>
              <w:ind w:firstLine="28"/>
              <w:jc w:val="left"/>
              <w:rPr>
                <w:rFonts w:ascii="宋体"/>
                <w:sz w:val="21"/>
                <w:szCs w:val="21"/>
              </w:rPr>
            </w:pPr>
            <w:r>
              <w:rPr>
                <w:rFonts w:hint="eastAsia" w:ascii="宋体"/>
                <w:sz w:val="21"/>
                <w:szCs w:val="21"/>
              </w:rPr>
              <w:t>供应商提供项目建设实施方案。要求施工方案和施工技术先进、组织合理、符合相关行业规范。有明确的工期、质量、服务目标。有详细的工程进度保证措施、质量保证措施、安全文明施工措施。</w:t>
            </w:r>
          </w:p>
          <w:p>
            <w:pPr>
              <w:spacing w:line="240" w:lineRule="atLeast"/>
              <w:ind w:firstLine="28"/>
              <w:jc w:val="left"/>
              <w:rPr>
                <w:rFonts w:ascii="宋体"/>
                <w:sz w:val="21"/>
                <w:szCs w:val="21"/>
              </w:rPr>
            </w:pPr>
            <w:r>
              <w:rPr>
                <w:rFonts w:hint="eastAsia" w:ascii="宋体"/>
                <w:sz w:val="21"/>
                <w:szCs w:val="21"/>
              </w:rPr>
              <w:t>优（技术先进、方案合理、组织有序、符合规范、措施得当）得</w:t>
            </w:r>
            <w:r>
              <w:rPr>
                <w:rFonts w:ascii="宋体"/>
                <w:sz w:val="21"/>
                <w:szCs w:val="21"/>
              </w:rPr>
              <w:t>15</w:t>
            </w:r>
            <w:r>
              <w:rPr>
                <w:rFonts w:hint="eastAsia" w:ascii="宋体"/>
                <w:sz w:val="21"/>
                <w:szCs w:val="21"/>
              </w:rPr>
              <w:t>分，良（技术较先进、方案较合理、组织较有序、基本符合规范、措施较得当）得</w:t>
            </w:r>
            <w:r>
              <w:rPr>
                <w:rFonts w:ascii="宋体"/>
                <w:sz w:val="21"/>
                <w:szCs w:val="21"/>
              </w:rPr>
              <w:t>10</w:t>
            </w:r>
            <w:r>
              <w:rPr>
                <w:rFonts w:hint="eastAsia" w:ascii="宋体"/>
                <w:sz w:val="21"/>
                <w:szCs w:val="21"/>
              </w:rPr>
              <w:t>分，一般（技术先进性一般、方案一般、组织一般、基本符合规范、措施一般）得</w:t>
            </w:r>
            <w:r>
              <w:rPr>
                <w:rFonts w:ascii="宋体"/>
                <w:sz w:val="21"/>
                <w:szCs w:val="21"/>
              </w:rPr>
              <w:t>5</w:t>
            </w:r>
            <w:r>
              <w:rPr>
                <w:rFonts w:hint="eastAsia" w:ascii="宋体"/>
                <w:sz w:val="21"/>
                <w:szCs w:val="21"/>
              </w:rPr>
              <w:t>分，差（方案差、组织查、不符合规范、措施差）或未提供得0分。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67" w:type="dxa"/>
            <w:vMerge w:val="restart"/>
            <w:vAlign w:val="center"/>
          </w:tcPr>
          <w:p>
            <w:pPr>
              <w:spacing w:line="240" w:lineRule="atLeast"/>
              <w:ind w:firstLine="28"/>
              <w:jc w:val="center"/>
              <w:rPr>
                <w:rFonts w:ascii="宋体"/>
                <w:sz w:val="21"/>
                <w:szCs w:val="21"/>
              </w:rPr>
            </w:pPr>
            <w:r>
              <w:rPr>
                <w:rFonts w:ascii="宋体"/>
                <w:sz w:val="21"/>
                <w:szCs w:val="21"/>
              </w:rPr>
              <w:t>3</w:t>
            </w:r>
          </w:p>
        </w:tc>
        <w:tc>
          <w:tcPr>
            <w:tcW w:w="716" w:type="dxa"/>
            <w:vMerge w:val="restart"/>
            <w:vAlign w:val="center"/>
          </w:tcPr>
          <w:p>
            <w:pPr>
              <w:spacing w:line="240" w:lineRule="atLeast"/>
              <w:ind w:firstLine="28"/>
              <w:jc w:val="center"/>
              <w:rPr>
                <w:rFonts w:ascii="宋体"/>
                <w:sz w:val="21"/>
                <w:szCs w:val="21"/>
              </w:rPr>
            </w:pPr>
            <w:r>
              <w:rPr>
                <w:rFonts w:hint="eastAsia" w:ascii="宋体"/>
                <w:sz w:val="21"/>
                <w:szCs w:val="21"/>
              </w:rPr>
              <w:t>商务部分（10%）</w:t>
            </w:r>
          </w:p>
        </w:tc>
        <w:tc>
          <w:tcPr>
            <w:tcW w:w="702" w:type="dxa"/>
            <w:vAlign w:val="center"/>
          </w:tcPr>
          <w:p>
            <w:pPr>
              <w:pStyle w:val="41"/>
              <w:pBdr>
                <w:bottom w:val="none" w:color="auto" w:sz="0" w:space="0"/>
              </w:pBdr>
              <w:tabs>
                <w:tab w:val="left" w:pos="420"/>
              </w:tabs>
              <w:snapToGrid/>
              <w:rPr>
                <w:rFonts w:ascii="宋体"/>
                <w:sz w:val="21"/>
                <w:szCs w:val="21"/>
              </w:rPr>
            </w:pPr>
            <w:r>
              <w:rPr>
                <w:rFonts w:hint="eastAsia" w:ascii="宋体"/>
                <w:sz w:val="21"/>
                <w:szCs w:val="21"/>
              </w:rPr>
              <w:t>业绩（6%）</w:t>
            </w:r>
          </w:p>
        </w:tc>
        <w:tc>
          <w:tcPr>
            <w:tcW w:w="567" w:type="dxa"/>
            <w:vAlign w:val="center"/>
          </w:tcPr>
          <w:p>
            <w:pPr>
              <w:pStyle w:val="41"/>
              <w:pBdr>
                <w:bottom w:val="none" w:color="auto" w:sz="0" w:space="0"/>
              </w:pBdr>
              <w:tabs>
                <w:tab w:val="left" w:pos="420"/>
              </w:tabs>
              <w:snapToGrid/>
              <w:rPr>
                <w:rFonts w:ascii="宋体"/>
                <w:sz w:val="21"/>
                <w:szCs w:val="21"/>
              </w:rPr>
            </w:pPr>
            <w:r>
              <w:rPr>
                <w:rFonts w:ascii="宋体"/>
                <w:sz w:val="21"/>
                <w:szCs w:val="21"/>
              </w:rPr>
              <w:t>6</w:t>
            </w:r>
          </w:p>
        </w:tc>
        <w:tc>
          <w:tcPr>
            <w:tcW w:w="5103" w:type="dxa"/>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2017年1月1日承担过一项防水相关项目的得3分，最高得6分（以签订合同时间为准）。未提供得0分。</w:t>
            </w:r>
          </w:p>
        </w:tc>
        <w:tc>
          <w:tcPr>
            <w:tcW w:w="1843" w:type="dxa"/>
            <w:vAlign w:val="center"/>
          </w:tcPr>
          <w:p>
            <w:pPr>
              <w:pStyle w:val="41"/>
              <w:pBdr>
                <w:bottom w:val="none" w:color="auto" w:sz="0" w:space="0"/>
              </w:pBdr>
              <w:tabs>
                <w:tab w:val="left" w:pos="420"/>
              </w:tabs>
              <w:snapToGrid/>
              <w:jc w:val="both"/>
              <w:rPr>
                <w:rFonts w:ascii="宋体"/>
                <w:sz w:val="21"/>
                <w:szCs w:val="21"/>
              </w:rPr>
            </w:pPr>
            <w:r>
              <w:rPr>
                <w:rFonts w:hint="eastAsia" w:ascii="宋体"/>
                <w:sz w:val="21"/>
                <w:szCs w:val="21"/>
              </w:rPr>
              <w:t>供应商须提供合同复印件、合同对应的任一发票复印件。</w:t>
            </w:r>
          </w:p>
          <w:p>
            <w:pPr>
              <w:pStyle w:val="41"/>
              <w:pBdr>
                <w:bottom w:val="none" w:color="auto" w:sz="0" w:space="0"/>
              </w:pBdr>
              <w:tabs>
                <w:tab w:val="left" w:pos="420"/>
              </w:tabs>
              <w:snapToGrid/>
              <w:jc w:val="both"/>
              <w:rPr>
                <w:rFonts w:ascii="宋体"/>
                <w:sz w:val="21"/>
                <w:szCs w:val="21"/>
              </w:rPr>
            </w:pPr>
            <w:r>
              <w:rPr>
                <w:rFonts w:hint="eastAsia" w:ascii="宋体"/>
                <w:sz w:val="21"/>
                <w:szCs w:val="21"/>
              </w:rPr>
              <w:t>供应商须提供成功案例的项目名称、建设单位名称、建设单位联系人及电话等。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tc>
        <w:tc>
          <w:tcPr>
            <w:tcW w:w="716" w:type="dxa"/>
            <w:vMerge w:val="continue"/>
            <w:vAlign w:val="center"/>
          </w:tcPr>
          <w:p/>
        </w:tc>
        <w:tc>
          <w:tcPr>
            <w:tcW w:w="702" w:type="dxa"/>
            <w:vAlign w:val="center"/>
          </w:tcPr>
          <w:p>
            <w:pPr>
              <w:snapToGrid w:val="0"/>
              <w:spacing w:line="240" w:lineRule="atLeast"/>
              <w:jc w:val="center"/>
              <w:rPr>
                <w:rFonts w:ascii="宋体"/>
                <w:sz w:val="21"/>
                <w:szCs w:val="21"/>
              </w:rPr>
            </w:pPr>
            <w:r>
              <w:rPr>
                <w:rFonts w:hint="eastAsia" w:ascii="宋体"/>
                <w:sz w:val="21"/>
                <w:szCs w:val="21"/>
              </w:rPr>
              <w:t>质保（4%）</w:t>
            </w:r>
          </w:p>
        </w:tc>
        <w:tc>
          <w:tcPr>
            <w:tcW w:w="567" w:type="dxa"/>
            <w:tcBorders>
              <w:top w:val="single" w:color="auto" w:sz="4" w:space="0"/>
              <w:right w:val="single" w:color="auto" w:sz="4" w:space="0"/>
            </w:tcBorders>
            <w:vAlign w:val="center"/>
          </w:tcPr>
          <w:p>
            <w:pPr>
              <w:snapToGrid w:val="0"/>
              <w:spacing w:line="240" w:lineRule="atLeast"/>
              <w:jc w:val="center"/>
              <w:rPr>
                <w:rFonts w:ascii="宋体"/>
                <w:sz w:val="21"/>
                <w:szCs w:val="21"/>
              </w:rPr>
            </w:pPr>
            <w:r>
              <w:rPr>
                <w:rFonts w:hint="eastAsia" w:ascii="宋体"/>
                <w:sz w:val="21"/>
                <w:szCs w:val="21"/>
              </w:rPr>
              <w:t>4</w:t>
            </w:r>
          </w:p>
        </w:tc>
        <w:tc>
          <w:tcPr>
            <w:tcW w:w="5103" w:type="dxa"/>
            <w:tcBorders>
              <w:top w:val="single" w:color="auto" w:sz="4" w:space="0"/>
              <w:left w:val="single" w:color="auto" w:sz="4" w:space="0"/>
            </w:tcBorders>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质保期在磋商文件规定基础上，每增加1年得2分，最多4分。</w:t>
            </w:r>
          </w:p>
        </w:tc>
        <w:tc>
          <w:tcPr>
            <w:tcW w:w="1843" w:type="dxa"/>
            <w:tcBorders>
              <w:top w:val="single" w:color="auto" w:sz="4" w:space="0"/>
              <w:left w:val="single" w:color="auto" w:sz="4" w:space="0"/>
            </w:tcBorders>
            <w:vAlign w:val="center"/>
          </w:tcPr>
          <w:p>
            <w:pPr>
              <w:pStyle w:val="41"/>
              <w:pBdr>
                <w:bottom w:val="none" w:color="auto" w:sz="0" w:space="0"/>
              </w:pBdr>
              <w:tabs>
                <w:tab w:val="left" w:pos="420"/>
              </w:tabs>
              <w:snapToGrid/>
              <w:jc w:val="left"/>
              <w:rPr>
                <w:rFonts w:ascii="宋体"/>
                <w:sz w:val="21"/>
                <w:szCs w:val="21"/>
              </w:rPr>
            </w:pPr>
            <w:r>
              <w:rPr>
                <w:rFonts w:hint="eastAsia" w:ascii="宋体"/>
                <w:sz w:val="21"/>
                <w:szCs w:val="21"/>
              </w:rPr>
              <w:t>提供承诺函原件。</w:t>
            </w:r>
          </w:p>
        </w:tc>
      </w:tr>
    </w:tbl>
    <w:p>
      <w:pPr>
        <w:snapToGrid w:val="0"/>
        <w:spacing w:line="360" w:lineRule="auto"/>
        <w:ind w:firstLine="465"/>
        <w:rPr>
          <w:rFonts w:ascii="宋体"/>
          <w:b/>
          <w:sz w:val="24"/>
          <w:szCs w:val="24"/>
        </w:rPr>
      </w:pPr>
      <w:r>
        <w:rPr>
          <w:rFonts w:hint="eastAsia" w:ascii="宋体"/>
          <w:b/>
          <w:sz w:val="24"/>
          <w:szCs w:val="24"/>
        </w:rPr>
        <w:t>说明：</w:t>
      </w:r>
    </w:p>
    <w:p>
      <w:pPr>
        <w:snapToGrid w:val="0"/>
        <w:spacing w:line="360" w:lineRule="auto"/>
        <w:ind w:firstLine="465"/>
        <w:rPr>
          <w:rFonts w:ascii="宋体"/>
          <w:sz w:val="24"/>
          <w:szCs w:val="24"/>
        </w:rPr>
      </w:pPr>
      <w:r>
        <w:rPr>
          <w:rFonts w:hint="eastAsia" w:ascii="宋体"/>
          <w:sz w:val="24"/>
          <w:szCs w:val="24"/>
        </w:rPr>
        <w:t>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pStyle w:val="6"/>
        <w:spacing w:before="0" w:after="0" w:line="360" w:lineRule="auto"/>
        <w:ind w:firstLine="482" w:firstLineChars="200"/>
        <w:rPr>
          <w:rFonts w:ascii="宋体"/>
          <w:sz w:val="24"/>
          <w:szCs w:val="24"/>
        </w:rPr>
      </w:pPr>
      <w:bookmarkStart w:id="84" w:name="_Toc109296531"/>
      <w:r>
        <w:rPr>
          <w:rFonts w:hint="eastAsia" w:ascii="宋体"/>
          <w:sz w:val="24"/>
          <w:szCs w:val="24"/>
        </w:rPr>
        <w:t>三、无效响应</w:t>
      </w:r>
      <w:bookmarkEnd w:id="84"/>
    </w:p>
    <w:p>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sz w:val="24"/>
          <w:szCs w:val="24"/>
        </w:rPr>
      </w:pPr>
      <w:bookmarkStart w:id="85" w:name="_Toc109296532"/>
      <w:r>
        <w:rPr>
          <w:rFonts w:hint="eastAsia" w:ascii="宋体"/>
          <w:sz w:val="24"/>
          <w:szCs w:val="24"/>
        </w:rPr>
        <w:t>四、</w:t>
      </w:r>
      <w:bookmarkEnd w:id="82"/>
      <w:bookmarkEnd w:id="83"/>
      <w:r>
        <w:rPr>
          <w:rFonts w:hint="eastAsia" w:ascii="宋体"/>
          <w:sz w:val="24"/>
          <w:szCs w:val="24"/>
        </w:rPr>
        <w:t>采购终止</w:t>
      </w:r>
      <w:bookmarkEnd w:id="85"/>
    </w:p>
    <w:p>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pPr>
        <w:snapToGrid w:val="0"/>
        <w:spacing w:line="360" w:lineRule="auto"/>
        <w:ind w:firstLine="465"/>
        <w:rPr>
          <w:rFonts w:ascii="宋体"/>
          <w:sz w:val="24"/>
          <w:szCs w:val="24"/>
        </w:rPr>
      </w:pPr>
      <w:r>
        <w:rPr>
          <w:rFonts w:hint="eastAsia" w:ascii="宋体"/>
          <w:sz w:val="24"/>
          <w:szCs w:val="24"/>
        </w:rPr>
        <w:t>（二）出现影响采购公正的违法、违规行为的；</w:t>
      </w:r>
    </w:p>
    <w:p>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eastAsia="宋体"/>
          <w:sz w:val="36"/>
          <w:szCs w:val="30"/>
        </w:rPr>
      </w:pPr>
      <w:bookmarkStart w:id="86" w:name="_Toc109296533"/>
      <w:bookmarkStart w:id="87" w:name="_Toc102227313"/>
      <w:r>
        <w:rPr>
          <w:rFonts w:hint="eastAsia" w:ascii="宋体" w:eastAsia="宋体"/>
          <w:sz w:val="36"/>
          <w:szCs w:val="30"/>
        </w:rPr>
        <w:t>第五篇  供应商须知</w:t>
      </w:r>
      <w:bookmarkEnd w:id="86"/>
      <w:bookmarkEnd w:id="87"/>
    </w:p>
    <w:p>
      <w:pPr>
        <w:pStyle w:val="6"/>
        <w:spacing w:before="0" w:after="0" w:line="360" w:lineRule="auto"/>
        <w:ind w:firstLine="482" w:firstLineChars="200"/>
        <w:rPr>
          <w:rFonts w:ascii="宋体"/>
          <w:sz w:val="24"/>
          <w:szCs w:val="24"/>
        </w:rPr>
      </w:pPr>
      <w:bookmarkStart w:id="88" w:name="_Toc109296534"/>
      <w:bookmarkStart w:id="89" w:name="_Toc342913389"/>
      <w:r>
        <w:rPr>
          <w:rFonts w:hint="eastAsia" w:ascii="宋体"/>
          <w:sz w:val="24"/>
          <w:szCs w:val="24"/>
        </w:rPr>
        <w:t>一、磋商费用</w:t>
      </w:r>
      <w:bookmarkEnd w:id="88"/>
      <w:bookmarkEnd w:id="89"/>
    </w:p>
    <w:p>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sz w:val="24"/>
          <w:szCs w:val="24"/>
        </w:rPr>
      </w:pPr>
      <w:bookmarkStart w:id="90" w:name="_Toc342913391"/>
      <w:bookmarkStart w:id="91" w:name="_Toc109296535"/>
      <w:r>
        <w:rPr>
          <w:rFonts w:hint="eastAsia" w:ascii="宋体"/>
          <w:sz w:val="24"/>
          <w:szCs w:val="24"/>
        </w:rPr>
        <w:t>二、竞争性磋商文件</w:t>
      </w:r>
      <w:bookmarkEnd w:id="90"/>
      <w:bookmarkEnd w:id="91"/>
    </w:p>
    <w:p>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sz w:val="24"/>
          <w:szCs w:val="24"/>
        </w:rPr>
      </w:pPr>
      <w:r>
        <w:rPr>
          <w:rFonts w:hint="eastAsia" w:ascii="宋体"/>
          <w:sz w:val="24"/>
          <w:szCs w:val="24"/>
        </w:rPr>
        <w:t>（三）竞争性磋商文件的解释</w:t>
      </w:r>
    </w:p>
    <w:p>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2" w:name="_Toc318166429"/>
      <w:bookmarkStart w:id="93" w:name="_Toc318159160"/>
      <w:bookmarkStart w:id="94" w:name="_Toc318159349"/>
      <w:bookmarkStart w:id="95" w:name="_Toc318159780"/>
    </w:p>
    <w:p>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92"/>
    <w:bookmarkEnd w:id="93"/>
    <w:bookmarkEnd w:id="94"/>
    <w:bookmarkEnd w:id="95"/>
    <w:p>
      <w:pPr>
        <w:pStyle w:val="6"/>
        <w:spacing w:before="0" w:after="0" w:line="360" w:lineRule="auto"/>
        <w:ind w:firstLine="482" w:firstLineChars="200"/>
        <w:rPr>
          <w:rFonts w:ascii="宋体"/>
          <w:sz w:val="24"/>
          <w:szCs w:val="24"/>
        </w:rPr>
      </w:pPr>
      <w:bookmarkStart w:id="96" w:name="_Toc342913392"/>
      <w:bookmarkStart w:id="97" w:name="_Toc109296536"/>
      <w:bookmarkStart w:id="98" w:name="_Toc102227318"/>
      <w:bookmarkStart w:id="99" w:name="_Toc179714297"/>
      <w:r>
        <w:rPr>
          <w:rFonts w:hint="eastAsia" w:ascii="宋体"/>
          <w:sz w:val="24"/>
          <w:szCs w:val="24"/>
        </w:rPr>
        <w:t>三、磋商要求</w:t>
      </w:r>
      <w:bookmarkEnd w:id="96"/>
      <w:bookmarkEnd w:id="97"/>
      <w:bookmarkEnd w:id="98"/>
      <w:bookmarkEnd w:id="99"/>
    </w:p>
    <w:p>
      <w:pPr>
        <w:spacing w:line="360" w:lineRule="auto"/>
        <w:ind w:firstLine="480" w:firstLineChars="200"/>
        <w:rPr>
          <w:rFonts w:ascii="宋体"/>
          <w:sz w:val="24"/>
          <w:szCs w:val="24"/>
        </w:rPr>
      </w:pPr>
      <w:r>
        <w:rPr>
          <w:rFonts w:hint="eastAsia" w:ascii="宋体"/>
          <w:sz w:val="24"/>
          <w:szCs w:val="24"/>
        </w:rPr>
        <w:t>（一）响应文件</w:t>
      </w:r>
    </w:p>
    <w:p>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sz w:val="24"/>
          <w:szCs w:val="24"/>
        </w:rPr>
      </w:pPr>
      <w:r>
        <w:rPr>
          <w:rFonts w:hint="eastAsia" w:ascii="宋体"/>
          <w:sz w:val="24"/>
          <w:szCs w:val="24"/>
        </w:rPr>
        <w:t>2.响应文件组成</w:t>
      </w:r>
    </w:p>
    <w:p>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sz w:val="24"/>
          <w:szCs w:val="24"/>
        </w:rPr>
      </w:pPr>
      <w:r>
        <w:rPr>
          <w:rFonts w:hint="eastAsia" w:ascii="宋体"/>
          <w:sz w:val="24"/>
          <w:szCs w:val="24"/>
        </w:rPr>
        <w:t>（二）联合体</w:t>
      </w:r>
    </w:p>
    <w:p>
      <w:pPr>
        <w:spacing w:line="360" w:lineRule="auto"/>
        <w:ind w:firstLine="480" w:firstLineChars="200"/>
        <w:rPr>
          <w:rFonts w:ascii="宋体"/>
          <w:sz w:val="24"/>
          <w:szCs w:val="24"/>
        </w:rPr>
      </w:pPr>
      <w:r>
        <w:rPr>
          <w:rFonts w:hint="eastAsia" w:ascii="宋体"/>
          <w:sz w:val="24"/>
          <w:szCs w:val="24"/>
        </w:rPr>
        <w:t>本项目不接受联合体磋商。</w:t>
      </w:r>
    </w:p>
    <w:p>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pPr>
        <w:spacing w:line="360" w:lineRule="auto"/>
        <w:ind w:firstLine="480" w:firstLineChars="200"/>
        <w:rPr>
          <w:rFonts w:ascii="宋体"/>
          <w:sz w:val="24"/>
          <w:szCs w:val="24"/>
        </w:rPr>
      </w:pPr>
      <w:r>
        <w:rPr>
          <w:rFonts w:hint="eastAsia" w:ascii="宋体"/>
          <w:sz w:val="24"/>
          <w:szCs w:val="24"/>
        </w:rPr>
        <w:t>（四）磋商保证金：</w:t>
      </w:r>
    </w:p>
    <w:p>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pPr>
        <w:spacing w:line="360" w:lineRule="auto"/>
        <w:ind w:firstLine="480" w:firstLineChars="200"/>
        <w:rPr>
          <w:rFonts w:ascii="宋体"/>
          <w:sz w:val="24"/>
          <w:szCs w:val="24"/>
        </w:rPr>
      </w:pPr>
      <w:r>
        <w:rPr>
          <w:rFonts w:hint="eastAsia" w:ascii="宋体"/>
          <w:sz w:val="24"/>
          <w:szCs w:val="24"/>
        </w:rPr>
        <w:t>2.发生以下情况之一者，磋商保证金不予退还：</w:t>
      </w:r>
    </w:p>
    <w:p>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pPr>
        <w:spacing w:line="360" w:lineRule="auto"/>
        <w:ind w:firstLine="480" w:firstLineChars="200"/>
        <w:rPr>
          <w:rFonts w:ascii="宋体"/>
          <w:sz w:val="24"/>
          <w:szCs w:val="24"/>
        </w:rPr>
      </w:pPr>
      <w:r>
        <w:rPr>
          <w:rFonts w:hint="eastAsia" w:ascii="宋体"/>
          <w:sz w:val="24"/>
          <w:szCs w:val="24"/>
        </w:rPr>
        <w:t>2.2 供应商在响应文件中提供虚假材料的；</w:t>
      </w:r>
    </w:p>
    <w:p>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sz w:val="24"/>
          <w:szCs w:val="24"/>
        </w:rPr>
      </w:pPr>
      <w:r>
        <w:rPr>
          <w:rFonts w:hint="eastAsia" w:ascii="宋体"/>
          <w:sz w:val="24"/>
          <w:szCs w:val="24"/>
        </w:rPr>
        <w:t>（四）修正错误</w:t>
      </w:r>
    </w:p>
    <w:p>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sz w:val="24"/>
          <w:szCs w:val="24"/>
        </w:rPr>
      </w:pPr>
      <w:r>
        <w:rPr>
          <w:rFonts w:hint="eastAsia" w:ascii="宋体"/>
          <w:sz w:val="24"/>
          <w:szCs w:val="24"/>
        </w:rPr>
        <w:t>（六）响应文件的递交</w:t>
      </w:r>
    </w:p>
    <w:p>
      <w:pPr>
        <w:snapToGrid w:val="0"/>
        <w:spacing w:line="360" w:lineRule="auto"/>
        <w:ind w:firstLine="480" w:firstLineChars="200"/>
        <w:rPr>
          <w:rFonts w:ascii="宋体"/>
          <w:sz w:val="24"/>
          <w:szCs w:val="24"/>
        </w:rPr>
      </w:pPr>
      <w:r>
        <w:rPr>
          <w:rFonts w:hint="eastAsia" w:ascii="宋体"/>
          <w:sz w:val="24"/>
          <w:szCs w:val="24"/>
        </w:rPr>
        <w:t>1.响应文件的密封与标记</w:t>
      </w:r>
    </w:p>
    <w:p>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pPr>
        <w:snapToGrid w:val="0"/>
        <w:spacing w:line="360" w:lineRule="auto"/>
        <w:ind w:firstLine="480" w:firstLineChars="200"/>
        <w:rPr>
          <w:rFonts w:ascii="宋体"/>
          <w:sz w:val="24"/>
          <w:szCs w:val="24"/>
        </w:rPr>
      </w:pPr>
      <w:r>
        <w:rPr>
          <w:rFonts w:hint="eastAsia" w:ascii="宋体"/>
          <w:sz w:val="24"/>
          <w:szCs w:val="24"/>
        </w:rPr>
        <w:t>3.响应文件语言：简体中文</w:t>
      </w:r>
    </w:p>
    <w:p>
      <w:pPr>
        <w:snapToGrid w:val="0"/>
        <w:spacing w:line="360" w:lineRule="auto"/>
        <w:ind w:firstLine="480" w:firstLineChars="200"/>
        <w:rPr>
          <w:rFonts w:ascii="宋体"/>
          <w:sz w:val="24"/>
          <w:szCs w:val="24"/>
        </w:rPr>
      </w:pPr>
      <w:r>
        <w:rPr>
          <w:rFonts w:hint="eastAsia" w:ascii="宋体"/>
          <w:sz w:val="24"/>
          <w:szCs w:val="24"/>
        </w:rPr>
        <w:t>（七）供应商参与人员</w:t>
      </w:r>
    </w:p>
    <w:p>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sz w:val="24"/>
          <w:szCs w:val="24"/>
        </w:rPr>
      </w:pPr>
      <w:bookmarkStart w:id="100" w:name="_Toc109296537"/>
      <w:r>
        <w:rPr>
          <w:rFonts w:hint="eastAsia" w:ascii="宋体"/>
          <w:sz w:val="24"/>
          <w:szCs w:val="24"/>
        </w:rPr>
        <w:t>四、成交供应商的确认和变更</w:t>
      </w:r>
      <w:bookmarkEnd w:id="100"/>
    </w:p>
    <w:p>
      <w:pPr>
        <w:snapToGrid w:val="0"/>
        <w:spacing w:line="360" w:lineRule="auto"/>
        <w:ind w:firstLine="480" w:firstLineChars="200"/>
        <w:rPr>
          <w:rFonts w:ascii="宋体"/>
          <w:sz w:val="24"/>
          <w:szCs w:val="24"/>
        </w:rPr>
      </w:pPr>
      <w:r>
        <w:rPr>
          <w:rFonts w:hint="eastAsia" w:ascii="宋体"/>
          <w:sz w:val="24"/>
          <w:szCs w:val="24"/>
        </w:rPr>
        <w:t>（一）成交供应商的确认</w:t>
      </w:r>
    </w:p>
    <w:p>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sz w:val="24"/>
          <w:szCs w:val="24"/>
        </w:rPr>
      </w:pPr>
      <w:r>
        <w:rPr>
          <w:rFonts w:hint="eastAsia" w:ascii="宋体"/>
          <w:sz w:val="24"/>
          <w:szCs w:val="24"/>
        </w:rPr>
        <w:t>（二）成交供应商的变更</w:t>
      </w:r>
    </w:p>
    <w:p>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sz w:val="24"/>
          <w:szCs w:val="24"/>
        </w:rPr>
      </w:pPr>
      <w:bookmarkStart w:id="101" w:name="_Toc109296538"/>
      <w:bookmarkStart w:id="102" w:name="_Toc102227321"/>
      <w:bookmarkStart w:id="103" w:name="_Toc342913395"/>
      <w:r>
        <w:rPr>
          <w:rFonts w:hint="eastAsia" w:ascii="宋体"/>
          <w:sz w:val="24"/>
          <w:szCs w:val="24"/>
        </w:rPr>
        <w:t>五、成交通知</w:t>
      </w:r>
      <w:bookmarkEnd w:id="101"/>
      <w:bookmarkEnd w:id="102"/>
      <w:bookmarkEnd w:id="103"/>
    </w:p>
    <w:p>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sz w:val="24"/>
          <w:szCs w:val="24"/>
        </w:rPr>
      </w:pPr>
      <w:r>
        <w:rPr>
          <w:rFonts w:hint="eastAsia" w:ascii="宋体"/>
          <w:sz w:val="24"/>
          <w:szCs w:val="24"/>
        </w:rPr>
        <w:t>（三）《成交通知书》将作为签订合同的依据。</w:t>
      </w:r>
    </w:p>
    <w:p>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pPr>
        <w:pStyle w:val="6"/>
        <w:spacing w:before="0" w:after="0" w:line="360" w:lineRule="auto"/>
        <w:ind w:firstLine="482" w:firstLineChars="200"/>
        <w:rPr>
          <w:rFonts w:ascii="宋体"/>
          <w:sz w:val="24"/>
          <w:szCs w:val="24"/>
        </w:rPr>
      </w:pPr>
      <w:bookmarkStart w:id="104" w:name="_Toc109296539"/>
      <w:r>
        <w:rPr>
          <w:rFonts w:hint="eastAsia" w:ascii="宋体"/>
          <w:sz w:val="24"/>
          <w:szCs w:val="24"/>
        </w:rPr>
        <w:t>六、关于质疑和投诉</w:t>
      </w:r>
      <w:bookmarkEnd w:id="104"/>
    </w:p>
    <w:p>
      <w:pPr>
        <w:spacing w:line="360" w:lineRule="auto"/>
        <w:ind w:firstLine="480" w:firstLineChars="200"/>
        <w:rPr>
          <w:rFonts w:ascii="宋体"/>
          <w:sz w:val="24"/>
          <w:szCs w:val="24"/>
        </w:rPr>
      </w:pPr>
      <w:r>
        <w:rPr>
          <w:rFonts w:hint="eastAsia" w:ascii="宋体"/>
          <w:sz w:val="24"/>
          <w:szCs w:val="24"/>
        </w:rPr>
        <w:t>（一）质疑</w:t>
      </w:r>
    </w:p>
    <w:p>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bookmarkStart w:id="149" w:name="_GoBack"/>
      <w:bookmarkEnd w:id="149"/>
      <w:r>
        <w:rPr>
          <w:rFonts w:hint="eastAsia" w:ascii="宋体"/>
          <w:sz w:val="24"/>
          <w:szCs w:val="24"/>
        </w:rPr>
        <w:t>伤害的，可向采购人或采购代理机构以书面形式提出质疑。</w:t>
      </w:r>
    </w:p>
    <w:p>
      <w:pPr>
        <w:spacing w:line="360" w:lineRule="auto"/>
        <w:ind w:firstLine="570"/>
        <w:rPr>
          <w:rFonts w:ascii="宋体"/>
          <w:sz w:val="24"/>
          <w:szCs w:val="24"/>
        </w:rPr>
      </w:pPr>
      <w:r>
        <w:rPr>
          <w:rFonts w:hint="eastAsia" w:ascii="宋体"/>
          <w:sz w:val="24"/>
          <w:szCs w:val="24"/>
        </w:rPr>
        <w:t>提出质疑的应当是参与所质疑项目采购活动的供应商。</w:t>
      </w:r>
    </w:p>
    <w:p>
      <w:pPr>
        <w:spacing w:line="360" w:lineRule="auto"/>
        <w:ind w:firstLine="570"/>
        <w:rPr>
          <w:rFonts w:ascii="宋体"/>
          <w:sz w:val="24"/>
          <w:szCs w:val="24"/>
        </w:rPr>
      </w:pPr>
      <w:r>
        <w:rPr>
          <w:rFonts w:hint="eastAsia" w:ascii="宋体"/>
          <w:sz w:val="24"/>
          <w:szCs w:val="24"/>
        </w:rPr>
        <w:t>1.质疑内容、时限</w:t>
      </w:r>
    </w:p>
    <w:p>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pPr>
        <w:spacing w:line="360" w:lineRule="auto"/>
        <w:ind w:firstLine="570"/>
        <w:rPr>
          <w:rFonts w:ascii="宋体"/>
          <w:sz w:val="24"/>
          <w:szCs w:val="24"/>
        </w:rPr>
      </w:pPr>
      <w:r>
        <w:rPr>
          <w:rFonts w:hint="eastAsia" w:ascii="宋体"/>
          <w:sz w:val="24"/>
          <w:szCs w:val="24"/>
        </w:rPr>
        <w:t>（1）供应商的姓名或者名称、地址、邮编、联系人及联系电话；</w:t>
      </w:r>
    </w:p>
    <w:p>
      <w:pPr>
        <w:spacing w:line="360" w:lineRule="auto"/>
        <w:ind w:firstLine="570"/>
        <w:rPr>
          <w:rFonts w:ascii="宋体"/>
          <w:sz w:val="24"/>
          <w:szCs w:val="24"/>
        </w:rPr>
      </w:pPr>
      <w:r>
        <w:rPr>
          <w:rFonts w:hint="eastAsia" w:ascii="宋体"/>
          <w:sz w:val="24"/>
          <w:szCs w:val="24"/>
        </w:rPr>
        <w:t>（2）质疑项目的名称、项目号以及招标项目编号；</w:t>
      </w:r>
    </w:p>
    <w:p>
      <w:pPr>
        <w:spacing w:line="360" w:lineRule="auto"/>
        <w:ind w:firstLine="570"/>
        <w:rPr>
          <w:rFonts w:ascii="宋体"/>
          <w:sz w:val="24"/>
          <w:szCs w:val="24"/>
        </w:rPr>
      </w:pPr>
      <w:r>
        <w:rPr>
          <w:rFonts w:hint="eastAsia" w:ascii="宋体"/>
          <w:sz w:val="24"/>
          <w:szCs w:val="24"/>
        </w:rPr>
        <w:t>（3）具体、明确的质疑事项和与质疑事项相关的请求；</w:t>
      </w:r>
    </w:p>
    <w:p>
      <w:pPr>
        <w:spacing w:line="360" w:lineRule="auto"/>
        <w:ind w:firstLine="570"/>
        <w:rPr>
          <w:rFonts w:ascii="宋体"/>
          <w:sz w:val="24"/>
          <w:szCs w:val="24"/>
        </w:rPr>
      </w:pPr>
      <w:r>
        <w:rPr>
          <w:rFonts w:hint="eastAsia" w:ascii="宋体"/>
          <w:sz w:val="24"/>
          <w:szCs w:val="24"/>
        </w:rPr>
        <w:t>（4）事实依据；</w:t>
      </w:r>
    </w:p>
    <w:p>
      <w:pPr>
        <w:spacing w:line="360" w:lineRule="auto"/>
        <w:ind w:firstLine="570"/>
        <w:rPr>
          <w:rFonts w:ascii="宋体"/>
          <w:sz w:val="24"/>
          <w:szCs w:val="24"/>
        </w:rPr>
      </w:pPr>
      <w:r>
        <w:rPr>
          <w:rFonts w:hint="eastAsia" w:ascii="宋体"/>
          <w:sz w:val="24"/>
          <w:szCs w:val="24"/>
        </w:rPr>
        <w:t>（5）必要的法律依据；</w:t>
      </w:r>
    </w:p>
    <w:p>
      <w:pPr>
        <w:spacing w:line="360" w:lineRule="auto"/>
        <w:ind w:firstLine="570"/>
        <w:rPr>
          <w:rFonts w:ascii="宋体"/>
          <w:sz w:val="24"/>
          <w:szCs w:val="24"/>
        </w:rPr>
      </w:pPr>
      <w:r>
        <w:rPr>
          <w:rFonts w:hint="eastAsia" w:ascii="宋体"/>
          <w:sz w:val="24"/>
          <w:szCs w:val="24"/>
        </w:rPr>
        <w:t>（6）提出质疑的日期；</w:t>
      </w:r>
    </w:p>
    <w:p>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sz w:val="24"/>
          <w:szCs w:val="24"/>
        </w:rPr>
      </w:pPr>
      <w:r>
        <w:rPr>
          <w:rFonts w:hint="eastAsia" w:ascii="宋体"/>
          <w:sz w:val="24"/>
          <w:szCs w:val="24"/>
        </w:rPr>
        <w:t>2.质疑答复</w:t>
      </w:r>
    </w:p>
    <w:p>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sz w:val="24"/>
          <w:szCs w:val="24"/>
        </w:rPr>
      </w:pPr>
      <w:r>
        <w:rPr>
          <w:rFonts w:hint="eastAsia" w:ascii="宋体"/>
          <w:sz w:val="24"/>
          <w:szCs w:val="24"/>
        </w:rPr>
        <w:t>3.其他</w:t>
      </w:r>
    </w:p>
    <w:p>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sz w:val="24"/>
          <w:szCs w:val="24"/>
        </w:rPr>
      </w:pPr>
      <w:r>
        <w:rPr>
          <w:rFonts w:hint="eastAsia" w:ascii="宋体"/>
          <w:sz w:val="24"/>
          <w:szCs w:val="24"/>
        </w:rPr>
        <w:t>3.2 质疑函范本可在财政部门户网站和中国政府采购网下载。</w:t>
      </w:r>
    </w:p>
    <w:p>
      <w:pPr>
        <w:spacing w:line="360" w:lineRule="auto"/>
        <w:ind w:firstLine="570"/>
        <w:rPr>
          <w:rFonts w:ascii="宋体"/>
          <w:sz w:val="24"/>
          <w:szCs w:val="24"/>
        </w:rPr>
      </w:pPr>
      <w:r>
        <w:rPr>
          <w:rFonts w:hint="eastAsia" w:ascii="宋体"/>
          <w:sz w:val="24"/>
          <w:szCs w:val="24"/>
        </w:rPr>
        <w:t>（二）投诉</w:t>
      </w:r>
    </w:p>
    <w:p>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sz w:val="24"/>
          <w:szCs w:val="24"/>
        </w:rPr>
      </w:pPr>
      <w:bookmarkStart w:id="105" w:name="_Toc109296540"/>
      <w:r>
        <w:rPr>
          <w:rFonts w:hint="eastAsia" w:ascii="宋体"/>
          <w:sz w:val="24"/>
          <w:szCs w:val="24"/>
        </w:rPr>
        <w:t>七、采购代理服务费</w:t>
      </w:r>
      <w:bookmarkEnd w:id="105"/>
    </w:p>
    <w:p>
      <w:pPr>
        <w:spacing w:line="360" w:lineRule="auto"/>
        <w:ind w:firstLine="480" w:firstLineChars="200"/>
        <w:rPr>
          <w:rFonts w:ascii="宋体"/>
          <w:sz w:val="24"/>
        </w:rPr>
      </w:pPr>
      <w:r>
        <w:rPr>
          <w:rFonts w:hint="eastAsia" w:ascii="宋体"/>
          <w:sz w:val="24"/>
        </w:rPr>
        <w:t>（一）招标代理服务费标准</w:t>
      </w:r>
    </w:p>
    <w:p>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sz w:val="21"/>
                <w:szCs w:val="21"/>
              </w:rPr>
            </w:pPr>
            <w:r>
              <w:rPr>
                <w:rFonts w:asci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pPr>
              <w:spacing w:line="240" w:lineRule="atLeast"/>
              <w:rPr>
                <w:rFonts w:ascii="宋体"/>
                <w:sz w:val="21"/>
                <w:szCs w:val="21"/>
              </w:rPr>
            </w:pPr>
            <w:r>
              <w:rPr>
                <w:rFonts w:hint="eastAsia" w:ascii="宋体"/>
                <w:sz w:val="21"/>
                <w:szCs w:val="21"/>
              </w:rPr>
              <w:t>中标金额（万元）</w:t>
            </w:r>
          </w:p>
        </w:tc>
        <w:tc>
          <w:tcPr>
            <w:tcW w:w="2273" w:type="dxa"/>
            <w:vAlign w:val="center"/>
          </w:tcPr>
          <w:p>
            <w:pPr>
              <w:spacing w:line="240" w:lineRule="atLeast"/>
              <w:jc w:val="center"/>
              <w:rPr>
                <w:rFonts w:ascii="宋体"/>
                <w:sz w:val="21"/>
                <w:szCs w:val="21"/>
              </w:rPr>
            </w:pPr>
            <w:r>
              <w:rPr>
                <w:rFonts w:hint="eastAsia" w:ascii="宋体"/>
                <w:sz w:val="21"/>
                <w:szCs w:val="21"/>
              </w:rPr>
              <w:t>货物招标</w:t>
            </w:r>
          </w:p>
        </w:tc>
        <w:tc>
          <w:tcPr>
            <w:tcW w:w="2273" w:type="dxa"/>
            <w:vAlign w:val="center"/>
          </w:tcPr>
          <w:p>
            <w:pPr>
              <w:spacing w:line="240" w:lineRule="atLeast"/>
              <w:jc w:val="center"/>
              <w:rPr>
                <w:rFonts w:ascii="宋体"/>
                <w:sz w:val="21"/>
                <w:szCs w:val="21"/>
              </w:rPr>
            </w:pPr>
            <w:r>
              <w:rPr>
                <w:rFonts w:hint="eastAsia" w:ascii="宋体"/>
                <w:sz w:val="21"/>
                <w:szCs w:val="21"/>
              </w:rPr>
              <w:t>服务招标</w:t>
            </w:r>
          </w:p>
        </w:tc>
        <w:tc>
          <w:tcPr>
            <w:tcW w:w="2272" w:type="dxa"/>
            <w:vAlign w:val="center"/>
          </w:tcPr>
          <w:p>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100（含）以下</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2" w:type="dxa"/>
            <w:vAlign w:val="center"/>
          </w:tcPr>
          <w:p>
            <w:pPr>
              <w:spacing w:line="240" w:lineRule="atLeast"/>
              <w:jc w:val="center"/>
              <w:rPr>
                <w:rFonts w:ascii="宋体"/>
                <w:sz w:val="21"/>
                <w:szCs w:val="21"/>
              </w:rPr>
            </w:pPr>
            <w:r>
              <w:rPr>
                <w:rFonts w:hint="eastAsia" w:asci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100以上-500</w:t>
            </w:r>
          </w:p>
        </w:tc>
        <w:tc>
          <w:tcPr>
            <w:tcW w:w="2273" w:type="dxa"/>
            <w:vAlign w:val="center"/>
          </w:tcPr>
          <w:p>
            <w:pPr>
              <w:spacing w:line="240" w:lineRule="atLeast"/>
              <w:jc w:val="center"/>
              <w:rPr>
                <w:rFonts w:ascii="宋体"/>
                <w:sz w:val="21"/>
                <w:szCs w:val="21"/>
              </w:rPr>
            </w:pPr>
            <w:r>
              <w:rPr>
                <w:rFonts w:hint="eastAsia" w:ascii="宋体"/>
                <w:sz w:val="21"/>
                <w:szCs w:val="21"/>
              </w:rPr>
              <w:t>1.1%</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2" w:type="dxa"/>
            <w:vAlign w:val="center"/>
          </w:tcPr>
          <w:p>
            <w:pPr>
              <w:spacing w:line="240" w:lineRule="atLeast"/>
              <w:jc w:val="center"/>
              <w:rPr>
                <w:rFonts w:ascii="宋体"/>
                <w:sz w:val="21"/>
                <w:szCs w:val="21"/>
              </w:rPr>
            </w:pPr>
            <w:r>
              <w:rPr>
                <w:rFonts w:hint="eastAsia" w:asci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500以上-1000</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3" w:type="dxa"/>
            <w:vAlign w:val="center"/>
          </w:tcPr>
          <w:p>
            <w:pPr>
              <w:spacing w:line="240" w:lineRule="atLeast"/>
              <w:jc w:val="center"/>
              <w:rPr>
                <w:rFonts w:ascii="宋体"/>
                <w:sz w:val="21"/>
                <w:szCs w:val="21"/>
              </w:rPr>
            </w:pPr>
            <w:r>
              <w:rPr>
                <w:rFonts w:hint="eastAsia" w:ascii="宋体"/>
                <w:sz w:val="21"/>
                <w:szCs w:val="21"/>
              </w:rPr>
              <w:t>0.45%</w:t>
            </w:r>
          </w:p>
        </w:tc>
        <w:tc>
          <w:tcPr>
            <w:tcW w:w="2272" w:type="dxa"/>
            <w:vAlign w:val="center"/>
          </w:tcPr>
          <w:p>
            <w:pPr>
              <w:spacing w:line="240" w:lineRule="atLeast"/>
              <w:jc w:val="center"/>
              <w:rPr>
                <w:rFonts w:ascii="宋体"/>
                <w:sz w:val="21"/>
                <w:szCs w:val="21"/>
              </w:rPr>
            </w:pPr>
            <w:r>
              <w:rPr>
                <w:rFonts w:hint="eastAsia" w:ascii="宋体"/>
                <w:sz w:val="21"/>
                <w:szCs w:val="21"/>
              </w:rPr>
              <w:t>0.55%</w:t>
            </w:r>
          </w:p>
        </w:tc>
      </w:tr>
    </w:tbl>
    <w:p>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pPr>
        <w:snapToGrid w:val="0"/>
        <w:spacing w:line="360" w:lineRule="auto"/>
        <w:ind w:firstLine="482" w:firstLineChars="200"/>
        <w:rPr>
          <w:rFonts w:ascii="宋体"/>
          <w:b/>
          <w:sz w:val="24"/>
          <w:szCs w:val="24"/>
        </w:rPr>
      </w:pPr>
      <w:r>
        <w:rPr>
          <w:rFonts w:hint="eastAsia" w:ascii="宋体"/>
          <w:b/>
          <w:sz w:val="24"/>
          <w:szCs w:val="24"/>
        </w:rPr>
        <w:t>账  号：1144 6718 4234</w:t>
      </w:r>
    </w:p>
    <w:p>
      <w:pPr>
        <w:pStyle w:val="6"/>
        <w:spacing w:before="0" w:after="0" w:line="360" w:lineRule="auto"/>
        <w:ind w:firstLine="482" w:firstLineChars="200"/>
        <w:rPr>
          <w:rFonts w:ascii="宋体"/>
          <w:sz w:val="24"/>
          <w:szCs w:val="24"/>
        </w:rPr>
      </w:pPr>
      <w:bookmarkStart w:id="106" w:name="_Toc102227322"/>
      <w:bookmarkStart w:id="107" w:name="_Toc109296541"/>
      <w:bookmarkStart w:id="108" w:name="_Toc342913396"/>
      <w:bookmarkStart w:id="109" w:name="_Toc12789059"/>
      <w:bookmarkStart w:id="110" w:name="_Toc11641055"/>
      <w:r>
        <w:rPr>
          <w:rFonts w:hint="eastAsia" w:ascii="宋体"/>
          <w:sz w:val="24"/>
          <w:szCs w:val="24"/>
        </w:rPr>
        <w:t>八、签订</w:t>
      </w:r>
      <w:bookmarkEnd w:id="106"/>
      <w:r>
        <w:rPr>
          <w:rFonts w:hint="eastAsia" w:ascii="宋体"/>
          <w:sz w:val="24"/>
          <w:szCs w:val="24"/>
        </w:rPr>
        <w:t>合同</w:t>
      </w:r>
      <w:bookmarkEnd w:id="107"/>
      <w:bookmarkEnd w:id="108"/>
    </w:p>
    <w:p>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eastAsia="宋体"/>
          <w:sz w:val="36"/>
          <w:szCs w:val="30"/>
        </w:rPr>
      </w:pPr>
      <w:bookmarkStart w:id="111" w:name="_Toc109296542"/>
      <w:r>
        <w:rPr>
          <w:rFonts w:hint="eastAsia" w:ascii="宋体" w:eastAsia="宋体"/>
          <w:sz w:val="36"/>
          <w:szCs w:val="30"/>
        </w:rPr>
        <w:t xml:space="preserve">第六篇  </w:t>
      </w:r>
      <w:bookmarkEnd w:id="109"/>
      <w:bookmarkEnd w:id="110"/>
      <w:r>
        <w:rPr>
          <w:rFonts w:hint="eastAsia" w:ascii="宋体" w:eastAsia="宋体"/>
          <w:sz w:val="36"/>
          <w:szCs w:val="30"/>
        </w:rPr>
        <w:t>合同草案条款</w:t>
      </w:r>
      <w:bookmarkEnd w:id="111"/>
    </w:p>
    <w:p>
      <w:pPr>
        <w:spacing w:line="360" w:lineRule="auto"/>
        <w:jc w:val="center"/>
        <w:rPr>
          <w:rFonts w:ascii="宋体"/>
          <w:b/>
          <w:sz w:val="44"/>
        </w:rPr>
      </w:pPr>
      <w:bookmarkStart w:id="112" w:name="_Hlt41879464"/>
      <w:bookmarkEnd w:id="112"/>
      <w:bookmarkStart w:id="113" w:name="_Toc23764521"/>
      <w:r>
        <w:rPr>
          <w:rFonts w:ascii="宋体"/>
          <w:b/>
          <w:sz w:val="44"/>
        </w:rPr>
        <w:t>重庆市政府采购合同</w:t>
      </w:r>
    </w:p>
    <w:p>
      <w:pPr>
        <w:spacing w:line="360" w:lineRule="auto"/>
        <w:jc w:val="center"/>
        <w:rPr>
          <w:rFonts w:ascii="宋体"/>
        </w:rPr>
      </w:pPr>
      <w:r>
        <w:rPr>
          <w:rFonts w:ascii="宋体"/>
        </w:rPr>
        <w:t>（项目编号：     ）</w:t>
      </w:r>
    </w:p>
    <w:p>
      <w:pPr>
        <w:spacing w:line="360" w:lineRule="auto"/>
        <w:rPr>
          <w:rFonts w:ascii="宋体"/>
          <w:sz w:val="24"/>
        </w:rPr>
      </w:pPr>
      <w:r>
        <w:rPr>
          <w:rFonts w:ascii="宋体"/>
          <w:sz w:val="24"/>
        </w:rPr>
        <w:t>甲方（需方）：___________________________      计价单位：____________</w:t>
      </w:r>
    </w:p>
    <w:p>
      <w:pPr>
        <w:spacing w:line="360" w:lineRule="auto"/>
        <w:rPr>
          <w:rFonts w:ascii="宋体"/>
          <w:sz w:val="24"/>
        </w:rPr>
      </w:pPr>
      <w:r>
        <w:rPr>
          <w:rFonts w:ascii="宋体"/>
          <w:sz w:val="24"/>
        </w:rPr>
        <w:t>乙方（供方）：___________________________      计量单位：_____________</w:t>
      </w:r>
    </w:p>
    <w:p>
      <w:pPr>
        <w:spacing w:line="360" w:lineRule="auto"/>
        <w:rPr>
          <w:rFonts w:ascii="宋体"/>
          <w:sz w:val="24"/>
        </w:rPr>
      </w:pPr>
    </w:p>
    <w:p>
      <w:pPr>
        <w:spacing w:line="360" w:lineRule="auto"/>
        <w:rPr>
          <w:rFonts w:ascii="宋体"/>
          <w:sz w:val="24"/>
        </w:rPr>
      </w:pPr>
      <w:r>
        <w:rPr>
          <w:rFonts w:asci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sz w:val="21"/>
                <w:szCs w:val="21"/>
              </w:rPr>
            </w:pPr>
            <w:r>
              <w:rPr>
                <w:rFonts w:hint="eastAsia" w:ascii="宋体"/>
                <w:sz w:val="21"/>
                <w:szCs w:val="21"/>
              </w:rPr>
              <w:t>项目类别</w:t>
            </w:r>
          </w:p>
        </w:tc>
        <w:tc>
          <w:tcPr>
            <w:tcW w:w="984" w:type="dxa"/>
            <w:vAlign w:val="center"/>
          </w:tcPr>
          <w:p>
            <w:pPr>
              <w:spacing w:line="360" w:lineRule="auto"/>
              <w:jc w:val="center"/>
              <w:rPr>
                <w:rFonts w:ascii="宋体"/>
                <w:sz w:val="21"/>
                <w:szCs w:val="21"/>
              </w:rPr>
            </w:pPr>
            <w:r>
              <w:rPr>
                <w:rFonts w:ascii="宋体"/>
                <w:sz w:val="21"/>
                <w:szCs w:val="21"/>
              </w:rPr>
              <w:t>数量</w:t>
            </w:r>
          </w:p>
        </w:tc>
        <w:tc>
          <w:tcPr>
            <w:tcW w:w="1298" w:type="dxa"/>
            <w:gridSpan w:val="2"/>
            <w:vAlign w:val="center"/>
          </w:tcPr>
          <w:p>
            <w:pPr>
              <w:spacing w:line="360" w:lineRule="auto"/>
              <w:jc w:val="center"/>
              <w:rPr>
                <w:rFonts w:ascii="宋体"/>
                <w:sz w:val="21"/>
                <w:szCs w:val="21"/>
              </w:rPr>
            </w:pPr>
            <w:r>
              <w:rPr>
                <w:rFonts w:ascii="宋体"/>
                <w:sz w:val="21"/>
                <w:szCs w:val="21"/>
              </w:rPr>
              <w:t>综合单价</w:t>
            </w:r>
          </w:p>
        </w:tc>
        <w:tc>
          <w:tcPr>
            <w:tcW w:w="1134" w:type="dxa"/>
            <w:vAlign w:val="center"/>
          </w:tcPr>
          <w:p>
            <w:pPr>
              <w:spacing w:line="360" w:lineRule="auto"/>
              <w:jc w:val="center"/>
              <w:rPr>
                <w:rFonts w:ascii="宋体"/>
                <w:sz w:val="21"/>
                <w:szCs w:val="21"/>
              </w:rPr>
            </w:pPr>
            <w:r>
              <w:rPr>
                <w:rFonts w:ascii="宋体"/>
                <w:sz w:val="21"/>
                <w:szCs w:val="21"/>
              </w:rPr>
              <w:t>总价</w:t>
            </w:r>
          </w:p>
        </w:tc>
        <w:tc>
          <w:tcPr>
            <w:tcW w:w="1559"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sz w:val="21"/>
                <w:szCs w:val="21"/>
              </w:rPr>
            </w:pPr>
            <w:r>
              <w:rPr>
                <w:rFonts w:ascii="宋体"/>
                <w:sz w:val="21"/>
                <w:szCs w:val="21"/>
              </w:rPr>
              <w:t>一、质量要求和技术标准：</w:t>
            </w:r>
          </w:p>
          <w:p>
            <w:pPr>
              <w:spacing w:line="360" w:lineRule="auto"/>
              <w:rPr>
                <w:rFonts w:ascii="宋体"/>
                <w:sz w:val="21"/>
                <w:szCs w:val="21"/>
              </w:rPr>
            </w:pPr>
            <w:r>
              <w:rPr>
                <w:rFonts w:ascii="宋体"/>
                <w:sz w:val="21"/>
                <w:szCs w:val="21"/>
              </w:rPr>
              <w:t>1、服务措施：</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sz w:val="21"/>
                <w:szCs w:val="21"/>
              </w:rPr>
            </w:pPr>
            <w:r>
              <w:rPr>
                <w:rFonts w:hint="eastAsia" w:ascii="宋体"/>
                <w:sz w:val="21"/>
                <w:szCs w:val="21"/>
              </w:rPr>
              <w:t>二</w:t>
            </w:r>
            <w:r>
              <w:rPr>
                <w:rFonts w:ascii="宋体"/>
                <w:sz w:val="21"/>
                <w:szCs w:val="21"/>
              </w:rPr>
              <w:t>、验收标准、方法：</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三</w:t>
            </w:r>
            <w:r>
              <w:rPr>
                <w:rFonts w:ascii="宋体"/>
                <w:sz w:val="21"/>
                <w:szCs w:val="21"/>
              </w:rPr>
              <w:t>、付款方式：</w:t>
            </w:r>
          </w:p>
          <w:p>
            <w:pPr>
              <w:pStyle w:val="36"/>
              <w:spacing w:line="360" w:lineRule="auto"/>
              <w:ind w:left="98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四</w:t>
            </w:r>
            <w:r>
              <w:rPr>
                <w:rFonts w:ascii="宋体"/>
                <w:sz w:val="21"/>
                <w:szCs w:val="21"/>
              </w:rPr>
              <w:t>、违约责任：</w:t>
            </w:r>
          </w:p>
          <w:p>
            <w:pPr>
              <w:spacing w:line="360" w:lineRule="auto"/>
              <w:rPr>
                <w:rFonts w:ascii="宋体"/>
                <w:sz w:val="21"/>
                <w:szCs w:val="21"/>
              </w:rPr>
            </w:pPr>
            <w:r>
              <w:rPr>
                <w:rFonts w:ascii="宋体"/>
                <w:sz w:val="21"/>
                <w:szCs w:val="21"/>
              </w:rPr>
              <w:t>按《</w:t>
            </w:r>
            <w:r>
              <w:rPr>
                <w:rFonts w:hint="eastAsia" w:ascii="宋体" w:hAnsi="宋体"/>
                <w:sz w:val="21"/>
                <w:szCs w:val="21"/>
              </w:rPr>
              <w:t>中华人民共和国民法典</w:t>
            </w:r>
            <w:r>
              <w:rPr>
                <w:rFonts w:ascii="宋体"/>
                <w:sz w:val="21"/>
                <w:szCs w:val="21"/>
              </w:rPr>
              <w:t>》、</w:t>
            </w:r>
            <w:r>
              <w:rPr>
                <w:rFonts w:hint="eastAsia" w:ascii="宋体"/>
                <w:sz w:val="21"/>
                <w:szCs w:val="21"/>
              </w:rPr>
              <w:t>《中华人民共和国政府采购法》</w:t>
            </w:r>
            <w:r>
              <w:rPr>
                <w:rFonts w:asci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sz w:val="21"/>
                <w:szCs w:val="21"/>
              </w:rPr>
            </w:pPr>
            <w:r>
              <w:rPr>
                <w:rFonts w:hint="eastAsia" w:ascii="宋体"/>
                <w:sz w:val="21"/>
                <w:szCs w:val="21"/>
              </w:rPr>
              <w:t>五</w:t>
            </w:r>
            <w:r>
              <w:rPr>
                <w:rFonts w:ascii="宋体"/>
                <w:sz w:val="21"/>
                <w:szCs w:val="21"/>
              </w:rPr>
              <w:t>、其他约定事项：</w:t>
            </w:r>
          </w:p>
          <w:p>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pPr>
              <w:spacing w:line="360" w:lineRule="auto"/>
              <w:ind w:left="360"/>
              <w:rPr>
                <w:rFonts w:ascii="宋体"/>
                <w:sz w:val="21"/>
                <w:szCs w:val="21"/>
              </w:rPr>
            </w:pPr>
            <w:r>
              <w:rPr>
                <w:rFonts w:ascii="宋体"/>
                <w:sz w:val="21"/>
                <w:szCs w:val="21"/>
              </w:rPr>
              <w:t>本合同一式__份， 需方__份，供方__份，具同等法律效力。</w:t>
            </w:r>
          </w:p>
          <w:p>
            <w:pPr>
              <w:spacing w:line="360" w:lineRule="auto"/>
              <w:rPr>
                <w:rFonts w:ascii="宋体"/>
                <w:sz w:val="21"/>
                <w:szCs w:val="21"/>
              </w:rPr>
            </w:pPr>
            <w:r>
              <w:rPr>
                <w:rFonts w:hint="eastAsia" w:ascii="宋体"/>
                <w:sz w:val="21"/>
                <w:szCs w:val="21"/>
              </w:rPr>
              <w:t>2</w:t>
            </w:r>
            <w:r>
              <w:rPr>
                <w:rFonts w:asci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sz w:val="21"/>
                <w:szCs w:val="21"/>
              </w:rPr>
            </w:pPr>
            <w:r>
              <w:rPr>
                <w:rFonts w:ascii="宋体"/>
                <w:sz w:val="21"/>
                <w:szCs w:val="21"/>
              </w:rPr>
              <w:t>需方：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联系电话：</w:t>
            </w:r>
          </w:p>
          <w:p>
            <w:pPr>
              <w:spacing w:line="360" w:lineRule="auto"/>
              <w:rPr>
                <w:rFonts w:ascii="宋体"/>
                <w:sz w:val="21"/>
                <w:szCs w:val="21"/>
              </w:rPr>
            </w:pPr>
            <w:r>
              <w:rPr>
                <w:rFonts w:ascii="宋体"/>
                <w:sz w:val="21"/>
                <w:szCs w:val="21"/>
              </w:rPr>
              <w:t>授权代表：</w:t>
            </w:r>
          </w:p>
        </w:tc>
        <w:tc>
          <w:tcPr>
            <w:tcW w:w="5125" w:type="dxa"/>
            <w:gridSpan w:val="5"/>
          </w:tcPr>
          <w:p>
            <w:pPr>
              <w:spacing w:line="360" w:lineRule="auto"/>
              <w:rPr>
                <w:rFonts w:ascii="宋体"/>
                <w:sz w:val="21"/>
                <w:szCs w:val="21"/>
              </w:rPr>
            </w:pPr>
            <w:r>
              <w:rPr>
                <w:rFonts w:ascii="宋体"/>
                <w:sz w:val="21"/>
                <w:szCs w:val="21"/>
              </w:rPr>
              <w:t>供方：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电话：</w:t>
            </w:r>
          </w:p>
          <w:p>
            <w:pPr>
              <w:spacing w:line="360" w:lineRule="auto"/>
              <w:rPr>
                <w:rFonts w:ascii="宋体"/>
                <w:sz w:val="21"/>
                <w:szCs w:val="21"/>
              </w:rPr>
            </w:pPr>
            <w:r>
              <w:rPr>
                <w:rFonts w:ascii="宋体"/>
                <w:sz w:val="21"/>
                <w:szCs w:val="21"/>
              </w:rPr>
              <w:t>传真：</w:t>
            </w:r>
          </w:p>
          <w:p>
            <w:pPr>
              <w:spacing w:line="360" w:lineRule="auto"/>
              <w:rPr>
                <w:rFonts w:ascii="宋体"/>
                <w:sz w:val="21"/>
                <w:szCs w:val="21"/>
              </w:rPr>
            </w:pPr>
            <w:r>
              <w:rPr>
                <w:rFonts w:ascii="宋体"/>
                <w:sz w:val="21"/>
                <w:szCs w:val="21"/>
              </w:rPr>
              <w:t>开户银行：</w:t>
            </w:r>
          </w:p>
          <w:p>
            <w:pPr>
              <w:spacing w:line="360" w:lineRule="auto"/>
              <w:rPr>
                <w:rFonts w:ascii="宋体"/>
                <w:sz w:val="21"/>
                <w:szCs w:val="21"/>
              </w:rPr>
            </w:pPr>
            <w:r>
              <w:rPr>
                <w:rFonts w:ascii="宋体"/>
                <w:sz w:val="21"/>
                <w:szCs w:val="21"/>
              </w:rPr>
              <w:t>账号：</w:t>
            </w:r>
          </w:p>
          <w:p>
            <w:pPr>
              <w:spacing w:line="360" w:lineRule="auto"/>
              <w:rPr>
                <w:rFonts w:ascii="宋体"/>
                <w:sz w:val="21"/>
                <w:szCs w:val="21"/>
              </w:rPr>
            </w:pPr>
            <w:r>
              <w:rPr>
                <w:rFonts w:ascii="宋体"/>
                <w:sz w:val="21"/>
                <w:szCs w:val="21"/>
              </w:rPr>
              <w:t>授权代表：</w:t>
            </w:r>
          </w:p>
          <w:p>
            <w:pPr>
              <w:widowControl/>
              <w:spacing w:line="360" w:lineRule="auto"/>
              <w:jc w:val="left"/>
              <w:rPr>
                <w:rFonts w:ascii="宋体"/>
                <w:sz w:val="21"/>
                <w:szCs w:val="21"/>
              </w:rPr>
            </w:pPr>
            <w:r>
              <w:rPr>
                <w:rFonts w:asci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sz w:val="21"/>
                <w:szCs w:val="21"/>
              </w:rPr>
            </w:pPr>
            <w:r>
              <w:rPr>
                <w:rFonts w:ascii="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rPr>
      </w:pPr>
      <w:r>
        <w:rPr>
          <w:rFonts w:ascii="宋体"/>
          <w:sz w:val="24"/>
        </w:rPr>
        <w:t>签约时间：           年   月   日      签约地点：</w:t>
      </w:r>
    </w:p>
    <w:p>
      <w:pPr>
        <w:spacing w:line="500" w:lineRule="exact"/>
        <w:ind w:firstLine="480" w:firstLineChars="200"/>
        <w:rPr>
          <w:rFonts w:asci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eastAsia="宋体"/>
          <w:sz w:val="36"/>
          <w:szCs w:val="30"/>
        </w:rPr>
      </w:pPr>
      <w:bookmarkStart w:id="114" w:name="_Toc109296543"/>
      <w:r>
        <w:rPr>
          <w:rFonts w:ascii="宋体" w:eastAsia="宋体"/>
          <w:sz w:val="36"/>
          <w:szCs w:val="30"/>
        </w:rPr>
        <w:t>第七篇  响应文件编制要求</w:t>
      </w:r>
      <w:bookmarkEnd w:id="113"/>
      <w:bookmarkEnd w:id="114"/>
    </w:p>
    <w:p>
      <w:pPr>
        <w:pStyle w:val="6"/>
        <w:spacing w:before="0" w:after="0" w:line="360" w:lineRule="auto"/>
        <w:ind w:firstLine="482" w:firstLineChars="200"/>
        <w:rPr>
          <w:rFonts w:ascii="宋体"/>
          <w:sz w:val="24"/>
          <w:szCs w:val="24"/>
        </w:rPr>
      </w:pPr>
      <w:bookmarkStart w:id="115" w:name="_Toc109296544"/>
      <w:r>
        <w:rPr>
          <w:rFonts w:ascii="宋体"/>
          <w:sz w:val="24"/>
          <w:szCs w:val="24"/>
        </w:rPr>
        <w:t>一、经济部分</w:t>
      </w:r>
      <w:bookmarkEnd w:id="115"/>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sz w:val="24"/>
          <w:szCs w:val="24"/>
        </w:rPr>
      </w:pPr>
      <w:bookmarkStart w:id="116" w:name="_Toc109296545"/>
      <w:bookmarkStart w:id="117" w:name="_Toc78194469"/>
      <w:r>
        <w:rPr>
          <w:rFonts w:hint="eastAsia" w:ascii="宋体"/>
          <w:sz w:val="24"/>
          <w:szCs w:val="24"/>
        </w:rPr>
        <w:t>二、服务部分</w:t>
      </w:r>
      <w:bookmarkEnd w:id="116"/>
      <w:bookmarkEnd w:id="117"/>
    </w:p>
    <w:p>
      <w:pPr>
        <w:spacing w:line="360" w:lineRule="auto"/>
        <w:ind w:firstLine="480" w:firstLineChars="200"/>
        <w:rPr>
          <w:rFonts w:ascii="宋体" w:hAnsi="宋体"/>
          <w:sz w:val="24"/>
          <w:szCs w:val="24"/>
        </w:rPr>
      </w:pPr>
      <w:r>
        <w:rPr>
          <w:rFonts w:hint="eastAsia" w:ascii="宋体" w:hAnsi="宋体"/>
          <w:sz w:val="24"/>
          <w:szCs w:val="24"/>
        </w:rPr>
        <w:t>（一）服务响应偏离表</w:t>
      </w:r>
    </w:p>
    <w:p>
      <w:pPr>
        <w:spacing w:line="360" w:lineRule="auto"/>
        <w:ind w:firstLine="480" w:firstLineChars="200"/>
        <w:rPr>
          <w:rFonts w:ascii="宋体" w:hAnsi="宋体"/>
          <w:sz w:val="24"/>
          <w:szCs w:val="24"/>
        </w:rPr>
      </w:pPr>
      <w:r>
        <w:rPr>
          <w:rFonts w:hint="eastAsia" w:ascii="宋体" w:hAnsi="宋体"/>
          <w:sz w:val="24"/>
          <w:szCs w:val="24"/>
        </w:rPr>
        <w:t>（二）其他资料（格式自定）</w:t>
      </w:r>
    </w:p>
    <w:p>
      <w:pPr>
        <w:pStyle w:val="6"/>
        <w:spacing w:before="0" w:after="0" w:line="360" w:lineRule="auto"/>
        <w:ind w:firstLine="482" w:firstLineChars="200"/>
        <w:rPr>
          <w:rFonts w:ascii="宋体"/>
          <w:sz w:val="24"/>
          <w:szCs w:val="24"/>
        </w:rPr>
      </w:pPr>
      <w:bookmarkStart w:id="118" w:name="_Toc109296546"/>
      <w:r>
        <w:rPr>
          <w:rFonts w:ascii="宋体"/>
          <w:sz w:val="24"/>
          <w:szCs w:val="24"/>
        </w:rPr>
        <w:t>三、商务部分</w:t>
      </w:r>
      <w:bookmarkEnd w:id="118"/>
    </w:p>
    <w:p>
      <w:pPr>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pPr>
        <w:pStyle w:val="6"/>
        <w:spacing w:before="0" w:after="0" w:line="360" w:lineRule="auto"/>
        <w:ind w:firstLine="482" w:firstLineChars="200"/>
        <w:rPr>
          <w:rFonts w:ascii="宋体"/>
          <w:sz w:val="24"/>
          <w:szCs w:val="24"/>
        </w:rPr>
      </w:pPr>
      <w:bookmarkStart w:id="119" w:name="_Toc109296547"/>
      <w:r>
        <w:rPr>
          <w:rFonts w:ascii="宋体"/>
          <w:sz w:val="24"/>
          <w:szCs w:val="24"/>
        </w:rPr>
        <w:t>四、资格条件及其他</w:t>
      </w:r>
      <w:bookmarkEnd w:id="119"/>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pacing w:line="360" w:lineRule="auto"/>
        <w:ind w:firstLine="482" w:firstLineChars="200"/>
        <w:rPr>
          <w:rFonts w:ascii="宋体" w:hAnsi="宋体"/>
          <w:b/>
          <w:bCs/>
          <w:sz w:val="24"/>
          <w:szCs w:val="24"/>
        </w:rPr>
      </w:pPr>
      <w:r>
        <w:rPr>
          <w:rFonts w:hint="eastAsia" w:ascii="宋体" w:hAnsi="宋体"/>
          <w:b/>
          <w:bCs/>
          <w:sz w:val="24"/>
          <w:szCs w:val="24"/>
        </w:rPr>
        <w:t>五、其他资料</w:t>
      </w:r>
    </w:p>
    <w:p>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pPr>
        <w:pageBreakBefore/>
        <w:tabs>
          <w:tab w:val="left" w:pos="6300"/>
        </w:tabs>
        <w:snapToGrid w:val="0"/>
        <w:spacing w:line="360" w:lineRule="auto"/>
        <w:rPr>
          <w:b/>
          <w:sz w:val="24"/>
          <w:szCs w:val="24"/>
        </w:rPr>
      </w:pPr>
      <w:bookmarkStart w:id="120" w:name="_Toc313888360"/>
      <w:bookmarkStart w:id="121" w:name="_Toc313008356"/>
      <w:bookmarkStart w:id="122" w:name="_Toc342913419"/>
      <w:bookmarkStart w:id="123" w:name="_Toc23764522"/>
      <w:bookmarkStart w:id="124" w:name="_Toc12789073"/>
      <w:bookmarkStart w:id="125" w:name="_Toc283382454"/>
      <w:r>
        <w:rPr>
          <w:b/>
          <w:sz w:val="24"/>
          <w:szCs w:val="24"/>
        </w:rPr>
        <w:t>一、经济部分</w:t>
      </w:r>
      <w:bookmarkEnd w:id="120"/>
      <w:bookmarkEnd w:id="121"/>
      <w:bookmarkEnd w:id="122"/>
      <w:bookmarkEnd w:id="123"/>
    </w:p>
    <w:bookmarkEnd w:id="124"/>
    <w:bookmarkEnd w:id="125"/>
    <w:p>
      <w:pPr>
        <w:tabs>
          <w:tab w:val="left" w:pos="6300"/>
        </w:tabs>
        <w:snapToGrid w:val="0"/>
        <w:spacing w:line="520" w:lineRule="exact"/>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sz w:val="24"/>
          <w:szCs w:val="24"/>
        </w:rPr>
      </w:pPr>
      <w:r>
        <w:rPr>
          <w:sz w:val="24"/>
          <w:szCs w:val="24"/>
        </w:rPr>
        <w:t>1.愿意按照竞争性磋商文件中的一切要求，提供本项目的</w:t>
      </w:r>
      <w:r>
        <w:rPr>
          <w:rFonts w:hint="eastAsia"/>
          <w:sz w:val="24"/>
          <w:szCs w:val="24"/>
        </w:rPr>
        <w:t>施工及</w:t>
      </w:r>
      <w:r>
        <w:rPr>
          <w:sz w:val="24"/>
          <w:szCs w:val="24"/>
        </w:rPr>
        <w:t>服务，初始报价为人民币大写：元整；人民币小写：元。以我公司最后报价为准。</w:t>
      </w:r>
    </w:p>
    <w:p>
      <w:pPr>
        <w:tabs>
          <w:tab w:val="left" w:pos="6300"/>
        </w:tabs>
        <w:snapToGrid w:val="0"/>
        <w:spacing w:line="520" w:lineRule="exact"/>
        <w:ind w:firstLine="480" w:firstLineChars="200"/>
        <w:rPr>
          <w:rFonts w:ascii="宋体"/>
          <w:sz w:val="24"/>
          <w:szCs w:val="24"/>
        </w:rPr>
      </w:pPr>
      <w:r>
        <w:rPr>
          <w:rFonts w:ascii="宋体"/>
          <w:sz w:val="24"/>
          <w:szCs w:val="24"/>
        </w:rPr>
        <w:t>2.我方现提交的响应文件为：响应文件正本份，副本份</w:t>
      </w:r>
      <w:r>
        <w:rPr>
          <w:rFonts w:hint="eastAsia" w:ascii="宋体"/>
          <w:sz w:val="24"/>
          <w:szCs w:val="24"/>
        </w:rPr>
        <w:t>，电子文档</w:t>
      </w:r>
      <w:r>
        <w:rPr>
          <w:rFonts w:ascii="宋体"/>
          <w:sz w:val="24"/>
          <w:szCs w:val="24"/>
        </w:rPr>
        <w:t>份 。</w:t>
      </w:r>
    </w:p>
    <w:p>
      <w:pPr>
        <w:tabs>
          <w:tab w:val="left" w:pos="6300"/>
        </w:tabs>
        <w:snapToGrid w:val="0"/>
        <w:spacing w:line="520" w:lineRule="exact"/>
        <w:ind w:firstLine="480" w:firstLineChars="200"/>
        <w:rPr>
          <w:rFonts w:ascii="宋体"/>
          <w:sz w:val="24"/>
          <w:szCs w:val="24"/>
        </w:rPr>
      </w:pPr>
      <w:r>
        <w:rPr>
          <w:rFonts w:ascii="宋体"/>
          <w:sz w:val="24"/>
          <w:szCs w:val="24"/>
        </w:rPr>
        <w:t>3.我方承诺：本次磋商的有效期为90天。</w:t>
      </w:r>
    </w:p>
    <w:p>
      <w:pPr>
        <w:tabs>
          <w:tab w:val="left" w:pos="6300"/>
        </w:tabs>
        <w:snapToGrid w:val="0"/>
        <w:spacing w:line="520" w:lineRule="exact"/>
        <w:ind w:firstLine="480" w:firstLineChars="200"/>
        <w:rPr>
          <w:rFonts w:ascii="宋体"/>
          <w:sz w:val="24"/>
          <w:szCs w:val="24"/>
        </w:rPr>
      </w:pPr>
      <w:r>
        <w:rPr>
          <w:rFonts w:asci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sz w:val="24"/>
          <w:szCs w:val="24"/>
        </w:rPr>
      </w:pPr>
      <w:r>
        <w:rPr>
          <w:rFonts w:asci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sz w:val="24"/>
          <w:szCs w:val="24"/>
        </w:rPr>
      </w:pPr>
      <w:r>
        <w:rPr>
          <w:rFonts w:asci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sz w:val="24"/>
          <w:szCs w:val="24"/>
        </w:rPr>
      </w:pPr>
      <w:r>
        <w:rPr>
          <w:rFonts w:ascii="宋体"/>
          <w:sz w:val="24"/>
          <w:szCs w:val="24"/>
        </w:rPr>
        <w:t>7.我方同意按竞争性磋商文件规定，交纳竞争性磋商文件要求的磋商保证金。如果我方成为成交供应商，保证在接到成交通知书后，</w:t>
      </w:r>
      <w:r>
        <w:rPr>
          <w:rFonts w:hint="eastAsia" w:ascii="宋体"/>
          <w:sz w:val="24"/>
          <w:szCs w:val="24"/>
        </w:rPr>
        <w:t>按</w:t>
      </w:r>
      <w:r>
        <w:rPr>
          <w:rFonts w:ascii="宋体"/>
          <w:sz w:val="24"/>
          <w:szCs w:val="24"/>
        </w:rPr>
        <w:t>竞争性磋商文件规定</w:t>
      </w:r>
      <w:r>
        <w:rPr>
          <w:rFonts w:hint="eastAsia" w:ascii="宋体"/>
          <w:sz w:val="24"/>
          <w:szCs w:val="24"/>
        </w:rPr>
        <w:t>缴纳</w:t>
      </w:r>
      <w:r>
        <w:rPr>
          <w:rFonts w:ascii="宋体"/>
          <w:sz w:val="24"/>
          <w:szCs w:val="24"/>
        </w:rPr>
        <w:t>采购代理服务费。</w:t>
      </w:r>
    </w:p>
    <w:p>
      <w:pPr>
        <w:tabs>
          <w:tab w:val="left" w:pos="6300"/>
        </w:tabs>
        <w:snapToGrid w:val="0"/>
        <w:spacing w:line="520" w:lineRule="exact"/>
        <w:ind w:firstLine="480" w:firstLineChars="200"/>
        <w:rPr>
          <w:sz w:val="24"/>
          <w:szCs w:val="24"/>
        </w:rPr>
      </w:pPr>
      <w:r>
        <w:rPr>
          <w:rFonts w:asci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地址：</w:t>
      </w:r>
    </w:p>
    <w:p>
      <w:pPr>
        <w:tabs>
          <w:tab w:val="left" w:pos="6300"/>
        </w:tabs>
        <w:snapToGrid w:val="0"/>
        <w:spacing w:line="520" w:lineRule="exact"/>
        <w:ind w:firstLine="570"/>
        <w:rPr>
          <w:sz w:val="24"/>
          <w:szCs w:val="24"/>
        </w:rPr>
      </w:pPr>
      <w:r>
        <w:rPr>
          <w:sz w:val="24"/>
          <w:szCs w:val="24"/>
        </w:rPr>
        <w:t>电话：传真：</w:t>
      </w:r>
    </w:p>
    <w:p>
      <w:pPr>
        <w:tabs>
          <w:tab w:val="left" w:pos="6300"/>
        </w:tabs>
        <w:snapToGrid w:val="0"/>
        <w:spacing w:line="520" w:lineRule="exact"/>
        <w:ind w:firstLine="570"/>
        <w:rPr>
          <w:sz w:val="24"/>
          <w:szCs w:val="24"/>
        </w:rPr>
      </w:pPr>
      <w:r>
        <w:rPr>
          <w:sz w:val="24"/>
          <w:szCs w:val="24"/>
        </w:rPr>
        <w:t>网址：邮编：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jc w:val="right"/>
        <w:rPr>
          <w:sz w:val="24"/>
          <w:szCs w:val="24"/>
        </w:rPr>
      </w:pPr>
      <w:r>
        <w:rPr>
          <w:sz w:val="24"/>
          <w:szCs w:val="24"/>
        </w:rPr>
        <w:t>年月日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4"/>
        </w:sectPr>
      </w:pPr>
    </w:p>
    <w:p>
      <w:pPr>
        <w:pageBreakBefore/>
        <w:snapToGrid w:val="0"/>
        <w:spacing w:line="360" w:lineRule="auto"/>
        <w:ind w:firstLine="480" w:firstLineChars="200"/>
        <w:jc w:val="left"/>
        <w:rPr>
          <w:rFonts w:ascii="宋体"/>
          <w:sz w:val="24"/>
          <w:szCs w:val="24"/>
        </w:rPr>
      </w:pPr>
      <w:bookmarkStart w:id="126" w:name="_Toc313888361"/>
      <w:bookmarkStart w:id="127" w:name="_Toc23764523"/>
      <w:bookmarkStart w:id="128" w:name="_Toc313008357"/>
      <w:bookmarkStart w:id="129" w:name="_Toc342913420"/>
      <w:r>
        <w:rPr>
          <w:rFonts w:hint="eastAsia" w:ascii="宋体"/>
          <w:sz w:val="24"/>
          <w:szCs w:val="24"/>
        </w:rPr>
        <w:t>（二）分项报价明细表</w:t>
      </w:r>
    </w:p>
    <w:p>
      <w:pPr>
        <w:jc w:val="center"/>
        <w:rPr>
          <w:rFonts w:ascii="宋体"/>
          <w:b/>
          <w:szCs w:val="28"/>
        </w:rPr>
      </w:pPr>
      <w:r>
        <w:rPr>
          <w:rFonts w:hint="eastAsia" w:ascii="宋体"/>
          <w:b/>
          <w:szCs w:val="28"/>
        </w:rPr>
        <w:t>分项报价明细表</w:t>
      </w:r>
    </w:p>
    <w:p>
      <w:pPr>
        <w:snapToGrid w:val="0"/>
        <w:rPr>
          <w:rFonts w:ascii="宋体"/>
          <w:sz w:val="24"/>
          <w:szCs w:val="24"/>
        </w:rPr>
      </w:pPr>
      <w:r>
        <w:rPr>
          <w:rFonts w:hint="eastAsia" w:ascii="宋体"/>
          <w:sz w:val="24"/>
          <w:szCs w:val="24"/>
        </w:rPr>
        <w:t>项目号：</w:t>
      </w:r>
    </w:p>
    <w:p>
      <w:pPr>
        <w:snapToGrid w:val="0"/>
        <w:rPr>
          <w:rFonts w:ascii="宋体"/>
          <w:sz w:val="24"/>
          <w:szCs w:val="24"/>
        </w:rPr>
      </w:pPr>
      <w:r>
        <w:rPr>
          <w:rFonts w:hint="eastAsia" w:ascii="宋体"/>
          <w:sz w:val="24"/>
          <w:szCs w:val="24"/>
        </w:rPr>
        <w:t>项目名称：</w:t>
      </w:r>
    </w:p>
    <w:tbl>
      <w:tblPr>
        <w:tblStyle w:val="68"/>
        <w:tblW w:w="9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75" w:type="dxa"/>
            <w:vAlign w:val="center"/>
          </w:tcPr>
          <w:p>
            <w:pPr>
              <w:jc w:val="center"/>
              <w:rPr>
                <w:rFonts w:ascii="宋体"/>
                <w:b/>
                <w:sz w:val="21"/>
                <w:szCs w:val="21"/>
              </w:rPr>
            </w:pPr>
            <w:r>
              <w:rPr>
                <w:rFonts w:hint="eastAsia" w:ascii="宋体"/>
                <w:b/>
                <w:sz w:val="21"/>
                <w:szCs w:val="21"/>
              </w:rPr>
              <w:t>序号</w:t>
            </w:r>
          </w:p>
        </w:tc>
        <w:tc>
          <w:tcPr>
            <w:tcW w:w="2835" w:type="dxa"/>
            <w:vAlign w:val="center"/>
          </w:tcPr>
          <w:p>
            <w:pPr>
              <w:jc w:val="center"/>
              <w:rPr>
                <w:rFonts w:ascii="宋体"/>
                <w:b/>
                <w:sz w:val="21"/>
                <w:szCs w:val="21"/>
              </w:rPr>
            </w:pPr>
            <w:r>
              <w:rPr>
                <w:rFonts w:hint="eastAsia" w:ascii="宋体"/>
                <w:b/>
                <w:sz w:val="21"/>
                <w:szCs w:val="21"/>
              </w:rPr>
              <w:t>名称</w:t>
            </w:r>
          </w:p>
        </w:tc>
        <w:tc>
          <w:tcPr>
            <w:tcW w:w="2228" w:type="dxa"/>
            <w:vAlign w:val="center"/>
          </w:tcPr>
          <w:p>
            <w:pPr>
              <w:jc w:val="center"/>
              <w:rPr>
                <w:rFonts w:ascii="宋体"/>
                <w:b/>
                <w:sz w:val="21"/>
                <w:szCs w:val="21"/>
              </w:rPr>
            </w:pPr>
            <w:r>
              <w:rPr>
                <w:rFonts w:hint="eastAsia" w:ascii="宋体"/>
                <w:b/>
                <w:sz w:val="21"/>
                <w:szCs w:val="21"/>
              </w:rPr>
              <w:t>相关信息</w:t>
            </w:r>
          </w:p>
        </w:tc>
        <w:tc>
          <w:tcPr>
            <w:tcW w:w="1235" w:type="dxa"/>
            <w:vAlign w:val="center"/>
          </w:tcPr>
          <w:p>
            <w:pPr>
              <w:jc w:val="center"/>
              <w:rPr>
                <w:rFonts w:ascii="宋体"/>
                <w:b/>
                <w:sz w:val="21"/>
                <w:szCs w:val="21"/>
              </w:rPr>
            </w:pPr>
            <w:r>
              <w:rPr>
                <w:rFonts w:hint="eastAsia" w:ascii="宋体"/>
                <w:b/>
                <w:sz w:val="21"/>
                <w:szCs w:val="21"/>
              </w:rPr>
              <w:t>数量</w:t>
            </w:r>
          </w:p>
        </w:tc>
        <w:tc>
          <w:tcPr>
            <w:tcW w:w="1235" w:type="dxa"/>
            <w:vAlign w:val="center"/>
          </w:tcPr>
          <w:p>
            <w:pPr>
              <w:jc w:val="center"/>
              <w:rPr>
                <w:rFonts w:ascii="宋体"/>
                <w:b/>
                <w:sz w:val="21"/>
                <w:szCs w:val="21"/>
              </w:rPr>
            </w:pPr>
            <w:r>
              <w:rPr>
                <w:rFonts w:hint="eastAsia" w:ascii="宋体"/>
                <w:b/>
                <w:sz w:val="21"/>
                <w:szCs w:val="21"/>
              </w:rPr>
              <w:t>单价</w:t>
            </w:r>
          </w:p>
        </w:tc>
        <w:tc>
          <w:tcPr>
            <w:tcW w:w="1235" w:type="dxa"/>
            <w:vAlign w:val="center"/>
          </w:tcPr>
          <w:p>
            <w:pPr>
              <w:jc w:val="center"/>
              <w:rPr>
                <w:rFonts w:ascii="宋体"/>
                <w:b/>
                <w:sz w:val="21"/>
                <w:szCs w:val="21"/>
              </w:rPr>
            </w:pPr>
            <w:r>
              <w:rPr>
                <w:rFonts w:hint="eastAsia" w:asci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775" w:type="dxa"/>
            <w:vAlign w:val="center"/>
          </w:tcPr>
          <w:p>
            <w:pPr>
              <w:jc w:val="center"/>
              <w:rPr>
                <w:rFonts w:ascii="宋体"/>
                <w:bCs/>
                <w:sz w:val="21"/>
                <w:szCs w:val="21"/>
              </w:rPr>
            </w:pPr>
            <w:r>
              <w:rPr>
                <w:rFonts w:hint="eastAsia" w:ascii="宋体"/>
                <w:bCs/>
                <w:sz w:val="21"/>
                <w:szCs w:val="21"/>
              </w:rPr>
              <w:t>1</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775" w:type="dxa"/>
            <w:vAlign w:val="center"/>
          </w:tcPr>
          <w:p>
            <w:pPr>
              <w:jc w:val="center"/>
              <w:rPr>
                <w:rFonts w:ascii="宋体"/>
                <w:bCs/>
                <w:sz w:val="21"/>
                <w:szCs w:val="21"/>
              </w:rPr>
            </w:pPr>
            <w:r>
              <w:rPr>
                <w:rFonts w:hint="eastAsia" w:ascii="宋体"/>
                <w:bCs/>
                <w:sz w:val="21"/>
                <w:szCs w:val="21"/>
              </w:rPr>
              <w:t>2</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3</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4</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5</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6</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7</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8</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9</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1</w:t>
            </w:r>
            <w:r>
              <w:rPr>
                <w:rFonts w:ascii="宋体"/>
                <w:bCs/>
                <w:sz w:val="21"/>
                <w:szCs w:val="21"/>
              </w:rPr>
              <w:t>0</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sz w:val="21"/>
                <w:szCs w:val="21"/>
              </w:rPr>
            </w:pPr>
          </w:p>
        </w:tc>
        <w:tc>
          <w:tcPr>
            <w:tcW w:w="2835" w:type="dxa"/>
            <w:vAlign w:val="center"/>
          </w:tcPr>
          <w:p>
            <w:pPr>
              <w:jc w:val="center"/>
              <w:rPr>
                <w:rFonts w:ascii="宋体"/>
                <w:sz w:val="21"/>
                <w:szCs w:val="21"/>
              </w:rPr>
            </w:pPr>
            <w:r>
              <w:rPr>
                <w:rFonts w:ascii="宋体"/>
                <w:sz w:val="21"/>
                <w:szCs w:val="21"/>
              </w:rPr>
              <w:t>…</w:t>
            </w: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sz w:val="21"/>
                <w:szCs w:val="21"/>
              </w:rPr>
            </w:pPr>
          </w:p>
        </w:tc>
        <w:tc>
          <w:tcPr>
            <w:tcW w:w="2835" w:type="dxa"/>
            <w:vAlign w:val="center"/>
          </w:tcPr>
          <w:p>
            <w:pPr>
              <w:jc w:val="center"/>
              <w:rPr>
                <w:rFonts w:ascii="宋体"/>
                <w:sz w:val="21"/>
                <w:szCs w:val="21"/>
              </w:rPr>
            </w:pPr>
            <w:r>
              <w:rPr>
                <w:rFonts w:hint="eastAsia" w:ascii="宋体"/>
                <w:sz w:val="21"/>
                <w:szCs w:val="21"/>
              </w:rPr>
              <w:t>总计</w:t>
            </w:r>
          </w:p>
        </w:tc>
        <w:tc>
          <w:tcPr>
            <w:tcW w:w="5933" w:type="dxa"/>
            <w:gridSpan w:val="4"/>
          </w:tcPr>
          <w:p>
            <w:pPr>
              <w:rPr>
                <w:rFonts w:ascii="宋体"/>
                <w:sz w:val="21"/>
                <w:szCs w:val="21"/>
              </w:rPr>
            </w:pPr>
          </w:p>
        </w:tc>
      </w:tr>
    </w:tbl>
    <w:p>
      <w:pPr>
        <w:spacing w:line="360" w:lineRule="auto"/>
        <w:ind w:firstLine="600" w:firstLineChars="250"/>
        <w:rPr>
          <w:rFonts w:ascii="宋体"/>
          <w:sz w:val="24"/>
          <w:szCs w:val="28"/>
        </w:rPr>
      </w:pPr>
    </w:p>
    <w:p>
      <w:pPr>
        <w:spacing w:line="360" w:lineRule="auto"/>
        <w:rPr>
          <w:rFonts w:ascii="宋体"/>
          <w:sz w:val="24"/>
          <w:szCs w:val="28"/>
        </w:rPr>
      </w:pPr>
      <w:r>
        <w:rPr>
          <w:rFonts w:hint="eastAsia" w:ascii="宋体"/>
          <w:sz w:val="24"/>
          <w:szCs w:val="28"/>
        </w:rPr>
        <w:t>供应商：                     法定代表人（或法定代表人授权代表）或自然人：</w:t>
      </w:r>
    </w:p>
    <w:p>
      <w:pPr>
        <w:spacing w:line="360" w:lineRule="auto"/>
        <w:rPr>
          <w:rFonts w:ascii="宋体"/>
          <w:sz w:val="24"/>
          <w:szCs w:val="28"/>
        </w:rPr>
      </w:pPr>
    </w:p>
    <w:p>
      <w:pPr>
        <w:spacing w:line="360" w:lineRule="auto"/>
        <w:ind w:firstLine="720" w:firstLineChars="300"/>
        <w:rPr>
          <w:rFonts w:ascii="宋体"/>
          <w:sz w:val="24"/>
          <w:szCs w:val="28"/>
        </w:rPr>
      </w:pPr>
      <w:r>
        <w:rPr>
          <w:rFonts w:hint="eastAsia" w:ascii="宋体"/>
          <w:sz w:val="24"/>
          <w:szCs w:val="28"/>
        </w:rPr>
        <w:t>（供应商公章）                               （签字或盖章）</w:t>
      </w:r>
    </w:p>
    <w:p>
      <w:pPr>
        <w:tabs>
          <w:tab w:val="left" w:pos="6300"/>
        </w:tabs>
        <w:snapToGrid w:val="0"/>
        <w:spacing w:line="360" w:lineRule="auto"/>
        <w:ind w:firstLine="570"/>
        <w:rPr>
          <w:rFonts w:ascii="宋体"/>
          <w:sz w:val="24"/>
        </w:rPr>
      </w:pPr>
      <w:r>
        <w:rPr>
          <w:rFonts w:hint="eastAsia" w:ascii="宋体"/>
          <w:sz w:val="24"/>
          <w:szCs w:val="28"/>
        </w:rPr>
        <w:t xml:space="preserve">                                              年     月     日</w:t>
      </w:r>
    </w:p>
    <w:p>
      <w:pPr>
        <w:snapToGrid w:val="0"/>
        <w:spacing w:line="500" w:lineRule="exact"/>
        <w:ind w:firstLine="480" w:firstLineChars="200"/>
        <w:rPr>
          <w:rFonts w:ascii="宋体"/>
          <w:sz w:val="24"/>
          <w:szCs w:val="28"/>
        </w:rPr>
      </w:pPr>
    </w:p>
    <w:p>
      <w:pPr>
        <w:snapToGrid w:val="0"/>
        <w:spacing w:line="360" w:lineRule="auto"/>
        <w:ind w:firstLine="480" w:firstLineChars="200"/>
        <w:rPr>
          <w:rFonts w:ascii="宋体"/>
          <w:sz w:val="24"/>
          <w:szCs w:val="28"/>
        </w:rPr>
      </w:pPr>
      <w:r>
        <w:rPr>
          <w:rFonts w:hint="eastAsia" w:ascii="宋体"/>
          <w:sz w:val="24"/>
          <w:szCs w:val="28"/>
        </w:rPr>
        <w:t>注：</w:t>
      </w:r>
    </w:p>
    <w:p>
      <w:pPr>
        <w:snapToGrid w:val="0"/>
        <w:spacing w:line="360" w:lineRule="auto"/>
        <w:ind w:firstLine="480" w:firstLineChars="200"/>
        <w:rPr>
          <w:rFonts w:ascii="宋体"/>
          <w:sz w:val="24"/>
          <w:szCs w:val="28"/>
        </w:rPr>
      </w:pPr>
      <w:r>
        <w:rPr>
          <w:rFonts w:hint="eastAsia" w:ascii="宋体"/>
          <w:sz w:val="24"/>
          <w:szCs w:val="28"/>
        </w:rPr>
        <w:t>1.供应商可自行设计表格格式，分项内容应当完整；</w:t>
      </w:r>
    </w:p>
    <w:p>
      <w:pPr>
        <w:snapToGrid w:val="0"/>
        <w:spacing w:line="360" w:lineRule="auto"/>
        <w:ind w:firstLine="480" w:firstLineChars="200"/>
        <w:rPr>
          <w:rFonts w:ascii="宋体"/>
          <w:sz w:val="24"/>
          <w:szCs w:val="28"/>
        </w:rPr>
      </w:pPr>
      <w:r>
        <w:rPr>
          <w:rFonts w:hint="eastAsia" w:ascii="宋体"/>
          <w:sz w:val="24"/>
          <w:szCs w:val="28"/>
        </w:rPr>
        <w:t>2.该表可扩展；</w:t>
      </w: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bookmarkEnd w:id="126"/>
    <w:bookmarkEnd w:id="127"/>
    <w:bookmarkEnd w:id="128"/>
    <w:bookmarkEnd w:id="129"/>
    <w:p>
      <w:pPr>
        <w:pStyle w:val="6"/>
        <w:snapToGrid w:val="0"/>
        <w:spacing w:before="0" w:after="0" w:line="360" w:lineRule="auto"/>
        <w:ind w:firstLine="482" w:firstLineChars="200"/>
        <w:rPr>
          <w:sz w:val="24"/>
          <w:szCs w:val="24"/>
        </w:rPr>
      </w:pPr>
      <w:bookmarkStart w:id="130" w:name="_Toc109296548"/>
      <w:bookmarkStart w:id="131" w:name="_Toc106637996"/>
      <w:bookmarkStart w:id="132" w:name="_Toc76462351"/>
      <w:r>
        <w:rPr>
          <w:rFonts w:hint="eastAsia"/>
          <w:sz w:val="24"/>
          <w:szCs w:val="24"/>
        </w:rPr>
        <w:t>二、服务部分</w:t>
      </w:r>
      <w:bookmarkEnd w:id="130"/>
      <w:bookmarkEnd w:id="131"/>
      <w:bookmarkEnd w:id="132"/>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pacing w:line="360" w:lineRule="auto"/>
        <w:ind w:firstLine="480" w:firstLineChars="200"/>
        <w:rPr>
          <w:rFonts w:ascii="宋体" w:hAnsi="宋体"/>
          <w:sz w:val="24"/>
          <w:szCs w:val="24"/>
        </w:rPr>
      </w:pPr>
      <w:r>
        <w:rPr>
          <w:rFonts w:hint="eastAsia" w:ascii="宋体" w:hAnsi="宋体"/>
          <w:sz w:val="24"/>
          <w:szCs w:val="24"/>
        </w:rPr>
        <w:t>磋商项目名称：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r>
              <w:rPr>
                <w:rFonts w:ascii="宋体" w:hAnsi="宋体"/>
                <w:sz w:val="21"/>
                <w:szCs w:val="21"/>
              </w:rPr>
              <w:t>提醒</w:t>
            </w:r>
            <w:r>
              <w:rPr>
                <w:rFonts w:hint="eastAsia" w:ascii="宋体" w:hAnsi="宋体"/>
                <w:sz w:val="21"/>
                <w:szCs w:val="21"/>
              </w:rPr>
              <w:t>：</w:t>
            </w:r>
            <w:r>
              <w:rPr>
                <w:rFonts w:ascii="宋体" w:hAnsi="宋体"/>
                <w:sz w:val="21"/>
                <w:szCs w:val="21"/>
              </w:rPr>
              <w:t>请注明</w:t>
            </w:r>
            <w:r>
              <w:rPr>
                <w:rFonts w:hint="eastAsia" w:ascii="宋体" w:hAnsi="宋体"/>
                <w:sz w:val="21"/>
                <w:szCs w:val="21"/>
              </w:rPr>
              <w:t>技术参数</w:t>
            </w:r>
            <w:r>
              <w:rPr>
                <w:rFonts w:ascii="宋体" w:hAnsi="宋体"/>
                <w:sz w:val="21"/>
                <w:szCs w:val="21"/>
              </w:rPr>
              <w:t>或具体内容以及</w:t>
            </w:r>
            <w:r>
              <w:rPr>
                <w:rFonts w:hint="eastAsia" w:ascii="宋体" w:hAnsi="宋体"/>
                <w:sz w:val="21"/>
                <w:szCs w:val="21"/>
              </w:rPr>
              <w:t>响应文件</w:t>
            </w:r>
            <w:r>
              <w:rPr>
                <w:rFonts w:ascii="宋体" w:hAnsi="宋体"/>
                <w:sz w:val="21"/>
                <w:szCs w:val="21"/>
              </w:rPr>
              <w:t>中</w:t>
            </w:r>
            <w:r>
              <w:rPr>
                <w:rFonts w:hint="eastAsia" w:ascii="宋体" w:hAnsi="宋体"/>
                <w:sz w:val="21"/>
                <w:szCs w:val="21"/>
              </w:rPr>
              <w:t>技术参数</w:t>
            </w:r>
            <w:r>
              <w:rPr>
                <w:rFonts w:ascii="宋体" w:hAnsi="宋体"/>
                <w:sz w:val="21"/>
                <w:szCs w:val="21"/>
              </w:rPr>
              <w:t>或</w:t>
            </w:r>
            <w:r>
              <w:rPr>
                <w:rFonts w:hint="eastAsia" w:ascii="宋体" w:hAnsi="宋体"/>
                <w:sz w:val="21"/>
                <w:szCs w:val="21"/>
              </w:rPr>
              <w:t>具体</w:t>
            </w:r>
            <w:r>
              <w:rPr>
                <w:rFonts w:ascii="宋体" w:hAnsi="宋体"/>
                <w:sz w:val="21"/>
                <w:szCs w:val="21"/>
              </w:rPr>
              <w:t>内容</w:t>
            </w:r>
            <w:r>
              <w:rPr>
                <w:rFonts w:hint="eastAsia" w:ascii="宋体" w:hAnsi="宋体"/>
                <w:sz w:val="21"/>
                <w:szCs w:val="21"/>
              </w:rPr>
              <w:t>的</w:t>
            </w:r>
            <w:r>
              <w:rPr>
                <w:rFonts w:ascii="宋体" w:hAnsi="宋体"/>
                <w:sz w:val="21"/>
                <w:szCs w:val="21"/>
              </w:rPr>
              <w:t>位置（</w:t>
            </w:r>
            <w:r>
              <w:rPr>
                <w:rFonts w:hint="eastAsia" w:ascii="宋体" w:hAnsi="宋体"/>
                <w:sz w:val="21"/>
                <w:szCs w:val="21"/>
              </w:rPr>
              <w:t>页码</w:t>
            </w:r>
            <w:r>
              <w:rPr>
                <w:rFonts w:ascii="宋体" w:hAnsi="宋体"/>
                <w:sz w:val="21"/>
                <w:szCs w:val="21"/>
              </w:rPr>
              <w:t>）</w:t>
            </w: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pPr>
        <w:snapToGrid w:val="0"/>
        <w:spacing w:line="360" w:lineRule="auto"/>
        <w:ind w:firstLine="480" w:firstLineChars="200"/>
        <w:jc w:val="left"/>
        <w:rPr>
          <w:rFonts w:ascii="宋体" w:hAnsi="宋体"/>
          <w:sz w:val="24"/>
        </w:rPr>
      </w:pPr>
      <w:r>
        <w:rPr>
          <w:rFonts w:hint="eastAsia" w:ascii="宋体" w:hAnsi="宋体"/>
          <w:sz w:val="24"/>
        </w:rPr>
        <w:t>2.本表可扩展。</w:t>
      </w:r>
    </w:p>
    <w:p>
      <w:pPr>
        <w:snapToGrid w:val="0"/>
        <w:spacing w:line="360" w:lineRule="auto"/>
        <w:ind w:firstLine="480" w:firstLineChars="200"/>
        <w:jc w:val="left"/>
        <w:rPr>
          <w:rFonts w:ascii="宋体" w:hAnsi="宋体"/>
          <w:sz w:val="24"/>
        </w:rPr>
      </w:pPr>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pPr>
        <w:snapToGrid w:val="0"/>
        <w:spacing w:line="360" w:lineRule="auto"/>
        <w:ind w:firstLine="480" w:firstLineChars="200"/>
        <w:jc w:val="left"/>
        <w:rPr>
          <w:rFonts w:ascii="宋体" w:hAnsi="宋体"/>
          <w:sz w:val="24"/>
          <w:szCs w:val="24"/>
        </w:rPr>
      </w:pPr>
    </w:p>
    <w:p>
      <w:pPr>
        <w:pStyle w:val="6"/>
        <w:snapToGrid w:val="0"/>
        <w:spacing w:before="0" w:after="0" w:line="360" w:lineRule="auto"/>
        <w:ind w:firstLine="643" w:firstLineChars="200"/>
        <w:rPr>
          <w:sz w:val="24"/>
          <w:szCs w:val="24"/>
        </w:rPr>
      </w:pPr>
      <w:r>
        <w:rPr>
          <w:rFonts w:ascii="宋体" w:hAnsi="宋体"/>
          <w:szCs w:val="24"/>
        </w:rPr>
        <w:br w:type="page"/>
      </w:r>
      <w:bookmarkStart w:id="133" w:name="_Toc313888362"/>
      <w:bookmarkStart w:id="134" w:name="_Toc313008358"/>
      <w:bookmarkStart w:id="135" w:name="_Toc342913421"/>
      <w:bookmarkStart w:id="136" w:name="_Toc76462352"/>
      <w:bookmarkStart w:id="137" w:name="_Toc109296549"/>
      <w:bookmarkStart w:id="138" w:name="_Toc106637997"/>
      <w:r>
        <w:rPr>
          <w:rFonts w:hint="eastAsia"/>
          <w:sz w:val="24"/>
          <w:szCs w:val="24"/>
        </w:rPr>
        <w:t>三、商务部分</w:t>
      </w:r>
      <w:bookmarkEnd w:id="133"/>
      <w:bookmarkEnd w:id="134"/>
      <w:bookmarkEnd w:id="135"/>
      <w:bookmarkEnd w:id="136"/>
      <w:bookmarkEnd w:id="137"/>
      <w:bookmarkEnd w:id="138"/>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jc w:val="center"/>
        <w:rPr>
          <w:rFonts w:ascii="宋体" w:hAnsi="宋体"/>
          <w:sz w:val="24"/>
          <w:szCs w:val="24"/>
        </w:rPr>
      </w:pPr>
      <w:r>
        <w:rPr>
          <w:rFonts w:hint="eastAsia" w:ascii="宋体" w:hAnsi="宋体"/>
          <w:b/>
          <w:szCs w:val="28"/>
        </w:rPr>
        <w:t>商务响应偏离表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磋商项目名称： </w:t>
      </w:r>
    </w:p>
    <w:tbl>
      <w:tblPr>
        <w:tblStyle w:val="6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宋体" w:hAnsi="宋体"/>
                <w:sz w:val="21"/>
                <w:szCs w:val="24"/>
              </w:rPr>
            </w:pPr>
            <w:r>
              <w:rPr>
                <w:rFonts w:hint="eastAsia" w:ascii="宋体" w:hAnsi="宋体"/>
                <w:sz w:val="21"/>
                <w:szCs w:val="24"/>
              </w:rPr>
              <w:t>序号</w:t>
            </w:r>
          </w:p>
        </w:tc>
        <w:tc>
          <w:tcPr>
            <w:tcW w:w="3179"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磋商项目商务需求</w:t>
            </w:r>
          </w:p>
        </w:tc>
        <w:tc>
          <w:tcPr>
            <w:tcW w:w="2434"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响应情况</w:t>
            </w:r>
          </w:p>
        </w:tc>
        <w:tc>
          <w:tcPr>
            <w:tcW w:w="2355"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outlineLvl w:val="0"/>
              <w:rPr>
                <w:rFonts w:ascii="宋体" w:hAnsi="宋体"/>
                <w:sz w:val="21"/>
                <w:szCs w:val="24"/>
              </w:rPr>
            </w:pPr>
            <w:r>
              <w:rPr>
                <w:rFonts w:ascii="宋体" w:hAnsi="宋体"/>
                <w:sz w:val="21"/>
                <w:szCs w:val="21"/>
              </w:rPr>
              <w:t>提醒</w:t>
            </w:r>
            <w:r>
              <w:rPr>
                <w:rFonts w:hint="eastAsia" w:ascii="宋体" w:hAnsi="宋体"/>
                <w:sz w:val="21"/>
                <w:szCs w:val="21"/>
              </w:rPr>
              <w:t>：</w:t>
            </w:r>
            <w:r>
              <w:rPr>
                <w:rFonts w:ascii="宋体" w:hAnsi="宋体"/>
                <w:sz w:val="21"/>
                <w:szCs w:val="21"/>
              </w:rPr>
              <w:t>请注明具体内容以及</w:t>
            </w:r>
            <w:r>
              <w:rPr>
                <w:rFonts w:hint="eastAsia" w:ascii="宋体" w:hAnsi="宋体"/>
                <w:sz w:val="21"/>
                <w:szCs w:val="21"/>
              </w:rPr>
              <w:t>响应文件</w:t>
            </w:r>
            <w:r>
              <w:rPr>
                <w:rFonts w:ascii="宋体" w:hAnsi="宋体"/>
                <w:sz w:val="21"/>
                <w:szCs w:val="21"/>
              </w:rPr>
              <w:t>中</w:t>
            </w:r>
            <w:r>
              <w:rPr>
                <w:rFonts w:hint="eastAsia" w:ascii="宋体" w:hAnsi="宋体"/>
                <w:sz w:val="21"/>
                <w:szCs w:val="21"/>
              </w:rPr>
              <w:t>具体</w:t>
            </w:r>
            <w:r>
              <w:rPr>
                <w:rFonts w:ascii="宋体" w:hAnsi="宋体"/>
                <w:sz w:val="21"/>
                <w:szCs w:val="21"/>
              </w:rPr>
              <w:t>内容</w:t>
            </w:r>
            <w:r>
              <w:rPr>
                <w:rFonts w:hint="eastAsia" w:ascii="宋体" w:hAnsi="宋体"/>
                <w:sz w:val="21"/>
                <w:szCs w:val="21"/>
              </w:rPr>
              <w:t>的</w:t>
            </w:r>
            <w:r>
              <w:rPr>
                <w:rFonts w:ascii="宋体" w:hAnsi="宋体"/>
                <w:sz w:val="21"/>
                <w:szCs w:val="21"/>
              </w:rPr>
              <w:t>位置（</w:t>
            </w:r>
            <w:r>
              <w:rPr>
                <w:rFonts w:hint="eastAsia" w:ascii="宋体" w:hAnsi="宋体"/>
                <w:sz w:val="21"/>
                <w:szCs w:val="21"/>
              </w:rPr>
              <w:t>页码</w:t>
            </w:r>
            <w:r>
              <w:rPr>
                <w:rFonts w:ascii="宋体" w:hAnsi="宋体"/>
                <w:sz w:val="21"/>
                <w:szCs w:val="21"/>
              </w:rPr>
              <w:t>）</w:t>
            </w: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bl>
    <w:p>
      <w:pPr>
        <w:snapToGrid w:val="0"/>
        <w:spacing w:line="360" w:lineRule="auto"/>
        <w:ind w:firstLine="465"/>
        <w:rPr>
          <w:rFonts w:ascii="宋体" w:hAnsi="宋体"/>
          <w:sz w:val="24"/>
          <w:szCs w:val="24"/>
        </w:rPr>
      </w:pPr>
    </w:p>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pPr>
        <w:snapToGrid w:val="0"/>
        <w:spacing w:line="360" w:lineRule="auto"/>
        <w:ind w:firstLine="480" w:firstLineChars="200"/>
        <w:rPr>
          <w:rFonts w:ascii="宋体" w:hAnsi="宋体"/>
          <w:sz w:val="24"/>
        </w:rPr>
      </w:pPr>
      <w:r>
        <w:rPr>
          <w:rFonts w:hint="eastAsia" w:ascii="宋体" w:hAnsi="宋体"/>
          <w:sz w:val="24"/>
        </w:rPr>
        <w:t>2.本表可扩展。</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snapToGrid w:val="0"/>
        <w:spacing w:line="360" w:lineRule="auto"/>
        <w:ind w:firstLine="480" w:firstLineChars="200"/>
        <w:rPr>
          <w:rFonts w:ascii="宋体" w:hAnsi="宋体"/>
          <w:sz w:val="24"/>
          <w:szCs w:val="24"/>
        </w:rPr>
      </w:pPr>
    </w:p>
    <w:p>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pPr>
        <w:pStyle w:val="6"/>
        <w:snapToGrid w:val="0"/>
        <w:spacing w:before="0" w:after="0" w:line="360" w:lineRule="auto"/>
        <w:ind w:firstLine="482" w:firstLineChars="200"/>
        <w:rPr>
          <w:sz w:val="24"/>
          <w:szCs w:val="24"/>
        </w:rPr>
      </w:pPr>
      <w:bookmarkStart w:id="139" w:name="_Toc76462353"/>
      <w:bookmarkStart w:id="140" w:name="_Toc106637998"/>
      <w:bookmarkStart w:id="141" w:name="_Toc342913422"/>
      <w:bookmarkStart w:id="142" w:name="_Toc313888363"/>
      <w:bookmarkStart w:id="143" w:name="_Toc313008359"/>
      <w:bookmarkStart w:id="144" w:name="_Toc109296550"/>
      <w:r>
        <w:rPr>
          <w:rFonts w:hint="eastAsia"/>
          <w:sz w:val="24"/>
          <w:szCs w:val="24"/>
        </w:rPr>
        <w:t>四、资格条件</w:t>
      </w:r>
      <w:bookmarkEnd w:id="139"/>
      <w:bookmarkEnd w:id="140"/>
      <w:bookmarkEnd w:id="141"/>
      <w:bookmarkEnd w:id="142"/>
      <w:bookmarkEnd w:id="143"/>
      <w:bookmarkEnd w:id="144"/>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磋商项目名称：</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致：（采购代理机构名称）：</w:t>
      </w:r>
    </w:p>
    <w:p>
      <w:pPr>
        <w:tabs>
          <w:tab w:val="left" w:pos="6300"/>
        </w:tabs>
        <w:snapToGrid w:val="0"/>
        <w:spacing w:line="360" w:lineRule="auto"/>
        <w:ind w:firstLine="570"/>
        <w:rPr>
          <w:rFonts w:ascii="宋体" w:hAnsi="宋体"/>
          <w:sz w:val="24"/>
        </w:rPr>
      </w:pPr>
      <w:r>
        <w:rPr>
          <w:rFonts w:hint="eastAsia" w:ascii="宋体" w:hAnsi="宋体"/>
          <w:sz w:val="24"/>
        </w:rPr>
        <w:t>（法定代表人姓名）在（供应商名称）任（职务名称）职务，是（供应商名称）的法定代表人。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pStyle w:val="6"/>
        <w:snapToGrid w:val="0"/>
        <w:spacing w:before="0" w:after="0" w:line="360" w:lineRule="auto"/>
        <w:ind w:firstLine="560" w:firstLineChars="200"/>
        <w:rPr>
          <w:sz w:val="24"/>
          <w:szCs w:val="24"/>
        </w:rPr>
      </w:pPr>
      <w:bookmarkStart w:id="145" w:name="_Toc14422"/>
      <w:r>
        <w:rPr>
          <w:rFonts w:ascii="宋体" w:hAnsi="宋体"/>
          <w:b w:val="0"/>
          <w:sz w:val="28"/>
        </w:rPr>
        <w:br w:type="page"/>
      </w:r>
      <w:bookmarkStart w:id="146" w:name="_Toc109296551"/>
      <w:bookmarkStart w:id="147" w:name="_Toc106637999"/>
      <w:bookmarkStart w:id="148" w:name="_Toc76462354"/>
      <w:r>
        <w:rPr>
          <w:rFonts w:hint="eastAsia"/>
          <w:sz w:val="24"/>
          <w:szCs w:val="24"/>
        </w:rPr>
        <w:t>五、其他资料</w:t>
      </w:r>
      <w:bookmarkEnd w:id="145"/>
      <w:bookmarkEnd w:id="146"/>
      <w:bookmarkEnd w:id="147"/>
      <w:bookmarkEnd w:id="148"/>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1.</w:t>
      </w: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2.</w:t>
      </w:r>
      <w:r>
        <w:rPr>
          <w:rFonts w:hint="eastAsia" w:ascii="宋体" w:hAnsi="宋体"/>
          <w:i/>
          <w:sz w:val="24"/>
          <w:szCs w:val="28"/>
          <w:u w:val="single"/>
        </w:rPr>
        <w:t xml:space="preserve"> （标的名称）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为本标的提供的服务人员人，其中与本企业签订劳动合同人，其他人员人。有其他人员的不符合中小企业扶持政策（适用于服务采购项目）;</w:t>
      </w:r>
    </w:p>
    <w:p>
      <w:pPr>
        <w:tabs>
          <w:tab w:val="left" w:pos="6300"/>
        </w:tabs>
        <w:snapToGrid w:val="0"/>
        <w:spacing w:line="360" w:lineRule="auto"/>
        <w:ind w:firstLine="480" w:firstLineChars="200"/>
        <w:rPr>
          <w:rFonts w:ascii="宋体" w:hAnsi="宋体"/>
          <w:sz w:val="24"/>
          <w:szCs w:val="28"/>
        </w:rPr>
      </w:pPr>
      <w:r>
        <w:rPr>
          <w:rFonts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sectPr>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FrutigerNextLT-Light">
    <w:altName w:val="微软雅黑"/>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- 7 -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rsids>
    <w:rsidRoot w:val="00F8011D"/>
    <w:rsid w:val="000069A7"/>
    <w:rsid w:val="00014DF7"/>
    <w:rsid w:val="00025DD9"/>
    <w:rsid w:val="0003364D"/>
    <w:rsid w:val="00034929"/>
    <w:rsid w:val="00042B8F"/>
    <w:rsid w:val="00054EF5"/>
    <w:rsid w:val="00084B1C"/>
    <w:rsid w:val="0009752D"/>
    <w:rsid w:val="000A19A3"/>
    <w:rsid w:val="000C3F62"/>
    <w:rsid w:val="000C6C18"/>
    <w:rsid w:val="000D42EF"/>
    <w:rsid w:val="000D77DF"/>
    <w:rsid w:val="000F3295"/>
    <w:rsid w:val="000F534A"/>
    <w:rsid w:val="00106547"/>
    <w:rsid w:val="001937C7"/>
    <w:rsid w:val="00196A18"/>
    <w:rsid w:val="001E59BF"/>
    <w:rsid w:val="001F6163"/>
    <w:rsid w:val="00203953"/>
    <w:rsid w:val="00207600"/>
    <w:rsid w:val="002237ED"/>
    <w:rsid w:val="00225EF2"/>
    <w:rsid w:val="002564C3"/>
    <w:rsid w:val="00257D09"/>
    <w:rsid w:val="00265BC3"/>
    <w:rsid w:val="00265EDD"/>
    <w:rsid w:val="0028717A"/>
    <w:rsid w:val="002A732C"/>
    <w:rsid w:val="002C0843"/>
    <w:rsid w:val="002E45B8"/>
    <w:rsid w:val="002E4C70"/>
    <w:rsid w:val="002F1E5F"/>
    <w:rsid w:val="0034192B"/>
    <w:rsid w:val="00350123"/>
    <w:rsid w:val="00362198"/>
    <w:rsid w:val="003822EB"/>
    <w:rsid w:val="00385D4C"/>
    <w:rsid w:val="003E7CFD"/>
    <w:rsid w:val="00441CBC"/>
    <w:rsid w:val="00447EA7"/>
    <w:rsid w:val="00450D92"/>
    <w:rsid w:val="00461931"/>
    <w:rsid w:val="004836D7"/>
    <w:rsid w:val="004921F3"/>
    <w:rsid w:val="004A28CF"/>
    <w:rsid w:val="004F4BDC"/>
    <w:rsid w:val="004F4F89"/>
    <w:rsid w:val="00516132"/>
    <w:rsid w:val="005165EF"/>
    <w:rsid w:val="00533994"/>
    <w:rsid w:val="0054006C"/>
    <w:rsid w:val="00542ED3"/>
    <w:rsid w:val="00554ACC"/>
    <w:rsid w:val="00570F81"/>
    <w:rsid w:val="00572F3B"/>
    <w:rsid w:val="005736AE"/>
    <w:rsid w:val="00581DEC"/>
    <w:rsid w:val="005C6BD5"/>
    <w:rsid w:val="00605F88"/>
    <w:rsid w:val="0061310D"/>
    <w:rsid w:val="006137D9"/>
    <w:rsid w:val="00616AF7"/>
    <w:rsid w:val="00631419"/>
    <w:rsid w:val="0064370E"/>
    <w:rsid w:val="0067446A"/>
    <w:rsid w:val="00676DDA"/>
    <w:rsid w:val="006819D3"/>
    <w:rsid w:val="006C18DC"/>
    <w:rsid w:val="006C1A15"/>
    <w:rsid w:val="006D1307"/>
    <w:rsid w:val="00714D5B"/>
    <w:rsid w:val="00742BD7"/>
    <w:rsid w:val="00751D85"/>
    <w:rsid w:val="00757475"/>
    <w:rsid w:val="007577B3"/>
    <w:rsid w:val="00777F0B"/>
    <w:rsid w:val="007B6314"/>
    <w:rsid w:val="007C4373"/>
    <w:rsid w:val="00861E28"/>
    <w:rsid w:val="00865490"/>
    <w:rsid w:val="00884BF0"/>
    <w:rsid w:val="008857B6"/>
    <w:rsid w:val="008F1E0F"/>
    <w:rsid w:val="008F3F91"/>
    <w:rsid w:val="008F4791"/>
    <w:rsid w:val="008F7DA3"/>
    <w:rsid w:val="00907D17"/>
    <w:rsid w:val="00922594"/>
    <w:rsid w:val="009462C4"/>
    <w:rsid w:val="00947A18"/>
    <w:rsid w:val="0096329C"/>
    <w:rsid w:val="00965B95"/>
    <w:rsid w:val="009669EE"/>
    <w:rsid w:val="00974E4D"/>
    <w:rsid w:val="00992523"/>
    <w:rsid w:val="00994564"/>
    <w:rsid w:val="009D26C6"/>
    <w:rsid w:val="009F6F3C"/>
    <w:rsid w:val="00A06BA6"/>
    <w:rsid w:val="00A1686A"/>
    <w:rsid w:val="00A17D32"/>
    <w:rsid w:val="00A67DE3"/>
    <w:rsid w:val="00A71DC0"/>
    <w:rsid w:val="00A91AE9"/>
    <w:rsid w:val="00A965EC"/>
    <w:rsid w:val="00AB468B"/>
    <w:rsid w:val="00AC6B39"/>
    <w:rsid w:val="00AD0C16"/>
    <w:rsid w:val="00B07D65"/>
    <w:rsid w:val="00B3183E"/>
    <w:rsid w:val="00B421B9"/>
    <w:rsid w:val="00B51D7C"/>
    <w:rsid w:val="00B6450F"/>
    <w:rsid w:val="00B70B78"/>
    <w:rsid w:val="00B7627E"/>
    <w:rsid w:val="00B84D50"/>
    <w:rsid w:val="00BA0E0A"/>
    <w:rsid w:val="00BA3A21"/>
    <w:rsid w:val="00BB163A"/>
    <w:rsid w:val="00BD4560"/>
    <w:rsid w:val="00BD50C6"/>
    <w:rsid w:val="00BF4C2B"/>
    <w:rsid w:val="00C00677"/>
    <w:rsid w:val="00C04A3E"/>
    <w:rsid w:val="00C1445E"/>
    <w:rsid w:val="00C145BF"/>
    <w:rsid w:val="00C17CD3"/>
    <w:rsid w:val="00C275B9"/>
    <w:rsid w:val="00C37206"/>
    <w:rsid w:val="00C51401"/>
    <w:rsid w:val="00C94049"/>
    <w:rsid w:val="00CA52D6"/>
    <w:rsid w:val="00CD0CE4"/>
    <w:rsid w:val="00CE6817"/>
    <w:rsid w:val="00D41D26"/>
    <w:rsid w:val="00D66BA2"/>
    <w:rsid w:val="00D80AF6"/>
    <w:rsid w:val="00DF4FCA"/>
    <w:rsid w:val="00DF6687"/>
    <w:rsid w:val="00DF6BFA"/>
    <w:rsid w:val="00E022BA"/>
    <w:rsid w:val="00E6283B"/>
    <w:rsid w:val="00E81DC4"/>
    <w:rsid w:val="00E86685"/>
    <w:rsid w:val="00EB2A54"/>
    <w:rsid w:val="00EC575C"/>
    <w:rsid w:val="00EF120B"/>
    <w:rsid w:val="00F06BC6"/>
    <w:rsid w:val="00F0723A"/>
    <w:rsid w:val="00F12987"/>
    <w:rsid w:val="00F24258"/>
    <w:rsid w:val="00F342AB"/>
    <w:rsid w:val="00F40B25"/>
    <w:rsid w:val="00F8011D"/>
    <w:rsid w:val="00FA47F6"/>
    <w:rsid w:val="00FB1717"/>
    <w:rsid w:val="00FF185F"/>
    <w:rsid w:val="00FF4560"/>
    <w:rsid w:val="01BD6429"/>
    <w:rsid w:val="30DC38C3"/>
    <w:rsid w:val="3D780E45"/>
    <w:rsid w:val="3F7DD384"/>
    <w:rsid w:val="44D373DA"/>
    <w:rsid w:val="480C1C24"/>
    <w:rsid w:val="4ECC2160"/>
    <w:rsid w:val="62B45691"/>
    <w:rsid w:val="69957EAE"/>
    <w:rsid w:val="73BA22F0"/>
    <w:rsid w:val="7A885852"/>
    <w:rsid w:val="7B231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qFormat/>
    <w:uiPriority w:val="0"/>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7"/>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qFormat/>
    <w:uiPriority w:val="0"/>
    <w:pPr>
      <w:tabs>
        <w:tab w:val="left" w:pos="2120"/>
      </w:tabs>
      <w:ind w:firstLine="0" w:firstLineChars="0"/>
    </w:pPr>
    <w:rPr>
      <w:b/>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6">
    <w:name w:val="摘要"/>
    <w:basedOn w:val="1"/>
    <w:next w:val="5"/>
    <w:qFormat/>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qFormat/>
    <w:uiPriority w:val="0"/>
    <w:pPr>
      <w:tabs>
        <w:tab w:val="left" w:pos="0"/>
        <w:tab w:val="left" w:pos="709"/>
      </w:tabs>
      <w:ind w:left="1620" w:hanging="360"/>
    </w:pPr>
  </w:style>
  <w:style w:type="paragraph" w:customStyle="1" w:styleId="13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qFormat/>
    <w:uiPriority w:val="0"/>
    <w:pPr>
      <w:autoSpaceDE w:val="0"/>
      <w:autoSpaceDN w:val="0"/>
      <w:adjustRightInd w:val="0"/>
      <w:jc w:val="left"/>
    </w:pPr>
    <w:rPr>
      <w:rFonts w:ascii="黑体" w:eastAsia="黑体"/>
      <w:b/>
      <w:kern w:val="0"/>
      <w:sz w:val="20"/>
    </w:rPr>
  </w:style>
  <w:style w:type="paragraph" w:customStyle="1" w:styleId="137">
    <w:name w:val="正文 + 三号"/>
    <w:basedOn w:val="1"/>
    <w:qFormat/>
    <w:uiPriority w:val="0"/>
    <w:rPr>
      <w:sz w:val="21"/>
    </w:rPr>
  </w:style>
  <w:style w:type="paragraph" w:customStyle="1" w:styleId="138">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qFormat/>
    <w:uiPriority w:val="0"/>
    <w:pPr>
      <w:numPr>
        <w:ilvl w:val="0"/>
        <w:numId w:val="0"/>
      </w:numPr>
      <w:spacing w:beforeLines="0" w:afterLines="0"/>
      <w:ind w:left="525"/>
      <w:outlineLvl w:val="2"/>
    </w:pPr>
    <w:rPr>
      <w:sz w:val="21"/>
    </w:rPr>
  </w:style>
  <w:style w:type="paragraph" w:customStyle="1" w:styleId="140">
    <w:name w:val="二级条标题"/>
    <w:basedOn w:val="139"/>
    <w:next w:val="122"/>
    <w:qFormat/>
    <w:uiPriority w:val="0"/>
    <w:pPr>
      <w:ind w:left="840"/>
      <w:outlineLvl w:val="3"/>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qFormat/>
    <w:uiPriority w:val="0"/>
    <w:pPr>
      <w:widowControl/>
      <w:spacing w:line="300" w:lineRule="atLeast"/>
      <w:jc w:val="left"/>
    </w:pPr>
    <w:rPr>
      <w:rFonts w:ascii="宋体"/>
      <w:kern w:val="0"/>
      <w:sz w:val="18"/>
    </w:rPr>
  </w:style>
  <w:style w:type="paragraph" w:customStyle="1" w:styleId="144">
    <w:name w:val="Char Char1"/>
    <w:basedOn w:val="1"/>
    <w:qFormat/>
    <w:uiPriority w:val="0"/>
    <w:pPr>
      <w:widowControl/>
      <w:spacing w:after="160" w:line="240" w:lineRule="exact"/>
      <w:jc w:val="left"/>
    </w:pPr>
    <w:rPr>
      <w:rFonts w:ascii="Verdana" w:hAnsi="Verdana"/>
      <w:kern w:val="0"/>
      <w:sz w:val="20"/>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1"/>
    <w:basedOn w:val="7"/>
    <w:qFormat/>
    <w:uiPriority w:val="0"/>
    <w:pPr>
      <w:tabs>
        <w:tab w:val="left" w:pos="720"/>
      </w:tabs>
      <w:spacing w:before="500" w:after="260" w:line="560" w:lineRule="atLeast"/>
      <w:ind w:left="420" w:hanging="420"/>
    </w:pPr>
  </w:style>
  <w:style w:type="paragraph" w:customStyle="1" w:styleId="147">
    <w:name w:val="文章正文"/>
    <w:basedOn w:val="1"/>
    <w:qFormat/>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图片文字"/>
    <w:basedOn w:val="1"/>
    <w:qFormat/>
    <w:uiPriority w:val="0"/>
    <w:pPr>
      <w:spacing w:line="240" w:lineRule="atLeast"/>
      <w:jc w:val="center"/>
    </w:pPr>
    <w:rPr>
      <w:sz w:val="21"/>
    </w:rPr>
  </w:style>
  <w:style w:type="paragraph" w:customStyle="1" w:styleId="155">
    <w:name w:val="样式 宋体 五号 两端对齐 行距: 单倍行距"/>
    <w:basedOn w:val="1"/>
    <w:qFormat/>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9"/>
    <w:next w:val="1"/>
    <w:qFormat/>
    <w:uiPriority w:val="0"/>
    <w:pPr>
      <w:spacing w:before="240" w:after="720"/>
    </w:pPr>
    <w:rPr>
      <w:sz w:val="28"/>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2">
    <w:name w:val="Note"/>
    <w:basedOn w:val="1"/>
    <w:qFormat/>
    <w:uiPriority w:val="0"/>
    <w:pPr>
      <w:pBdr>
        <w:top w:val="single" w:color="auto" w:sz="12" w:space="3"/>
        <w:bottom w:val="single" w:color="auto" w:sz="12" w:space="3"/>
      </w:pBdr>
      <w:spacing w:line="360" w:lineRule="auto"/>
    </w:pPr>
    <w:rPr>
      <w:sz w:val="24"/>
    </w:rPr>
  </w:style>
  <w:style w:type="paragraph" w:customStyle="1" w:styleId="163">
    <w:name w:val="Bullets"/>
    <w:basedOn w:val="1"/>
    <w:qFormat/>
    <w:uiPriority w:val="0"/>
    <w:pPr>
      <w:widowControl/>
      <w:adjustRightInd w:val="0"/>
      <w:snapToGrid w:val="0"/>
      <w:spacing w:before="60" w:after="60"/>
    </w:pPr>
    <w:rPr>
      <w:kern w:val="0"/>
      <w:sz w:val="24"/>
      <w:lang w:val="en-GB"/>
    </w:rPr>
  </w:style>
  <w:style w:type="paragraph" w:customStyle="1" w:styleId="164">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4"/>
    <w:qFormat/>
    <w:uiPriority w:val="0"/>
    <w:pPr>
      <w:adjustRightInd w:val="0"/>
    </w:pPr>
    <w:rPr>
      <w:color w:val="000000"/>
      <w:lang w:val="en-GB"/>
    </w:rPr>
  </w:style>
  <w:style w:type="paragraph" w:customStyle="1" w:styleId="166">
    <w:name w:val="Char2 Char Char Char Char Char Char"/>
    <w:basedOn w:val="1"/>
    <w:qFormat/>
    <w:uiPriority w:val="0"/>
    <w:rPr>
      <w:rFonts w:ascii="仿宋_GB2312" w:hAnsi="仿宋_GB2312"/>
      <w:b/>
      <w:sz w:val="30"/>
    </w:rPr>
  </w:style>
  <w:style w:type="paragraph" w:customStyle="1" w:styleId="167">
    <w:name w:val="样式 正文缩进正文（首行缩进两字）表正文正文非缩进特点标题4段1 + 首行缩进:  2 字符"/>
    <w:basedOn w:val="20"/>
    <w:qFormat/>
    <w:uiPriority w:val="0"/>
    <w:pPr>
      <w:ind w:firstLine="200" w:firstLineChars="200"/>
    </w:pPr>
  </w:style>
  <w:style w:type="paragraph" w:customStyle="1" w:styleId="16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qFormat/>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qFormat/>
    <w:uiPriority w:val="0"/>
    <w:pPr>
      <w:spacing w:line="360" w:lineRule="auto"/>
      <w:ind w:firstLine="420"/>
    </w:pPr>
    <w:rPr>
      <w:sz w:val="24"/>
    </w:rPr>
  </w:style>
  <w:style w:type="paragraph" w:customStyle="1" w:styleId="179">
    <w:name w:val="简单回函地址"/>
    <w:basedOn w:val="1"/>
    <w:qFormat/>
    <w:uiPriority w:val="0"/>
    <w:pPr>
      <w:adjustRightInd w:val="0"/>
      <w:snapToGrid w:val="0"/>
      <w:spacing w:line="360" w:lineRule="auto"/>
    </w:pPr>
    <w:rPr>
      <w:sz w:val="24"/>
    </w:rPr>
  </w:style>
  <w:style w:type="paragraph" w:customStyle="1" w:styleId="180">
    <w:name w:val="内容标题"/>
    <w:basedOn w:val="22"/>
    <w:qFormat/>
    <w:uiPriority w:val="0"/>
    <w:rPr>
      <w:rFonts w:ascii="Tahoma" w:hAnsi="Tahoma"/>
      <w:sz w:val="24"/>
    </w:rPr>
  </w:style>
  <w:style w:type="paragraph" w:customStyle="1" w:styleId="181">
    <w:name w:val="1"/>
    <w:basedOn w:val="1"/>
    <w:next w:val="34"/>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style1"/>
    <w:basedOn w:val="1"/>
    <w:qFormat/>
    <w:uiPriority w:val="0"/>
    <w:pPr>
      <w:widowControl/>
      <w:spacing w:before="100" w:beforeAutospacing="1" w:after="100" w:afterAutospacing="1"/>
      <w:jc w:val="left"/>
    </w:pPr>
    <w:rPr>
      <w:rFonts w:ascii="宋体"/>
      <w:kern w:val="0"/>
      <w:sz w:val="21"/>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9"/>
    <w:qFormat/>
    <w:uiPriority w:val="0"/>
    <w:pPr>
      <w:spacing w:before="720"/>
    </w:pPr>
  </w:style>
  <w:style w:type="paragraph" w:customStyle="1" w:styleId="189">
    <w:name w:val="标题3——2"/>
    <w:basedOn w:val="6"/>
    <w:next w:val="17"/>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qFormat/>
    <w:uiPriority w:val="0"/>
    <w:pPr>
      <w:ind w:firstLine="200" w:firstLineChars="200"/>
    </w:pPr>
    <w:rPr>
      <w:sz w:val="21"/>
      <w:szCs w:val="24"/>
    </w:rPr>
  </w:style>
  <w:style w:type="paragraph" w:customStyle="1" w:styleId="191">
    <w:name w:val="Char1 Char Char Char"/>
    <w:basedOn w:val="1"/>
    <w:qFormat/>
    <w:uiPriority w:val="0"/>
    <w:rPr>
      <w:rFonts w:ascii="Tahoma" w:hAnsi="Tahoma"/>
      <w:sz w:val="30"/>
    </w:rPr>
  </w:style>
  <w:style w:type="paragraph" w:customStyle="1" w:styleId="192">
    <w:name w:val="移动五期"/>
    <w:basedOn w:val="1"/>
    <w:qFormat/>
    <w:uiPriority w:val="0"/>
    <w:pPr>
      <w:spacing w:line="360" w:lineRule="auto"/>
      <w:ind w:firstLine="454"/>
    </w:pPr>
    <w:rPr>
      <w:rFonts w:ascii="宋体"/>
      <w:sz w:val="24"/>
    </w:rPr>
  </w:style>
  <w:style w:type="paragraph" w:customStyle="1" w:styleId="1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22"/>
    <w:qFormat/>
    <w:uiPriority w:val="0"/>
    <w:rPr>
      <w:rFonts w:ascii="宋体"/>
    </w:rPr>
  </w:style>
  <w:style w:type="paragraph" w:customStyle="1" w:styleId="195">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qFormat/>
    <w:uiPriority w:val="0"/>
    <w:pPr>
      <w:spacing w:line="300" w:lineRule="auto"/>
      <w:ind w:firstLine="200" w:firstLineChars="200"/>
    </w:pPr>
    <w:rPr>
      <w:sz w:val="24"/>
    </w:rPr>
  </w:style>
  <w:style w:type="paragraph" w:customStyle="1" w:styleId="202">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qFormat/>
    <w:uiPriority w:val="0"/>
    <w:pPr>
      <w:snapToGrid w:val="0"/>
      <w:spacing w:line="360" w:lineRule="auto"/>
      <w:ind w:firstLine="420"/>
    </w:pPr>
    <w:rPr>
      <w:sz w:val="24"/>
    </w:rPr>
  </w:style>
  <w:style w:type="paragraph" w:customStyle="1" w:styleId="204">
    <w:name w:val="Char1"/>
    <w:basedOn w:val="1"/>
    <w:qFormat/>
    <w:uiPriority w:val="0"/>
    <w:rPr>
      <w:sz w:val="21"/>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qFormat/>
    <w:uiPriority w:val="0"/>
    <w:pPr>
      <w:spacing w:line="360" w:lineRule="auto"/>
    </w:pPr>
    <w:rPr>
      <w:sz w:val="24"/>
    </w:rPr>
  </w:style>
  <w:style w:type="paragraph" w:customStyle="1" w:styleId="208">
    <w:name w:val="首行缩进"/>
    <w:basedOn w:val="1"/>
    <w:qFormat/>
    <w:uiPriority w:val="0"/>
    <w:pPr>
      <w:numPr>
        <w:ilvl w:val="0"/>
        <w:numId w:val="12"/>
      </w:numPr>
      <w:spacing w:line="360" w:lineRule="auto"/>
    </w:pPr>
    <w:rPr>
      <w:rFonts w:eastAsia="仿宋_GB2312"/>
    </w:rPr>
  </w:style>
  <w:style w:type="paragraph" w:customStyle="1" w:styleId="209">
    <w:name w:val="附录3"/>
    <w:basedOn w:val="1"/>
    <w:next w:val="1"/>
    <w:qFormat/>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Char Char Char"/>
    <w:basedOn w:val="1"/>
    <w:qFormat/>
    <w:uiPriority w:val="0"/>
    <w:rPr>
      <w:rFonts w:ascii="Tahoma" w:hAnsi="Tahoma"/>
      <w:sz w:val="24"/>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qFormat/>
    <w:uiPriority w:val="0"/>
    <w:rPr>
      <w:rFonts w:ascii="Tahoma" w:hAnsi="Tahoma"/>
      <w:sz w:val="24"/>
    </w:rPr>
  </w:style>
  <w:style w:type="paragraph" w:customStyle="1" w:styleId="2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qFormat/>
    <w:uiPriority w:val="0"/>
    <w:pPr>
      <w:autoSpaceDE w:val="0"/>
      <w:autoSpaceDN w:val="0"/>
      <w:adjustRightInd w:val="0"/>
      <w:spacing w:line="360" w:lineRule="auto"/>
      <w:jc w:val="left"/>
    </w:pPr>
    <w:rPr>
      <w:b/>
      <w:kern w:val="0"/>
      <w:sz w:val="21"/>
    </w:rPr>
  </w:style>
  <w:style w:type="paragraph" w:customStyle="1" w:styleId="22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0">
    <w:name w:val="文本1"/>
    <w:basedOn w:val="1"/>
    <w:qFormat/>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可研正文"/>
    <w:basedOn w:val="2"/>
    <w:qFormat/>
    <w:uiPriority w:val="0"/>
    <w:pPr>
      <w:adjustRightInd w:val="0"/>
      <w:snapToGrid w:val="0"/>
      <w:spacing w:line="440" w:lineRule="exact"/>
      <w:ind w:firstLine="567"/>
    </w:pPr>
    <w:rPr>
      <w:sz w:val="28"/>
    </w:rPr>
  </w:style>
  <w:style w:type="paragraph" w:customStyle="1" w:styleId="234">
    <w:name w:val="编号正文"/>
    <w:basedOn w:val="198"/>
    <w:qFormat/>
    <w:uiPriority w:val="0"/>
    <w:pPr>
      <w:snapToGrid/>
      <w:spacing w:line="360" w:lineRule="auto"/>
      <w:ind w:left="1407" w:hanging="1047"/>
      <w:jc w:val="left"/>
    </w:pPr>
    <w:rPr>
      <w:rFonts w:eastAsia="仿宋_GB2312"/>
    </w:rPr>
  </w:style>
  <w:style w:type="paragraph" w:customStyle="1" w:styleId="2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qFormat/>
    <w:uiPriority w:val="0"/>
    <w:pPr>
      <w:adjustRightInd w:val="0"/>
      <w:spacing w:before="40" w:after="40"/>
    </w:pPr>
    <w:rPr>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qFormat/>
    <w:uiPriority w:val="0"/>
    <w:pPr>
      <w:spacing w:before="60" w:after="60" w:line="360" w:lineRule="auto"/>
      <w:ind w:left="200" w:leftChars="200" w:firstLine="200" w:firstLineChars="200"/>
    </w:pPr>
    <w:rPr>
      <w:sz w:val="24"/>
    </w:rPr>
  </w:style>
  <w:style w:type="paragraph" w:customStyle="1" w:styleId="239">
    <w:name w:val="样式4"/>
    <w:basedOn w:val="7"/>
    <w:qFormat/>
    <w:uiPriority w:val="0"/>
    <w:pPr>
      <w:adjustRightInd w:val="0"/>
      <w:snapToGrid w:val="0"/>
    </w:pPr>
  </w:style>
  <w:style w:type="paragraph" w:customStyle="1" w:styleId="24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qFormat/>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qFormat/>
    <w:uiPriority w:val="0"/>
    <w:rPr>
      <w:rFonts w:ascii="Tahoma" w:hAnsi="Tahoma"/>
      <w:sz w:val="24"/>
    </w:rPr>
  </w:style>
  <w:style w:type="paragraph" w:customStyle="1" w:styleId="245">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qFormat/>
    <w:uiPriority w:val="0"/>
    <w:pPr>
      <w:snapToGrid w:val="0"/>
    </w:pPr>
    <w:rPr>
      <w:sz w:val="21"/>
    </w:rPr>
  </w:style>
  <w:style w:type="paragraph" w:customStyle="1" w:styleId="247">
    <w:name w:val="正文缩进_0"/>
    <w:basedOn w:val="1"/>
    <w:qFormat/>
    <w:uiPriority w:val="0"/>
    <w:pPr>
      <w:ind w:firstLine="420"/>
    </w:pPr>
    <w:rPr>
      <w:rFonts w:ascii="Times New Roman" w:hAnsi="Times New Roman" w:eastAsia="Times New Roman"/>
      <w:kern w:val="0"/>
      <w:sz w:val="24"/>
      <w:szCs w:val="24"/>
    </w:rPr>
  </w:style>
  <w:style w:type="character" w:customStyle="1" w:styleId="248">
    <w:name w:val="正文缩进 字符"/>
    <w:qFormat/>
    <w:uiPriority w:val="0"/>
    <w:rPr>
      <w:kern w:val="2"/>
      <w:sz w:val="24"/>
    </w:rPr>
  </w:style>
  <w:style w:type="character" w:customStyle="1" w:styleId="249">
    <w:name w:val="批注文字 字符"/>
    <w:qFormat/>
    <w:uiPriority w:val="0"/>
    <w:rPr>
      <w:sz w:val="24"/>
    </w:rPr>
  </w:style>
  <w:style w:type="character" w:customStyle="1" w:styleId="250">
    <w:name w:val="正文文本缩进 字符"/>
    <w:qFormat/>
    <w:uiPriority w:val="0"/>
    <w:rPr>
      <w:kern w:val="2"/>
      <w:sz w:val="44"/>
    </w:rPr>
  </w:style>
  <w:style w:type="character" w:customStyle="1" w:styleId="251">
    <w:name w:val="正文文本缩进 2 字符"/>
    <w:qFormat/>
    <w:uiPriority w:val="0"/>
    <w:rPr>
      <w:kern w:val="2"/>
      <w:sz w:val="28"/>
    </w:rPr>
  </w:style>
  <w:style w:type="character" w:customStyle="1" w:styleId="252">
    <w:name w:val="脚注文本 字符"/>
    <w:qFormat/>
    <w:uiPriority w:val="0"/>
    <w:rPr>
      <w:kern w:val="2"/>
      <w:sz w:val="18"/>
    </w:rPr>
  </w:style>
  <w:style w:type="character" w:customStyle="1" w:styleId="253">
    <w:name w:val="批注主题 字符"/>
    <w:qFormat/>
    <w:uiPriority w:val="0"/>
  </w:style>
  <w:style w:type="character" w:customStyle="1" w:styleId="254">
    <w:name w:val="正文文本首行缩进 2 字符"/>
    <w:qFormat/>
    <w:uiPriority w:val="0"/>
  </w:style>
  <w:style w:type="character" w:customStyle="1" w:styleId="255">
    <w:name w:val="批注文字 字符1"/>
    <w:qFormat/>
    <w:uiPriority w:val="0"/>
    <w:rPr>
      <w:rFonts w:ascii="Times New Roman" w:hAnsi="Times New Roman" w:eastAsia="宋体" w:cs="Times New Roman"/>
      <w:sz w:val="28"/>
      <w:szCs w:val="20"/>
    </w:rPr>
  </w:style>
  <w:style w:type="character" w:customStyle="1" w:styleId="256">
    <w:name w:val="NormalCharacter"/>
    <w:qFormat/>
    <w:uiPriority w:val="0"/>
  </w:style>
  <w:style w:type="character" w:customStyle="1" w:styleId="257">
    <w:name w:val="日期 字符"/>
    <w:qFormat/>
    <w:uiPriority w:val="0"/>
    <w:rPr>
      <w:kern w:val="2"/>
      <w:sz w:val="28"/>
    </w:rPr>
  </w:style>
  <w:style w:type="character" w:customStyle="1" w:styleId="258">
    <w:name w:val="标题 2 字符"/>
    <w:qFormat/>
    <w:uiPriority w:val="0"/>
    <w:rPr>
      <w:rFonts w:ascii="Arial" w:hAnsi="Arial" w:eastAsia="黑体"/>
      <w:b/>
      <w:kern w:val="2"/>
      <w:sz w:val="32"/>
    </w:rPr>
  </w:style>
  <w:style w:type="character" w:customStyle="1" w:styleId="259">
    <w:name w:val="列表段落 字符"/>
    <w:qFormat/>
    <w:uiPriority w:val="0"/>
    <w:rPr>
      <w:rFonts w:ascii="Calibri" w:hAnsi="Calibri"/>
      <w:kern w:val="2"/>
      <w:sz w:val="21"/>
      <w:szCs w:val="22"/>
    </w:rPr>
  </w:style>
  <w:style w:type="character" w:customStyle="1" w:styleId="260">
    <w:name w:val="标题 3 字符"/>
    <w:qFormat/>
    <w:uiPriority w:val="0"/>
    <w:rPr>
      <w:b/>
      <w:kern w:val="2"/>
      <w:sz w:val="32"/>
    </w:rPr>
  </w:style>
  <w:style w:type="paragraph" w:customStyle="1" w:styleId="261">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qFormat/>
    <w:uiPriority w:val="0"/>
    <w:rPr>
      <w:rFonts w:ascii="仿宋_GB2312" w:eastAsia="仿宋_GB2312"/>
      <w:kern w:val="2"/>
      <w:sz w:val="32"/>
    </w:rPr>
  </w:style>
  <w:style w:type="character" w:customStyle="1" w:styleId="263">
    <w:name w:val="font01"/>
    <w:qFormat/>
    <w:uiPriority w:val="0"/>
    <w:rPr>
      <w:rFonts w:ascii="Times New Roman" w:hAnsi="Times New Roman" w:cs="Times New Roman"/>
      <w:color w:val="000000"/>
      <w:sz w:val="18"/>
      <w:szCs w:val="18"/>
      <w:u w:val="none"/>
    </w:rPr>
  </w:style>
  <w:style w:type="character" w:customStyle="1" w:styleId="264">
    <w:name w:val="font11"/>
    <w:qFormat/>
    <w:uiPriority w:val="0"/>
    <w:rPr>
      <w:rFonts w:ascii="宋体" w:eastAsia="宋体" w:cs="宋体"/>
      <w:b/>
      <w:color w:val="000000"/>
      <w:sz w:val="18"/>
      <w:szCs w:val="18"/>
      <w:u w:val="none"/>
    </w:rPr>
  </w:style>
  <w:style w:type="character" w:customStyle="1" w:styleId="265">
    <w:name w:val="font61"/>
    <w:qFormat/>
    <w:uiPriority w:val="0"/>
    <w:rPr>
      <w:rFonts w:ascii="宋体" w:eastAsia="宋体" w:cs="宋体"/>
      <w:color w:val="000000"/>
      <w:sz w:val="20"/>
      <w:szCs w:val="20"/>
      <w:u w:val="none"/>
    </w:rPr>
  </w:style>
  <w:style w:type="character" w:customStyle="1" w:styleId="266">
    <w:name w:val="文字 Char Char"/>
    <w:qFormat/>
    <w:locked/>
    <w:uiPriority w:val="0"/>
    <w:rPr>
      <w:rFonts w:ascii="宋体" w:eastAsia="宋体"/>
      <w:sz w:val="28"/>
    </w:rPr>
  </w:style>
  <w:style w:type="character" w:customStyle="1" w:styleId="267">
    <w:name w:val="font81"/>
    <w:qFormat/>
    <w:uiPriority w:val="0"/>
    <w:rPr>
      <w:rFonts w:ascii="宋体" w:eastAsia="宋体" w:cs="宋体"/>
      <w:color w:val="000000"/>
      <w:sz w:val="18"/>
      <w:szCs w:val="18"/>
      <w:u w:val="none"/>
    </w:rPr>
  </w:style>
  <w:style w:type="character" w:customStyle="1" w:styleId="268">
    <w:name w:val="Char Char Char Char Char Char Char Char Char"/>
    <w:qFormat/>
    <w:uiPriority w:val="0"/>
    <w:rPr>
      <w:rFonts w:ascii="宋体" w:eastAsia="宋体"/>
      <w:kern w:val="2"/>
      <w:sz w:val="24"/>
      <w:lang w:val="en-US" w:eastAsia="zh-CN" w:bidi="ar-SA"/>
    </w:rPr>
  </w:style>
  <w:style w:type="character" w:customStyle="1" w:styleId="269">
    <w:name w:val="fontstyle11"/>
    <w:qFormat/>
    <w:uiPriority w:val="0"/>
    <w:rPr>
      <w:rFonts w:ascii="FrutigerNextLT-Light" w:hAnsi="FrutigerNextLT-Light"/>
      <w:color w:val="000000"/>
      <w:sz w:val="18"/>
      <w:szCs w:val="18"/>
    </w:rPr>
  </w:style>
  <w:style w:type="character" w:customStyle="1" w:styleId="270">
    <w:name w:val="font31"/>
    <w:qFormat/>
    <w:uiPriority w:val="0"/>
    <w:rPr>
      <w:rFonts w:ascii="宋体" w:eastAsia="宋体" w:cs="宋体"/>
      <w:color w:val="000000"/>
      <w:sz w:val="18"/>
      <w:szCs w:val="18"/>
      <w:u w:val="none"/>
    </w:rPr>
  </w:style>
  <w:style w:type="character" w:customStyle="1" w:styleId="271">
    <w:name w:val="font21"/>
    <w:qFormat/>
    <w:uiPriority w:val="0"/>
    <w:rPr>
      <w:rFonts w:ascii="宋体" w:eastAsia="宋体" w:cs="宋体"/>
      <w:color w:val="000000"/>
      <w:sz w:val="18"/>
      <w:szCs w:val="18"/>
      <w:u w:val="none"/>
    </w:rPr>
  </w:style>
  <w:style w:type="character" w:customStyle="1" w:styleId="272">
    <w:name w:val="副标题 Char"/>
    <w:qFormat/>
    <w:uiPriority w:val="0"/>
    <w:rPr>
      <w:rFonts w:ascii="Cambria" w:hAnsi="Cambria" w:eastAsia="宋体" w:cs="Times New Roman"/>
      <w:b/>
      <w:bCs/>
      <w:kern w:val="28"/>
      <w:sz w:val="32"/>
      <w:szCs w:val="32"/>
    </w:rPr>
  </w:style>
  <w:style w:type="paragraph" w:customStyle="1" w:styleId="273">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qFormat/>
    <w:uiPriority w:val="0"/>
    <w:pPr>
      <w:ind w:left="2524" w:hanging="397"/>
    </w:pPr>
    <w:rPr>
      <w:sz w:val="36"/>
      <w:szCs w:val="36"/>
    </w:rPr>
  </w:style>
  <w:style w:type="paragraph" w:customStyle="1" w:styleId="275">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7">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qFormat/>
    <w:uiPriority w:val="0"/>
    <w:pPr>
      <w:spacing w:beforeLines="50" w:afterLines="50" w:line="400" w:lineRule="atLeast"/>
    </w:pPr>
    <w:rPr>
      <w:rFonts w:ascii="宋体"/>
      <w:sz w:val="24"/>
    </w:rPr>
  </w:style>
  <w:style w:type="paragraph" w:customStyle="1" w:styleId="2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qFormat/>
    <w:uiPriority w:val="0"/>
    <w:rPr>
      <w:rFonts w:ascii="Times New Roman" w:hAnsi="Times New Roman"/>
    </w:rPr>
  </w:style>
  <w:style w:type="paragraph" w:customStyle="1" w:styleId="282">
    <w:name w:val="List Paragraph1"/>
    <w:basedOn w:val="1"/>
    <w:qFormat/>
    <w:uiPriority w:val="0"/>
    <w:pPr>
      <w:ind w:firstLine="200" w:firstLineChars="200"/>
    </w:pPr>
    <w:rPr>
      <w:sz w:val="21"/>
      <w:szCs w:val="22"/>
    </w:rPr>
  </w:style>
  <w:style w:type="paragraph" w:customStyle="1" w:styleId="283">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qFormat/>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qFormat/>
    <w:uiPriority w:val="0"/>
    <w:pPr>
      <w:tabs>
        <w:tab w:val="left" w:pos="425"/>
      </w:tabs>
      <w:ind w:left="425" w:hanging="425"/>
    </w:pPr>
    <w:rPr>
      <w:rFonts w:ascii="Tahoma" w:hAnsi="Tahoma"/>
      <w:sz w:val="24"/>
    </w:rPr>
  </w:style>
  <w:style w:type="paragraph" w:customStyle="1" w:styleId="291">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2">
    <w:name w:val="页眉 Char"/>
    <w:qFormat/>
    <w:locked/>
    <w:uiPriority w:val="0"/>
    <w:rPr>
      <w:rFonts w:eastAsia="宋体"/>
      <w:kern w:val="2"/>
      <w:sz w:val="18"/>
      <w:lang w:val="en-US" w:eastAsia="zh-CN" w:bidi="ar-SA"/>
    </w:rPr>
  </w:style>
  <w:style w:type="paragraph" w:customStyle="1" w:styleId="293">
    <w:name w:val="修订1"/>
    <w:qFormat/>
    <w:uiPriority w:val="0"/>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3797</Words>
  <Characters>21647</Characters>
  <Lines>180</Lines>
  <Paragraphs>50</Paragraphs>
  <TotalTime>0</TotalTime>
  <ScaleCrop>false</ScaleCrop>
  <LinksUpToDate>false</LinksUpToDate>
  <CharactersWithSpaces>25394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2021-08-02T15:23:00Z</dcterms:created>
  <dc:creator>罗成</dc:creator>
  <cp:lastModifiedBy>姚遥</cp:lastModifiedBy>
  <cp:lastPrinted>2020-09-18T15:14:00Z</cp:lastPrinted>
  <dcterms:modified xsi:type="dcterms:W3CDTF">2024-12-10T13:13:25Z</dcterms:modified>
  <dc:title>竞争性谈判文件</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7CCECF5840EA438F9E3C9E8629D2C536</vt:lpwstr>
  </property>
</Properties>
</file>