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25AB" w:rsidRDefault="000225AB" w:rsidP="00E75EB3">
      <w:pPr>
        <w:jc w:val="center"/>
        <w:rPr>
          <w:rFonts w:ascii="方正小标宋_GBK" w:eastAsia="方正小标宋_GBK" w:hAnsi="宋体" w:cs="Arial"/>
          <w:bCs/>
          <w:color w:val="000000"/>
          <w:kern w:val="0"/>
          <w:sz w:val="44"/>
          <w:szCs w:val="44"/>
        </w:rPr>
      </w:pPr>
    </w:p>
    <w:p w:rsidR="000225AB" w:rsidRDefault="000225AB" w:rsidP="00E75EB3">
      <w:pPr>
        <w:jc w:val="center"/>
        <w:rPr>
          <w:rFonts w:ascii="方正小标宋_GBK" w:eastAsia="方正小标宋_GBK" w:hAnsi="宋体" w:cs="Arial"/>
          <w:bCs/>
          <w:color w:val="000000"/>
          <w:kern w:val="0"/>
          <w:sz w:val="44"/>
          <w:szCs w:val="44"/>
        </w:rPr>
      </w:pPr>
    </w:p>
    <w:p w:rsidR="00E75EB3" w:rsidRPr="00E75EB3" w:rsidRDefault="00E75EB3" w:rsidP="00E75EB3">
      <w:pPr>
        <w:jc w:val="center"/>
        <w:rPr>
          <w:rFonts w:ascii="方正小标宋_GBK" w:eastAsia="方正小标宋_GBK" w:hAnsi="Arial" w:cs="Arial" w:hint="eastAsia"/>
          <w:color w:val="000000"/>
          <w:kern w:val="0"/>
          <w:sz w:val="44"/>
          <w:szCs w:val="44"/>
        </w:rPr>
      </w:pPr>
      <w:r w:rsidRPr="00E75EB3">
        <w:rPr>
          <w:rFonts w:ascii="方正小标宋_GBK" w:eastAsia="方正小标宋_GBK" w:hAnsi="宋体" w:cs="Arial" w:hint="eastAsia"/>
          <w:bCs/>
          <w:color w:val="000000"/>
          <w:kern w:val="0"/>
          <w:sz w:val="44"/>
          <w:szCs w:val="44"/>
        </w:rPr>
        <w:t>重庆市人民政府办公厅</w:t>
      </w:r>
    </w:p>
    <w:p w:rsidR="00E75EB3" w:rsidRPr="00E75EB3" w:rsidRDefault="00E75EB3" w:rsidP="00E75EB3">
      <w:pPr>
        <w:jc w:val="center"/>
        <w:rPr>
          <w:rFonts w:ascii="方正小标宋_GBK" w:eastAsia="方正小标宋_GBK" w:hAnsi="Arial" w:cs="Arial" w:hint="eastAsia"/>
          <w:color w:val="000000"/>
          <w:kern w:val="0"/>
          <w:sz w:val="44"/>
          <w:szCs w:val="44"/>
        </w:rPr>
      </w:pPr>
      <w:r w:rsidRPr="00E75EB3">
        <w:rPr>
          <w:rFonts w:ascii="方正小标宋_GBK" w:eastAsia="方正小标宋_GBK" w:hAnsi="宋体" w:cs="Arial" w:hint="eastAsia"/>
          <w:bCs/>
          <w:color w:val="000000"/>
          <w:kern w:val="0"/>
          <w:sz w:val="44"/>
          <w:szCs w:val="44"/>
        </w:rPr>
        <w:t>关于印发重庆市降低制造业企业成本</w:t>
      </w:r>
    </w:p>
    <w:p w:rsidR="00E75EB3" w:rsidRPr="00E75EB3" w:rsidRDefault="00E75EB3" w:rsidP="00E75EB3">
      <w:pPr>
        <w:jc w:val="center"/>
        <w:rPr>
          <w:rFonts w:ascii="方正小标宋_GBK" w:eastAsia="方正小标宋_GBK" w:hAnsi="Arial" w:cs="Arial" w:hint="eastAsia"/>
          <w:color w:val="000000"/>
          <w:kern w:val="0"/>
          <w:sz w:val="44"/>
          <w:szCs w:val="44"/>
        </w:rPr>
      </w:pPr>
      <w:r w:rsidRPr="00E75EB3">
        <w:rPr>
          <w:rFonts w:ascii="方正小标宋_GBK" w:eastAsia="方正小标宋_GBK" w:hAnsi="宋体" w:cs="Arial" w:hint="eastAsia"/>
          <w:bCs/>
          <w:color w:val="000000"/>
          <w:kern w:val="0"/>
          <w:sz w:val="44"/>
          <w:szCs w:val="44"/>
        </w:rPr>
        <w:t>若干政策措施的通知</w:t>
      </w:r>
    </w:p>
    <w:p w:rsidR="00E75EB3" w:rsidRPr="00E75EB3" w:rsidRDefault="00E75EB3" w:rsidP="00E75EB3">
      <w:pPr>
        <w:jc w:val="center"/>
        <w:rPr>
          <w:rFonts w:ascii="方正楷体_GBK" w:eastAsia="方正楷体_GBK" w:hAnsi="Arial" w:cs="Arial" w:hint="eastAsia"/>
          <w:color w:val="000000"/>
          <w:kern w:val="0"/>
          <w:sz w:val="32"/>
          <w:szCs w:val="32"/>
        </w:rPr>
      </w:pPr>
      <w:r w:rsidRPr="00E75EB3">
        <w:rPr>
          <w:rFonts w:ascii="方正楷体_GBK" w:eastAsia="方正楷体_GBK" w:hAnsi="宋体" w:cs="Arial" w:hint="eastAsia"/>
          <w:color w:val="000000"/>
          <w:kern w:val="0"/>
          <w:sz w:val="32"/>
          <w:szCs w:val="32"/>
        </w:rPr>
        <w:t>渝府办发〔2018〕155号</w:t>
      </w:r>
    </w:p>
    <w:p w:rsidR="00E75EB3" w:rsidRPr="00E75EB3" w:rsidRDefault="00E75EB3" w:rsidP="00E75EB3">
      <w:pPr>
        <w:rPr>
          <w:rFonts w:ascii="方正仿宋_GBK" w:eastAsia="方正仿宋_GBK" w:hAnsi="Arial" w:cs="Arial" w:hint="eastAsia"/>
          <w:color w:val="000000"/>
          <w:kern w:val="0"/>
          <w:sz w:val="32"/>
          <w:szCs w:val="32"/>
        </w:rPr>
      </w:pPr>
    </w:p>
    <w:p w:rsidR="00E75EB3" w:rsidRPr="00E75EB3" w:rsidRDefault="00E75EB3" w:rsidP="00E75EB3">
      <w:pPr>
        <w:rPr>
          <w:rFonts w:ascii="方正仿宋_GBK" w:eastAsia="方正仿宋_GBK" w:hAnsi="Arial" w:cs="Arial" w:hint="eastAsia"/>
          <w:color w:val="000000"/>
          <w:kern w:val="0"/>
          <w:sz w:val="32"/>
          <w:szCs w:val="32"/>
        </w:rPr>
      </w:pPr>
      <w:r w:rsidRPr="00E75EB3">
        <w:rPr>
          <w:rFonts w:ascii="方正仿宋_GBK" w:eastAsia="方正仿宋_GBK" w:hAnsi="宋体" w:cs="Arial" w:hint="eastAsia"/>
          <w:color w:val="000000"/>
          <w:kern w:val="0"/>
          <w:sz w:val="32"/>
          <w:szCs w:val="32"/>
        </w:rPr>
        <w:t>各区县（自治县）人民政府，市政府各部门，有关单位：</w:t>
      </w:r>
    </w:p>
    <w:p w:rsidR="00E75EB3" w:rsidRPr="00E75EB3" w:rsidRDefault="00E75EB3" w:rsidP="000225AB">
      <w:pPr>
        <w:ind w:firstLineChars="200" w:firstLine="640"/>
        <w:rPr>
          <w:rFonts w:ascii="方正仿宋_GBK" w:eastAsia="方正仿宋_GBK" w:hAnsi="Arial" w:cs="Arial" w:hint="eastAsia"/>
          <w:color w:val="000000"/>
          <w:kern w:val="0"/>
          <w:sz w:val="32"/>
          <w:szCs w:val="32"/>
        </w:rPr>
      </w:pPr>
      <w:r w:rsidRPr="00E75EB3">
        <w:rPr>
          <w:rFonts w:ascii="方正仿宋_GBK" w:eastAsia="方正仿宋_GBK" w:hAnsi="宋体" w:cs="Arial" w:hint="eastAsia"/>
          <w:color w:val="000000"/>
          <w:kern w:val="0"/>
          <w:sz w:val="32"/>
          <w:szCs w:val="32"/>
        </w:rPr>
        <w:t>《重庆市降低制造业企业成本若干政策措施》已经市政府同意，现印发给你们，请认真贯彻执行。</w:t>
      </w:r>
    </w:p>
    <w:p w:rsidR="00E75EB3" w:rsidRPr="00E75EB3" w:rsidRDefault="00E75EB3" w:rsidP="00E75EB3">
      <w:pPr>
        <w:rPr>
          <w:rFonts w:ascii="方正仿宋_GBK" w:eastAsia="方正仿宋_GBK" w:hAnsi="Arial" w:cs="Arial" w:hint="eastAsia"/>
          <w:color w:val="000000"/>
          <w:kern w:val="0"/>
          <w:sz w:val="32"/>
          <w:szCs w:val="32"/>
        </w:rPr>
      </w:pPr>
    </w:p>
    <w:p w:rsidR="00E75EB3" w:rsidRPr="00E75EB3" w:rsidRDefault="00E75EB3" w:rsidP="00E75EB3">
      <w:pPr>
        <w:wordWrap w:val="0"/>
        <w:jc w:val="right"/>
        <w:rPr>
          <w:rFonts w:ascii="方正仿宋_GBK" w:eastAsia="方正仿宋_GBK" w:hAnsi="Arial" w:cs="Arial" w:hint="eastAsia"/>
          <w:color w:val="000000"/>
          <w:kern w:val="0"/>
          <w:sz w:val="32"/>
          <w:szCs w:val="32"/>
        </w:rPr>
      </w:pPr>
      <w:r w:rsidRPr="00E75EB3">
        <w:rPr>
          <w:rFonts w:ascii="方正仿宋_GBK" w:eastAsia="方正仿宋_GBK" w:hAnsi="宋体" w:cs="Arial" w:hint="eastAsia"/>
          <w:color w:val="000000"/>
          <w:kern w:val="0"/>
          <w:sz w:val="32"/>
          <w:szCs w:val="32"/>
        </w:rPr>
        <w:t>重庆市人民政府办公厅</w:t>
      </w:r>
      <w:r>
        <w:rPr>
          <w:rFonts w:ascii="方正仿宋_GBK" w:eastAsia="方正仿宋_GBK" w:hAnsi="宋体" w:cs="Arial" w:hint="eastAsia"/>
          <w:color w:val="000000"/>
          <w:kern w:val="0"/>
          <w:sz w:val="32"/>
          <w:szCs w:val="32"/>
        </w:rPr>
        <w:t xml:space="preserve"> </w:t>
      </w:r>
      <w:r>
        <w:rPr>
          <w:rFonts w:ascii="方正仿宋_GBK" w:eastAsia="方正仿宋_GBK" w:hAnsi="宋体" w:cs="Arial"/>
          <w:color w:val="000000"/>
          <w:kern w:val="0"/>
          <w:sz w:val="32"/>
          <w:szCs w:val="32"/>
        </w:rPr>
        <w:t xml:space="preserve">   </w:t>
      </w:r>
    </w:p>
    <w:p w:rsidR="00E75EB3" w:rsidRDefault="00E75EB3" w:rsidP="00E75EB3">
      <w:pPr>
        <w:wordWrap w:val="0"/>
        <w:jc w:val="right"/>
        <w:rPr>
          <w:rFonts w:ascii="方正仿宋_GBK" w:eastAsia="方正仿宋_GBK" w:hAnsi="宋体" w:cs="Arial"/>
          <w:color w:val="000000"/>
          <w:kern w:val="0"/>
          <w:sz w:val="32"/>
          <w:szCs w:val="32"/>
        </w:rPr>
      </w:pPr>
      <w:r w:rsidRPr="00E75EB3">
        <w:rPr>
          <w:rFonts w:ascii="方正仿宋_GBK" w:eastAsia="方正仿宋_GBK" w:hAnsi="宋体" w:cs="Arial" w:hint="eastAsia"/>
          <w:color w:val="000000"/>
          <w:kern w:val="0"/>
          <w:sz w:val="32"/>
          <w:szCs w:val="32"/>
        </w:rPr>
        <w:t>2018年10月31日</w:t>
      </w:r>
      <w:r>
        <w:rPr>
          <w:rFonts w:ascii="方正仿宋_GBK" w:eastAsia="方正仿宋_GBK" w:hAnsi="宋体" w:cs="Arial" w:hint="eastAsia"/>
          <w:color w:val="000000"/>
          <w:kern w:val="0"/>
          <w:sz w:val="32"/>
          <w:szCs w:val="32"/>
        </w:rPr>
        <w:t xml:space="preserve"> </w:t>
      </w:r>
      <w:r>
        <w:rPr>
          <w:rFonts w:ascii="方正仿宋_GBK" w:eastAsia="方正仿宋_GBK" w:hAnsi="宋体" w:cs="Arial"/>
          <w:color w:val="000000"/>
          <w:kern w:val="0"/>
          <w:sz w:val="32"/>
          <w:szCs w:val="32"/>
        </w:rPr>
        <w:t xml:space="preserve">    </w:t>
      </w:r>
    </w:p>
    <w:p w:rsidR="00E75EB3" w:rsidRPr="00E75EB3" w:rsidRDefault="00E75EB3" w:rsidP="00E75EB3">
      <w:pPr>
        <w:jc w:val="right"/>
        <w:rPr>
          <w:rFonts w:ascii="方正仿宋_GBK" w:eastAsia="方正仿宋_GBK" w:hAnsi="Arial" w:cs="Arial" w:hint="eastAsia"/>
          <w:color w:val="000000"/>
          <w:kern w:val="0"/>
          <w:sz w:val="32"/>
          <w:szCs w:val="32"/>
        </w:rPr>
      </w:pPr>
    </w:p>
    <w:p w:rsidR="00E75EB3" w:rsidRPr="00E75EB3" w:rsidRDefault="00E75EB3" w:rsidP="000225AB">
      <w:pPr>
        <w:ind w:firstLineChars="200" w:firstLine="640"/>
        <w:rPr>
          <w:rFonts w:ascii="方正仿宋_GBK" w:eastAsia="方正仿宋_GBK" w:hAnsi="Arial" w:cs="Arial" w:hint="eastAsia"/>
          <w:color w:val="000000"/>
          <w:kern w:val="0"/>
          <w:sz w:val="32"/>
          <w:szCs w:val="32"/>
        </w:rPr>
      </w:pPr>
      <w:r w:rsidRPr="00E75EB3">
        <w:rPr>
          <w:rFonts w:ascii="方正仿宋_GBK" w:eastAsia="方正仿宋_GBK" w:hAnsi="宋体" w:cs="Arial" w:hint="eastAsia"/>
          <w:color w:val="000000"/>
          <w:kern w:val="0"/>
          <w:sz w:val="32"/>
          <w:szCs w:val="32"/>
        </w:rPr>
        <w:t>（此件公开发布）</w:t>
      </w:r>
    </w:p>
    <w:p w:rsidR="00E75EB3" w:rsidRPr="00E75EB3" w:rsidRDefault="00E75EB3" w:rsidP="00E75EB3">
      <w:pPr>
        <w:rPr>
          <w:rFonts w:ascii="方正仿宋_GBK" w:eastAsia="方正仿宋_GBK" w:hAnsi="Arial" w:cs="Arial" w:hint="eastAsia"/>
          <w:color w:val="000000"/>
          <w:kern w:val="0"/>
          <w:sz w:val="32"/>
          <w:szCs w:val="32"/>
        </w:rPr>
      </w:pPr>
      <w:r w:rsidRPr="00E75EB3">
        <w:rPr>
          <w:rFonts w:ascii="方正仿宋_GBK" w:eastAsia="方正仿宋_GBK" w:hAnsi="宋体" w:cs="Arial" w:hint="eastAsia"/>
          <w:color w:val="000000"/>
          <w:kern w:val="0"/>
          <w:sz w:val="32"/>
          <w:szCs w:val="32"/>
        </w:rPr>
        <w:t> </w:t>
      </w:r>
    </w:p>
    <w:p w:rsidR="000225AB" w:rsidRDefault="000225AB" w:rsidP="00E75EB3">
      <w:pPr>
        <w:jc w:val="center"/>
        <w:rPr>
          <w:rFonts w:ascii="方正小标宋_GBK" w:eastAsia="方正小标宋_GBK" w:hAnsi="宋体" w:cs="Arial"/>
          <w:bCs/>
          <w:color w:val="000000"/>
          <w:kern w:val="0"/>
          <w:sz w:val="44"/>
          <w:szCs w:val="44"/>
        </w:rPr>
      </w:pPr>
    </w:p>
    <w:p w:rsidR="000225AB" w:rsidRDefault="000225AB" w:rsidP="00E75EB3">
      <w:pPr>
        <w:jc w:val="center"/>
        <w:rPr>
          <w:rFonts w:ascii="方正小标宋_GBK" w:eastAsia="方正小标宋_GBK" w:hAnsi="宋体" w:cs="Arial"/>
          <w:bCs/>
          <w:color w:val="000000"/>
          <w:kern w:val="0"/>
          <w:sz w:val="44"/>
          <w:szCs w:val="44"/>
        </w:rPr>
      </w:pPr>
    </w:p>
    <w:p w:rsidR="000225AB" w:rsidRDefault="000225AB" w:rsidP="00E75EB3">
      <w:pPr>
        <w:jc w:val="center"/>
        <w:rPr>
          <w:rFonts w:ascii="方正小标宋_GBK" w:eastAsia="方正小标宋_GBK" w:hAnsi="宋体" w:cs="Arial"/>
          <w:bCs/>
          <w:color w:val="000000"/>
          <w:kern w:val="0"/>
          <w:sz w:val="44"/>
          <w:szCs w:val="44"/>
        </w:rPr>
      </w:pPr>
    </w:p>
    <w:p w:rsidR="000225AB" w:rsidRDefault="000225AB" w:rsidP="00E75EB3">
      <w:pPr>
        <w:jc w:val="center"/>
        <w:rPr>
          <w:rFonts w:ascii="方正小标宋_GBK" w:eastAsia="方正小标宋_GBK" w:hAnsi="宋体" w:cs="Arial"/>
          <w:bCs/>
          <w:color w:val="000000"/>
          <w:kern w:val="0"/>
          <w:sz w:val="44"/>
          <w:szCs w:val="44"/>
        </w:rPr>
      </w:pPr>
    </w:p>
    <w:p w:rsidR="000225AB" w:rsidRDefault="000225AB" w:rsidP="00E75EB3">
      <w:pPr>
        <w:jc w:val="center"/>
        <w:rPr>
          <w:rFonts w:ascii="方正小标宋_GBK" w:eastAsia="方正小标宋_GBK" w:hAnsi="宋体" w:cs="Arial"/>
          <w:bCs/>
          <w:color w:val="000000"/>
          <w:kern w:val="0"/>
          <w:sz w:val="44"/>
          <w:szCs w:val="44"/>
        </w:rPr>
      </w:pPr>
    </w:p>
    <w:p w:rsidR="00E75EB3" w:rsidRPr="00E75EB3" w:rsidRDefault="00E75EB3" w:rsidP="00E75EB3">
      <w:pPr>
        <w:jc w:val="center"/>
        <w:rPr>
          <w:rFonts w:ascii="方正小标宋_GBK" w:eastAsia="方正小标宋_GBK" w:hAnsi="Arial" w:cs="Arial" w:hint="eastAsia"/>
          <w:color w:val="000000"/>
          <w:kern w:val="0"/>
          <w:sz w:val="44"/>
          <w:szCs w:val="44"/>
        </w:rPr>
      </w:pPr>
      <w:bookmarkStart w:id="0" w:name="_GoBack"/>
      <w:bookmarkEnd w:id="0"/>
      <w:r w:rsidRPr="00E75EB3">
        <w:rPr>
          <w:rFonts w:ascii="方正小标宋_GBK" w:eastAsia="方正小标宋_GBK" w:hAnsi="宋体" w:cs="Arial" w:hint="eastAsia"/>
          <w:bCs/>
          <w:color w:val="000000"/>
          <w:kern w:val="0"/>
          <w:sz w:val="44"/>
          <w:szCs w:val="44"/>
        </w:rPr>
        <w:t>重庆市降低制造业企业成本若干政策措施</w:t>
      </w:r>
    </w:p>
    <w:p w:rsidR="00E75EB3" w:rsidRPr="00E75EB3" w:rsidRDefault="00E75EB3" w:rsidP="00E75EB3">
      <w:pPr>
        <w:rPr>
          <w:rFonts w:ascii="方正仿宋_GBK" w:eastAsia="方正仿宋_GBK" w:hAnsi="Arial" w:cs="Arial" w:hint="eastAsia"/>
          <w:color w:val="000000"/>
          <w:kern w:val="0"/>
          <w:sz w:val="32"/>
          <w:szCs w:val="32"/>
        </w:rPr>
      </w:pPr>
      <w:r w:rsidRPr="00E75EB3">
        <w:rPr>
          <w:rFonts w:ascii="方正仿宋_GBK" w:eastAsia="方正仿宋_GBK" w:hAnsi="宋体" w:cs="Arial" w:hint="eastAsia"/>
          <w:color w:val="000000"/>
          <w:kern w:val="0"/>
          <w:sz w:val="32"/>
          <w:szCs w:val="32"/>
        </w:rPr>
        <w:t> </w:t>
      </w:r>
    </w:p>
    <w:p w:rsidR="00E75EB3" w:rsidRPr="00E75EB3" w:rsidRDefault="00E75EB3" w:rsidP="000225AB">
      <w:pPr>
        <w:ind w:firstLineChars="200" w:firstLine="640"/>
        <w:rPr>
          <w:rFonts w:ascii="方正仿宋_GBK" w:eastAsia="方正仿宋_GBK" w:hAnsi="Arial" w:cs="Arial" w:hint="eastAsia"/>
          <w:color w:val="000000"/>
          <w:kern w:val="0"/>
          <w:sz w:val="32"/>
          <w:szCs w:val="32"/>
        </w:rPr>
      </w:pPr>
      <w:r w:rsidRPr="00E75EB3">
        <w:rPr>
          <w:rFonts w:ascii="方正仿宋_GBK" w:eastAsia="方正仿宋_GBK" w:hAnsi="宋体" w:cs="Arial" w:hint="eastAsia"/>
          <w:color w:val="000000"/>
          <w:kern w:val="0"/>
          <w:sz w:val="32"/>
          <w:szCs w:val="32"/>
        </w:rPr>
        <w:t>为深入推进供给侧结构性改革，切实降低制造业企业成本，促进制造业平稳有序发展，制定以下政策措施：</w:t>
      </w:r>
    </w:p>
    <w:p w:rsidR="00E75EB3" w:rsidRPr="00E75EB3" w:rsidRDefault="00E75EB3" w:rsidP="000225AB">
      <w:pPr>
        <w:ind w:firstLineChars="200" w:firstLine="640"/>
        <w:rPr>
          <w:rFonts w:ascii="方正黑体_GBK" w:eastAsia="方正黑体_GBK" w:hAnsi="Arial" w:cs="Arial" w:hint="eastAsia"/>
          <w:color w:val="000000"/>
          <w:kern w:val="0"/>
          <w:sz w:val="32"/>
          <w:szCs w:val="32"/>
        </w:rPr>
      </w:pPr>
      <w:r w:rsidRPr="00E75EB3">
        <w:rPr>
          <w:rFonts w:ascii="方正黑体_GBK" w:eastAsia="方正黑体_GBK" w:hAnsi="宋体" w:cs="Arial" w:hint="eastAsia"/>
          <w:bCs/>
          <w:color w:val="000000"/>
          <w:kern w:val="0"/>
          <w:sz w:val="32"/>
          <w:szCs w:val="32"/>
        </w:rPr>
        <w:t>一、优化供地降低成本</w:t>
      </w:r>
    </w:p>
    <w:p w:rsidR="00E75EB3" w:rsidRPr="00E75EB3" w:rsidRDefault="00E75EB3" w:rsidP="000225AB">
      <w:pPr>
        <w:ind w:firstLineChars="200" w:firstLine="640"/>
        <w:rPr>
          <w:rFonts w:ascii="方正仿宋_GBK" w:eastAsia="方正仿宋_GBK" w:hAnsi="Arial" w:cs="Arial" w:hint="eastAsia"/>
          <w:color w:val="000000"/>
          <w:kern w:val="0"/>
          <w:sz w:val="32"/>
          <w:szCs w:val="32"/>
        </w:rPr>
      </w:pPr>
      <w:r w:rsidRPr="00E75EB3">
        <w:rPr>
          <w:rFonts w:ascii="方正仿宋_GBK" w:eastAsia="方正仿宋_GBK" w:hAnsi="宋体" w:cs="Arial" w:hint="eastAsia"/>
          <w:color w:val="000000"/>
          <w:kern w:val="0"/>
          <w:sz w:val="32"/>
          <w:szCs w:val="32"/>
        </w:rPr>
        <w:t>（一）各区县（自治县，以下简称区县）政府年度建设用地供应计划要充分保障工业用地供给，做到应供尽供，对纳入市级产业发展相关规划的制造业项目优先保障。对成功创建国土资源集约节约模范区县的一次性给予500亩的新增建设用地指标奖励。</w:t>
      </w:r>
      <w:r w:rsidRPr="00E75EB3">
        <w:rPr>
          <w:rFonts w:ascii="方正仿宋_GBK" w:eastAsia="方正仿宋_GBK" w:hAnsi="宋体" w:cs="Arial" w:hint="eastAsia"/>
          <w:b/>
          <w:bCs/>
          <w:color w:val="000000"/>
          <w:kern w:val="0"/>
          <w:sz w:val="32"/>
          <w:szCs w:val="32"/>
        </w:rPr>
        <w:t>（牵头单位：市规划自然资源局；配合单位：各区县政府、市住房城乡建委、市经济信息委）</w:t>
      </w:r>
    </w:p>
    <w:p w:rsidR="00E75EB3" w:rsidRPr="00E75EB3" w:rsidRDefault="00E75EB3" w:rsidP="000225AB">
      <w:pPr>
        <w:ind w:firstLineChars="200" w:firstLine="640"/>
        <w:rPr>
          <w:rFonts w:ascii="方正仿宋_GBK" w:eastAsia="方正仿宋_GBK" w:hAnsi="Arial" w:cs="Arial" w:hint="eastAsia"/>
          <w:color w:val="000000"/>
          <w:kern w:val="0"/>
          <w:sz w:val="32"/>
          <w:szCs w:val="32"/>
        </w:rPr>
      </w:pPr>
      <w:r w:rsidRPr="00E75EB3">
        <w:rPr>
          <w:rFonts w:ascii="方正仿宋_GBK" w:eastAsia="方正仿宋_GBK" w:hAnsi="宋体" w:cs="Arial" w:hint="eastAsia"/>
          <w:color w:val="000000"/>
          <w:kern w:val="0"/>
          <w:sz w:val="32"/>
          <w:szCs w:val="32"/>
        </w:rPr>
        <w:t>（二）对符合产业政策且用地集约的制造业项目用地，土地出让底价可按所在地土地等别对应工业用地最低价格标准的70%执行。积极推行工业用地弹性年期出让，鼓励各区县采用出让年限小于50年、长期租赁、租让结合、先租后让、分期供地等方式供应工业用地。以先租后让方式供应的工业用地，租赁期满达到合同约定条件的，在同等条件下原租赁企业优先受让，并同步完善与弹性供地相符的企业融资支持政策。以出让方式用地的，可在规定期限内按合同约定分期缴纳土地出让价</w:t>
      </w:r>
      <w:r w:rsidRPr="00E75EB3">
        <w:rPr>
          <w:rFonts w:ascii="方正仿宋_GBK" w:eastAsia="方正仿宋_GBK" w:hAnsi="宋体" w:cs="Arial" w:hint="eastAsia"/>
          <w:color w:val="000000"/>
          <w:kern w:val="0"/>
          <w:sz w:val="32"/>
          <w:szCs w:val="32"/>
        </w:rPr>
        <w:lastRenderedPageBreak/>
        <w:t>款。允许制造业龙头企业的工业物业产权按标准厂房基本单元分割，用于引进相关产业链合作伙伴的产业项目。</w:t>
      </w:r>
      <w:r w:rsidRPr="00E75EB3">
        <w:rPr>
          <w:rFonts w:ascii="方正仿宋_GBK" w:eastAsia="方正仿宋_GBK" w:hAnsi="宋体" w:cs="Arial" w:hint="eastAsia"/>
          <w:b/>
          <w:bCs/>
          <w:color w:val="000000"/>
          <w:kern w:val="0"/>
          <w:sz w:val="32"/>
          <w:szCs w:val="32"/>
        </w:rPr>
        <w:t>（牵头单位：市规划自然资源局；责任单位：市金融监管局、市市场监管局）</w:t>
      </w:r>
    </w:p>
    <w:p w:rsidR="00E75EB3" w:rsidRPr="00E75EB3" w:rsidRDefault="00E75EB3" w:rsidP="000225AB">
      <w:pPr>
        <w:ind w:firstLineChars="200" w:firstLine="640"/>
        <w:rPr>
          <w:rFonts w:ascii="方正仿宋_GBK" w:eastAsia="方正仿宋_GBK" w:hAnsi="Arial" w:cs="Arial" w:hint="eastAsia"/>
          <w:color w:val="000000"/>
          <w:kern w:val="0"/>
          <w:sz w:val="32"/>
          <w:szCs w:val="32"/>
        </w:rPr>
      </w:pPr>
      <w:r w:rsidRPr="00E75EB3">
        <w:rPr>
          <w:rFonts w:ascii="方正仿宋_GBK" w:eastAsia="方正仿宋_GBK" w:hAnsi="宋体" w:cs="Arial" w:hint="eastAsia"/>
          <w:color w:val="000000"/>
          <w:kern w:val="0"/>
          <w:sz w:val="32"/>
          <w:szCs w:val="32"/>
        </w:rPr>
        <w:t>（三）制造业企业依法通过扩大生产性用房、厂区改造、内部用地整理及地下空间利用等途径提升集约化利用水平增加用地用于扩大工业生产的，不再征收土地价款。工业园区标准厂房项目容积率上限按2.0控制，研发机构、孵化平台可按工业用地性质供地。工业项目配套设施占地面积按照不大于项目总建设用地面积的7%控制，建筑面积占总建筑面积的比例由规划行政主管部门根据区域规划实际确定。鼓励利用闲置的工业厂房打造小企业创业基地，为制造业企业提供低成本生产经营场所。</w:t>
      </w:r>
      <w:r w:rsidRPr="00E75EB3">
        <w:rPr>
          <w:rFonts w:ascii="方正仿宋_GBK" w:eastAsia="方正仿宋_GBK" w:hAnsi="宋体" w:cs="Arial" w:hint="eastAsia"/>
          <w:b/>
          <w:bCs/>
          <w:color w:val="000000"/>
          <w:kern w:val="0"/>
          <w:sz w:val="32"/>
          <w:szCs w:val="32"/>
        </w:rPr>
        <w:t>（牵头单位：市规划自然资源局；配合单位：各区县政府，市经济信息委、市住房城乡建委、市人民防空办、市市场监管局）</w:t>
      </w:r>
    </w:p>
    <w:p w:rsidR="00E75EB3" w:rsidRPr="00E75EB3" w:rsidRDefault="00E75EB3" w:rsidP="000225AB">
      <w:pPr>
        <w:ind w:firstLineChars="200" w:firstLine="640"/>
        <w:rPr>
          <w:rFonts w:ascii="方正仿宋_GBK" w:eastAsia="方正仿宋_GBK" w:hAnsi="Arial" w:cs="Arial" w:hint="eastAsia"/>
          <w:color w:val="000000"/>
          <w:kern w:val="0"/>
          <w:sz w:val="32"/>
          <w:szCs w:val="32"/>
        </w:rPr>
      </w:pPr>
      <w:r w:rsidRPr="00E75EB3">
        <w:rPr>
          <w:rFonts w:ascii="方正仿宋_GBK" w:eastAsia="方正仿宋_GBK" w:hAnsi="宋体" w:cs="Arial" w:hint="eastAsia"/>
          <w:color w:val="000000"/>
          <w:kern w:val="0"/>
          <w:sz w:val="32"/>
          <w:szCs w:val="32"/>
        </w:rPr>
        <w:t>（四）标准厂房和楼宇产业园项目相关税收政策参照普通工业项目执行。项目建设业主销售房产，土地增值税按2%预征，预征时点延至房产竣工并办理过户手续环节，待项目整体达到可清算条件时清算土地增值税应纳税额。降低项目建设运营单位以及入驻企业在运营、使用等环节的成本，标准厂房和</w:t>
      </w:r>
      <w:r w:rsidRPr="00E75EB3">
        <w:rPr>
          <w:rFonts w:ascii="方正仿宋_GBK" w:eastAsia="方正仿宋_GBK" w:hAnsi="宋体" w:cs="Arial" w:hint="eastAsia"/>
          <w:color w:val="000000"/>
          <w:kern w:val="0"/>
          <w:sz w:val="32"/>
          <w:szCs w:val="32"/>
        </w:rPr>
        <w:lastRenderedPageBreak/>
        <w:t>楼宇产业园公共服务平台建设和运营企业符合西部大开发税收优惠条件的，可减按15%税率缴纳企业所得税。</w:t>
      </w:r>
      <w:r w:rsidRPr="00E75EB3">
        <w:rPr>
          <w:rFonts w:ascii="方正仿宋_GBK" w:eastAsia="方正仿宋_GBK" w:hAnsi="宋体" w:cs="Arial" w:hint="eastAsia"/>
          <w:b/>
          <w:bCs/>
          <w:color w:val="000000"/>
          <w:kern w:val="0"/>
          <w:sz w:val="32"/>
          <w:szCs w:val="32"/>
        </w:rPr>
        <w:t>（牵头单位：重庆市税务局；配合单位：市财政局、市规划自然资源局、市发展改革委、市经济信息委、市住房城乡建委）</w:t>
      </w:r>
    </w:p>
    <w:p w:rsidR="00E75EB3" w:rsidRPr="00E75EB3" w:rsidRDefault="00E75EB3" w:rsidP="000225AB">
      <w:pPr>
        <w:ind w:firstLineChars="200" w:firstLine="640"/>
        <w:rPr>
          <w:rFonts w:ascii="方正黑体_GBK" w:eastAsia="方正黑体_GBK" w:hAnsi="宋体" w:cs="Arial" w:hint="eastAsia"/>
          <w:bCs/>
          <w:color w:val="000000"/>
          <w:kern w:val="0"/>
          <w:sz w:val="32"/>
          <w:szCs w:val="32"/>
        </w:rPr>
      </w:pPr>
      <w:r w:rsidRPr="00E75EB3">
        <w:rPr>
          <w:rFonts w:ascii="方正黑体_GBK" w:eastAsia="方正黑体_GBK" w:hAnsi="宋体" w:cs="Arial" w:hint="eastAsia"/>
          <w:bCs/>
          <w:color w:val="000000"/>
          <w:kern w:val="0"/>
          <w:sz w:val="32"/>
          <w:szCs w:val="32"/>
        </w:rPr>
        <w:t>二、科学降低社保成本</w:t>
      </w:r>
    </w:p>
    <w:p w:rsidR="00E75EB3" w:rsidRPr="00E75EB3" w:rsidRDefault="00E75EB3" w:rsidP="000225AB">
      <w:pPr>
        <w:ind w:firstLineChars="200" w:firstLine="640"/>
        <w:rPr>
          <w:rFonts w:ascii="方正仿宋_GBK" w:eastAsia="方正仿宋_GBK" w:hAnsi="Arial" w:cs="Arial" w:hint="eastAsia"/>
          <w:color w:val="000000"/>
          <w:kern w:val="0"/>
          <w:sz w:val="32"/>
          <w:szCs w:val="32"/>
        </w:rPr>
      </w:pPr>
      <w:r w:rsidRPr="00E75EB3">
        <w:rPr>
          <w:rFonts w:ascii="方正仿宋_GBK" w:eastAsia="方正仿宋_GBK" w:hAnsi="宋体" w:cs="Arial" w:hint="eastAsia"/>
          <w:color w:val="000000"/>
          <w:kern w:val="0"/>
          <w:sz w:val="32"/>
          <w:szCs w:val="32"/>
        </w:rPr>
        <w:t>（五）实施阶段性降低社会保险费率政策至2019年4月30日，城镇企业职工基本养老保险单位缴费比例从20%降至19%；失业保险总费率从2%降至1%，其中单位缴费比例、职工个人缴费比例均从1%降至0.5%。</w:t>
      </w:r>
      <w:r w:rsidRPr="00E75EB3">
        <w:rPr>
          <w:rFonts w:ascii="方正仿宋_GBK" w:eastAsia="方正仿宋_GBK" w:hAnsi="宋体" w:cs="Arial" w:hint="eastAsia"/>
          <w:b/>
          <w:bCs/>
          <w:color w:val="000000"/>
          <w:kern w:val="0"/>
          <w:sz w:val="32"/>
          <w:szCs w:val="32"/>
        </w:rPr>
        <w:t>（牵头单位：市人力社保局；配合单位：市财政局、重庆市税务局）</w:t>
      </w:r>
    </w:p>
    <w:p w:rsidR="00E75EB3" w:rsidRPr="00E75EB3" w:rsidRDefault="00E75EB3" w:rsidP="000225AB">
      <w:pPr>
        <w:ind w:firstLineChars="200" w:firstLine="640"/>
        <w:rPr>
          <w:rFonts w:ascii="方正仿宋_GBK" w:eastAsia="方正仿宋_GBK" w:hAnsi="Arial" w:cs="Arial" w:hint="eastAsia"/>
          <w:color w:val="000000"/>
          <w:kern w:val="0"/>
          <w:sz w:val="32"/>
          <w:szCs w:val="32"/>
        </w:rPr>
      </w:pPr>
      <w:r w:rsidRPr="00E75EB3">
        <w:rPr>
          <w:rFonts w:ascii="方正仿宋_GBK" w:eastAsia="方正仿宋_GBK" w:hAnsi="宋体" w:cs="Arial" w:hint="eastAsia"/>
          <w:color w:val="000000"/>
          <w:kern w:val="0"/>
          <w:sz w:val="32"/>
          <w:szCs w:val="32"/>
        </w:rPr>
        <w:t>（六）对制造业企业实行困难企业社保缴费政策，对符合条件的小微企业比照我市个体工商户参加城镇企业职工基本养老保险的办法执行。</w:t>
      </w:r>
      <w:r w:rsidRPr="00E75EB3">
        <w:rPr>
          <w:rFonts w:ascii="方正仿宋_GBK" w:eastAsia="方正仿宋_GBK" w:hAnsi="宋体" w:cs="Arial" w:hint="eastAsia"/>
          <w:b/>
          <w:bCs/>
          <w:color w:val="000000"/>
          <w:kern w:val="0"/>
          <w:sz w:val="32"/>
          <w:szCs w:val="32"/>
        </w:rPr>
        <w:t>（牵头单位：市人力社保局；配合单位：市财政局、重庆市税务局）</w:t>
      </w:r>
    </w:p>
    <w:p w:rsidR="00E75EB3" w:rsidRPr="00E75EB3" w:rsidRDefault="00E75EB3" w:rsidP="000225AB">
      <w:pPr>
        <w:ind w:firstLineChars="200" w:firstLine="640"/>
        <w:rPr>
          <w:rFonts w:ascii="方正仿宋_GBK" w:eastAsia="方正仿宋_GBK" w:hAnsi="Arial" w:cs="Arial" w:hint="eastAsia"/>
          <w:color w:val="000000"/>
          <w:kern w:val="0"/>
          <w:sz w:val="32"/>
          <w:szCs w:val="32"/>
        </w:rPr>
      </w:pPr>
      <w:r w:rsidRPr="00E75EB3">
        <w:rPr>
          <w:rFonts w:ascii="方正仿宋_GBK" w:eastAsia="方正仿宋_GBK" w:hAnsi="宋体" w:cs="Arial" w:hint="eastAsia"/>
          <w:color w:val="000000"/>
          <w:kern w:val="0"/>
          <w:sz w:val="32"/>
          <w:szCs w:val="32"/>
        </w:rPr>
        <w:t>（七）建立健全工伤保险费率浮动管理制度，对符合条件的参保单位工伤保险费率实施下浮。</w:t>
      </w:r>
      <w:r w:rsidRPr="00E75EB3">
        <w:rPr>
          <w:rFonts w:ascii="方正仿宋_GBK" w:eastAsia="方正仿宋_GBK" w:hAnsi="宋体" w:cs="Arial" w:hint="eastAsia"/>
          <w:b/>
          <w:bCs/>
          <w:color w:val="000000"/>
          <w:kern w:val="0"/>
          <w:sz w:val="32"/>
          <w:szCs w:val="32"/>
        </w:rPr>
        <w:t>（牵头单位：市人力社保局；配合单位：市财政局、重庆市税务局）</w:t>
      </w:r>
    </w:p>
    <w:p w:rsidR="00E75EB3" w:rsidRPr="00E75EB3" w:rsidRDefault="00E75EB3" w:rsidP="000225AB">
      <w:pPr>
        <w:ind w:firstLineChars="200" w:firstLine="640"/>
        <w:rPr>
          <w:rFonts w:ascii="方正仿宋_GBK" w:eastAsia="方正仿宋_GBK" w:hAnsi="Arial" w:cs="Arial" w:hint="eastAsia"/>
          <w:color w:val="000000"/>
          <w:kern w:val="0"/>
          <w:sz w:val="32"/>
          <w:szCs w:val="32"/>
        </w:rPr>
      </w:pPr>
      <w:r w:rsidRPr="00E75EB3">
        <w:rPr>
          <w:rFonts w:ascii="方正仿宋_GBK" w:eastAsia="方正仿宋_GBK" w:hAnsi="宋体" w:cs="Arial" w:hint="eastAsia"/>
          <w:color w:val="000000"/>
          <w:kern w:val="0"/>
          <w:sz w:val="32"/>
          <w:szCs w:val="32"/>
        </w:rPr>
        <w:t>（八）实施失业保险基金支持企业稳岗政策，对符合条件的用人单位按该单位及其职工上年度实际缴纳失业保险费总额</w:t>
      </w:r>
      <w:r w:rsidRPr="00E75EB3">
        <w:rPr>
          <w:rFonts w:ascii="方正仿宋_GBK" w:eastAsia="方正仿宋_GBK" w:hAnsi="宋体" w:cs="Arial" w:hint="eastAsia"/>
          <w:color w:val="000000"/>
          <w:kern w:val="0"/>
          <w:sz w:val="32"/>
          <w:szCs w:val="32"/>
        </w:rPr>
        <w:lastRenderedPageBreak/>
        <w:t>的50%给予稳岗补贴。</w:t>
      </w:r>
      <w:r w:rsidRPr="00E75EB3">
        <w:rPr>
          <w:rFonts w:ascii="方正仿宋_GBK" w:eastAsia="方正仿宋_GBK" w:hAnsi="宋体" w:cs="Arial" w:hint="eastAsia"/>
          <w:b/>
          <w:bCs/>
          <w:color w:val="000000"/>
          <w:kern w:val="0"/>
          <w:sz w:val="32"/>
          <w:szCs w:val="32"/>
        </w:rPr>
        <w:t>（牵头单位：市人力社保局；配合单位：市财政局、重庆市税务局）</w:t>
      </w:r>
    </w:p>
    <w:p w:rsidR="00E75EB3" w:rsidRPr="00E75EB3" w:rsidRDefault="00E75EB3" w:rsidP="000225AB">
      <w:pPr>
        <w:ind w:firstLineChars="200" w:firstLine="640"/>
        <w:rPr>
          <w:rFonts w:ascii="方正黑体_GBK" w:eastAsia="方正黑体_GBK" w:hAnsi="宋体" w:cs="Arial" w:hint="eastAsia"/>
          <w:bCs/>
          <w:color w:val="000000"/>
          <w:kern w:val="0"/>
          <w:sz w:val="32"/>
          <w:szCs w:val="32"/>
        </w:rPr>
      </w:pPr>
      <w:r w:rsidRPr="00E75EB3">
        <w:rPr>
          <w:rFonts w:ascii="方正黑体_GBK" w:eastAsia="方正黑体_GBK" w:hAnsi="宋体" w:cs="Arial" w:hint="eastAsia"/>
          <w:bCs/>
          <w:color w:val="000000"/>
          <w:kern w:val="0"/>
          <w:sz w:val="32"/>
          <w:szCs w:val="32"/>
        </w:rPr>
        <w:t>三、有效降低运输成本</w:t>
      </w:r>
    </w:p>
    <w:p w:rsidR="00E75EB3" w:rsidRPr="00E75EB3" w:rsidRDefault="00E75EB3" w:rsidP="000225AB">
      <w:pPr>
        <w:ind w:firstLineChars="200" w:firstLine="640"/>
        <w:rPr>
          <w:rFonts w:ascii="方正仿宋_GBK" w:eastAsia="方正仿宋_GBK" w:hAnsi="Arial" w:cs="Arial" w:hint="eastAsia"/>
          <w:color w:val="000000"/>
          <w:kern w:val="0"/>
          <w:sz w:val="32"/>
          <w:szCs w:val="32"/>
        </w:rPr>
      </w:pPr>
      <w:r w:rsidRPr="00E75EB3">
        <w:rPr>
          <w:rFonts w:ascii="方正仿宋_GBK" w:eastAsia="方正仿宋_GBK" w:hAnsi="宋体" w:cs="Arial" w:hint="eastAsia"/>
          <w:color w:val="000000"/>
          <w:kern w:val="0"/>
          <w:sz w:val="32"/>
          <w:szCs w:val="32"/>
        </w:rPr>
        <w:t>（九）对四轴以上（含四轴）车货总重在30吨以上（含30吨），未超过其公路承载能力认定标准30%的车辆，按计重收费额下浮14%收取车辆通行费。</w:t>
      </w:r>
      <w:r w:rsidRPr="00E75EB3">
        <w:rPr>
          <w:rFonts w:ascii="方正仿宋_GBK" w:eastAsia="方正仿宋_GBK" w:hAnsi="宋体" w:cs="Arial" w:hint="eastAsia"/>
          <w:b/>
          <w:bCs/>
          <w:color w:val="000000"/>
          <w:kern w:val="0"/>
          <w:sz w:val="32"/>
          <w:szCs w:val="32"/>
        </w:rPr>
        <w:t>（牵头单位：市交通局；配合单位：市发展改革委、重庆高速集团）</w:t>
      </w:r>
    </w:p>
    <w:p w:rsidR="00E75EB3" w:rsidRPr="00E75EB3" w:rsidRDefault="00E75EB3" w:rsidP="000225AB">
      <w:pPr>
        <w:ind w:firstLineChars="200" w:firstLine="640"/>
        <w:rPr>
          <w:rFonts w:ascii="方正仿宋_GBK" w:eastAsia="方正仿宋_GBK" w:hAnsi="Arial" w:cs="Arial" w:hint="eastAsia"/>
          <w:color w:val="000000"/>
          <w:kern w:val="0"/>
          <w:sz w:val="32"/>
          <w:szCs w:val="32"/>
        </w:rPr>
      </w:pPr>
      <w:r w:rsidRPr="00E75EB3">
        <w:rPr>
          <w:rFonts w:ascii="方正仿宋_GBK" w:eastAsia="方正仿宋_GBK" w:hAnsi="宋体" w:cs="Arial" w:hint="eastAsia"/>
          <w:color w:val="000000"/>
          <w:kern w:val="0"/>
          <w:sz w:val="32"/>
          <w:szCs w:val="32"/>
        </w:rPr>
        <w:t>（十）对运输国际标准集装箱的车辆按三类车计收车辆通行费；对办理超限许可的大件运输车辆整车按基本费率收取高速公路通行费；对货车非现金支付通行费实行9.9折优惠。</w:t>
      </w:r>
      <w:r w:rsidRPr="00E75EB3">
        <w:rPr>
          <w:rFonts w:ascii="方正仿宋_GBK" w:eastAsia="方正仿宋_GBK" w:hAnsi="宋体" w:cs="Arial" w:hint="eastAsia"/>
          <w:b/>
          <w:bCs/>
          <w:color w:val="000000"/>
          <w:kern w:val="0"/>
          <w:sz w:val="32"/>
          <w:szCs w:val="32"/>
        </w:rPr>
        <w:t>（牵头单位：市交通局；配合单位：市发展改革委、重庆高速集团）</w:t>
      </w:r>
    </w:p>
    <w:p w:rsidR="00E75EB3" w:rsidRPr="00E75EB3" w:rsidRDefault="00E75EB3" w:rsidP="000225AB">
      <w:pPr>
        <w:ind w:firstLineChars="200" w:firstLine="640"/>
        <w:rPr>
          <w:rFonts w:ascii="方正仿宋_GBK" w:eastAsia="方正仿宋_GBK" w:hAnsi="Arial" w:cs="Arial" w:hint="eastAsia"/>
          <w:color w:val="000000"/>
          <w:kern w:val="0"/>
          <w:sz w:val="32"/>
          <w:szCs w:val="32"/>
        </w:rPr>
      </w:pPr>
      <w:r w:rsidRPr="00E75EB3">
        <w:rPr>
          <w:rFonts w:ascii="方正仿宋_GBK" w:eastAsia="方正仿宋_GBK" w:hAnsi="宋体" w:cs="Arial" w:hint="eastAsia"/>
          <w:color w:val="000000"/>
          <w:kern w:val="0"/>
          <w:sz w:val="32"/>
          <w:szCs w:val="32"/>
        </w:rPr>
        <w:t>（十一）凡缴纳高速公路套餐通行费的用户，在1年有效期内通行重庆绕城高速公路及以内6条射线高速公路，不再缴纳高速公路通行费。</w:t>
      </w:r>
      <w:r w:rsidRPr="00E75EB3">
        <w:rPr>
          <w:rFonts w:ascii="方正仿宋_GBK" w:eastAsia="方正仿宋_GBK" w:hAnsi="宋体" w:cs="Arial" w:hint="eastAsia"/>
          <w:b/>
          <w:bCs/>
          <w:color w:val="000000"/>
          <w:kern w:val="0"/>
          <w:sz w:val="32"/>
          <w:szCs w:val="32"/>
        </w:rPr>
        <w:t>（牵头单位：市交通局；配合单位：市发展改革委、重庆高速集团）</w:t>
      </w:r>
    </w:p>
    <w:p w:rsidR="00E75EB3" w:rsidRPr="00E75EB3" w:rsidRDefault="00E75EB3" w:rsidP="000225AB">
      <w:pPr>
        <w:ind w:firstLineChars="200" w:firstLine="640"/>
        <w:rPr>
          <w:rFonts w:ascii="方正仿宋_GBK" w:eastAsia="方正仿宋_GBK" w:hAnsi="Arial" w:cs="Arial" w:hint="eastAsia"/>
          <w:color w:val="000000"/>
          <w:kern w:val="0"/>
          <w:sz w:val="32"/>
          <w:szCs w:val="32"/>
        </w:rPr>
      </w:pPr>
      <w:r w:rsidRPr="00E75EB3">
        <w:rPr>
          <w:rFonts w:ascii="方正仿宋_GBK" w:eastAsia="方正仿宋_GBK" w:hAnsi="宋体" w:cs="Arial" w:hint="eastAsia"/>
          <w:color w:val="000000"/>
          <w:kern w:val="0"/>
          <w:sz w:val="32"/>
          <w:szCs w:val="32"/>
        </w:rPr>
        <w:t>（十二）取消道路货运站场经营许可、外商投资道路运输业立项审批、总质量4.5吨及以下普通货运车辆道路运输证和驾驶员从业资格证等许可审批事项。</w:t>
      </w:r>
      <w:r w:rsidRPr="00E75EB3">
        <w:rPr>
          <w:rFonts w:ascii="方正仿宋_GBK" w:eastAsia="方正仿宋_GBK" w:hAnsi="宋体" w:cs="Arial" w:hint="eastAsia"/>
          <w:b/>
          <w:bCs/>
          <w:color w:val="000000"/>
          <w:kern w:val="0"/>
          <w:sz w:val="32"/>
          <w:szCs w:val="32"/>
        </w:rPr>
        <w:t>（牵头单位：市交通局）</w:t>
      </w:r>
    </w:p>
    <w:p w:rsidR="00E75EB3" w:rsidRPr="00E75EB3" w:rsidRDefault="00E75EB3" w:rsidP="000225AB">
      <w:pPr>
        <w:ind w:firstLineChars="200" w:firstLine="640"/>
        <w:rPr>
          <w:rFonts w:ascii="方正黑体_GBK" w:eastAsia="方正黑体_GBK" w:hAnsi="宋体" w:cs="Arial" w:hint="eastAsia"/>
          <w:bCs/>
          <w:color w:val="000000"/>
          <w:kern w:val="0"/>
          <w:sz w:val="32"/>
          <w:szCs w:val="32"/>
        </w:rPr>
      </w:pPr>
      <w:r w:rsidRPr="00E75EB3">
        <w:rPr>
          <w:rFonts w:ascii="方正黑体_GBK" w:eastAsia="方正黑体_GBK" w:hAnsi="宋体" w:cs="Arial" w:hint="eastAsia"/>
          <w:bCs/>
          <w:color w:val="000000"/>
          <w:kern w:val="0"/>
          <w:sz w:val="32"/>
          <w:szCs w:val="32"/>
        </w:rPr>
        <w:t>四、落实税收优惠政策</w:t>
      </w:r>
    </w:p>
    <w:p w:rsidR="00E75EB3" w:rsidRPr="00E75EB3" w:rsidRDefault="00E75EB3" w:rsidP="000225AB">
      <w:pPr>
        <w:ind w:firstLineChars="200" w:firstLine="640"/>
        <w:rPr>
          <w:rFonts w:ascii="方正仿宋_GBK" w:eastAsia="方正仿宋_GBK" w:hAnsi="Arial" w:cs="Arial" w:hint="eastAsia"/>
          <w:color w:val="000000"/>
          <w:kern w:val="0"/>
          <w:sz w:val="32"/>
          <w:szCs w:val="32"/>
        </w:rPr>
      </w:pPr>
      <w:r w:rsidRPr="00E75EB3">
        <w:rPr>
          <w:rFonts w:ascii="方正仿宋_GBK" w:eastAsia="方正仿宋_GBK" w:hAnsi="宋体" w:cs="Arial" w:hint="eastAsia"/>
          <w:color w:val="000000"/>
          <w:kern w:val="0"/>
          <w:sz w:val="32"/>
          <w:szCs w:val="32"/>
        </w:rPr>
        <w:lastRenderedPageBreak/>
        <w:t>（十三）制造企业新购进的设备、器具（除房屋、建筑物以外），单位价值不超过500万元的，允许一次性计入当期成本费用，在计算应纳税所得额时扣除；企业开展研发活动中实际发生的研发费用，未形成无形资产计入当期损益的，在按规定据实扣除的基础上，在2018年1月1日至2020年12月31日期间，再按照实际发生额的75%在税前加计扣除；形成无形资产的，在上述期间按照无形资产成本的175%在税前摊销。</w:t>
      </w:r>
      <w:r w:rsidRPr="00E75EB3">
        <w:rPr>
          <w:rFonts w:ascii="方正仿宋_GBK" w:eastAsia="方正仿宋_GBK" w:hAnsi="宋体" w:cs="Arial" w:hint="eastAsia"/>
          <w:b/>
          <w:bCs/>
          <w:color w:val="000000"/>
          <w:kern w:val="0"/>
          <w:sz w:val="32"/>
          <w:szCs w:val="32"/>
        </w:rPr>
        <w:t>（牵头单位：重庆市税务局；配合单位：市财政局、市经济信息委、市科技局）</w:t>
      </w:r>
    </w:p>
    <w:p w:rsidR="00E75EB3" w:rsidRPr="00E75EB3" w:rsidRDefault="00E75EB3" w:rsidP="000225AB">
      <w:pPr>
        <w:ind w:firstLineChars="200" w:firstLine="640"/>
        <w:rPr>
          <w:rFonts w:ascii="方正仿宋_GBK" w:eastAsia="方正仿宋_GBK" w:hAnsi="Arial" w:cs="Arial" w:hint="eastAsia"/>
          <w:color w:val="000000"/>
          <w:kern w:val="0"/>
          <w:sz w:val="32"/>
          <w:szCs w:val="32"/>
        </w:rPr>
      </w:pPr>
      <w:r w:rsidRPr="00E75EB3">
        <w:rPr>
          <w:rFonts w:ascii="方正仿宋_GBK" w:eastAsia="方正仿宋_GBK" w:hAnsi="宋体" w:cs="Arial" w:hint="eastAsia"/>
          <w:color w:val="000000"/>
          <w:kern w:val="0"/>
          <w:sz w:val="32"/>
          <w:szCs w:val="32"/>
        </w:rPr>
        <w:t>（十四）对年应纳税所得额低于100万元（含100万元）的小型微利企业，其所得减按50%计入应纳税所得额，按20%的税率缴纳企业所得税；国家重点扶持的高新技术企业减按15%的税率征收企业所得税；西部地区的鼓励类产业企业减按15%的税率征收企业所得税。从2018年5月1日起，对纳税人设立的资金账簿按实收资本和资本公积合计金额征收的印花税减半，对按件征收的其他账簿免征印花税。</w:t>
      </w:r>
      <w:r w:rsidRPr="00E75EB3">
        <w:rPr>
          <w:rFonts w:ascii="方正仿宋_GBK" w:eastAsia="方正仿宋_GBK" w:hAnsi="宋体" w:cs="Arial" w:hint="eastAsia"/>
          <w:b/>
          <w:bCs/>
          <w:color w:val="000000"/>
          <w:kern w:val="0"/>
          <w:sz w:val="32"/>
          <w:szCs w:val="32"/>
        </w:rPr>
        <w:t>（牵头单位：重庆市税务局；配合单位：市发展改革委、市财政局、市经济信息委、市科技局）</w:t>
      </w:r>
    </w:p>
    <w:p w:rsidR="00E75EB3" w:rsidRPr="00E75EB3" w:rsidRDefault="00E75EB3" w:rsidP="000225AB">
      <w:pPr>
        <w:ind w:firstLineChars="200" w:firstLine="640"/>
        <w:rPr>
          <w:rFonts w:ascii="方正仿宋_GBK" w:eastAsia="方正仿宋_GBK" w:hAnsi="Arial" w:cs="Arial" w:hint="eastAsia"/>
          <w:color w:val="000000"/>
          <w:kern w:val="0"/>
          <w:sz w:val="32"/>
          <w:szCs w:val="32"/>
        </w:rPr>
      </w:pPr>
      <w:r w:rsidRPr="00E75EB3">
        <w:rPr>
          <w:rFonts w:ascii="方正仿宋_GBK" w:eastAsia="方正仿宋_GBK" w:hAnsi="宋体" w:cs="Arial" w:hint="eastAsia"/>
          <w:color w:val="000000"/>
          <w:kern w:val="0"/>
          <w:sz w:val="32"/>
          <w:szCs w:val="32"/>
        </w:rPr>
        <w:t>（十五）加大金融机构小微企业贷款利息收入免征增值税优惠力度，从2018年9月1日至2020年12月31日，将符合</w:t>
      </w:r>
      <w:r w:rsidRPr="00E75EB3">
        <w:rPr>
          <w:rFonts w:ascii="方正仿宋_GBK" w:eastAsia="方正仿宋_GBK" w:hAnsi="宋体" w:cs="Arial" w:hint="eastAsia"/>
          <w:color w:val="000000"/>
          <w:kern w:val="0"/>
          <w:sz w:val="32"/>
          <w:szCs w:val="32"/>
        </w:rPr>
        <w:lastRenderedPageBreak/>
        <w:t>条件的小微企业和个体工商户贷款利息收入免征增值税单户授信额度上限由500万元提高到1000万元。</w:t>
      </w:r>
      <w:r w:rsidRPr="00E75EB3">
        <w:rPr>
          <w:rFonts w:ascii="方正仿宋_GBK" w:eastAsia="方正仿宋_GBK" w:hAnsi="宋体" w:cs="Arial" w:hint="eastAsia"/>
          <w:b/>
          <w:bCs/>
          <w:color w:val="000000"/>
          <w:kern w:val="0"/>
          <w:sz w:val="32"/>
          <w:szCs w:val="32"/>
        </w:rPr>
        <w:t>（牵头单位：重庆市税务局；配合单位：市财政局、市金融监管局、重庆银保监局）</w:t>
      </w:r>
    </w:p>
    <w:p w:rsidR="00E75EB3" w:rsidRPr="00E75EB3" w:rsidRDefault="00E75EB3" w:rsidP="000225AB">
      <w:pPr>
        <w:ind w:firstLineChars="200" w:firstLine="640"/>
        <w:rPr>
          <w:rFonts w:ascii="方正黑体_GBK" w:eastAsia="方正黑体_GBK" w:hAnsi="宋体" w:cs="Arial" w:hint="eastAsia"/>
          <w:bCs/>
          <w:color w:val="000000"/>
          <w:kern w:val="0"/>
          <w:sz w:val="32"/>
          <w:szCs w:val="32"/>
        </w:rPr>
      </w:pPr>
      <w:r w:rsidRPr="00E75EB3">
        <w:rPr>
          <w:rFonts w:ascii="方正黑体_GBK" w:eastAsia="方正黑体_GBK" w:hAnsi="宋体" w:cs="Arial" w:hint="eastAsia"/>
          <w:bCs/>
          <w:color w:val="000000"/>
          <w:kern w:val="0"/>
          <w:sz w:val="32"/>
          <w:szCs w:val="32"/>
        </w:rPr>
        <w:t>五、合理降低能源成本</w:t>
      </w:r>
    </w:p>
    <w:p w:rsidR="00E75EB3" w:rsidRPr="00E75EB3" w:rsidRDefault="00E75EB3" w:rsidP="000225AB">
      <w:pPr>
        <w:ind w:firstLineChars="200" w:firstLine="640"/>
        <w:rPr>
          <w:rFonts w:ascii="方正仿宋_GBK" w:eastAsia="方正仿宋_GBK" w:hAnsi="Arial" w:cs="Arial" w:hint="eastAsia"/>
          <w:color w:val="000000"/>
          <w:kern w:val="0"/>
          <w:sz w:val="32"/>
          <w:szCs w:val="32"/>
        </w:rPr>
      </w:pPr>
      <w:r w:rsidRPr="00E75EB3">
        <w:rPr>
          <w:rFonts w:ascii="方正仿宋_GBK" w:eastAsia="方正仿宋_GBK" w:hAnsi="宋体" w:cs="Arial" w:hint="eastAsia"/>
          <w:color w:val="000000"/>
          <w:kern w:val="0"/>
          <w:sz w:val="32"/>
          <w:szCs w:val="32"/>
        </w:rPr>
        <w:t>（十六）推进增量配网改革，逐步扩大增量配网试点范围，支持具备条件的售电公司参与增量配网投资。现有输配电网无条件向售电公司和用户公平无歧视开放，不选择参与售电侧改革试点的用户，由所在地电网企业提供保底服务并执行政府定价。继续清理和降低电网环节收费。</w:t>
      </w:r>
      <w:r w:rsidRPr="00E75EB3">
        <w:rPr>
          <w:rFonts w:ascii="方正仿宋_GBK" w:eastAsia="方正仿宋_GBK" w:hAnsi="宋体" w:cs="Arial" w:hint="eastAsia"/>
          <w:b/>
          <w:bCs/>
          <w:color w:val="000000"/>
          <w:kern w:val="0"/>
          <w:sz w:val="32"/>
          <w:szCs w:val="32"/>
        </w:rPr>
        <w:t>（牵头单位：市发展改革委；配合单位：市经济信息委、市能源局，国网市电力公司）</w:t>
      </w:r>
    </w:p>
    <w:p w:rsidR="00E75EB3" w:rsidRPr="00E75EB3" w:rsidRDefault="00E75EB3" w:rsidP="000225AB">
      <w:pPr>
        <w:ind w:firstLineChars="200" w:firstLine="640"/>
        <w:rPr>
          <w:rFonts w:ascii="方正仿宋_GBK" w:eastAsia="方正仿宋_GBK" w:hAnsi="Arial" w:cs="Arial" w:hint="eastAsia"/>
          <w:color w:val="000000"/>
          <w:kern w:val="0"/>
          <w:sz w:val="32"/>
          <w:szCs w:val="32"/>
        </w:rPr>
      </w:pPr>
      <w:r w:rsidRPr="00E75EB3">
        <w:rPr>
          <w:rFonts w:ascii="方正仿宋_GBK" w:eastAsia="方正仿宋_GBK" w:hAnsi="宋体" w:cs="Arial" w:hint="eastAsia"/>
          <w:color w:val="000000"/>
          <w:kern w:val="0"/>
          <w:sz w:val="32"/>
          <w:szCs w:val="32"/>
        </w:rPr>
        <w:t>（十七）加大市场化电力交易力度，进一步放开直接交易门槛，全市大工业用户均可参加电力直接交易，2020年逐步扩大到一般工商业用户。</w:t>
      </w:r>
      <w:r w:rsidRPr="00E75EB3">
        <w:rPr>
          <w:rFonts w:ascii="方正仿宋_GBK" w:eastAsia="方正仿宋_GBK" w:hAnsi="宋体" w:cs="Arial" w:hint="eastAsia"/>
          <w:b/>
          <w:bCs/>
          <w:color w:val="000000"/>
          <w:kern w:val="0"/>
          <w:sz w:val="32"/>
          <w:szCs w:val="32"/>
        </w:rPr>
        <w:t>（牵头单位：市经济信息委；配合单位：市发展改革委、市能源局，国网市电力公司）</w:t>
      </w:r>
    </w:p>
    <w:p w:rsidR="00E75EB3" w:rsidRPr="00E75EB3" w:rsidRDefault="00E75EB3" w:rsidP="000225AB">
      <w:pPr>
        <w:ind w:firstLineChars="200" w:firstLine="640"/>
        <w:rPr>
          <w:rFonts w:ascii="方正仿宋_GBK" w:eastAsia="方正仿宋_GBK" w:hAnsi="Arial" w:cs="Arial" w:hint="eastAsia"/>
          <w:color w:val="000000"/>
          <w:kern w:val="0"/>
          <w:sz w:val="32"/>
          <w:szCs w:val="32"/>
        </w:rPr>
      </w:pPr>
      <w:r w:rsidRPr="00E75EB3">
        <w:rPr>
          <w:rFonts w:ascii="方正仿宋_GBK" w:eastAsia="方正仿宋_GBK" w:hAnsi="宋体" w:cs="Arial" w:hint="eastAsia"/>
          <w:color w:val="000000"/>
          <w:kern w:val="0"/>
          <w:sz w:val="32"/>
          <w:szCs w:val="32"/>
        </w:rPr>
        <w:t>（十八）提高电力审批效率，高、低压客户办电环节分别压减至4个、3个；高、低压客户办电服务时限分别压缩至20个、4个工作日以内；大力推广线上办电，实现常用业务“一次都不跑”，非常用业务“最多跑一次”。</w:t>
      </w:r>
      <w:r w:rsidRPr="00E75EB3">
        <w:rPr>
          <w:rFonts w:ascii="方正仿宋_GBK" w:eastAsia="方正仿宋_GBK" w:hAnsi="宋体" w:cs="Arial" w:hint="eastAsia"/>
          <w:b/>
          <w:bCs/>
          <w:color w:val="000000"/>
          <w:kern w:val="0"/>
          <w:sz w:val="32"/>
          <w:szCs w:val="32"/>
        </w:rPr>
        <w:t>（牵头单位：市发</w:t>
      </w:r>
      <w:r w:rsidRPr="00E75EB3">
        <w:rPr>
          <w:rFonts w:ascii="方正仿宋_GBK" w:eastAsia="方正仿宋_GBK" w:hAnsi="宋体" w:cs="Arial" w:hint="eastAsia"/>
          <w:b/>
          <w:bCs/>
          <w:color w:val="000000"/>
          <w:kern w:val="0"/>
          <w:sz w:val="32"/>
          <w:szCs w:val="32"/>
        </w:rPr>
        <w:lastRenderedPageBreak/>
        <w:t>展改革委；配合单位：市经济信息委、市能源局，国网市电力公司）</w:t>
      </w:r>
    </w:p>
    <w:p w:rsidR="00E75EB3" w:rsidRPr="00E75EB3" w:rsidRDefault="00E75EB3" w:rsidP="000225AB">
      <w:pPr>
        <w:ind w:firstLineChars="200" w:firstLine="640"/>
        <w:rPr>
          <w:rFonts w:ascii="方正仿宋_GBK" w:eastAsia="方正仿宋_GBK" w:hAnsi="Arial" w:cs="Arial" w:hint="eastAsia"/>
          <w:color w:val="000000"/>
          <w:kern w:val="0"/>
          <w:sz w:val="32"/>
          <w:szCs w:val="32"/>
        </w:rPr>
      </w:pPr>
      <w:r w:rsidRPr="00E75EB3">
        <w:rPr>
          <w:rFonts w:ascii="方正仿宋_GBK" w:eastAsia="方正仿宋_GBK" w:hAnsi="宋体" w:cs="Arial" w:hint="eastAsia"/>
          <w:color w:val="000000"/>
          <w:kern w:val="0"/>
          <w:sz w:val="32"/>
          <w:szCs w:val="32"/>
        </w:rPr>
        <w:t>（十九）开展差异化能效诊断专项行动，针对度电成本较高的用户，通过指导合理投切变压器，及时办理暂停、减容，正确选择基本电费计收方式，优化调整生产班次，加强无功补偿等措施，降低用电成本。鼓励第三方综合能源服务企业参与帮助用户降低用电成本。</w:t>
      </w:r>
      <w:r w:rsidRPr="00E75EB3">
        <w:rPr>
          <w:rFonts w:ascii="方正仿宋_GBK" w:eastAsia="方正仿宋_GBK" w:hAnsi="宋体" w:cs="Arial" w:hint="eastAsia"/>
          <w:b/>
          <w:bCs/>
          <w:color w:val="000000"/>
          <w:kern w:val="0"/>
          <w:sz w:val="32"/>
          <w:szCs w:val="32"/>
        </w:rPr>
        <w:t>（牵头单位：市经济信息委，国网市电力公司；配合单位：市发展改革委）</w:t>
      </w:r>
    </w:p>
    <w:p w:rsidR="00E75EB3" w:rsidRPr="00E75EB3" w:rsidRDefault="00E75EB3" w:rsidP="000225AB">
      <w:pPr>
        <w:ind w:firstLineChars="200" w:firstLine="640"/>
        <w:rPr>
          <w:rFonts w:ascii="方正仿宋_GBK" w:eastAsia="方正仿宋_GBK" w:hAnsi="Arial" w:cs="Arial" w:hint="eastAsia"/>
          <w:color w:val="000000"/>
          <w:kern w:val="0"/>
          <w:sz w:val="32"/>
          <w:szCs w:val="32"/>
        </w:rPr>
      </w:pPr>
      <w:r w:rsidRPr="00E75EB3">
        <w:rPr>
          <w:rFonts w:ascii="方正仿宋_GBK" w:eastAsia="方正仿宋_GBK" w:hAnsi="宋体" w:cs="Arial" w:hint="eastAsia"/>
          <w:color w:val="000000"/>
          <w:kern w:val="0"/>
          <w:sz w:val="32"/>
          <w:szCs w:val="32"/>
        </w:rPr>
        <w:t>（二十）对城镇燃气企业转供的具有调峰能力的工业企业日均用气量超过1万立方米的部分，督促城镇燃气企业继续执行0.1元/立方米—0.3元/立方米的配气价格优惠，降低企业用气成本。</w:t>
      </w:r>
      <w:r w:rsidRPr="00E75EB3">
        <w:rPr>
          <w:rFonts w:ascii="方正仿宋_GBK" w:eastAsia="方正仿宋_GBK" w:hAnsi="宋体" w:cs="Arial" w:hint="eastAsia"/>
          <w:b/>
          <w:bCs/>
          <w:color w:val="000000"/>
          <w:kern w:val="0"/>
          <w:sz w:val="32"/>
          <w:szCs w:val="32"/>
        </w:rPr>
        <w:t>（牵头单位：市发展改革委；配合单位：市经济信息委）</w:t>
      </w:r>
    </w:p>
    <w:p w:rsidR="00E75EB3" w:rsidRPr="00E75EB3" w:rsidRDefault="00E75EB3" w:rsidP="000225AB">
      <w:pPr>
        <w:ind w:firstLineChars="200" w:firstLine="640"/>
        <w:rPr>
          <w:rFonts w:ascii="方正黑体_GBK" w:eastAsia="方正黑体_GBK" w:hAnsi="宋体" w:cs="Arial" w:hint="eastAsia"/>
          <w:bCs/>
          <w:color w:val="000000"/>
          <w:kern w:val="0"/>
          <w:sz w:val="32"/>
          <w:szCs w:val="32"/>
        </w:rPr>
      </w:pPr>
      <w:r w:rsidRPr="00E75EB3">
        <w:rPr>
          <w:rFonts w:ascii="方正黑体_GBK" w:eastAsia="方正黑体_GBK" w:hAnsi="宋体" w:cs="Arial" w:hint="eastAsia"/>
          <w:bCs/>
          <w:color w:val="000000"/>
          <w:kern w:val="0"/>
          <w:sz w:val="32"/>
          <w:szCs w:val="32"/>
        </w:rPr>
        <w:t>六、降低企业采购成本</w:t>
      </w:r>
    </w:p>
    <w:p w:rsidR="00E75EB3" w:rsidRPr="00E75EB3" w:rsidRDefault="00E75EB3" w:rsidP="000225AB">
      <w:pPr>
        <w:ind w:firstLineChars="200" w:firstLine="640"/>
        <w:rPr>
          <w:rFonts w:ascii="方正仿宋_GBK" w:eastAsia="方正仿宋_GBK" w:hAnsi="Arial" w:cs="Arial" w:hint="eastAsia"/>
          <w:color w:val="000000"/>
          <w:kern w:val="0"/>
          <w:sz w:val="32"/>
          <w:szCs w:val="32"/>
        </w:rPr>
      </w:pPr>
      <w:r w:rsidRPr="00E75EB3">
        <w:rPr>
          <w:rFonts w:ascii="方正仿宋_GBK" w:eastAsia="方正仿宋_GBK" w:hAnsi="宋体" w:cs="Arial" w:hint="eastAsia"/>
          <w:color w:val="000000"/>
          <w:kern w:val="0"/>
          <w:sz w:val="32"/>
          <w:szCs w:val="32"/>
        </w:rPr>
        <w:t>（二十一）定期组织开展产业链上下游企业“大手牵小手”供需洽谈活动，通过市工业和信息化专项资金，对龙头企业采购中小微企业配套产品年累计在1亿元及以上的，按不超过新增采购结算额的1%给予奖励，单个企业奖励总额不超过200万元。</w:t>
      </w:r>
      <w:r w:rsidRPr="00E75EB3">
        <w:rPr>
          <w:rFonts w:ascii="方正仿宋_GBK" w:eastAsia="方正仿宋_GBK" w:hAnsi="宋体" w:cs="Arial" w:hint="eastAsia"/>
          <w:b/>
          <w:bCs/>
          <w:color w:val="000000"/>
          <w:kern w:val="0"/>
          <w:sz w:val="32"/>
          <w:szCs w:val="32"/>
        </w:rPr>
        <w:t>（牵头单位：市经济信息委；配合单位：市财政局、市国资委、市市场监管局）</w:t>
      </w:r>
    </w:p>
    <w:p w:rsidR="00E75EB3" w:rsidRPr="00E75EB3" w:rsidRDefault="00E75EB3" w:rsidP="000225AB">
      <w:pPr>
        <w:ind w:firstLineChars="200" w:firstLine="640"/>
        <w:rPr>
          <w:rFonts w:ascii="方正黑体_GBK" w:eastAsia="方正黑体_GBK" w:hAnsi="宋体" w:cs="Arial" w:hint="eastAsia"/>
          <w:bCs/>
          <w:color w:val="000000"/>
          <w:kern w:val="0"/>
          <w:sz w:val="32"/>
          <w:szCs w:val="32"/>
        </w:rPr>
      </w:pPr>
      <w:r w:rsidRPr="00E75EB3">
        <w:rPr>
          <w:rFonts w:ascii="方正黑体_GBK" w:eastAsia="方正黑体_GBK" w:hAnsi="宋体" w:cs="Arial" w:hint="eastAsia"/>
          <w:bCs/>
          <w:color w:val="000000"/>
          <w:kern w:val="0"/>
          <w:sz w:val="32"/>
          <w:szCs w:val="32"/>
        </w:rPr>
        <w:lastRenderedPageBreak/>
        <w:t>七、降低企业融资成本</w:t>
      </w:r>
    </w:p>
    <w:p w:rsidR="00E75EB3" w:rsidRPr="00E75EB3" w:rsidRDefault="00E75EB3" w:rsidP="000225AB">
      <w:pPr>
        <w:ind w:firstLineChars="200" w:firstLine="640"/>
        <w:rPr>
          <w:rFonts w:ascii="方正仿宋_GBK" w:eastAsia="方正仿宋_GBK" w:hAnsi="Arial" w:cs="Arial" w:hint="eastAsia"/>
          <w:color w:val="000000"/>
          <w:kern w:val="0"/>
          <w:sz w:val="32"/>
          <w:szCs w:val="32"/>
        </w:rPr>
      </w:pPr>
      <w:r w:rsidRPr="00E75EB3">
        <w:rPr>
          <w:rFonts w:ascii="方正仿宋_GBK" w:eastAsia="方正仿宋_GBK" w:hAnsi="宋体" w:cs="Arial" w:hint="eastAsia"/>
          <w:color w:val="000000"/>
          <w:kern w:val="0"/>
          <w:sz w:val="32"/>
          <w:szCs w:val="32"/>
        </w:rPr>
        <w:t>（二十二）鼓励银行推广科技型企业知识价值信用贷款，积极参与企业商业价值信用贷款试点。鼓励金融机构依托互联网、大数据、云计算等信息技术，基于企业的纳税、社保、水电气等涉企经营信息，积极创新多种金融产品和服务模式。支持金融机构在风险可控条件下，开发小微企业无还本续贷产品。</w:t>
      </w:r>
      <w:r w:rsidRPr="00E75EB3">
        <w:rPr>
          <w:rFonts w:ascii="方正仿宋_GBK" w:eastAsia="方正仿宋_GBK" w:hAnsi="宋体" w:cs="Arial" w:hint="eastAsia"/>
          <w:b/>
          <w:bCs/>
          <w:color w:val="000000"/>
          <w:kern w:val="0"/>
          <w:sz w:val="32"/>
          <w:szCs w:val="32"/>
        </w:rPr>
        <w:t>（牵头单位：市科技局、市经济信息委；配合单位：市发展改革委、市财政局、市金融监管局、人行重庆营管部、重庆银保监局）</w:t>
      </w:r>
    </w:p>
    <w:p w:rsidR="00E75EB3" w:rsidRPr="00E75EB3" w:rsidRDefault="00E75EB3" w:rsidP="000225AB">
      <w:pPr>
        <w:ind w:firstLineChars="200" w:firstLine="640"/>
        <w:rPr>
          <w:rFonts w:ascii="方正仿宋_GBK" w:eastAsia="方正仿宋_GBK" w:hAnsi="Arial" w:cs="Arial" w:hint="eastAsia"/>
          <w:color w:val="000000"/>
          <w:kern w:val="0"/>
          <w:sz w:val="32"/>
          <w:szCs w:val="32"/>
        </w:rPr>
      </w:pPr>
      <w:r w:rsidRPr="00E75EB3">
        <w:rPr>
          <w:rFonts w:ascii="方正仿宋_GBK" w:eastAsia="方正仿宋_GBK" w:hAnsi="宋体" w:cs="Arial" w:hint="eastAsia"/>
          <w:color w:val="000000"/>
          <w:kern w:val="0"/>
          <w:sz w:val="32"/>
          <w:szCs w:val="32"/>
        </w:rPr>
        <w:t>（二十三）加强资本市场辅导，支持企业境内外上市，对重点培育企业拟在境内外证券交易所上市的，给予累计不超过200万元的奖励。支持企业发行企业债、公司债、银行间市场非金融企业债务融资工具等各类债券。支持符合条件的企业通过贷款、发行债券等从境外融资。</w:t>
      </w:r>
      <w:r w:rsidRPr="00E75EB3">
        <w:rPr>
          <w:rFonts w:ascii="方正仿宋_GBK" w:eastAsia="方正仿宋_GBK" w:hAnsi="宋体" w:cs="Arial" w:hint="eastAsia"/>
          <w:b/>
          <w:bCs/>
          <w:color w:val="000000"/>
          <w:kern w:val="0"/>
          <w:sz w:val="32"/>
          <w:szCs w:val="32"/>
        </w:rPr>
        <w:t>（牵头单位：市金融监管局；配合单位：重庆证监局、重庆银保监局、市经济信息委、人行重庆营管部）</w:t>
      </w:r>
    </w:p>
    <w:p w:rsidR="00E75EB3" w:rsidRPr="00E75EB3" w:rsidRDefault="00E75EB3" w:rsidP="000225AB">
      <w:pPr>
        <w:ind w:firstLineChars="200" w:firstLine="640"/>
        <w:rPr>
          <w:rFonts w:ascii="方正仿宋_GBK" w:eastAsia="方正仿宋_GBK" w:hAnsi="Arial" w:cs="Arial" w:hint="eastAsia"/>
          <w:color w:val="000000"/>
          <w:kern w:val="0"/>
          <w:sz w:val="32"/>
          <w:szCs w:val="32"/>
        </w:rPr>
      </w:pPr>
      <w:r w:rsidRPr="00E75EB3">
        <w:rPr>
          <w:rFonts w:ascii="方正仿宋_GBK" w:eastAsia="方正仿宋_GBK" w:hAnsi="宋体" w:cs="Arial" w:hint="eastAsia"/>
          <w:color w:val="000000"/>
          <w:kern w:val="0"/>
          <w:sz w:val="32"/>
          <w:szCs w:val="32"/>
        </w:rPr>
        <w:t>（二十四）鼓励企业在区域性股权市场挂牌，对挂牌孵化板、成长板、专精特新板的企业分别给予3万元、25万元、30万元一次性奖励。对经市金融监管局认定的市级以上拟上市重点培育企业，在3年重点培育期内，以其上一年度缴纳企业所</w:t>
      </w:r>
      <w:r w:rsidRPr="00E75EB3">
        <w:rPr>
          <w:rFonts w:ascii="方正仿宋_GBK" w:eastAsia="方正仿宋_GBK" w:hAnsi="宋体" w:cs="Arial" w:hint="eastAsia"/>
          <w:color w:val="000000"/>
          <w:kern w:val="0"/>
          <w:sz w:val="32"/>
          <w:szCs w:val="32"/>
        </w:rPr>
        <w:lastRenderedPageBreak/>
        <w:t>得税为基数，缴纳的增量部分，由市财政局在其纳入重庆证券局上市辅导备案后，按市级留存部分给予奖补，累计奖补额度最高不超过600万元，上市成功后不再享受。</w:t>
      </w:r>
      <w:r w:rsidRPr="00E75EB3">
        <w:rPr>
          <w:rFonts w:ascii="方正仿宋_GBK" w:eastAsia="方正仿宋_GBK" w:hAnsi="宋体" w:cs="Arial" w:hint="eastAsia"/>
          <w:b/>
          <w:bCs/>
          <w:color w:val="000000"/>
          <w:kern w:val="0"/>
          <w:sz w:val="32"/>
          <w:szCs w:val="32"/>
        </w:rPr>
        <w:t>（牵头单位：市金融监管局、市经济信息委；配合单位：市财政局、重庆证监局、重庆银保监局）</w:t>
      </w:r>
    </w:p>
    <w:p w:rsidR="00E75EB3" w:rsidRPr="00E75EB3" w:rsidRDefault="00E75EB3" w:rsidP="000225AB">
      <w:pPr>
        <w:ind w:firstLineChars="200" w:firstLine="640"/>
        <w:rPr>
          <w:rFonts w:ascii="方正仿宋_GBK" w:eastAsia="方正仿宋_GBK" w:hAnsi="Arial" w:cs="Arial" w:hint="eastAsia"/>
          <w:color w:val="000000"/>
          <w:kern w:val="0"/>
          <w:sz w:val="32"/>
          <w:szCs w:val="32"/>
        </w:rPr>
      </w:pPr>
      <w:r w:rsidRPr="00E75EB3">
        <w:rPr>
          <w:rFonts w:ascii="方正仿宋_GBK" w:eastAsia="方正仿宋_GBK" w:hAnsi="宋体" w:cs="Arial" w:hint="eastAsia"/>
          <w:color w:val="000000"/>
          <w:kern w:val="0"/>
          <w:sz w:val="32"/>
          <w:szCs w:val="32"/>
        </w:rPr>
        <w:t>（二十五）切实发挥中小微企业转贷应急机制作用，持续优化转贷应急机制，为诚信经营、发展前景好、产品适销对路，但暂时有困难的中小微企业提供低成本“过桥”资金，降低冲贷成本。</w:t>
      </w:r>
      <w:r w:rsidRPr="00E75EB3">
        <w:rPr>
          <w:rFonts w:ascii="方正仿宋_GBK" w:eastAsia="方正仿宋_GBK" w:hAnsi="宋体" w:cs="Arial" w:hint="eastAsia"/>
          <w:b/>
          <w:bCs/>
          <w:color w:val="000000"/>
          <w:kern w:val="0"/>
          <w:sz w:val="32"/>
          <w:szCs w:val="32"/>
        </w:rPr>
        <w:t>（牵头单位：市经济信息委；配合单位：市财政局、市金融监管局、人行重庆营管部、重庆银保监局）</w:t>
      </w:r>
    </w:p>
    <w:p w:rsidR="00E75EB3" w:rsidRPr="00E75EB3" w:rsidRDefault="00E75EB3" w:rsidP="000225AB">
      <w:pPr>
        <w:ind w:firstLineChars="200" w:firstLine="640"/>
        <w:rPr>
          <w:rFonts w:ascii="方正仿宋_GBK" w:eastAsia="方正仿宋_GBK" w:hAnsi="Arial" w:cs="Arial" w:hint="eastAsia"/>
          <w:color w:val="000000"/>
          <w:kern w:val="0"/>
          <w:sz w:val="32"/>
          <w:szCs w:val="32"/>
        </w:rPr>
      </w:pPr>
      <w:r w:rsidRPr="00E75EB3">
        <w:rPr>
          <w:rFonts w:ascii="方正仿宋_GBK" w:eastAsia="方正仿宋_GBK" w:hAnsi="宋体" w:cs="Arial" w:hint="eastAsia"/>
          <w:color w:val="000000"/>
          <w:kern w:val="0"/>
          <w:sz w:val="32"/>
          <w:szCs w:val="32"/>
        </w:rPr>
        <w:t>（二十六）引导金融机构和制造业龙头企业共建“供应商+制造业核心企业+经销商”产业链融资体系，通过应收账款融资、预付款融资、仓单质押等方式，为符合条件的上下游中小企业提供增信服务和成本较低、高效快捷的融资服务。支持供应链核心企业积极确认上下游应收账款，通过盘活现金、票据等资产，为产业链供应商和经销商提供信用支持。对积极参与供应链应收账款质押融资的供应链核心企业，按上下游一级和二级供应商企业新增贷款额给予1%的比例给予奖励，对单个企业的奖励最高不超过100万元。</w:t>
      </w:r>
      <w:r w:rsidRPr="00E75EB3">
        <w:rPr>
          <w:rFonts w:ascii="方正仿宋_GBK" w:eastAsia="方正仿宋_GBK" w:hAnsi="宋体" w:cs="Arial" w:hint="eastAsia"/>
          <w:b/>
          <w:bCs/>
          <w:color w:val="000000"/>
          <w:kern w:val="0"/>
          <w:sz w:val="32"/>
          <w:szCs w:val="32"/>
        </w:rPr>
        <w:t>（牵头单位：市经济信息委；配合单位：市金融监管局、人行重庆营管部、重庆银保监局）</w:t>
      </w:r>
    </w:p>
    <w:p w:rsidR="00E75EB3" w:rsidRPr="00E75EB3" w:rsidRDefault="00E75EB3" w:rsidP="000225AB">
      <w:pPr>
        <w:ind w:firstLineChars="200" w:firstLine="640"/>
        <w:rPr>
          <w:rFonts w:ascii="方正黑体_GBK" w:eastAsia="方正黑体_GBK" w:hAnsi="宋体" w:cs="Arial" w:hint="eastAsia"/>
          <w:bCs/>
          <w:color w:val="000000"/>
          <w:kern w:val="0"/>
          <w:sz w:val="32"/>
          <w:szCs w:val="32"/>
        </w:rPr>
      </w:pPr>
      <w:r w:rsidRPr="00E75EB3">
        <w:rPr>
          <w:rFonts w:ascii="方正黑体_GBK" w:eastAsia="方正黑体_GBK" w:hAnsi="宋体" w:cs="Arial" w:hint="eastAsia"/>
          <w:bCs/>
          <w:color w:val="000000"/>
          <w:kern w:val="0"/>
          <w:sz w:val="32"/>
          <w:szCs w:val="32"/>
        </w:rPr>
        <w:lastRenderedPageBreak/>
        <w:t>八、支持智能化改造升级降低企业运营成本</w:t>
      </w:r>
    </w:p>
    <w:p w:rsidR="00E75EB3" w:rsidRPr="00E75EB3" w:rsidRDefault="00E75EB3" w:rsidP="000225AB">
      <w:pPr>
        <w:ind w:firstLineChars="200" w:firstLine="640"/>
        <w:rPr>
          <w:rFonts w:ascii="方正仿宋_GBK" w:eastAsia="方正仿宋_GBK" w:hAnsi="Arial" w:cs="Arial" w:hint="eastAsia"/>
          <w:color w:val="000000"/>
          <w:kern w:val="0"/>
          <w:sz w:val="32"/>
          <w:szCs w:val="32"/>
        </w:rPr>
      </w:pPr>
      <w:r w:rsidRPr="00E75EB3">
        <w:rPr>
          <w:rFonts w:ascii="方正仿宋_GBK" w:eastAsia="方正仿宋_GBK" w:hAnsi="宋体" w:cs="Arial" w:hint="eastAsia"/>
          <w:color w:val="000000"/>
          <w:kern w:val="0"/>
          <w:sz w:val="32"/>
          <w:szCs w:val="32"/>
        </w:rPr>
        <w:t>（二十七）支持重点企业加大装备智能化改造力度，以设备和软件投资金额为基准给予补助，对单个项目的最高补助金额不超过500万元。</w:t>
      </w:r>
      <w:r w:rsidRPr="00E75EB3">
        <w:rPr>
          <w:rFonts w:ascii="方正仿宋_GBK" w:eastAsia="方正仿宋_GBK" w:hAnsi="宋体" w:cs="Arial" w:hint="eastAsia"/>
          <w:b/>
          <w:bCs/>
          <w:color w:val="000000"/>
          <w:kern w:val="0"/>
          <w:sz w:val="32"/>
          <w:szCs w:val="32"/>
        </w:rPr>
        <w:t>（牵头单位：市经济信息委；配合单位：市财政局）</w:t>
      </w:r>
    </w:p>
    <w:p w:rsidR="00E75EB3" w:rsidRPr="00E75EB3" w:rsidRDefault="00E75EB3" w:rsidP="000225AB">
      <w:pPr>
        <w:ind w:firstLineChars="200" w:firstLine="640"/>
        <w:rPr>
          <w:rFonts w:ascii="方正仿宋_GBK" w:eastAsia="方正仿宋_GBK" w:hAnsi="Arial" w:cs="Arial" w:hint="eastAsia"/>
          <w:color w:val="000000"/>
          <w:kern w:val="0"/>
          <w:sz w:val="32"/>
          <w:szCs w:val="32"/>
        </w:rPr>
      </w:pPr>
      <w:r w:rsidRPr="00E75EB3">
        <w:rPr>
          <w:rFonts w:ascii="方正仿宋_GBK" w:eastAsia="方正仿宋_GBK" w:hAnsi="宋体" w:cs="Arial" w:hint="eastAsia"/>
          <w:color w:val="000000"/>
          <w:kern w:val="0"/>
          <w:sz w:val="32"/>
          <w:szCs w:val="32"/>
        </w:rPr>
        <w:t>（二十八）支持重点企业建设数字化车间和智能工厂，对在建的数字化车间和智能工厂项目，以设备和软件投资金额为基准给予补助，单个项目最高补助金额不超过500万元；对建成并认定的数字化车间和智能工厂项目，单个项目一次性分别奖励50万元和100万元。</w:t>
      </w:r>
      <w:r w:rsidRPr="00E75EB3">
        <w:rPr>
          <w:rFonts w:ascii="方正仿宋_GBK" w:eastAsia="方正仿宋_GBK" w:hAnsi="宋体" w:cs="Arial" w:hint="eastAsia"/>
          <w:b/>
          <w:bCs/>
          <w:color w:val="000000"/>
          <w:kern w:val="0"/>
          <w:sz w:val="32"/>
          <w:szCs w:val="32"/>
        </w:rPr>
        <w:t>（牵头单位：市经济信息委；配合单位：市财政局）</w:t>
      </w:r>
    </w:p>
    <w:p w:rsidR="00E75EB3" w:rsidRPr="00E75EB3" w:rsidRDefault="00E75EB3" w:rsidP="000225AB">
      <w:pPr>
        <w:ind w:firstLineChars="200" w:firstLine="640"/>
        <w:rPr>
          <w:rFonts w:ascii="方正仿宋_GBK" w:eastAsia="方正仿宋_GBK" w:hAnsi="Arial" w:cs="Arial" w:hint="eastAsia"/>
          <w:color w:val="000000"/>
          <w:kern w:val="0"/>
          <w:sz w:val="32"/>
          <w:szCs w:val="32"/>
        </w:rPr>
      </w:pPr>
      <w:r w:rsidRPr="00E75EB3">
        <w:rPr>
          <w:rFonts w:ascii="方正仿宋_GBK" w:eastAsia="方正仿宋_GBK" w:hAnsi="宋体" w:cs="Arial" w:hint="eastAsia"/>
          <w:color w:val="000000"/>
          <w:kern w:val="0"/>
          <w:sz w:val="32"/>
          <w:szCs w:val="32"/>
        </w:rPr>
        <w:t>（二十九）支持企业建设新一代信息技术与制造业融合、服务型制造、人工智能及物联网在工业领域深度应用等项目，对上述项目以项目投资额（包含信息基础设施建设运维、软硬件、网络、系统集成、平台及云服务、融资租赁、研发投入等费用）为基准给予补助，对单个项目的补助金额不超过500万元。</w:t>
      </w:r>
      <w:r w:rsidRPr="00E75EB3">
        <w:rPr>
          <w:rFonts w:ascii="方正仿宋_GBK" w:eastAsia="方正仿宋_GBK" w:hAnsi="宋体" w:cs="Arial" w:hint="eastAsia"/>
          <w:b/>
          <w:bCs/>
          <w:color w:val="000000"/>
          <w:kern w:val="0"/>
          <w:sz w:val="32"/>
          <w:szCs w:val="32"/>
        </w:rPr>
        <w:t>（牵头单位：市经济信息委；配合单位：市财政局）</w:t>
      </w:r>
    </w:p>
    <w:p w:rsidR="00E75EB3" w:rsidRPr="00E75EB3" w:rsidRDefault="00E75EB3" w:rsidP="000225AB">
      <w:pPr>
        <w:ind w:firstLineChars="200" w:firstLine="640"/>
        <w:rPr>
          <w:rFonts w:ascii="方正黑体_GBK" w:eastAsia="方正黑体_GBK" w:hAnsi="宋体" w:cs="Arial" w:hint="eastAsia"/>
          <w:bCs/>
          <w:color w:val="000000"/>
          <w:kern w:val="0"/>
          <w:sz w:val="32"/>
          <w:szCs w:val="32"/>
        </w:rPr>
      </w:pPr>
      <w:r w:rsidRPr="00E75EB3">
        <w:rPr>
          <w:rFonts w:ascii="方正黑体_GBK" w:eastAsia="方正黑体_GBK" w:hAnsi="宋体" w:cs="Arial" w:hint="eastAsia"/>
          <w:bCs/>
          <w:color w:val="000000"/>
          <w:kern w:val="0"/>
          <w:sz w:val="32"/>
          <w:szCs w:val="32"/>
        </w:rPr>
        <w:t>九、降低制度性交易成本</w:t>
      </w:r>
    </w:p>
    <w:p w:rsidR="00E75EB3" w:rsidRPr="00E75EB3" w:rsidRDefault="00E75EB3" w:rsidP="000225AB">
      <w:pPr>
        <w:ind w:firstLineChars="200" w:firstLine="640"/>
        <w:rPr>
          <w:rFonts w:ascii="方正仿宋_GBK" w:eastAsia="方正仿宋_GBK" w:hAnsi="Arial" w:cs="Arial" w:hint="eastAsia"/>
          <w:color w:val="000000"/>
          <w:kern w:val="0"/>
          <w:sz w:val="32"/>
          <w:szCs w:val="32"/>
        </w:rPr>
      </w:pPr>
      <w:r w:rsidRPr="00E75EB3">
        <w:rPr>
          <w:rFonts w:ascii="方正仿宋_GBK" w:eastAsia="方正仿宋_GBK" w:hAnsi="宋体" w:cs="Arial" w:hint="eastAsia"/>
          <w:color w:val="000000"/>
          <w:kern w:val="0"/>
          <w:sz w:val="32"/>
          <w:szCs w:val="32"/>
        </w:rPr>
        <w:t>（三十）持续推进工程建设项目审批制度改革，将一般工业项目从取得土地到开工审批时间压减至15个工作日以内。切</w:t>
      </w:r>
      <w:r w:rsidRPr="00E75EB3">
        <w:rPr>
          <w:rFonts w:ascii="方正仿宋_GBK" w:eastAsia="方正仿宋_GBK" w:hAnsi="宋体" w:cs="Arial" w:hint="eastAsia"/>
          <w:color w:val="000000"/>
          <w:kern w:val="0"/>
          <w:sz w:val="32"/>
          <w:szCs w:val="32"/>
        </w:rPr>
        <w:lastRenderedPageBreak/>
        <w:t>实强化并联审批、联合审批、一站式审批制度，提高行政审批效率。</w:t>
      </w:r>
      <w:r w:rsidRPr="00E75EB3">
        <w:rPr>
          <w:rFonts w:ascii="方正仿宋_GBK" w:eastAsia="方正仿宋_GBK" w:hAnsi="宋体" w:cs="Arial" w:hint="eastAsia"/>
          <w:b/>
          <w:bCs/>
          <w:color w:val="000000"/>
          <w:kern w:val="0"/>
          <w:sz w:val="32"/>
          <w:szCs w:val="32"/>
        </w:rPr>
        <w:t>（牵头单位：市经济信息委；配合单位：市政府职转办、市发展改革委、市规划自然资源局、市住房城乡建委等）</w:t>
      </w:r>
    </w:p>
    <w:p w:rsidR="00E75EB3" w:rsidRPr="00E75EB3" w:rsidRDefault="00E75EB3" w:rsidP="000225AB">
      <w:pPr>
        <w:ind w:firstLineChars="200" w:firstLine="640"/>
        <w:rPr>
          <w:rFonts w:ascii="方正仿宋_GBK" w:eastAsia="方正仿宋_GBK" w:hAnsi="Arial" w:cs="Arial" w:hint="eastAsia"/>
          <w:color w:val="000000"/>
          <w:kern w:val="0"/>
          <w:sz w:val="32"/>
          <w:szCs w:val="32"/>
        </w:rPr>
      </w:pPr>
      <w:r w:rsidRPr="00E75EB3">
        <w:rPr>
          <w:rFonts w:ascii="方正仿宋_GBK" w:eastAsia="方正仿宋_GBK" w:hAnsi="宋体" w:cs="Arial" w:hint="eastAsia"/>
          <w:color w:val="000000"/>
          <w:kern w:val="0"/>
          <w:sz w:val="32"/>
          <w:szCs w:val="32"/>
        </w:rPr>
        <w:t>（三十一）大力推行“双随机、一公开”监管，公平、公开、透明地进行事中事后监管。合理确定随机抽查的比例和频次。对守法经营、信用良好的检查对象，可降低抽查的比例和频次。</w:t>
      </w:r>
      <w:r w:rsidRPr="00E75EB3">
        <w:rPr>
          <w:rFonts w:ascii="方正仿宋_GBK" w:eastAsia="方正仿宋_GBK" w:hAnsi="宋体" w:cs="Arial" w:hint="eastAsia"/>
          <w:b/>
          <w:bCs/>
          <w:color w:val="000000"/>
          <w:kern w:val="0"/>
          <w:sz w:val="32"/>
          <w:szCs w:val="32"/>
        </w:rPr>
        <w:t>（牵头单位：市司法局；配合单位：市市场监管局）</w:t>
      </w:r>
    </w:p>
    <w:p w:rsidR="00E75EB3" w:rsidRPr="00E75EB3" w:rsidRDefault="00E75EB3" w:rsidP="000225AB">
      <w:pPr>
        <w:ind w:firstLineChars="200" w:firstLine="640"/>
        <w:rPr>
          <w:rFonts w:ascii="方正仿宋_GBK" w:eastAsia="方正仿宋_GBK" w:hAnsi="Arial" w:cs="Arial" w:hint="eastAsia"/>
          <w:color w:val="000000"/>
          <w:kern w:val="0"/>
          <w:sz w:val="32"/>
          <w:szCs w:val="32"/>
        </w:rPr>
      </w:pPr>
      <w:r w:rsidRPr="00E75EB3">
        <w:rPr>
          <w:rFonts w:ascii="方正仿宋_GBK" w:eastAsia="方正仿宋_GBK" w:hAnsi="宋体" w:cs="Arial" w:hint="eastAsia"/>
          <w:color w:val="000000"/>
          <w:kern w:val="0"/>
          <w:sz w:val="32"/>
          <w:szCs w:val="32"/>
        </w:rPr>
        <w:t>（三十二）健全知识产权保护体系，加快推进《重庆市专利促进与保护条例》修订。加大知识产权侵权打击力度，完善知识产权行政与司法保护衔接机制，推进知识产权案件民事、行政、刑事“三审合一”。</w:t>
      </w:r>
      <w:r w:rsidRPr="00E75EB3">
        <w:rPr>
          <w:rFonts w:ascii="方正仿宋_GBK" w:eastAsia="方正仿宋_GBK" w:hAnsi="宋体" w:cs="Arial" w:hint="eastAsia"/>
          <w:b/>
          <w:bCs/>
          <w:color w:val="000000"/>
          <w:kern w:val="0"/>
          <w:sz w:val="32"/>
          <w:szCs w:val="32"/>
        </w:rPr>
        <w:t>（牵头单位：市知识产权局；配合单位：市高法院、市检察院、市司法局、市公安局）</w:t>
      </w:r>
    </w:p>
    <w:p w:rsidR="00E75EB3" w:rsidRPr="00E75EB3" w:rsidRDefault="00E75EB3" w:rsidP="000225AB">
      <w:pPr>
        <w:ind w:firstLineChars="200" w:firstLine="640"/>
        <w:rPr>
          <w:rFonts w:ascii="方正仿宋_GBK" w:eastAsia="方正仿宋_GBK" w:hAnsi="Arial" w:cs="Arial" w:hint="eastAsia"/>
          <w:color w:val="000000"/>
          <w:kern w:val="0"/>
          <w:sz w:val="32"/>
          <w:szCs w:val="32"/>
        </w:rPr>
      </w:pPr>
      <w:r w:rsidRPr="00E75EB3">
        <w:rPr>
          <w:rFonts w:ascii="方正仿宋_GBK" w:eastAsia="方正仿宋_GBK" w:hAnsi="宋体" w:cs="Arial" w:hint="eastAsia"/>
          <w:color w:val="000000"/>
          <w:kern w:val="0"/>
          <w:sz w:val="32"/>
          <w:szCs w:val="32"/>
        </w:rPr>
        <w:t>（三十三）继续清理规范中介服务费事项，依托“网上超市”进行监管，建立完善交易评价、退出等机制，提高中介服务水平。</w:t>
      </w:r>
      <w:r w:rsidRPr="00E75EB3">
        <w:rPr>
          <w:rFonts w:ascii="方正仿宋_GBK" w:eastAsia="方正仿宋_GBK" w:hAnsi="宋体" w:cs="Arial" w:hint="eastAsia"/>
          <w:b/>
          <w:bCs/>
          <w:color w:val="000000"/>
          <w:kern w:val="0"/>
          <w:sz w:val="32"/>
          <w:szCs w:val="32"/>
        </w:rPr>
        <w:t>（牵头单位：市发展改革委；配合单位：市委编办、市政府职转办、市财政局、市司法局等）</w:t>
      </w:r>
    </w:p>
    <w:p w:rsidR="00E75EB3" w:rsidRPr="00E75EB3" w:rsidRDefault="00E75EB3" w:rsidP="000225AB">
      <w:pPr>
        <w:ind w:firstLineChars="200" w:firstLine="640"/>
        <w:rPr>
          <w:rFonts w:ascii="方正黑体_GBK" w:eastAsia="方正黑体_GBK" w:hAnsi="宋体" w:cs="Arial" w:hint="eastAsia"/>
          <w:bCs/>
          <w:color w:val="000000"/>
          <w:kern w:val="0"/>
          <w:sz w:val="32"/>
          <w:szCs w:val="32"/>
        </w:rPr>
      </w:pPr>
      <w:r w:rsidRPr="00E75EB3">
        <w:rPr>
          <w:rFonts w:ascii="方正黑体_GBK" w:eastAsia="方正黑体_GBK" w:hAnsi="宋体" w:cs="Arial" w:hint="eastAsia"/>
          <w:bCs/>
          <w:color w:val="000000"/>
          <w:kern w:val="0"/>
          <w:sz w:val="32"/>
          <w:szCs w:val="32"/>
        </w:rPr>
        <w:t>十、建立降低成本长效机制</w:t>
      </w:r>
    </w:p>
    <w:p w:rsidR="00E75EB3" w:rsidRPr="00E75EB3" w:rsidRDefault="00E75EB3" w:rsidP="000225AB">
      <w:pPr>
        <w:ind w:firstLineChars="200" w:firstLine="640"/>
        <w:rPr>
          <w:rFonts w:ascii="方正仿宋_GBK" w:eastAsia="方正仿宋_GBK" w:hAnsi="Arial" w:cs="Arial" w:hint="eastAsia"/>
          <w:color w:val="000000"/>
          <w:kern w:val="0"/>
          <w:sz w:val="32"/>
          <w:szCs w:val="32"/>
        </w:rPr>
      </w:pPr>
      <w:r w:rsidRPr="00E75EB3">
        <w:rPr>
          <w:rFonts w:ascii="方正仿宋_GBK" w:eastAsia="方正仿宋_GBK" w:hAnsi="宋体" w:cs="Arial" w:hint="eastAsia"/>
          <w:color w:val="000000"/>
          <w:kern w:val="0"/>
          <w:sz w:val="32"/>
          <w:szCs w:val="32"/>
        </w:rPr>
        <w:t>（三十四）建立降低制造业企业成本市级联席会议制度，加强部门间相互配合、信息沟通、协调会商，协同推进降成本。</w:t>
      </w:r>
      <w:r w:rsidRPr="00E75EB3">
        <w:rPr>
          <w:rFonts w:ascii="方正仿宋_GBK" w:eastAsia="方正仿宋_GBK" w:hAnsi="宋体" w:cs="Arial" w:hint="eastAsia"/>
          <w:b/>
          <w:bCs/>
          <w:color w:val="000000"/>
          <w:kern w:val="0"/>
          <w:sz w:val="32"/>
          <w:szCs w:val="32"/>
        </w:rPr>
        <w:t>（牵头单位：市经济信息委；配合单位：市发展改革委、</w:t>
      </w:r>
      <w:r w:rsidRPr="00E75EB3">
        <w:rPr>
          <w:rFonts w:ascii="方正仿宋_GBK" w:eastAsia="方正仿宋_GBK" w:hAnsi="宋体" w:cs="Arial" w:hint="eastAsia"/>
          <w:b/>
          <w:bCs/>
          <w:color w:val="000000"/>
          <w:kern w:val="0"/>
          <w:sz w:val="32"/>
          <w:szCs w:val="32"/>
        </w:rPr>
        <w:lastRenderedPageBreak/>
        <w:t>市财政局、市交通局、市人力社保局、市规划自然资源局、市住房城乡建委、市金融监管局、市市场监管局、人行重庆营管部、重庆银保监局等）</w:t>
      </w:r>
    </w:p>
    <w:p w:rsidR="00E75EB3" w:rsidRPr="00E75EB3" w:rsidRDefault="00E75EB3" w:rsidP="000225AB">
      <w:pPr>
        <w:ind w:firstLineChars="200" w:firstLine="640"/>
        <w:rPr>
          <w:rFonts w:ascii="方正仿宋_GBK" w:eastAsia="方正仿宋_GBK" w:hAnsi="Arial" w:cs="Arial" w:hint="eastAsia"/>
          <w:color w:val="000000"/>
          <w:kern w:val="0"/>
          <w:sz w:val="32"/>
          <w:szCs w:val="32"/>
        </w:rPr>
      </w:pPr>
      <w:r w:rsidRPr="00E75EB3">
        <w:rPr>
          <w:rFonts w:ascii="方正仿宋_GBK" w:eastAsia="方正仿宋_GBK" w:hAnsi="宋体" w:cs="Arial" w:hint="eastAsia"/>
          <w:color w:val="000000"/>
          <w:kern w:val="0"/>
          <w:sz w:val="32"/>
          <w:szCs w:val="32"/>
        </w:rPr>
        <w:t>（三十五）各区县政府、市级有关部门建立台账和动态跟踪制度，逐项分解落实、逐条明确要求、逐一研究解决。市政府适时对贯彻落实情况开展全面督查。</w:t>
      </w:r>
      <w:r w:rsidRPr="00E75EB3">
        <w:rPr>
          <w:rFonts w:ascii="方正仿宋_GBK" w:eastAsia="方正仿宋_GBK" w:hAnsi="宋体" w:cs="Arial" w:hint="eastAsia"/>
          <w:b/>
          <w:bCs/>
          <w:color w:val="000000"/>
          <w:kern w:val="0"/>
          <w:sz w:val="32"/>
          <w:szCs w:val="32"/>
        </w:rPr>
        <w:t>（牵头单位：市政府督查室；配合单位：市发展改革委、市财政局、市经济信息委、市交通局、市人力社保局、市规划自然资源局、市住房城乡建委、市金融监管局、市市场监管局、人行重庆营管部等）</w:t>
      </w:r>
    </w:p>
    <w:p w:rsidR="00E75EB3" w:rsidRPr="005D15C6" w:rsidRDefault="00E75EB3" w:rsidP="000225AB">
      <w:pPr>
        <w:ind w:firstLineChars="200" w:firstLine="640"/>
        <w:rPr>
          <w:rFonts w:ascii="方正仿宋_GBK" w:eastAsia="方正仿宋_GBK"/>
          <w:sz w:val="32"/>
          <w:szCs w:val="32"/>
        </w:rPr>
      </w:pPr>
      <w:r w:rsidRPr="00E75EB3">
        <w:rPr>
          <w:rFonts w:ascii="方正仿宋_GBK" w:eastAsia="方正仿宋_GBK" w:hAnsi="宋体" w:cs="Arial" w:hint="eastAsia"/>
          <w:color w:val="000000"/>
          <w:kern w:val="0"/>
          <w:sz w:val="32"/>
          <w:szCs w:val="32"/>
        </w:rPr>
        <w:t>（三十六）充分利用各种宣传渠道和手段，加大减轻实体经济企业优惠扶持政策的宣传力度。积极推广效果好的政策和做法，适时调整完善相关政策。</w:t>
      </w:r>
      <w:r w:rsidRPr="00E75EB3">
        <w:rPr>
          <w:rFonts w:ascii="方正仿宋_GBK" w:eastAsia="方正仿宋_GBK" w:hAnsi="宋体" w:cs="Arial" w:hint="eastAsia"/>
          <w:b/>
          <w:bCs/>
          <w:color w:val="000000"/>
          <w:kern w:val="0"/>
          <w:sz w:val="32"/>
          <w:szCs w:val="32"/>
        </w:rPr>
        <w:t>（牵头单位：市政府新闻办；配合单位：市经济信息委、各区县政府）</w:t>
      </w:r>
    </w:p>
    <w:sectPr w:rsidR="00E75EB3" w:rsidRPr="005D15C6">
      <w:headerReference w:type="default" r:id="rId7"/>
      <w:footerReference w:type="default" r:id="rId8"/>
      <w:pgSz w:w="11906" w:h="16838"/>
      <w:pgMar w:top="1962" w:right="1474" w:bottom="1848" w:left="1587" w:header="851" w:footer="992" w:gutter="0"/>
      <w:pgNumType w:fmt="numberInDash"/>
      <w:cols w:space="0"/>
      <w:docGrid w:type="lines" w:linePitch="31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7C0C" w:rsidRDefault="004F7C0C">
      <w:r>
        <w:separator/>
      </w:r>
    </w:p>
  </w:endnote>
  <w:endnote w:type="continuationSeparator" w:id="0">
    <w:p w:rsidR="004F7C0C" w:rsidRDefault="004F7C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412F" w:rsidRDefault="0047412F">
    <w:pPr>
      <w:pStyle w:val="a5"/>
      <w:ind w:leftChars="2280" w:left="4788" w:firstLineChars="2000" w:firstLine="6400"/>
      <w:rPr>
        <w:sz w:val="32"/>
      </w:rPr>
    </w:pPr>
    <w:r>
      <w:rPr>
        <w:noProof/>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47412F" w:rsidRDefault="0047412F">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0225AB">
                            <w:rPr>
                              <w:rFonts w:ascii="宋体" w:eastAsia="宋体" w:hAnsi="宋体" w:cs="宋体"/>
                              <w:noProof/>
                              <w:sz w:val="28"/>
                              <w:szCs w:val="28"/>
                            </w:rPr>
                            <w:t>- 11 -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0" o:spid="_x0000_s1026" type="#_x0000_t202" style="position:absolute;left:0;text-align:left;margin-left:92.8pt;margin-top:0;width:2in;height:2in;z-index:251661312;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" filled="f" stroked="f" strokeweight=".5pt">
              <v:textbox style="mso-fit-shape-to-text:t" inset="0,0,0,0">
                <w:txbxContent>
                  <w:p w:rsidR="0047412F" w:rsidRDefault="0047412F">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0225AB">
                      <w:rPr>
                        <w:rFonts w:ascii="宋体" w:eastAsia="宋体" w:hAnsi="宋体" w:cs="宋体"/>
                        <w:noProof/>
                        <w:sz w:val="28"/>
                        <w:szCs w:val="28"/>
                      </w:rPr>
                      <w:t>- 11 -</w:t>
                    </w:r>
                    <w:r>
                      <w:rPr>
                        <w:rFonts w:ascii="宋体" w:eastAsia="宋体" w:hAnsi="宋体" w:cs="宋体" w:hint="eastAsia"/>
                        <w:sz w:val="28"/>
                        <w:szCs w:val="28"/>
                      </w:rPr>
                      <w:fldChar w:fldCharType="end"/>
                    </w:r>
                  </w:p>
                </w:txbxContent>
              </v:textbox>
              <w10:wrap anchorx="margin"/>
            </v:shape>
          </w:pict>
        </mc:Fallback>
      </mc:AlternateContent>
    </w:r>
  </w:p>
  <w:p w:rsidR="0047412F" w:rsidRDefault="0047412F">
    <w:pPr>
      <w:pStyle w:val="a5"/>
      <w:ind w:leftChars="2280" w:left="4788" w:firstLineChars="2000" w:firstLine="6400"/>
      <w:rPr>
        <w:sz w:val="32"/>
      </w:rPr>
    </w:pPr>
    <w:r>
      <w:rPr>
        <w:noProof/>
        <w:color w:val="FAFAFA"/>
        <w:sz w:val="32"/>
      </w:rPr>
      <mc:AlternateContent>
        <mc:Choice Requires="wps">
          <w:drawing>
            <wp:anchor distT="0" distB="0" distL="114300" distR="114300" simplePos="0" relativeHeight="251660288" behindDoc="0" locked="0" layoutInCell="1" allowOverlap="1">
              <wp:simplePos x="0" y="0"/>
              <wp:positionH relativeFrom="column">
                <wp:posOffset>-3175</wp:posOffset>
              </wp:positionH>
              <wp:positionV relativeFrom="paragraph">
                <wp:posOffset>140335</wp:posOffset>
              </wp:positionV>
              <wp:extent cx="5615940" cy="0"/>
              <wp:effectExtent l="0" t="10795" r="3810" b="17780"/>
              <wp:wrapNone/>
              <wp:docPr id="11" name="直接连接符 11"/>
              <wp:cNvGraphicFramePr/>
              <a:graphic xmlns:a="http://schemas.openxmlformats.org/drawingml/2006/main">
                <a:graphicData uri="http://schemas.microsoft.com/office/word/2010/wordprocessingShape">
                  <wps:wsp>
                    <wps:cNvCnPr/>
                    <wps:spPr>
                      <a:xfrm>
                        <a:off x="0" y="0"/>
                        <a:ext cx="5615940"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8B0FF11" id="直接连接符 11"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25pt,11.05pt" to="441.95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" strokecolor="#005192" strokeweight="1.75pt">
              <v:stroke joinstyle="miter"/>
            </v:line>
          </w:pict>
        </mc:Fallback>
      </mc:AlternateContent>
    </w:r>
  </w:p>
  <w:p w:rsidR="0047412F" w:rsidRDefault="0047412F">
    <w:pPr>
      <w:pStyle w:val="a5"/>
      <w:wordWrap w:val="0"/>
      <w:jc w:val="right"/>
      <w:rPr>
        <w:rFonts w:ascii="宋体" w:eastAsia="宋体" w:hAnsi="宋体" w:cs="宋体"/>
        <w:b/>
        <w:bCs/>
        <w:color w:val="005192"/>
        <w:sz w:val="28"/>
        <w:szCs w:val="44"/>
      </w:rPr>
    </w:pPr>
    <w:r>
      <w:rPr>
        <w:rFonts w:ascii="宋体" w:eastAsia="宋体" w:hAnsi="宋体" w:cs="宋体" w:hint="eastAsia"/>
        <w:b/>
        <w:bCs/>
        <w:color w:val="005192"/>
        <w:sz w:val="28"/>
        <w:szCs w:val="44"/>
      </w:rPr>
      <w:t>重庆市人民政府办公厅发布</w:t>
    </w:r>
    <w:r>
      <w:rPr>
        <w:rFonts w:ascii="宋体" w:eastAsia="宋体" w:hAnsi="宋体" w:cs="宋体"/>
        <w:b/>
        <w:bCs/>
        <w:color w:val="005192"/>
        <w:sz w:val="28"/>
        <w:szCs w:val="4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7C0C" w:rsidRDefault="004F7C0C">
      <w:r>
        <w:separator/>
      </w:r>
    </w:p>
  </w:footnote>
  <w:footnote w:type="continuationSeparator" w:id="0">
    <w:p w:rsidR="004F7C0C" w:rsidRDefault="004F7C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412F" w:rsidRDefault="0047412F">
    <w:pPr>
      <w:pStyle w:val="a5"/>
      <w:textAlignment w:val="center"/>
      <w:rPr>
        <w:rFonts w:ascii="宋体" w:eastAsia="宋体" w:hAnsi="宋体" w:cs="宋体"/>
        <w:b/>
        <w:bCs/>
        <w:color w:val="005192"/>
        <w:sz w:val="32"/>
        <w:szCs w:val="32"/>
      </w:rPr>
    </w:pPr>
    <w:r>
      <w:rPr>
        <w:rFonts w:ascii="方正仿宋_GBK" w:eastAsia="方正仿宋_GBK" w:hAnsi="方正仿宋_GBK" w:cs="方正仿宋_GBK" w:hint="eastAsia"/>
        <w:b/>
        <w:bCs/>
        <w:noProof/>
        <w:color w:val="000000" w:themeColor="text1"/>
        <w:sz w:val="32"/>
      </w:rPr>
      <mc:AlternateContent>
        <mc:Choice Requires="wps">
          <w:drawing>
            <wp:anchor distT="0" distB="0" distL="114300" distR="114300" simplePos="0" relativeHeight="251659264" behindDoc="0" locked="0" layoutInCell="1" allowOverlap="1">
              <wp:simplePos x="0" y="0"/>
              <wp:positionH relativeFrom="column">
                <wp:posOffset>-2540</wp:posOffset>
              </wp:positionH>
              <wp:positionV relativeFrom="paragraph">
                <wp:posOffset>462280</wp:posOffset>
              </wp:positionV>
              <wp:extent cx="5615940" cy="11430"/>
              <wp:effectExtent l="0" t="0" r="0" b="0"/>
              <wp:wrapNone/>
              <wp:docPr id="2" name="直接连接符 2"/>
              <wp:cNvGraphicFramePr/>
              <a:graphic xmlns:a="http://schemas.openxmlformats.org/drawingml/2006/main">
                <a:graphicData uri="http://schemas.microsoft.com/office/word/2010/wordprocessingShape">
                  <wps:wsp>
                    <wps:cNvCnPr/>
                    <wps:spPr>
                      <a:xfrm>
                        <a:off x="4133850" y="864870"/>
                        <a:ext cx="5615940" cy="1143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1703075" id="直接连接符 2"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2pt,36.4pt" to="442pt,3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" strokecolor="#005192" strokeweight="1.75pt">
              <v:stroke joinstyle="miter"/>
            </v:line>
          </w:pict>
        </mc:Fallback>
      </mc:AlternateContent>
    </w:r>
    <w:r>
      <w:rPr>
        <w:rFonts w:ascii="宋体" w:eastAsia="宋体" w:hAnsi="宋体" w:cs="宋体" w:hint="eastAsia"/>
        <w:b/>
        <w:bCs/>
        <w:noProof/>
        <w:color w:val="005192"/>
        <w:sz w:val="32"/>
      </w:rPr>
      <w:drawing>
        <wp:inline distT="0" distB="0" distL="114300" distR="114300">
          <wp:extent cx="308610" cy="308610"/>
          <wp:effectExtent l="0" t="0" r="21590" b="21590"/>
          <wp:docPr id="3" name="图片 3"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ascii="宋体" w:eastAsia="宋体" w:hAnsi="宋体" w:cs="宋体" w:hint="eastAsia"/>
        <w:b/>
        <w:bCs/>
        <w:color w:val="005192"/>
        <w:sz w:val="32"/>
        <w:lang w:eastAsia="zh-Hans"/>
      </w:rPr>
      <w:t>重庆市</w:t>
    </w:r>
    <w:r>
      <w:rPr>
        <w:rFonts w:ascii="宋体" w:eastAsia="宋体" w:hAnsi="宋体" w:cs="宋体" w:hint="eastAsia"/>
        <w:b/>
        <w:bCs/>
        <w:color w:val="005192"/>
        <w:sz w:val="32"/>
      </w:rPr>
      <w:t>人民政府办公厅行政</w:t>
    </w:r>
    <w:r>
      <w:rPr>
        <w:rFonts w:ascii="宋体" w:eastAsia="宋体" w:hAnsi="宋体" w:cs="宋体" w:hint="eastAsia"/>
        <w:b/>
        <w:bCs/>
        <w:color w:val="005192"/>
        <w:sz w:val="32"/>
        <w:szCs w:val="32"/>
        <w:lang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8"/>
  <w:displayVerticalDrawingGridEvery w:val="2"/>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Y0YTdmOWQ5MmM1YzE2OGQ1Yjk5OWYzYzEwZWMxYjcifQ=="/>
  </w:docVars>
  <w:rsids>
    <w:rsidRoot w:val="00172A27"/>
    <w:rsid w:val="BD9D1569"/>
    <w:rsid w:val="EBDDA9D0"/>
    <w:rsid w:val="F05B4F69"/>
    <w:rsid w:val="F7F902F6"/>
    <w:rsid w:val="F97D9566"/>
    <w:rsid w:val="FDFF411C"/>
    <w:rsid w:val="000225AB"/>
    <w:rsid w:val="00022B98"/>
    <w:rsid w:val="00095294"/>
    <w:rsid w:val="000B7A89"/>
    <w:rsid w:val="000C3148"/>
    <w:rsid w:val="0010429A"/>
    <w:rsid w:val="00155466"/>
    <w:rsid w:val="00172A27"/>
    <w:rsid w:val="001975B8"/>
    <w:rsid w:val="001A45A9"/>
    <w:rsid w:val="00241A33"/>
    <w:rsid w:val="0028388C"/>
    <w:rsid w:val="0028466F"/>
    <w:rsid w:val="00317044"/>
    <w:rsid w:val="00332C01"/>
    <w:rsid w:val="00444661"/>
    <w:rsid w:val="004542C5"/>
    <w:rsid w:val="0047412F"/>
    <w:rsid w:val="00484E46"/>
    <w:rsid w:val="004F7C0C"/>
    <w:rsid w:val="005449F5"/>
    <w:rsid w:val="00556516"/>
    <w:rsid w:val="005A1D02"/>
    <w:rsid w:val="005A5E7C"/>
    <w:rsid w:val="005D15C6"/>
    <w:rsid w:val="005D3B8E"/>
    <w:rsid w:val="006338BD"/>
    <w:rsid w:val="006343EB"/>
    <w:rsid w:val="00644E88"/>
    <w:rsid w:val="006A09A7"/>
    <w:rsid w:val="006B5874"/>
    <w:rsid w:val="006B66E4"/>
    <w:rsid w:val="006C1276"/>
    <w:rsid w:val="006C5A6E"/>
    <w:rsid w:val="006C7F22"/>
    <w:rsid w:val="007818A2"/>
    <w:rsid w:val="007C7D61"/>
    <w:rsid w:val="0083523B"/>
    <w:rsid w:val="00857A49"/>
    <w:rsid w:val="008E1AF8"/>
    <w:rsid w:val="00965E09"/>
    <w:rsid w:val="009D4717"/>
    <w:rsid w:val="009E7D10"/>
    <w:rsid w:val="00A35B2A"/>
    <w:rsid w:val="00AB14CA"/>
    <w:rsid w:val="00B060F2"/>
    <w:rsid w:val="00B65178"/>
    <w:rsid w:val="00B72426"/>
    <w:rsid w:val="00BD12FF"/>
    <w:rsid w:val="00BD6C74"/>
    <w:rsid w:val="00C222FD"/>
    <w:rsid w:val="00C62E4B"/>
    <w:rsid w:val="00C83183"/>
    <w:rsid w:val="00C84216"/>
    <w:rsid w:val="00CD7D2F"/>
    <w:rsid w:val="00D146A5"/>
    <w:rsid w:val="00DD7005"/>
    <w:rsid w:val="00DF52AA"/>
    <w:rsid w:val="00E521B1"/>
    <w:rsid w:val="00E75EB3"/>
    <w:rsid w:val="00E83082"/>
    <w:rsid w:val="00EB6DEA"/>
    <w:rsid w:val="00F0670E"/>
    <w:rsid w:val="00F10ADD"/>
    <w:rsid w:val="00F41922"/>
    <w:rsid w:val="00F6355F"/>
    <w:rsid w:val="00FA754C"/>
    <w:rsid w:val="019E71BD"/>
    <w:rsid w:val="01E93D58"/>
    <w:rsid w:val="04B679C3"/>
    <w:rsid w:val="05F07036"/>
    <w:rsid w:val="06E00104"/>
    <w:rsid w:val="07D76026"/>
    <w:rsid w:val="080F63D8"/>
    <w:rsid w:val="09341458"/>
    <w:rsid w:val="098254C2"/>
    <w:rsid w:val="0A766EDE"/>
    <w:rsid w:val="0AD64BE8"/>
    <w:rsid w:val="0B0912D7"/>
    <w:rsid w:val="0E025194"/>
    <w:rsid w:val="0EEF0855"/>
    <w:rsid w:val="11DB7C71"/>
    <w:rsid w:val="13742125"/>
    <w:rsid w:val="152D2DCA"/>
    <w:rsid w:val="187168EA"/>
    <w:rsid w:val="196673CA"/>
    <w:rsid w:val="1CF734C9"/>
    <w:rsid w:val="1DEC284C"/>
    <w:rsid w:val="1E6523AC"/>
    <w:rsid w:val="22440422"/>
    <w:rsid w:val="22BB4BBB"/>
    <w:rsid w:val="25EB1AF4"/>
    <w:rsid w:val="2C6D42C9"/>
    <w:rsid w:val="2DD05FE1"/>
    <w:rsid w:val="2EAE3447"/>
    <w:rsid w:val="31A15F24"/>
    <w:rsid w:val="36FB1DF0"/>
    <w:rsid w:val="395347B5"/>
    <w:rsid w:val="39A232A0"/>
    <w:rsid w:val="39E745AA"/>
    <w:rsid w:val="3B5A6BBB"/>
    <w:rsid w:val="3CA154E3"/>
    <w:rsid w:val="3EDA13A6"/>
    <w:rsid w:val="3FF56C14"/>
    <w:rsid w:val="417B75E9"/>
    <w:rsid w:val="42430A63"/>
    <w:rsid w:val="42F058B7"/>
    <w:rsid w:val="436109F6"/>
    <w:rsid w:val="441A38D4"/>
    <w:rsid w:val="4504239D"/>
    <w:rsid w:val="4BC77339"/>
    <w:rsid w:val="4C9236C5"/>
    <w:rsid w:val="4E250A85"/>
    <w:rsid w:val="4FFD4925"/>
    <w:rsid w:val="505C172E"/>
    <w:rsid w:val="506405EA"/>
    <w:rsid w:val="52F46F0B"/>
    <w:rsid w:val="532B6A10"/>
    <w:rsid w:val="539E4E99"/>
    <w:rsid w:val="53D8014D"/>
    <w:rsid w:val="550C209A"/>
    <w:rsid w:val="55E064E0"/>
    <w:rsid w:val="572C6D10"/>
    <w:rsid w:val="5DC34279"/>
    <w:rsid w:val="5FCD688E"/>
    <w:rsid w:val="5FF9BDAA"/>
    <w:rsid w:val="608816D1"/>
    <w:rsid w:val="60EF4E7F"/>
    <w:rsid w:val="648B0A32"/>
    <w:rsid w:val="658F6764"/>
    <w:rsid w:val="665233C1"/>
    <w:rsid w:val="69AC0D42"/>
    <w:rsid w:val="6AD9688B"/>
    <w:rsid w:val="6B68303F"/>
    <w:rsid w:val="6D0E3F22"/>
    <w:rsid w:val="744E4660"/>
    <w:rsid w:val="753355A2"/>
    <w:rsid w:val="759F1C61"/>
    <w:rsid w:val="769F2DE8"/>
    <w:rsid w:val="76FDEB7C"/>
    <w:rsid w:val="79C65162"/>
    <w:rsid w:val="79EE7E31"/>
    <w:rsid w:val="7C9011D9"/>
    <w:rsid w:val="7DC651C5"/>
    <w:rsid w:val="7FCC2834"/>
    <w:rsid w:val="92DD1C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158DD9"/>
  <w15:docId w15:val="{BDBBAE49-35E5-4B8D-827E-AD89CAA3A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pPr>
        <w:spacing w:line="580" w:lineRule="exact"/>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heme="minorHAnsi" w:eastAsiaTheme="minorEastAsia" w:hAnsiTheme="minorHAnsi" w:cstheme="minorBidi"/>
      <w:kern w:val="2"/>
      <w:sz w:val="21"/>
      <w:szCs w:val="24"/>
    </w:rPr>
  </w:style>
  <w:style w:type="paragraph" w:styleId="4">
    <w:name w:val="heading 4"/>
    <w:basedOn w:val="a"/>
    <w:next w:val="a"/>
    <w:unhideWhenUsed/>
    <w:qFormat/>
    <w:pPr>
      <w:keepNext/>
      <w:keepLines/>
      <w:spacing w:before="280" w:after="290" w:line="372" w:lineRule="auto"/>
      <w:outlineLvl w:val="3"/>
    </w:pPr>
    <w:rPr>
      <w:rFonts w:ascii="Arial" w:eastAsia="黑体" w:hAnsi="Arial"/>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style>
  <w:style w:type="paragraph" w:styleId="a4">
    <w:name w:val="footer"/>
    <w:basedOn w:val="a"/>
    <w:qFormat/>
    <w:pPr>
      <w:tabs>
        <w:tab w:val="center" w:pos="4153"/>
        <w:tab w:val="right" w:pos="8306"/>
      </w:tabs>
      <w:snapToGrid w:val="0"/>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uiPriority w:val="99"/>
    <w:qFormat/>
    <w:pPr>
      <w:spacing w:beforeAutospacing="1" w:afterAutospacing="1"/>
    </w:pPr>
    <w:rPr>
      <w:rFonts w:cs="Times New Roman"/>
      <w:kern w:val="0"/>
      <w:sz w:val="24"/>
    </w:rPr>
  </w:style>
  <w:style w:type="character" w:styleId="a7">
    <w:name w:val="Strong"/>
    <w:basedOn w:val="a0"/>
    <w:uiPriority w:val="22"/>
    <w:qFormat/>
    <w:rPr>
      <w:b/>
      <w:bCs/>
    </w:rPr>
  </w:style>
  <w:style w:type="paragraph" w:customStyle="1" w:styleId="p0">
    <w:name w:val="p0"/>
    <w:basedOn w:val="a"/>
    <w:qFormat/>
    <w:rPr>
      <w:rFonts w:ascii="Calibri" w:eastAsia="宋体" w:hAnsi="Calibri" w:cs="宋体"/>
      <w:kern w:val="0"/>
      <w:szCs w:val="32"/>
    </w:rPr>
  </w:style>
  <w:style w:type="paragraph" w:styleId="a8">
    <w:name w:val="Date"/>
    <w:basedOn w:val="a"/>
    <w:next w:val="a"/>
    <w:link w:val="a9"/>
    <w:rsid w:val="00DF52AA"/>
    <w:pPr>
      <w:ind w:leftChars="2500" w:left="100"/>
    </w:pPr>
  </w:style>
  <w:style w:type="character" w:customStyle="1" w:styleId="a9">
    <w:name w:val="日期 字符"/>
    <w:basedOn w:val="a0"/>
    <w:link w:val="a8"/>
    <w:rsid w:val="00DF52AA"/>
    <w:rPr>
      <w:rFonts w:asciiTheme="minorHAnsi" w:eastAsiaTheme="minorEastAsia" w:hAnsiTheme="minorHAnsi" w:cstheme="minorBidi"/>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977012">
      <w:bodyDiv w:val="1"/>
      <w:marLeft w:val="0"/>
      <w:marRight w:val="0"/>
      <w:marTop w:val="0"/>
      <w:marBottom w:val="0"/>
      <w:divBdr>
        <w:top w:val="none" w:sz="0" w:space="0" w:color="auto"/>
        <w:left w:val="none" w:sz="0" w:space="0" w:color="auto"/>
        <w:bottom w:val="none" w:sz="0" w:space="0" w:color="auto"/>
        <w:right w:val="none" w:sz="0" w:space="0" w:color="auto"/>
      </w:divBdr>
    </w:div>
    <w:div w:id="134613448">
      <w:bodyDiv w:val="1"/>
      <w:marLeft w:val="0"/>
      <w:marRight w:val="0"/>
      <w:marTop w:val="0"/>
      <w:marBottom w:val="0"/>
      <w:divBdr>
        <w:top w:val="none" w:sz="0" w:space="0" w:color="auto"/>
        <w:left w:val="none" w:sz="0" w:space="0" w:color="auto"/>
        <w:bottom w:val="none" w:sz="0" w:space="0" w:color="auto"/>
        <w:right w:val="none" w:sz="0" w:space="0" w:color="auto"/>
      </w:divBdr>
    </w:div>
    <w:div w:id="354893094">
      <w:bodyDiv w:val="1"/>
      <w:marLeft w:val="0"/>
      <w:marRight w:val="0"/>
      <w:marTop w:val="0"/>
      <w:marBottom w:val="0"/>
      <w:divBdr>
        <w:top w:val="none" w:sz="0" w:space="0" w:color="auto"/>
        <w:left w:val="none" w:sz="0" w:space="0" w:color="auto"/>
        <w:bottom w:val="none" w:sz="0" w:space="0" w:color="auto"/>
        <w:right w:val="none" w:sz="0" w:space="0" w:color="auto"/>
      </w:divBdr>
    </w:div>
    <w:div w:id="413671659">
      <w:bodyDiv w:val="1"/>
      <w:marLeft w:val="0"/>
      <w:marRight w:val="0"/>
      <w:marTop w:val="0"/>
      <w:marBottom w:val="0"/>
      <w:divBdr>
        <w:top w:val="none" w:sz="0" w:space="0" w:color="auto"/>
        <w:left w:val="none" w:sz="0" w:space="0" w:color="auto"/>
        <w:bottom w:val="none" w:sz="0" w:space="0" w:color="auto"/>
        <w:right w:val="none" w:sz="0" w:space="0" w:color="auto"/>
      </w:divBdr>
    </w:div>
    <w:div w:id="1116562306">
      <w:bodyDiv w:val="1"/>
      <w:marLeft w:val="0"/>
      <w:marRight w:val="0"/>
      <w:marTop w:val="0"/>
      <w:marBottom w:val="0"/>
      <w:divBdr>
        <w:top w:val="none" w:sz="0" w:space="0" w:color="auto"/>
        <w:left w:val="none" w:sz="0" w:space="0" w:color="auto"/>
        <w:bottom w:val="none" w:sz="0" w:space="0" w:color="auto"/>
        <w:right w:val="none" w:sz="0" w:space="0" w:color="auto"/>
      </w:divBdr>
    </w:div>
    <w:div w:id="1351253132">
      <w:bodyDiv w:val="1"/>
      <w:marLeft w:val="0"/>
      <w:marRight w:val="0"/>
      <w:marTop w:val="0"/>
      <w:marBottom w:val="0"/>
      <w:divBdr>
        <w:top w:val="none" w:sz="0" w:space="0" w:color="auto"/>
        <w:left w:val="none" w:sz="0" w:space="0" w:color="auto"/>
        <w:bottom w:val="none" w:sz="0" w:space="0" w:color="auto"/>
        <w:right w:val="none" w:sz="0" w:space="0" w:color="auto"/>
      </w:divBdr>
    </w:div>
    <w:div w:id="1370106090">
      <w:bodyDiv w:val="1"/>
      <w:marLeft w:val="0"/>
      <w:marRight w:val="0"/>
      <w:marTop w:val="0"/>
      <w:marBottom w:val="0"/>
      <w:divBdr>
        <w:top w:val="none" w:sz="0" w:space="0" w:color="auto"/>
        <w:left w:val="none" w:sz="0" w:space="0" w:color="auto"/>
        <w:bottom w:val="none" w:sz="0" w:space="0" w:color="auto"/>
        <w:right w:val="none" w:sz="0" w:space="0" w:color="auto"/>
      </w:divBdr>
    </w:div>
    <w:div w:id="1516194165">
      <w:bodyDiv w:val="1"/>
      <w:marLeft w:val="0"/>
      <w:marRight w:val="0"/>
      <w:marTop w:val="0"/>
      <w:marBottom w:val="0"/>
      <w:divBdr>
        <w:top w:val="none" w:sz="0" w:space="0" w:color="auto"/>
        <w:left w:val="none" w:sz="0" w:space="0" w:color="auto"/>
        <w:bottom w:val="none" w:sz="0" w:space="0" w:color="auto"/>
        <w:right w:val="none" w:sz="0" w:space="0" w:color="auto"/>
      </w:divBdr>
    </w:div>
    <w:div w:id="1736200679">
      <w:bodyDiv w:val="1"/>
      <w:marLeft w:val="0"/>
      <w:marRight w:val="0"/>
      <w:marTop w:val="0"/>
      <w:marBottom w:val="0"/>
      <w:divBdr>
        <w:top w:val="none" w:sz="0" w:space="0" w:color="auto"/>
        <w:left w:val="none" w:sz="0" w:space="0" w:color="auto"/>
        <w:bottom w:val="none" w:sz="0" w:space="0" w:color="auto"/>
        <w:right w:val="none" w:sz="0" w:space="0" w:color="auto"/>
      </w:divBdr>
    </w:div>
    <w:div w:id="1853104851">
      <w:bodyDiv w:val="1"/>
      <w:marLeft w:val="0"/>
      <w:marRight w:val="0"/>
      <w:marTop w:val="0"/>
      <w:marBottom w:val="0"/>
      <w:divBdr>
        <w:top w:val="none" w:sz="0" w:space="0" w:color="auto"/>
        <w:left w:val="none" w:sz="0" w:space="0" w:color="auto"/>
        <w:bottom w:val="none" w:sz="0" w:space="0" w:color="auto"/>
        <w:right w:val="none" w:sz="0" w:space="0" w:color="auto"/>
      </w:divBdr>
    </w:div>
    <w:div w:id="1857618665">
      <w:bodyDiv w:val="1"/>
      <w:marLeft w:val="0"/>
      <w:marRight w:val="0"/>
      <w:marTop w:val="0"/>
      <w:marBottom w:val="0"/>
      <w:divBdr>
        <w:top w:val="none" w:sz="0" w:space="0" w:color="auto"/>
        <w:left w:val="none" w:sz="0" w:space="0" w:color="auto"/>
        <w:bottom w:val="none" w:sz="0" w:space="0" w:color="auto"/>
        <w:right w:val="none" w:sz="0" w:space="0" w:color="auto"/>
      </w:divBdr>
    </w:div>
    <w:div w:id="18608547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13</Pages>
  <Words>861</Words>
  <Characters>4909</Characters>
  <Application>Microsoft Office Word</Application>
  <DocSecurity>0</DocSecurity>
  <Lines>40</Lines>
  <Paragraphs>11</Paragraphs>
  <ScaleCrop>false</ScaleCrop>
  <Company/>
  <LinksUpToDate>false</LinksUpToDate>
  <CharactersWithSpaces>5759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903469628@qq.com</cp:lastModifiedBy>
  <cp:revision>5</cp:revision>
  <cp:lastPrinted>2022-07-27T08:27:00Z</cp:lastPrinted>
  <dcterms:created xsi:type="dcterms:W3CDTF">2022-07-27T08:28:00Z</dcterms:created>
  <dcterms:modified xsi:type="dcterms:W3CDTF">2022-07-27T08:32:00Z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48C61CB29D3F4D9384F5922CF0F7FFB4</vt:lpwstr>
  </property>
</Properties>
</file>