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仿宋_GBK" w:hAnsi="方正仿宋_GBK" w:eastAsia="方正仿宋_GBK" w:cs="方正仿宋_GBK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重庆市经济和信息化委员会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重庆市教育委员会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重庆市大数据应用发展管理局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关于印发《重庆市进一步推进软件和信息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left="0" w:leftChars="0" w:right="0" w:rightChars="0" w:firstLine="0" w:firstLineChars="0"/>
        <w:jc w:val="center"/>
        <w:textAlignment w:val="auto"/>
        <w:outlineLvl w:val="9"/>
        <w:rPr>
          <w:rFonts w:ascii="Times New Roman" w:hAnsi="Times New Roman" w:eastAsia="仿宋_GB2312" w:cs="Times New Roman"/>
          <w:color w:val="000000"/>
          <w:sz w:val="24"/>
        </w:rPr>
      </w:pPr>
      <w:r>
        <w:rPr>
          <w:rStyle w:val="16"/>
          <w:rFonts w:hint="eastAsia" w:ascii="方正小标宋_GBK" w:hAnsi="方正小标宋_GBK" w:eastAsia="方正小标宋_GBK" w:cs="方正小标宋_GBK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服务业“满天星”行动计划实施方案》的通知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渝经信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规范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〔202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〕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i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val="en-US" w:eastAsia="zh-CN" w:bidi="ar-SA"/>
        </w:rPr>
        <w:t>各区县（自治县）经济信息委、发展改革委、教委、科技局、人力社保局、大数据发展局（大数据主管部门），西部科学城重庆高新区、万盛经开区经济信息、发展改革、教育、科技、人力社保、大数据主管部门，各有关单位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val="en-US" w:eastAsia="zh-CN" w:bidi="ar-SA"/>
        </w:rPr>
        <w:t>《重庆市进一步推进软件和信息服务业“满天星”行动计划实施方案》已经市政府第70次常务会议和市委第173次常委会会议审议通过。现印发你们，请结合实际认真贯彻执行。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kern w:val="36"/>
          <w:sz w:val="32"/>
          <w:szCs w:val="32"/>
          <w:lang w:val="en-US" w:eastAsia="zh-CN" w:bidi="ar-SA"/>
        </w:rPr>
        <w:t>特此通知。</w:t>
      </w: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520" w:firstLineChars="1100"/>
        <w:jc w:val="righ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320" w:firstLineChars="100"/>
        <w:jc w:val="both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after="0" w:line="6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              重庆市经济和信息化委员会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4480" w:firstLineChars="1400"/>
        <w:jc w:val="both"/>
        <w:textAlignment w:val="auto"/>
        <w:rPr>
          <w:rFonts w:hint="default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重庆市发展和改革委员会 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             重庆市教育委员会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             重庆市科学技术局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             重庆市人力资源和社会保障局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 w:firstLine="0" w:firstLineChars="0"/>
        <w:jc w:val="righ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                        重庆市大数据应用发展管理局                           </w:t>
      </w:r>
      <w:r>
        <w:rPr>
          <w:rFonts w:hint="eastAsia" w:ascii="Times New Roman" w:hAnsi="Times New Roman" w:eastAsia="方正仿宋_GBK" w:cs="方正仿宋_GBK"/>
          <w:color w:val="000000"/>
          <w:spacing w:val="23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 xml:space="preserve"> 2025年12月23日        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color w:val="000000"/>
          <w:sz w:val="32"/>
          <w:szCs w:val="32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textAlignment w:val="auto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13"/>
        <w:keepNext w:val="0"/>
        <w:keepLines w:val="0"/>
        <w:pageBreakBefore w:val="0"/>
        <w:widowControl/>
        <w:suppressLineNumbers w:val="0"/>
        <w:shd w:val="clear" w:color="auto"/>
        <w:kinsoku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right="0" w:rightChars="0"/>
        <w:jc w:val="both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right="0" w:rightChars="0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10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right="0" w:rightChars="0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right="0" w:rightChars="0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9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right="0" w:rightChars="0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right="0" w:rightChars="0"/>
        <w:jc w:val="center"/>
        <w:textAlignment w:val="auto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pStyle w:val="9"/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大标宋_GBK" w:hAnsi="方正大标宋_GBK" w:eastAsia="方正大标宋_GBK" w:cs="方正大标宋_GBK"/>
          <w:snapToGrid w:val="0"/>
          <w:kern w:val="0"/>
          <w:sz w:val="44"/>
          <w:szCs w:val="44"/>
          <w:lang w:bidi="ar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_GBK"/>
          <w:snapToGrid w:val="0"/>
          <w:kern w:val="0"/>
          <w:sz w:val="44"/>
          <w:szCs w:val="44"/>
          <w:lang w:bidi="ar"/>
        </w:rPr>
      </w:pPr>
      <w:r>
        <w:rPr>
          <w:rFonts w:eastAsia="方正小标宋_GBK"/>
          <w:snapToGrid w:val="0"/>
          <w:kern w:val="0"/>
          <w:sz w:val="44"/>
          <w:szCs w:val="44"/>
          <w:lang w:bidi="ar"/>
        </w:rPr>
        <w:t>重庆市进一步推进软件和信息服务业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eastAsia="方正小标宋_GBK"/>
          <w:snapToGrid w:val="0"/>
          <w:kern w:val="0"/>
          <w:szCs w:val="44"/>
          <w:lang w:bidi="ar"/>
        </w:rPr>
      </w:pPr>
      <w:r>
        <w:rPr>
          <w:rFonts w:hint="eastAsia" w:eastAsia="方正小标宋_GBK"/>
          <w:snapToGrid w:val="0"/>
          <w:kern w:val="0"/>
          <w:sz w:val="44"/>
          <w:szCs w:val="44"/>
          <w:lang w:eastAsia="zh-CN" w:bidi="ar"/>
        </w:rPr>
        <w:t>“</w:t>
      </w:r>
      <w:r>
        <w:rPr>
          <w:rFonts w:eastAsia="方正小标宋_GBK"/>
          <w:snapToGrid w:val="0"/>
          <w:kern w:val="0"/>
          <w:sz w:val="44"/>
          <w:szCs w:val="44"/>
          <w:lang w:bidi="ar"/>
        </w:rPr>
        <w:t>满天星</w:t>
      </w:r>
      <w:r>
        <w:rPr>
          <w:rFonts w:hint="eastAsia" w:eastAsia="方正小标宋_GBK"/>
          <w:snapToGrid w:val="0"/>
          <w:kern w:val="0"/>
          <w:sz w:val="44"/>
          <w:szCs w:val="44"/>
          <w:lang w:eastAsia="zh-CN" w:bidi="ar"/>
        </w:rPr>
        <w:t>”</w:t>
      </w:r>
      <w:r>
        <w:rPr>
          <w:rFonts w:eastAsia="方正小标宋_GBK"/>
          <w:snapToGrid w:val="0"/>
          <w:kern w:val="0"/>
          <w:sz w:val="44"/>
          <w:szCs w:val="44"/>
          <w:lang w:bidi="ar"/>
        </w:rPr>
        <w:t>行动计划实施方案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line="600" w:lineRule="exact"/>
        <w:ind w:firstLine="420" w:firstLineChars="200"/>
        <w:textAlignment w:val="auto"/>
        <w:rPr>
          <w:snapToGrid w:val="0"/>
          <w:kern w:val="0"/>
          <w:szCs w:val="32"/>
          <w:lang w:bidi="ar"/>
        </w:rPr>
      </w:pPr>
      <w:bookmarkStart w:id="0" w:name="_GoBack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为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深入贯彻落实国家软件发展战略和“人工智能+”行动，迭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代升级“满天星”行动计划，促进软件和信息服务业（以下简称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软信产业）高质量发展，加速实现“人才聚起来、产业强起来、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生态优起来”，制定本方案。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以集聚软信从业人员为核心任务，以AI智能体为主攻方向，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</w:rPr>
        <w:t>加速“AI+”应用，进一步推动聚“人”、用“数”、优“载体”、活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“氛围”，持续开展产品开发应用、市场主体培育、产业人才引育、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服务平台搭建、产业空间建设、发展氛围营造，推动智能体、新兴业态、专业软件等重点领域发展。到2027年，全市新增软信从业人员20万人，其中从事软件开发和“AI+”应用的核心软信人才2万人；新增产业载体使用面积200万平方米；新增软信企业1万家；力争新培育上市软信企业5家、“独角兽”软信企业5家、从业人员突破百人或营业收入突破亿元的“上星”软信企业50家；软信产业规模新增1500亿元，软件产品收入占全行业收入达到30%；建成具有全国影响力的软信产业集聚区及10个以上特色软信产业集聚区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二、重点任务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（一）深化智能体开发应用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1﹒加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快超大城市治理智能体开发。建设贴合城市治理需求的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智能体，利用AI智能体和数字孪生体推动超大城市治理能力现代化。开放“AI+”超大城市治理场景，支持软信企业参与超大城市现代化治理场景攻关。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2﹒加速制造领域智能体开发。支持制造业“研产供销服”全流程融合AI技术，支持软信企业面向工业领域研发和部署应用垂类大模型、AI智能体，推动制造业提质降本增效。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3﹒推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动产业融合智能体开发。支持软信企业面向教育、医疗、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科技、低空经济等领域开展智能体开发应用，打造数字科普产品。促进AI智能体与消费级硬件产品融合创新，培育新型智能产品。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（二）推动软信产业赋能新兴业态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4﹒支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持游戏产业发展。鼓励游戏企业在游戏开发运营等环节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融合应用生成式AI（AIGC）、强化学习、自然语言处理、辅助开发与代码生成等软信技术，开发“轻快准”游戏产品。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5﹒推动赋能影视动漫产业。鼓励建设AI科技片场，推动AI技术、内容创作软件、分发运营工具等在影视动漫、网络视听、微短剧等领域融合应用，提升生产全链路效率。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6﹒加速发展直播经济。支持软信企业与直播平台、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网络信息内容多渠道分发服务（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MCN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机构开展联合创新，面向直播场景开发软件产品。引导直播平台利用软信技术优化互动体验、提升运营效率，增强平台内容和安全管理效能。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（三）加快发展专业软件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7﹒培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育工业软件。重点发展研发设计类和生产控制类工业软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件，支持工业软件企业研发兼具通用性、易用性与可扩展性的工业软件产品。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8﹒做强汽车软件。支持整车企业与软信企业深度合作，推动车载操作系统发展与规模化应用，重点发展智能座舱、智能辅助驾驶和车载应用软件等汽车软件。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9﹒发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展卫星互联网及北斗应用软件。支持软信企业融入卫星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互联网产业发展与北斗规模化应用生态，推动在交通、物流、农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业等关键领域开展北斗应用软件创新。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10﹒发展开源鸿蒙软件。支持软信企业与开源鸿蒙生态企业合作，建设应用创新中心，推动设立适配中心，提升基于开源鸿蒙的研发和服务能力。支持软信企业开发基于开源鸿蒙的首版次软件产品。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（四）加强市场主体培育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11﹒强化企业梯度培育。鼓励软信企业向总集总包服务商转型，提升综合解决方案供给与技术集成服务能力。鼓励软信企业做大做强，培育“上星”软信企业、专精特新“小巨人”软信企业、“独角兽”软信企业、市级“北斗星”“启明星”软信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12﹒支持中小微企业发展。支持中小微企业开展软信领域技术攻关，对从事AI智能体、数字孪生体开发的软信企业提供算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力支持，鼓励金融机构为中小微软信企业创业提供融资担保服务。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13﹒加强人才引育。重点引育软信产业领军人才和团队。鼓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励校企共建订单班、产业学院和实训基地，定制化培养技能型、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复合型人才，支持培育成效优秀的单位打造“星晖基地”。建立“企业认定、政府认账”的软信人才认定机制，支持软信企业申报“新八级工”制度试点单位。有关区县用好人才支持政策和发展平台，确保软信人才“引得来、留得住、用得好”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（五）打造产业服务平台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14﹒建设能力开放平台。加快建设智能体开放平台、集成服务平台等能力开放平台，支持搭建模型即服务（MaaS）平台，提升规模化服务能力。支持打造年度服务企业数量超50家的“星帮手”平台。支持企业开展数据归集、清洗和标注，建设可信数据空间，构建行业语料库和高质量数据集，市场化推动数据开放流通，激活数据要素“业务种子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15﹒打</w:t>
      </w:r>
      <w:r>
        <w:rPr>
          <w:rFonts w:hint="eastAsia" w:ascii="Times New Roman" w:hAnsi="Times New Roman" w:eastAsia="方正仿宋_GBK" w:cs="Times New Roman"/>
          <w:spacing w:val="-5"/>
          <w:sz w:val="32"/>
          <w:szCs w:val="32"/>
        </w:rPr>
        <w:t>造公共服务平台。支持建设软信行业公共服务平台，面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向软信企业技术创新、成果转化、产业协同等发展需求，为软信企业提供覆盖研发设计、测试验证、成果孵化等关键环节的全流程专业服务。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16﹒搭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建行业赋能平台。支持建设中小企业数智化赋能平台，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为中小企业提供数智化转型解决方案。支持围绕数字内容和文化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创意产业特定场景，建设用于内容创作的新型基础设施共享平台。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（六）优化产业空间建设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17﹒建设市级产业集聚区。两江新区、西部科学城重庆高新区发挥示范引领作用，以环照母山片区、大学城等区域为核心载体，建立“政府引导、市场运作、专业运营”的园区管理模式和一站式服务体系，加快打造“模力高地”等人工智能产业生态社区，吸引软信企业和人才加速汇聚，形成具有全国影响力的软信产业集聚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18﹒打造特色产业集聚区。其他中心城区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有关区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立足自身优势和产业基础，在重庆数字经济产业园、重庆软件园等区域打造具有辨识度的软信产业集聚区；鼓励其他有条件的区县围绕优势细分方向，有序布局软信产业，积极盘活闲置楼宇，建设特色产业集聚区。支持企业吸引合作伙伴集聚发展，打造企业生态集聚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19﹒建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设创新创业社区。依托环大学创新创业生态圈等载体，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鼓励有条件的高校建设高校软件园，促进高校师生创新创业。鼓励各区县建设软信产业创业社区（街区），营造“拎包入住”的创业环境，为初创软信企业提供全方位服务，切实降低创新创业成本。鼓励各创业社区（街区）常态化开展创新沙龙等活动，激发年轻人创新创业活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20﹒打</w:t>
      </w:r>
      <w:r>
        <w:rPr>
          <w:rFonts w:hint="eastAsia" w:ascii="Times New Roman" w:hAnsi="Times New Roman" w:eastAsia="方正仿宋_GBK" w:cs="Times New Roman"/>
          <w:spacing w:val="-5"/>
          <w:sz w:val="32"/>
          <w:szCs w:val="32"/>
        </w:rPr>
        <w:t>造特色开源社区。支持软信企业参与开源社区建设，推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动成立特色开源组织，深化开源技术支持和应用场景开发，完善开发者服务生态，加速集聚开源生态合作伙伴。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eastAsia" w:ascii="方正楷体_GBK" w:hAnsi="方正楷体_GBK" w:eastAsia="方正楷体_GBK" w:cs="方正楷体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（七）营造浓厚发展氛围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21﹒支持举办生态活动。支持举办软信领域赛事活动和产业生态活动。市级有关部门和区县加强统筹策划与组织实施，着力营造产业发展氛围。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22﹒加快推动场景开放。构建常态化供需对接机制，鼓励举办场景发布、供需对接等活动，定期发布数字重庆建设、超大城市现代化治理和产业升级等领域“机会清单”，汇集公布软信企业“能力清单”，鼓励以“揭榜挂帅”方式开展应用试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23﹒推动城市“流量”开发。支持将工业IP、文化IP等重庆特色IP转化为数字资产，助力软信企业开展二次创作。建立流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量数据商业化应用体系，依法整合景区人流、消费行为等数据，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助力软信企业开发精准营销等数字内容产品，推动城市“网红流量”转化为产业“发展增量”。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 w:val="0"/>
        <w:snapToGrid w:val="0"/>
        <w:spacing w:beforeLines="0" w:afterLines="0" w:line="60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Style w:val="18"/>
          <w:rFonts w:hint="eastAsia" w:ascii="方正楷体_GBK" w:hAnsi="方正楷体_GBK" w:eastAsia="方正楷体_GBK" w:cs="方正楷体_GBK"/>
          <w:sz w:val="32"/>
          <w:szCs w:val="32"/>
        </w:rPr>
        <w:t>（一）加强组织领导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以市政府分管领导为召集人，实行“市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级统筹、市区联动、以区为主、部门协同”的全市软信产业发展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和“满天星”行动计划推进工作机制。充分发挥工作专班作用，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定期会商研究解决涉及软信产业发展的关键问题。专班办公室设在市经济信息委，负责专班日常工作。区县和行业部门实施“一把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</w:rPr>
        <w:t>手”挂帅机制定期调度，全面推进各项任务落细落实。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</w:t>
      </w:r>
      <w:r>
        <w:rPr>
          <w:rStyle w:val="18"/>
          <w:rFonts w:hint="eastAsia" w:ascii="方正楷体_GBK" w:hAnsi="方正楷体_GBK" w:eastAsia="方正楷体_GBK" w:cs="方正楷体_GBK"/>
          <w:sz w:val="32"/>
          <w:szCs w:val="32"/>
        </w:rPr>
        <w:t>二）建立成效监测体系。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聚焦软信产业新增从业人员、场所面积、研发投入、软件产品收入占比等核心指标，构建“定期监测、动态评估、反馈优化”的全流程工作成效监测体系，科学评估“满天星”行动计划工作推进成效。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Style w:val="18"/>
          <w:rFonts w:hint="eastAsia" w:ascii="方正楷体_GBK" w:hAnsi="方正楷体_GBK" w:eastAsia="方正楷体_GBK" w:cs="方正楷体_GBK"/>
          <w:sz w:val="32"/>
          <w:szCs w:val="32"/>
        </w:rPr>
        <w:t>（三）加大政策支持力度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市级财政统筹安排“满天星”行动计划专项资金，市级有关部门统筹用好各类专项资金，加强资金监管，形成对“满天星”行动计划的支持合力。用好种子投资基金、天使投资基金，促进软信人才创新创业和科技成果产业化。设立市级软信产业专项发展基金，开发适配软信产业的专项融资产品，“投贷结合”解决软信企业融资需求。鼓励有关区县制定支持软信产业发展及人才专项政策，解决企业发展及人才住房、“一老一小”等关键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Style w:val="18"/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Style w:val="18"/>
          <w:rFonts w:hint="eastAsia" w:ascii="方正楷体_GBK" w:hAnsi="方正楷体_GBK" w:eastAsia="方正楷体_GBK" w:cs="方正楷体_GBK"/>
          <w:sz w:val="32"/>
          <w:szCs w:val="32"/>
        </w:rPr>
        <w:t>（四）加强制度创新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实施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包容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审慎监管，为创新技术产品提供安全可控的发展空间。探索建立知识产权侵权快速处理机制，完善知识产权保护体系。支持软信企业搭建海外分发网络，优化产品出海审批程序，在确保安全的前提下简化数据出境流程，助力企业国际化运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本方案实施期限自印发之日起至2027年12月31日止。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bookmarkEnd w:id="0"/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contextualSpacing/>
        <w:textAlignment w:val="auto"/>
        <w:outlineLvl w:val="9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0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1" w:firstLineChars="0"/>
        <w:contextualSpacing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1417" w:footer="1247" w:gutter="0"/>
      <w:pgNumType w:fmt="numberInDash"/>
      <w:cols w:space="72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12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76200</wp:posOffset>
              </wp:positionH>
              <wp:positionV relativeFrom="paragraph">
                <wp:posOffset>139065</wp:posOffset>
              </wp:positionV>
              <wp:extent cx="5409565" cy="1905"/>
              <wp:effectExtent l="0" t="0" r="0" b="0"/>
              <wp:wrapNone/>
              <wp:docPr id="2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409565" cy="1905"/>
                      </a:xfrm>
                      <a:prstGeom prst="straightConnector1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11" o:spid="_x0000_s1026" o:spt="32" type="#_x0000_t32" style="position:absolute;left:0pt;flip:y;margin-left:6pt;margin-top:10.95pt;height:0.15pt;width:425.95pt;z-index:251660288;mso-width-relative:page;mso-height-relative:page;" filled="f" stroked="t" coordsize="21600,21600" o:gfxdata="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1vPTc9YAAAAIAQAADwAAAAAAAAABACAAAAAiAAAAZHJz&#10;L2Rvd25yZXYueG1sUEsBAhQAFAAAAAgAh07iQCrUSnAGAgAA/wMAAA4AAAAAAAAAAQAgAAAAJQEA&#10;AGRycy9lMm9Eb2MueG1sUEsFBgAAAAAGAAYAWQEAAJ0FAAAAAA==&#10;">
              <v:fill on="f" focussize="0,0"/>
              <v:stroke weight="1.75pt" color="#005192" joinstyle="miter"/>
              <v:imagedata o:title=""/>
              <o:lock v:ext="edit" aspectratio="f"/>
            </v:shape>
          </w:pict>
        </mc:Fallback>
      </mc:AlternateContent>
    </w:r>
  </w:p>
  <w:p>
    <w:pPr>
      <w:pStyle w:val="12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>重庆市经济和信息化委员会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  <w:r>
      <w:rPr>
        <w:rFonts w:hint="eastAsia" w:ascii="宋体" w:hAnsi="宋体" w:cs="宋体"/>
        <w:b/>
        <w:bCs/>
        <w:color w:val="005192"/>
        <w:sz w:val="28"/>
        <w:szCs w:val="44"/>
        <w:lang w:val="en-US" w:eastAsia="zh-CN"/>
      </w:rPr>
      <w:t xml:space="preserve">  </w:t>
    </w:r>
    <w:r>
      <w:rPr>
        <w:rFonts w:hint="default" w:ascii="宋体" w:hAnsi="宋体" w:eastAsia="宋体" w:cs="宋体"/>
        <w:b/>
        <w:bCs/>
        <w:color w:val="005192"/>
        <w:sz w:val="28"/>
        <w:szCs w:val="44"/>
        <w:lang w:eastAsia="zh-CN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25400</wp:posOffset>
              </wp:positionH>
              <wp:positionV relativeFrom="paragraph">
                <wp:posOffset>348615</wp:posOffset>
              </wp:positionV>
              <wp:extent cx="5584190" cy="6985"/>
              <wp:effectExtent l="0" t="0" r="0" b="0"/>
              <wp:wrapNone/>
              <wp:docPr id="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84190" cy="6985"/>
                      </a:xfrm>
                      <a:prstGeom prst="straightConnector1">
                        <a:avLst/>
                      </a:prstGeom>
                      <a:ln w="22225" cap="flat" cmpd="sng">
                        <a:solidFill>
                          <a:srgbClr val="005192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2" o:spid="_x0000_s1026" o:spt="32" type="#_x0000_t32" style="position:absolute;left:0pt;margin-left:2pt;margin-top:27.45pt;height:0.55pt;width:439.7pt;z-index:251659264;mso-width-relative:page;mso-height-relative:page;" filled="f" stroked="t" coordsize="21600,21600" o:gfxdata="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RQvjo1gAAAAcBAAAPAAAAAAAAAAEAIAAAACIAAABkcnMvZG93bnJl&#10;di54bWxQSwECFAAUAAAACACHTuJAw5XpRP8BAAD0AwAADgAAAAAAAAABACAAAAAlAQAAZHJzL2Uy&#10;b0RvYy54bWxQSwUGAAAAAAYABgBZAQAAlgUAAAAA&#10;">
              <v:fill on="f" focussize="0,0"/>
              <v:stroke weight="1.75pt" color="#005192" joinstyle="miter"/>
              <v:imagedata o:title=""/>
              <o:lock v:ext="edit" aspectratio="f"/>
            </v:shap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  <a:noFill/>
                  <a:ln w="9525">
                    <a:noFill/>
                  </a:ln>
                  <a:effectLst/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lang w:eastAsia="zh-CN"/>
      </w:rPr>
      <w:t>重庆市经济和信息化委员会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A03A9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DA40B00"/>
    <w:rsid w:val="0E025194"/>
    <w:rsid w:val="0EEF0855"/>
    <w:rsid w:val="10433509"/>
    <w:rsid w:val="11DB7C71"/>
    <w:rsid w:val="152D2DCA"/>
    <w:rsid w:val="187168EA"/>
    <w:rsid w:val="18FA03A9"/>
    <w:rsid w:val="196673CA"/>
    <w:rsid w:val="1C1D59A4"/>
    <w:rsid w:val="1CF734C9"/>
    <w:rsid w:val="1DEC284C"/>
    <w:rsid w:val="1E6523AC"/>
    <w:rsid w:val="22440422"/>
    <w:rsid w:val="22BB4BBB"/>
    <w:rsid w:val="25EB1AF4"/>
    <w:rsid w:val="27925691"/>
    <w:rsid w:val="294C4119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432C09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E500467"/>
    <w:rsid w:val="5FCD688E"/>
    <w:rsid w:val="5FF9BDAA"/>
    <w:rsid w:val="608816D1"/>
    <w:rsid w:val="60EF4E7F"/>
    <w:rsid w:val="648B0A32"/>
    <w:rsid w:val="658F6764"/>
    <w:rsid w:val="665233C1"/>
    <w:rsid w:val="69AC0D42"/>
    <w:rsid w:val="6A597EEA"/>
    <w:rsid w:val="6AB14817"/>
    <w:rsid w:val="6AD9688B"/>
    <w:rsid w:val="6B68303F"/>
    <w:rsid w:val="6D0E3F22"/>
    <w:rsid w:val="744E4660"/>
    <w:rsid w:val="753355A2"/>
    <w:rsid w:val="759F1C61"/>
    <w:rsid w:val="769F2DE8"/>
    <w:rsid w:val="76C673E0"/>
    <w:rsid w:val="76FDEB7C"/>
    <w:rsid w:val="79C65162"/>
    <w:rsid w:val="79EE7E31"/>
    <w:rsid w:val="7BCB5C74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kern w:val="36"/>
      <w:sz w:val="24"/>
      <w:szCs w:val="24"/>
      <w:lang w:val="en-US" w:eastAsia="zh-CN" w:bidi="ar-SA"/>
    </w:rPr>
  </w:style>
  <w:style w:type="paragraph" w:styleId="4">
    <w:name w:val="heading 2"/>
    <w:next w:val="1"/>
    <w:unhideWhenUsed/>
    <w:qFormat/>
    <w:uiPriority w:val="0"/>
    <w:pPr>
      <w:keepNext w:val="0"/>
      <w:keepLines w:val="0"/>
      <w:widowControl w:val="0"/>
      <w:kinsoku/>
      <w:overflowPunct w:val="0"/>
      <w:adjustRightInd w:val="0"/>
      <w:spacing w:beforeLines="0" w:beforeAutospacing="0" w:afterLines="0" w:afterAutospacing="0" w:line="240" w:lineRule="auto"/>
      <w:ind w:firstLine="632" w:firstLineChars="200"/>
      <w:jc w:val="both"/>
      <w:outlineLvl w:val="1"/>
    </w:pPr>
    <w:rPr>
      <w:rFonts w:ascii="Times New Roman" w:hAnsi="Times New Roman" w:eastAsia="方正黑体_GBK" w:cs="Times New Roman"/>
      <w:kern w:val="2"/>
      <w:sz w:val="32"/>
      <w:lang w:val="en-US" w:eastAsia="zh-CN" w:bidi="ar-SA"/>
    </w:rPr>
  </w:style>
  <w:style w:type="paragraph" w:styleId="5">
    <w:name w:val="heading 3"/>
    <w:next w:val="1"/>
    <w:link w:val="18"/>
    <w:unhideWhenUsed/>
    <w:qFormat/>
    <w:uiPriority w:val="0"/>
    <w:pPr>
      <w:keepNext w:val="0"/>
      <w:keepLines w:val="0"/>
      <w:widowControl w:val="0"/>
      <w:kinsoku/>
      <w:overflowPunct w:val="0"/>
      <w:adjustRightInd w:val="0"/>
      <w:spacing w:beforeLines="0" w:beforeAutospacing="0" w:afterLines="0" w:afterAutospacing="0" w:line="240" w:lineRule="auto"/>
      <w:ind w:firstLine="632" w:firstLineChars="200"/>
      <w:jc w:val="both"/>
      <w:outlineLvl w:val="2"/>
    </w:pPr>
    <w:rPr>
      <w:rFonts w:ascii="Times New Roman" w:hAnsi="Times New Roman" w:eastAsia="方正楷体_GBK" w:cs="Times New Roman"/>
      <w:kern w:val="2"/>
      <w:sz w:val="32"/>
      <w:lang w:val="en-US" w:eastAsia="zh-CN" w:bidi="ar-SA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5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qFormat/>
    <w:uiPriority w:val="0"/>
    <w:pPr>
      <w:widowControl w:val="0"/>
      <w:suppressAutoHyphens/>
      <w:spacing w:after="120" w:line="360" w:lineRule="auto"/>
      <w:ind w:firstLine="420"/>
      <w:jc w:val="both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paragraph" w:styleId="7">
    <w:name w:val="index 5"/>
    <w:next w:val="1"/>
    <w:qFormat/>
    <w:uiPriority w:val="0"/>
    <w:pPr>
      <w:widowControl w:val="0"/>
      <w:ind w:left="168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8">
    <w:name w:val="annotation text"/>
    <w:basedOn w:val="1"/>
    <w:qFormat/>
    <w:uiPriority w:val="0"/>
    <w:pPr>
      <w:jc w:val="left"/>
    </w:pPr>
  </w:style>
  <w:style w:type="paragraph" w:styleId="9">
    <w:name w:val="Body Text"/>
    <w:basedOn w:val="1"/>
    <w:next w:val="10"/>
    <w:qFormat/>
    <w:uiPriority w:val="0"/>
    <w:rPr>
      <w:rFonts w:ascii="Calibri" w:hAnsi="Calibri" w:eastAsia="仿宋_GB2312" w:cs="Times New Roman"/>
      <w:sz w:val="28"/>
    </w:rPr>
  </w:style>
  <w:style w:type="paragraph" w:styleId="10">
    <w:name w:val="index 7"/>
    <w:basedOn w:val="1"/>
    <w:next w:val="1"/>
    <w:qFormat/>
    <w:uiPriority w:val="0"/>
    <w:pPr>
      <w:ind w:left="2520"/>
    </w:pPr>
    <w:rPr>
      <w:rFonts w:ascii="Calibri" w:hAnsi="Calibri" w:eastAsia="宋体" w:cs="Times New Roman"/>
    </w:rPr>
  </w:style>
  <w:style w:type="paragraph" w:styleId="11">
    <w:name w:val="footer"/>
    <w:basedOn w:val="1"/>
    <w:next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6">
    <w:name w:val="Strong"/>
    <w:basedOn w:val="15"/>
    <w:qFormat/>
    <w:uiPriority w:val="0"/>
    <w:rPr>
      <w:b/>
      <w:bCs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8">
    <w:name w:val="标题 3 Char"/>
    <w:link w:val="5"/>
    <w:qFormat/>
    <w:uiPriority w:val="0"/>
    <w:rPr>
      <w:rFonts w:ascii="Times New Roman" w:hAnsi="Times New Roman" w:eastAsia="方正楷体_GBK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2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2.wpt</Template>
  <Pages>10</Pages>
  <Words>1105</Words>
  <Characters>1160</Characters>
  <Lines>1</Lines>
  <Paragraphs>1</Paragraphs>
  <TotalTime>3</TotalTime>
  <ScaleCrop>false</ScaleCrop>
  <LinksUpToDate>false</LinksUpToDate>
  <CharactersWithSpaces>1204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2024-01-05T01:55:00Z</dcterms:created>
  <dc:creator>熊雪芹</dc:creator>
  <cp:lastModifiedBy>徐琳</cp:lastModifiedBy>
  <dcterms:modified xsi:type="dcterms:W3CDTF">2025-12-31T01:18:30Z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CC4AAD2F05374D8390398C0804F4163A</vt:lpwstr>
  </property>
</Properties>
</file>