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jc w:val="both"/>
        <w:textAlignment w:val="auto"/>
        <w:rPr>
          <w:rFonts w:hint="eastAsia" w:ascii="Times New Roman" w:hAnsi="Times New Roman" w:eastAsia="方正黑体_GBK"/>
          <w:sz w:val="32"/>
          <w:szCs w:val="32"/>
        </w:rPr>
      </w:pPr>
      <w:bookmarkStart w:id="2" w:name="_GoBack"/>
      <w:bookmarkEnd w:id="2"/>
      <w:r>
        <w:rPr>
          <w:rFonts w:ascii="Times New Roman" w:hAnsi="Times New Roman" w:eastAsia="方正黑体_GBK"/>
          <w:sz w:val="32"/>
          <w:szCs w:val="32"/>
        </w:rPr>
        <w:t>附件</w:t>
      </w:r>
      <w:r>
        <w:rPr>
          <w:rFonts w:hint="eastAsia" w:ascii="Times New Roman" w:hAnsi="Times New Roman" w:eastAsia="方正黑体_GBK"/>
          <w:sz w:val="32"/>
          <w:szCs w:val="32"/>
        </w:rPr>
        <w:t>1</w:t>
      </w:r>
    </w:p>
    <w:p>
      <w:pPr>
        <w:pStyle w:val="2"/>
        <w:keepNext w:val="0"/>
        <w:keepLines w:val="0"/>
        <w:pageBreakBefore w:val="0"/>
        <w:wordWrap/>
        <w:overflowPunct/>
        <w:topLinePunct w:val="0"/>
        <w:bidi w:val="0"/>
        <w:spacing w:line="580" w:lineRule="exact"/>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jc w:val="center"/>
        <w:textAlignment w:val="auto"/>
        <w:rPr>
          <w:rFonts w:hint="eastAsia" w:ascii="方正小标宋_GBK" w:hAnsi="方正小标宋_GBK" w:eastAsia="方正小标宋_GBK" w:cs="方正小标宋_GBK"/>
          <w:color w:val="auto"/>
          <w:kern w:val="0"/>
          <w:sz w:val="44"/>
          <w:szCs w:val="44"/>
          <w:highlight w:val="none"/>
          <w:lang w:val="en-US" w:eastAsia="zh-CN" w:bidi="ar"/>
        </w:rPr>
      </w:pPr>
      <w:r>
        <w:rPr>
          <w:rFonts w:hint="eastAsia" w:ascii="方正小标宋_GBK" w:hAnsi="方正小标宋_GBK" w:eastAsia="方正小标宋_GBK" w:cs="方正小标宋_GBK"/>
          <w:color w:val="auto"/>
          <w:kern w:val="0"/>
          <w:sz w:val="44"/>
          <w:szCs w:val="44"/>
          <w:highlight w:val="none"/>
          <w:lang w:val="en-US" w:eastAsia="zh-CN" w:bidi="ar"/>
        </w:rPr>
        <w:t>重庆市虚拟电厂参与电力市场交易</w:t>
      </w:r>
    </w:p>
    <w:p>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jc w:val="center"/>
        <w:textAlignment w:val="auto"/>
        <w:rPr>
          <w:rFonts w:hint="eastAsia" w:ascii="方正小标宋_GBK" w:hAnsi="方正小标宋_GBK" w:eastAsia="方正小标宋_GBK" w:cs="方正小标宋_GBK"/>
          <w:color w:val="auto"/>
          <w:kern w:val="0"/>
          <w:sz w:val="44"/>
          <w:szCs w:val="44"/>
          <w:highlight w:val="none"/>
          <w:lang w:val="en-US" w:eastAsia="zh-CN" w:bidi="ar"/>
        </w:rPr>
      </w:pPr>
      <w:r>
        <w:rPr>
          <w:rFonts w:hint="eastAsia" w:ascii="方正小标宋_GBK" w:hAnsi="方正小标宋_GBK" w:eastAsia="方正小标宋_GBK" w:cs="方正小标宋_GBK"/>
          <w:color w:val="auto"/>
          <w:kern w:val="0"/>
          <w:sz w:val="44"/>
          <w:szCs w:val="44"/>
          <w:highlight w:val="none"/>
          <w:lang w:val="en-US" w:eastAsia="zh-CN" w:bidi="ar"/>
        </w:rPr>
        <w:t>实施方案</w:t>
      </w:r>
    </w:p>
    <w:p>
      <w:pPr>
        <w:pStyle w:val="4"/>
        <w:keepNext w:val="0"/>
        <w:keepLines w:val="0"/>
        <w:pageBreakBefore w:val="0"/>
        <w:wordWrap/>
        <w:overflowPunct/>
        <w:topLinePunct w:val="0"/>
        <w:bidi w:val="0"/>
        <w:adjustRightInd w:val="0"/>
        <w:snapToGrid w:val="0"/>
        <w:spacing w:after="0" w:line="580" w:lineRule="exact"/>
        <w:jc w:val="center"/>
        <w:rPr>
          <w:rFonts w:ascii="Times New Roman" w:hAnsi="Times New Roman" w:eastAsia="方正楷体_GBK"/>
          <w:kern w:val="0"/>
          <w:sz w:val="32"/>
          <w:szCs w:val="32"/>
        </w:rPr>
      </w:pPr>
      <w:r>
        <w:rPr>
          <w:rFonts w:ascii="Times New Roman" w:hAnsi="Times New Roman" w:eastAsia="方正楷体_GBK"/>
          <w:kern w:val="0"/>
          <w:sz w:val="32"/>
          <w:szCs w:val="32"/>
        </w:rPr>
        <w:t>（征求意见稿）</w:t>
      </w:r>
    </w:p>
    <w:p>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jc w:val="center"/>
        <w:textAlignment w:val="auto"/>
        <w:rPr>
          <w:rFonts w:hint="eastAsia" w:ascii="方正小标宋简体" w:hAnsi="方正小标宋简体" w:eastAsia="方正小标宋简体" w:cs="方正小标宋简体"/>
          <w:color w:val="auto"/>
          <w:kern w:val="0"/>
          <w:sz w:val="32"/>
          <w:szCs w:val="32"/>
          <w:highlight w:val="none"/>
          <w:lang w:val="en-US" w:eastAsia="zh-CN" w:bidi="ar"/>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为贯彻落实《关于加快推进虚拟电厂发展的指导意见》（发改能源〔2025〕357号）、《国家能源局关于支持电力领域新型经营主体创新发展的指导意见》（国能发法改〔2024〕93号）、《关于深化新能源上网电价市场化改革促进新能源高质量发展的通知》（发改价格</w:t>
      </w:r>
      <w:bookmarkStart w:id="0" w:name="OLE_LINK1"/>
      <w:r>
        <w:rPr>
          <w:rFonts w:hint="default" w:ascii="Times New Roman" w:hAnsi="Times New Roman" w:eastAsia="方正仿宋_GBK" w:cs="Times New Roman"/>
          <w:color w:val="auto"/>
          <w:sz w:val="32"/>
          <w:szCs w:val="32"/>
          <w:highlight w:val="none"/>
          <w:lang w:val="en-US" w:eastAsia="zh-CN"/>
        </w:rPr>
        <w:t>〔2025〕</w:t>
      </w:r>
      <w:bookmarkEnd w:id="0"/>
      <w:r>
        <w:rPr>
          <w:rFonts w:hint="default" w:ascii="Times New Roman" w:hAnsi="Times New Roman" w:eastAsia="方正仿宋_GBK" w:cs="Times New Roman"/>
          <w:color w:val="auto"/>
          <w:sz w:val="32"/>
          <w:szCs w:val="32"/>
          <w:highlight w:val="none"/>
          <w:lang w:val="en-US" w:eastAsia="zh-CN"/>
        </w:rPr>
        <w:t>136号）、《重庆市虚拟电厂建设管理实施方案》（渝经信电力〔2024〕7号）等文件精神，加快推动虚拟电厂合规有序入市，建立健全虚拟电厂参与电力市场交易机制，充分发挥需求侧资源灵活调节作用，结合我市实际，制定本方案。</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80" w:lineRule="exact"/>
        <w:ind w:left="0" w:leftChars="0" w:firstLine="640" w:firstLineChars="200"/>
        <w:textAlignment w:val="auto"/>
        <w:outlineLvl w:val="0"/>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参与条件</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580" w:lineRule="exact"/>
        <w:ind w:left="0" w:leftChars="0" w:firstLine="640" w:firstLineChars="200"/>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参与主体要求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bCs/>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虚拟电厂运营商在电力市场中开展交易，应具备售电公司资质，且在电力交易平台完成市场注册。</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580" w:lineRule="exact"/>
        <w:ind w:left="0" w:leftChars="0" w:firstLine="640" w:firstLineChars="200"/>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聚合资源要求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虚拟电厂聚合资源应为具有</w:t>
      </w:r>
      <w:r>
        <w:rPr>
          <w:rFonts w:hint="eastAsia" w:ascii="方正仿宋_GBK" w:hAnsi="方正仿宋_GBK" w:eastAsia="方正仿宋_GBK" w:cs="方正仿宋_GBK"/>
          <w:color w:val="auto"/>
          <w:sz w:val="32"/>
          <w:szCs w:val="32"/>
          <w:highlight w:val="none"/>
        </w:rPr>
        <w:t>国网重庆市电力公司（以下简称“电力公司”）</w:t>
      </w:r>
      <w:r>
        <w:rPr>
          <w:rFonts w:hint="eastAsia" w:ascii="方正仿宋_GBK" w:hAnsi="方正仿宋_GBK" w:eastAsia="方正仿宋_GBK" w:cs="方正仿宋_GBK"/>
          <w:color w:val="auto"/>
          <w:sz w:val="32"/>
          <w:szCs w:val="32"/>
          <w:highlight w:val="none"/>
          <w:lang w:eastAsia="zh-CN"/>
        </w:rPr>
        <w:t>独立</w:t>
      </w:r>
      <w:r>
        <w:rPr>
          <w:rFonts w:hint="eastAsia" w:ascii="方正仿宋_GBK" w:hAnsi="方正仿宋_GBK" w:eastAsia="方正仿宋_GBK" w:cs="方正仿宋_GBK"/>
          <w:color w:val="auto"/>
          <w:sz w:val="32"/>
          <w:szCs w:val="32"/>
          <w:highlight w:val="none"/>
        </w:rPr>
        <w:t>营销户号</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在电力交易平台注册、非电力调度机构直接调度管辖的用电主体。在电力市场中，同一经营主体同一周期内仅可与一家</w:t>
      </w:r>
      <w:r>
        <w:rPr>
          <w:rFonts w:hint="eastAsia" w:ascii="方正仿宋_GBK" w:hAnsi="方正仿宋_GBK" w:eastAsia="方正仿宋_GBK" w:cs="方正仿宋_GBK"/>
          <w:strike w:val="0"/>
          <w:color w:val="auto"/>
          <w:sz w:val="32"/>
          <w:szCs w:val="32"/>
          <w:highlight w:val="none"/>
          <w:lang w:val="en-US" w:eastAsia="zh-CN"/>
        </w:rPr>
        <w:t>售电公司、</w:t>
      </w:r>
      <w:r>
        <w:rPr>
          <w:rFonts w:hint="eastAsia" w:ascii="方正仿宋_GBK" w:hAnsi="方正仿宋_GBK" w:eastAsia="方正仿宋_GBK" w:cs="方正仿宋_GBK"/>
          <w:color w:val="auto"/>
          <w:sz w:val="32"/>
          <w:szCs w:val="32"/>
          <w:highlight w:val="none"/>
          <w:lang w:val="en-US" w:eastAsia="zh-CN"/>
        </w:rPr>
        <w:t>虚拟电厂（含负荷聚合商）确立服务关系。虚拟电厂聚合资源在被虚拟电厂聚合期间，不得重复参与电力市场交易。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虚拟电厂根据聚合资源户号属性组合形成聚合单元，分为发电类聚合单元和负荷类聚合单元。聚合单元的负荷、电量数据通过其聚合资源电力营销户号负荷、电量叠加计算。</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3" w:firstLineChars="200"/>
        <w:jc w:val="both"/>
        <w:textAlignment w:val="auto"/>
        <w:outlineLvl w:val="2"/>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1．发电类聚合单元</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发电类聚合单元聚合10kV及以上发电户号属性的资源。发电类聚合单元以注册时电力现货市场出清节点（电网220千伏电压等级母线）为单位，聚合虚拟电厂在一个出清节点下的所有发电资源。单个虚拟电厂应具有2个及以上的发电类聚合单元。所有发电资源在前12个月的月度平均上网电量之和应不低于10000千瓦时，投产时间不足12个月的发电资源取立户后的月度平均上网电量计算。</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2"/>
        <w:rPr>
          <w:rFonts w:hint="default" w:ascii="方正仿宋_GBK" w:hAnsi="方正仿宋_GBK" w:eastAsia="方正仿宋_GBK" w:cs="方正仿宋_GBK"/>
          <w:color w:val="auto"/>
          <w:sz w:val="32"/>
          <w:szCs w:val="32"/>
          <w:highlight w:val="none"/>
          <w:lang w:val="en-US" w:eastAsia="zh-CN"/>
        </w:rPr>
      </w:pPr>
      <w:bookmarkStart w:id="1" w:name="OLE_LINK2"/>
      <w:r>
        <w:rPr>
          <w:rFonts w:hint="eastAsia" w:ascii="Times New Roman" w:hAnsi="Times New Roman" w:eastAsia="方正仿宋_GBK" w:cs="Times New Roman"/>
          <w:b w:val="0"/>
          <w:bCs w:val="0"/>
          <w:color w:val="auto"/>
          <w:sz w:val="32"/>
          <w:szCs w:val="32"/>
          <w:highlight w:val="none"/>
          <w:lang w:val="en-US" w:eastAsia="zh-CN"/>
        </w:rPr>
        <w:t>2</w:t>
      </w:r>
      <w:r>
        <w:rPr>
          <w:rFonts w:hint="default" w:ascii="Times New Roman" w:hAnsi="Times New Roman" w:eastAsia="方正仿宋_GBK" w:cs="Times New Roman"/>
          <w:b w:val="0"/>
          <w:bCs w:val="0"/>
          <w:color w:val="auto"/>
          <w:sz w:val="32"/>
          <w:szCs w:val="32"/>
          <w:highlight w:val="none"/>
          <w:lang w:val="en-US" w:eastAsia="zh-CN"/>
        </w:rPr>
        <w:t>．</w:t>
      </w:r>
      <w:bookmarkEnd w:id="1"/>
      <w:r>
        <w:rPr>
          <w:rFonts w:hint="eastAsia" w:ascii="方正仿宋_GBK" w:hAnsi="方正仿宋_GBK" w:eastAsia="方正仿宋_GBK" w:cs="方正仿宋_GBK"/>
          <w:b/>
          <w:bCs/>
          <w:color w:val="auto"/>
          <w:sz w:val="32"/>
          <w:szCs w:val="32"/>
          <w:highlight w:val="none"/>
          <w:lang w:val="en-US" w:eastAsia="zh-CN"/>
        </w:rPr>
        <w:t>负荷类聚合单元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楷体_GBK" w:cs="Times New Roman"/>
          <w:b/>
          <w:bCs/>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负荷类聚合单元聚合用电户号属性的资源。负荷类聚合单元聚合虚拟电厂下的所有负荷资源。负荷类聚合单元的聚合调节量应不低于10000千瓦，持续调节时间不小于1小时。</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580" w:lineRule="exact"/>
        <w:ind w:left="0" w:leftChars="0" w:firstLine="640" w:firstLineChars="200"/>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系统接入要求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虚拟电厂运营商开展市场注册前，应按照《重庆市虚拟电厂建设管理实施细则》要求，通过虚拟电厂运营服务平台提交相关资料，开展接入管理，获取电力市场调控能力认证。每季度虚拟电厂运营商申请电力市场能力校核次数不超过1次，有效期为1自然年。</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黑体_GBK" w:hAnsi="方正黑体_GBK" w:eastAsia="方正黑体_GBK" w:cs="方正黑体_GBK"/>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具有负荷类聚合单元的虚拟电厂，应接入虚拟电厂运营服务平台，与重庆市电力负荷管理中心签订负荷确认协议；具有</w:t>
      </w:r>
      <w:r>
        <w:rPr>
          <w:rFonts w:hint="default" w:ascii="Times New Roman" w:hAnsi="Times New Roman" w:eastAsia="方正仿宋_GBK" w:cs="Times New Roman"/>
          <w:color w:val="auto"/>
          <w:sz w:val="32"/>
          <w:szCs w:val="32"/>
          <w:highlight w:val="none"/>
        </w:rPr>
        <w:t>发电类</w:t>
      </w:r>
      <w:r>
        <w:rPr>
          <w:rFonts w:hint="default" w:ascii="Times New Roman" w:hAnsi="Times New Roman" w:eastAsia="方正仿宋_GBK" w:cs="Times New Roman"/>
          <w:color w:val="auto"/>
          <w:sz w:val="32"/>
          <w:szCs w:val="32"/>
          <w:highlight w:val="none"/>
          <w:lang w:val="en-US" w:eastAsia="zh-CN"/>
        </w:rPr>
        <w:t>聚合</w:t>
      </w:r>
      <w:r>
        <w:rPr>
          <w:rFonts w:hint="default" w:ascii="Times New Roman" w:hAnsi="Times New Roman" w:eastAsia="方正仿宋_GBK" w:cs="Times New Roman"/>
          <w:color w:val="auto"/>
          <w:sz w:val="32"/>
          <w:szCs w:val="32"/>
          <w:highlight w:val="none"/>
        </w:rPr>
        <w:t>单元</w:t>
      </w:r>
      <w:r>
        <w:rPr>
          <w:rFonts w:hint="default" w:ascii="Times New Roman" w:hAnsi="Times New Roman" w:eastAsia="方正仿宋_GBK" w:cs="Times New Roman"/>
          <w:color w:val="auto"/>
          <w:sz w:val="32"/>
          <w:szCs w:val="32"/>
          <w:highlight w:val="none"/>
          <w:lang w:eastAsia="zh-CN"/>
        </w:rPr>
        <w:t>的</w:t>
      </w:r>
      <w:r>
        <w:rPr>
          <w:rFonts w:hint="default" w:ascii="Times New Roman" w:hAnsi="Times New Roman" w:eastAsia="方正仿宋_GBK" w:cs="Times New Roman"/>
          <w:color w:val="auto"/>
          <w:sz w:val="32"/>
          <w:szCs w:val="32"/>
          <w:highlight w:val="none"/>
          <w:lang w:val="en-US" w:eastAsia="zh-CN"/>
        </w:rPr>
        <w:t>虚拟电厂</w:t>
      </w:r>
      <w:r>
        <w:rPr>
          <w:rFonts w:hint="default" w:ascii="Times New Roman" w:hAnsi="Times New Roman" w:eastAsia="方正仿宋_GBK" w:cs="Times New Roman"/>
          <w:color w:val="auto"/>
          <w:sz w:val="32"/>
          <w:szCs w:val="32"/>
          <w:highlight w:val="none"/>
          <w:lang w:eastAsia="zh-CN"/>
        </w:rPr>
        <w:t>，应接入</w:t>
      </w:r>
      <w:r>
        <w:rPr>
          <w:rFonts w:hint="default" w:ascii="Times New Roman" w:hAnsi="Times New Roman" w:eastAsia="方正仿宋_GBK" w:cs="Times New Roman"/>
          <w:color w:val="auto"/>
          <w:sz w:val="32"/>
          <w:szCs w:val="32"/>
          <w:highlight w:val="none"/>
          <w:lang w:val="en-US" w:eastAsia="zh-CN"/>
        </w:rPr>
        <w:t>电力调度自动化系统，具备功率预测功能和</w:t>
      </w:r>
      <w:r>
        <w:rPr>
          <w:rFonts w:hint="eastAsia" w:ascii="方正仿宋_GBK" w:hAnsi="方正仿宋_GBK" w:eastAsia="方正仿宋_GBK" w:cs="方正仿宋_GBK"/>
          <w:color w:val="auto"/>
          <w:sz w:val="32"/>
          <w:szCs w:val="32"/>
          <w:highlight w:val="none"/>
          <w:lang w:val="en-US" w:eastAsia="zh-CN"/>
        </w:rPr>
        <w:t>“四可”能力，与电力调度机构签订并网调度协议，纳入调度运行管理和电力平衡管理。</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80" w:lineRule="exact"/>
        <w:ind w:left="0" w:leftChars="0" w:firstLine="640" w:firstLineChars="200"/>
        <w:textAlignment w:val="auto"/>
        <w:outlineLvl w:val="0"/>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市场注册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虚拟电厂运营商注册、信息变更及注销流程参照《售电公司管理办法》要求执行，按照申请、承诺、审查、公示、生效的流程办理。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黑体_GBK" w:hAnsi="方正黑体_GBK" w:eastAsia="方正黑体_GBK" w:cs="方正黑体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虚拟电厂聚合范围发生变化时，需按《重庆市虚拟电厂建设管理实施细则》要求，向重庆市电力负荷管理中心提出变更申请，更新调控能力认证，重新签订负荷确认协议、并网调度协议，确保满足运行能力指标。虚拟电厂运营商获得更新的调控能力认证后，在电力交易机构完成信息变更。</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80" w:lineRule="exact"/>
        <w:ind w:left="0" w:leftChars="0" w:firstLine="640" w:firstLineChars="200"/>
        <w:textAlignment w:val="auto"/>
        <w:outlineLvl w:val="0"/>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交易方式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pP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虚拟电厂与聚合资源通过电力交易平台签订聚合套餐，同步实现聚合服务关系的自动建立，虚拟电厂与聚合资源聚合服务关系及合约周期须与聚合关系一致。聚合资源发生变化后，虚拟电厂须按聚合关系及时终止、重新签订聚合套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1"/>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（一）发电类聚合套餐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pP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当聚合资源为发电资源时，虚拟电厂与聚合资源签订发电类聚合套餐，套餐类型包括分成模式套餐与价差模式套餐。分成模式套餐中，分配比例由双方协商明确，以虚拟电厂发电总收益为基准，虚拟电厂按其与聚合资源约定的分成比例获取收益，聚合资源按其实际发电贡献及其与虚拟电厂约定的分成比例获取收益。价差模式套餐中，虚拟电厂与聚合资源按月固定分时段交易价格，虚拟电厂按购售费差计算收益，聚合资源按实际上网电量与签约价格计算收益。</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1"/>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（二）负荷类聚合套餐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黑体_GBK" w:hAnsi="方正黑体_GBK" w:eastAsia="方正黑体_GBK" w:cs="方正黑体_GBK"/>
          <w:color w:val="auto"/>
          <w:sz w:val="32"/>
          <w:szCs w:val="32"/>
          <w:highlight w:val="none"/>
          <w:lang w:val="en-US" w:eastAsia="zh-CN"/>
        </w:rPr>
      </w:pP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当聚合资源为电力用户时，虚拟电厂与聚合资源签订负荷类聚合套餐，约定电能量零售价格与调节量收益分配比例等事项。</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80" w:lineRule="exact"/>
        <w:ind w:firstLine="640" w:firstLineChars="200"/>
        <w:jc w:val="left"/>
        <w:textAlignment w:val="auto"/>
        <w:outlineLvl w:val="0"/>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交易品种</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虚拟电厂运营商完成市场注册后，负荷类、发电类聚合单元分别形成相应的交易单元，以交易单元整体参与电能量市场、调节量市场及辅助服务市场。</w:t>
      </w:r>
    </w:p>
    <w:p>
      <w:pPr>
        <w:pStyle w:val="11"/>
        <w:keepNext w:val="0"/>
        <w:keepLines w:val="0"/>
        <w:pageBreakBefore w:val="0"/>
        <w:widowControl w:val="0"/>
        <w:numPr>
          <w:ilvl w:val="0"/>
          <w:numId w:val="3"/>
        </w:numPr>
        <w:kinsoku/>
        <w:wordWrap/>
        <w:overflowPunct/>
        <w:topLinePunct w:val="0"/>
        <w:autoSpaceDE/>
        <w:autoSpaceDN/>
        <w:bidi w:val="0"/>
        <w:adjustRightInd/>
        <w:snapToGrid/>
        <w:spacing w:after="0" w:line="580" w:lineRule="exact"/>
        <w:ind w:left="0" w:leftChars="0" w:firstLine="640" w:firstLineChars="200"/>
        <w:textAlignment w:val="auto"/>
        <w:outlineLvl w:val="1"/>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电能量交易</w:t>
      </w:r>
    </w:p>
    <w:p>
      <w:pPr>
        <w:pStyle w:val="5"/>
        <w:keepNext w:val="0"/>
        <w:keepLines w:val="0"/>
        <w:pageBreakBefore w:val="0"/>
        <w:widowControl w:val="0"/>
        <w:numPr>
          <w:ilvl w:val="-1"/>
          <w:numId w:val="0"/>
        </w:numPr>
        <w:kinsoku w:val="0"/>
        <w:wordWrap/>
        <w:overflowPunct/>
        <w:topLinePunct w:val="0"/>
        <w:autoSpaceDE w:val="0"/>
        <w:autoSpaceDN w:val="0"/>
        <w:bidi w:val="0"/>
        <w:adjustRightInd w:val="0"/>
        <w:snapToGrid w:val="0"/>
        <w:spacing w:after="0" w:line="580" w:lineRule="exact"/>
        <w:ind w:firstLine="640" w:firstLineChars="200"/>
        <w:textAlignment w:val="baseline"/>
        <w:outlineLvl w:val="2"/>
        <w:rPr>
          <w:rFonts w:hint="default" w:ascii="Times New Roman" w:hAnsi="Times New Roman" w:eastAsia="方正仿宋_GBK" w:cs="Times New Roman"/>
          <w:b/>
          <w:bCs/>
          <w:color w:val="auto"/>
          <w:spacing w:val="0"/>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1．</w:t>
      </w:r>
      <w:r>
        <w:rPr>
          <w:rFonts w:hint="default" w:ascii="Times New Roman" w:hAnsi="Times New Roman" w:eastAsia="方正仿宋_GBK" w:cs="Times New Roman"/>
          <w:b/>
          <w:bCs/>
          <w:color w:val="auto"/>
          <w:spacing w:val="3"/>
          <w:sz w:val="32"/>
          <w:szCs w:val="32"/>
          <w:highlight w:val="none"/>
          <w:lang w:val="en-US" w:eastAsia="zh-CN"/>
        </w:rPr>
        <w:t>电力中长期</w:t>
      </w:r>
      <w:r>
        <w:rPr>
          <w:rFonts w:hint="default" w:ascii="Times New Roman" w:hAnsi="Times New Roman" w:eastAsia="方正仿宋_GBK" w:cs="Times New Roman"/>
          <w:b/>
          <w:bCs/>
          <w:color w:val="auto"/>
          <w:spacing w:val="0"/>
          <w:sz w:val="32"/>
          <w:szCs w:val="32"/>
          <w:highlight w:val="none"/>
          <w:lang w:val="en-US" w:eastAsia="zh-CN"/>
        </w:rPr>
        <w:t>交易</w:t>
      </w:r>
    </w:p>
    <w:p>
      <w:pPr>
        <w:pStyle w:val="5"/>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textAlignment w:val="baseline"/>
        <w:outlineLvl w:val="3"/>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（1）发电类交易单元</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按发电类交易单元参与中长期市场，当发电类交易单元聚合机制电价执行范围内的经营</w:t>
      </w:r>
      <w:r>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t>主体时，暂不参与中长期交易。聚合资源包含分布式新能源时，最大发电能力为各分散式电源最大发电能力之和，计算原则按照中长期交易实施细则相关要求执行。具有发电类交易单元的虚拟电厂履约凭证缴纳标准另行制定。</w:t>
      </w:r>
    </w:p>
    <w:p>
      <w:pPr>
        <w:pStyle w:val="5"/>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textAlignment w:val="baseline"/>
        <w:outlineLvl w:val="3"/>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（2）负荷类交易单元</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t>按负荷类交易单元参与中长期市场，其售电公司提交的履约凭证额度须覆盖售电公司、虚拟电厂交易电量之和，并根据缴纳额度对应可交易电量规模。</w:t>
      </w:r>
    </w:p>
    <w:p>
      <w:pPr>
        <w:pStyle w:val="5"/>
        <w:keepNext w:val="0"/>
        <w:keepLines w:val="0"/>
        <w:pageBreakBefore w:val="0"/>
        <w:widowControl w:val="0"/>
        <w:numPr>
          <w:ilvl w:val="-1"/>
          <w:numId w:val="0"/>
        </w:numPr>
        <w:kinsoku w:val="0"/>
        <w:wordWrap/>
        <w:overflowPunct/>
        <w:topLinePunct w:val="0"/>
        <w:autoSpaceDE w:val="0"/>
        <w:autoSpaceDN w:val="0"/>
        <w:bidi w:val="0"/>
        <w:adjustRightInd w:val="0"/>
        <w:snapToGrid w:val="0"/>
        <w:spacing w:after="0" w:line="580" w:lineRule="exact"/>
        <w:ind w:firstLine="640" w:firstLineChars="200"/>
        <w:textAlignment w:val="baseline"/>
        <w:outlineLvl w:val="2"/>
        <w:rPr>
          <w:rFonts w:hint="eastAsia" w:ascii="方正仿宋_GBK" w:hAnsi="方正仿宋_GBK" w:eastAsia="方正仿宋_GBK" w:cs="方正仿宋_GBK"/>
          <w:b/>
          <w:bCs/>
          <w:color w:val="auto"/>
          <w:spacing w:val="3"/>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w:t>
      </w:r>
      <w:r>
        <w:rPr>
          <w:rFonts w:hint="default" w:ascii="Times New Roman" w:hAnsi="Times New Roman" w:eastAsia="方正仿宋_GBK" w:cs="Times New Roman"/>
          <w:b w:val="0"/>
          <w:bCs w:val="0"/>
          <w:color w:val="auto"/>
          <w:sz w:val="32"/>
          <w:szCs w:val="32"/>
          <w:highlight w:val="none"/>
          <w:lang w:val="en-US" w:eastAsia="zh-CN"/>
        </w:rPr>
        <w:t>．</w:t>
      </w:r>
      <w:r>
        <w:rPr>
          <w:rFonts w:hint="eastAsia" w:ascii="方正仿宋_GBK" w:hAnsi="方正仿宋_GBK" w:eastAsia="方正仿宋_GBK" w:cs="方正仿宋_GBK"/>
          <w:b/>
          <w:bCs/>
          <w:color w:val="auto"/>
          <w:spacing w:val="3"/>
          <w:sz w:val="32"/>
          <w:szCs w:val="32"/>
          <w:highlight w:val="none"/>
          <w:lang w:val="en-US" w:eastAsia="zh-CN"/>
        </w:rPr>
        <w:t>电力现货交易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虚拟电厂以发电类或负荷类交易单元为单位参与电力现货市场。发电类交易单元以“报量报价”的方式参与，负荷类交易单元以“报量不报价”的方式参与。</w:t>
      </w:r>
    </w:p>
    <w:p>
      <w:pPr>
        <w:pStyle w:val="5"/>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textAlignment w:val="baseline"/>
        <w:outlineLvl w:val="3"/>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（1）日前现货电能量交易机制</w:t>
      </w:r>
    </w:p>
    <w:p>
      <w:pPr>
        <w:pStyle w:val="5"/>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80" w:lineRule="exact"/>
        <w:ind w:firstLine="655" w:firstLineChars="200"/>
        <w:textAlignment w:val="baseline"/>
        <w:outlineLvl w:val="4"/>
        <w:rPr>
          <w:rFonts w:hint="eastAsia" w:ascii="方正仿宋_GBK" w:hAnsi="方正仿宋_GBK" w:eastAsia="方正仿宋_GBK" w:cs="方正仿宋_GBK"/>
          <w:b/>
          <w:bCs/>
          <w:color w:val="auto"/>
          <w:spacing w:val="3"/>
          <w:sz w:val="32"/>
          <w:szCs w:val="32"/>
          <w:highlight w:val="none"/>
          <w:lang w:val="en-US" w:eastAsia="zh-CN"/>
        </w:rPr>
      </w:pPr>
      <w:r>
        <w:rPr>
          <w:rFonts w:hint="eastAsia" w:ascii="方正仿宋_GBK" w:hAnsi="方正仿宋_GBK" w:eastAsia="方正仿宋_GBK" w:cs="方正仿宋_GBK"/>
          <w:b/>
          <w:bCs/>
          <w:color w:val="auto"/>
          <w:spacing w:val="3"/>
          <w:sz w:val="32"/>
          <w:szCs w:val="32"/>
          <w:highlight w:val="none"/>
          <w:lang w:val="en-US" w:eastAsia="zh-CN"/>
        </w:rPr>
        <w:t>① 发电类交易单元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虚拟电厂以发电类交易单元为单位申报电能量报价（元/兆瓦时）。其申报方式参照《重庆电力现货交易实施细则》中的新能源场站执行，可自由选择2-10个点进行申报，其中第一个点的出力为0，最后一个点的出力为虚拟电厂额定有功功率（每个聚合用户的装机量累加），量价曲线必须随出力增加单调递增。虚拟电厂报量报价参与日前现货市场，以日前短期功率预测值作为出力上限进行出清。</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3" w:firstLineChars="200"/>
        <w:jc w:val="both"/>
        <w:textAlignment w:val="auto"/>
        <w:outlineLvl w:val="4"/>
        <w:rPr>
          <w:rFonts w:hint="eastAsia" w:ascii="方正仿宋_GBK" w:hAnsi="方正仿宋_GBK" w:eastAsia="方正仿宋_GBK" w:cs="方正仿宋_GBK"/>
          <w:b/>
          <w:bCs/>
          <w:color w:val="auto"/>
          <w:kern w:val="0"/>
          <w:sz w:val="32"/>
          <w:szCs w:val="32"/>
          <w:highlight w:val="none"/>
          <w:lang w:val="en-US" w:eastAsia="zh-CN" w:bidi="ar"/>
        </w:rPr>
      </w:pPr>
      <w:r>
        <w:rPr>
          <w:rFonts w:hint="eastAsia" w:ascii="方正仿宋_GBK" w:hAnsi="方正仿宋_GBK" w:eastAsia="方正仿宋_GBK" w:cs="方正仿宋_GBK"/>
          <w:b/>
          <w:bCs/>
          <w:color w:val="auto"/>
          <w:kern w:val="0"/>
          <w:sz w:val="32"/>
          <w:szCs w:val="32"/>
          <w:highlight w:val="none"/>
          <w:lang w:val="en-US" w:eastAsia="zh-CN" w:bidi="ar"/>
        </w:rPr>
        <w:t>② 负荷类交易单元</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b w:val="0"/>
          <w:bCs/>
          <w:color w:val="auto"/>
          <w:kern w:val="0"/>
          <w:sz w:val="32"/>
          <w:szCs w:val="32"/>
          <w:highlight w:val="none"/>
          <w:lang w:val="en-US" w:eastAsia="zh-CN"/>
        </w:rPr>
      </w:pPr>
      <w:r>
        <w:rPr>
          <w:rFonts w:hint="default" w:ascii="Times New Roman" w:hAnsi="Times New Roman" w:eastAsia="方正仿宋_GBK" w:cs="Times New Roman"/>
          <w:b w:val="0"/>
          <w:bCs/>
          <w:color w:val="auto"/>
          <w:kern w:val="0"/>
          <w:sz w:val="32"/>
          <w:szCs w:val="32"/>
          <w:highlight w:val="none"/>
          <w:lang w:val="en-US" w:eastAsia="zh-CN"/>
        </w:rPr>
        <w:t>虚拟电厂以交易单元为单位申报其运行日的24点（具备条件后开展96点申报）分时用电总负荷曲线，参与日前现货市场出清，用于日前现货市场出清结算。若虚拟电厂未按时申报，则默认取其中长期交易曲线作为运行日的用电总负荷曲线，若虚拟电厂未参与中长期交易，则取其上一个有效交易日申报的分时用电总负荷曲线。</w:t>
      </w:r>
    </w:p>
    <w:p>
      <w:pPr>
        <w:pStyle w:val="5"/>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textAlignment w:val="baseline"/>
        <w:outlineLvl w:val="3"/>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（2）实时现货电能量交易机制</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55" w:firstLineChars="200"/>
        <w:jc w:val="both"/>
        <w:textAlignment w:val="auto"/>
        <w:outlineLvl w:val="4"/>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pacing w:val="3"/>
          <w:sz w:val="32"/>
          <w:szCs w:val="32"/>
          <w:highlight w:val="none"/>
          <w:lang w:val="en-US" w:eastAsia="zh-CN"/>
        </w:rPr>
        <w:t xml:space="preserve">① </w:t>
      </w:r>
      <w:r>
        <w:rPr>
          <w:rFonts w:hint="eastAsia" w:ascii="方正仿宋_GBK" w:hAnsi="方正仿宋_GBK" w:eastAsia="方正仿宋_GBK" w:cs="方正仿宋_GBK"/>
          <w:b/>
          <w:bCs/>
          <w:color w:val="auto"/>
          <w:sz w:val="32"/>
          <w:szCs w:val="32"/>
          <w:highlight w:val="none"/>
          <w:lang w:val="en-US" w:eastAsia="zh-CN"/>
        </w:rPr>
        <w:t>发电类交易单元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报量报价的发电类交易单元以超短期功率预测曲线作为出力上限，以日前封存的量价曲线参与实时市场出清。</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3" w:firstLineChars="200"/>
        <w:jc w:val="both"/>
        <w:textAlignment w:val="auto"/>
        <w:outlineLvl w:val="4"/>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bidi="ar"/>
        </w:rPr>
        <w:t xml:space="preserve">② </w:t>
      </w:r>
      <w:r>
        <w:rPr>
          <w:rFonts w:hint="eastAsia" w:ascii="方正仿宋_GBK" w:hAnsi="方正仿宋_GBK" w:eastAsia="方正仿宋_GBK" w:cs="方正仿宋_GBK"/>
          <w:b/>
          <w:bCs/>
          <w:color w:val="auto"/>
          <w:sz w:val="32"/>
          <w:szCs w:val="32"/>
          <w:highlight w:val="none"/>
          <w:lang w:val="en-US" w:eastAsia="zh-CN"/>
        </w:rPr>
        <w:t>负荷类交易单元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负荷类交易单元不参与实时现货市场优化，接受实时现货市场价格。</w:t>
      </w:r>
    </w:p>
    <w:p>
      <w:pPr>
        <w:pStyle w:val="11"/>
        <w:keepNext w:val="0"/>
        <w:keepLines w:val="0"/>
        <w:pageBreakBefore w:val="0"/>
        <w:widowControl w:val="0"/>
        <w:numPr>
          <w:ilvl w:val="0"/>
          <w:numId w:val="3"/>
        </w:numPr>
        <w:kinsoku/>
        <w:wordWrap/>
        <w:overflowPunct/>
        <w:topLinePunct w:val="0"/>
        <w:autoSpaceDE/>
        <w:autoSpaceDN/>
        <w:bidi w:val="0"/>
        <w:adjustRightInd/>
        <w:snapToGrid/>
        <w:spacing w:after="0" w:line="580" w:lineRule="exact"/>
        <w:ind w:left="0" w:leftChars="0" w:firstLine="640" w:firstLineChars="200"/>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调节量交易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cs="Times New Roman"/>
          <w:color w:val="auto"/>
          <w:lang w:val="en-US" w:eastAsia="zh-CN"/>
        </w:rPr>
      </w:pPr>
      <w:r>
        <w:rPr>
          <w:rFonts w:hint="default" w:ascii="Times New Roman" w:hAnsi="Times New Roman" w:eastAsia="方正仿宋_GBK" w:cs="Times New Roman"/>
          <w:b w:val="0"/>
          <w:bCs/>
          <w:color w:val="auto"/>
          <w:kern w:val="0"/>
          <w:sz w:val="32"/>
          <w:szCs w:val="32"/>
          <w:highlight w:val="none"/>
          <w:lang w:val="en-US" w:eastAsia="zh-CN" w:bidi="ar-SA"/>
        </w:rPr>
        <w:t>日前现货市场开市前（D-2日），当电网负荷出现陡增时，启动运行日（D日）电力调节量交易，虚拟电厂负荷类交易单元以</w:t>
      </w:r>
      <w:r>
        <w:rPr>
          <w:rFonts w:hint="eastAsia" w:ascii="Times New Roman" w:hAnsi="Times New Roman" w:eastAsia="方正仿宋_GBK" w:cs="Times New Roman"/>
          <w:b w:val="0"/>
          <w:bCs/>
          <w:color w:val="auto"/>
          <w:kern w:val="0"/>
          <w:sz w:val="32"/>
          <w:szCs w:val="32"/>
          <w:highlight w:val="none"/>
          <w:lang w:val="en-US" w:eastAsia="zh-CN" w:bidi="ar-SA"/>
        </w:rPr>
        <w:t>“</w:t>
      </w:r>
      <w:r>
        <w:rPr>
          <w:rFonts w:hint="default" w:ascii="Times New Roman" w:hAnsi="Times New Roman" w:eastAsia="方正仿宋_GBK" w:cs="Times New Roman"/>
          <w:b w:val="0"/>
          <w:bCs/>
          <w:color w:val="auto"/>
          <w:kern w:val="0"/>
          <w:sz w:val="32"/>
          <w:szCs w:val="32"/>
          <w:highlight w:val="none"/>
          <w:lang w:val="en-US" w:eastAsia="zh-CN" w:bidi="ar-SA"/>
        </w:rPr>
        <w:t>报量报价</w:t>
      </w:r>
      <w:r>
        <w:rPr>
          <w:rFonts w:hint="eastAsia" w:ascii="Times New Roman" w:hAnsi="Times New Roman" w:eastAsia="方正仿宋_GBK" w:cs="Times New Roman"/>
          <w:b w:val="0"/>
          <w:bCs/>
          <w:color w:val="auto"/>
          <w:kern w:val="0"/>
          <w:sz w:val="32"/>
          <w:szCs w:val="32"/>
          <w:highlight w:val="none"/>
          <w:lang w:val="en-US" w:eastAsia="zh-CN" w:bidi="ar-SA"/>
        </w:rPr>
        <w:t>”</w:t>
      </w:r>
      <w:r>
        <w:rPr>
          <w:rFonts w:hint="default" w:ascii="Times New Roman" w:hAnsi="Times New Roman" w:eastAsia="方正仿宋_GBK" w:cs="Times New Roman"/>
          <w:b w:val="0"/>
          <w:bCs/>
          <w:color w:val="auto"/>
          <w:kern w:val="0"/>
          <w:sz w:val="32"/>
          <w:szCs w:val="32"/>
          <w:highlight w:val="none"/>
          <w:lang w:val="en-US" w:eastAsia="zh-CN" w:bidi="ar-SA"/>
        </w:rPr>
        <w:t>的方式参与。</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2"/>
        <w:rPr>
          <w:rFonts w:hint="default" w:ascii="方正仿宋_GBK" w:hAnsi="方正仿宋_GBK" w:eastAsia="方正仿宋_GBK" w:cs="方正仿宋_GBK"/>
          <w:b/>
          <w:bCs/>
          <w:color w:val="auto"/>
          <w:kern w:val="0"/>
          <w:sz w:val="32"/>
          <w:szCs w:val="32"/>
          <w:highlight w:val="none"/>
          <w:lang w:val="en-US" w:eastAsia="zh-CN" w:bidi="ar"/>
        </w:rPr>
      </w:pPr>
      <w:r>
        <w:rPr>
          <w:rFonts w:hint="eastAsia" w:ascii="Times New Roman" w:hAnsi="Times New Roman" w:eastAsia="方正仿宋_GBK" w:cs="Times New Roman"/>
          <w:b w:val="0"/>
          <w:bCs w:val="0"/>
          <w:color w:val="auto"/>
          <w:sz w:val="32"/>
          <w:szCs w:val="32"/>
          <w:highlight w:val="none"/>
          <w:lang w:val="en-US" w:eastAsia="zh-CN"/>
        </w:rPr>
        <w:t>1</w:t>
      </w:r>
      <w:r>
        <w:rPr>
          <w:rFonts w:hint="default" w:ascii="Times New Roman" w:hAnsi="Times New Roman" w:eastAsia="方正仿宋_GBK" w:cs="Times New Roman"/>
          <w:b w:val="0"/>
          <w:bCs w:val="0"/>
          <w:color w:val="auto"/>
          <w:sz w:val="32"/>
          <w:szCs w:val="32"/>
          <w:highlight w:val="none"/>
          <w:lang w:val="en-US" w:eastAsia="zh-CN"/>
        </w:rPr>
        <w:t>．</w:t>
      </w:r>
      <w:r>
        <w:rPr>
          <w:rFonts w:hint="eastAsia" w:ascii="方正仿宋_GBK" w:hAnsi="方正仿宋_GBK" w:eastAsia="方正仿宋_GBK" w:cs="方正仿宋_GBK"/>
          <w:b/>
          <w:bCs/>
          <w:color w:val="auto"/>
          <w:kern w:val="0"/>
          <w:sz w:val="32"/>
          <w:szCs w:val="32"/>
          <w:highlight w:val="none"/>
          <w:lang w:val="en-US" w:eastAsia="zh-CN" w:bidi="ar"/>
        </w:rPr>
        <w:t>启动条件</w:t>
      </w:r>
    </w:p>
    <w:p>
      <w:pPr>
        <w:pStyle w:val="2"/>
        <w:keepNext w:val="0"/>
        <w:keepLines w:val="0"/>
        <w:pageBreakBefore w:val="0"/>
        <w:widowControl w:val="0"/>
        <w:wordWrap/>
        <w:overflowPunct/>
        <w:topLinePunct w:val="0"/>
        <w:bidi w:val="0"/>
        <w:spacing w:line="580" w:lineRule="exact"/>
        <w:rPr>
          <w:rFonts w:hint="default" w:ascii="Times New Roman" w:hAnsi="Times New Roman" w:eastAsia="方正仿宋_GBK" w:cs="Times New Roman"/>
          <w:bCs/>
          <w:color w:val="auto"/>
          <w:kern w:val="0"/>
          <w:sz w:val="32"/>
          <w:szCs w:val="32"/>
          <w:highlight w:val="none"/>
          <w:lang w:eastAsia="zh-CN"/>
        </w:rPr>
      </w:pPr>
      <w:r>
        <w:rPr>
          <w:rFonts w:hint="default" w:ascii="Times New Roman" w:hAnsi="Times New Roman" w:eastAsia="方正仿宋_GBK" w:cs="Times New Roman"/>
          <w:bCs/>
          <w:color w:val="auto"/>
          <w:kern w:val="0"/>
          <w:sz w:val="32"/>
          <w:szCs w:val="32"/>
          <w:highlight w:val="none"/>
        </w:rPr>
        <w:t>具备以下条件之一时启动</w:t>
      </w:r>
      <w:r>
        <w:rPr>
          <w:rFonts w:hint="default" w:ascii="Times New Roman" w:hAnsi="Times New Roman" w:eastAsia="方正仿宋_GBK" w:cs="Times New Roman"/>
          <w:bCs/>
          <w:color w:val="auto"/>
          <w:kern w:val="0"/>
          <w:sz w:val="32"/>
          <w:szCs w:val="32"/>
          <w:highlight w:val="none"/>
          <w:lang w:eastAsia="zh-CN"/>
        </w:rPr>
        <w:t>电力调节量交易：</w:t>
      </w:r>
    </w:p>
    <w:p>
      <w:pPr>
        <w:pStyle w:val="2"/>
        <w:keepNext w:val="0"/>
        <w:keepLines w:val="0"/>
        <w:pageBreakBefore w:val="0"/>
        <w:widowControl w:val="0"/>
        <w:wordWrap/>
        <w:overflowPunct/>
        <w:topLinePunct w:val="0"/>
        <w:bidi w:val="0"/>
        <w:spacing w:line="580" w:lineRule="exact"/>
        <w:rPr>
          <w:rFonts w:hint="default" w:ascii="Times New Roman" w:hAnsi="Times New Roman" w:eastAsia="方正仿宋_GBK" w:cs="Times New Roman"/>
          <w:bCs/>
          <w:color w:val="auto"/>
          <w:kern w:val="0"/>
          <w:sz w:val="32"/>
          <w:szCs w:val="32"/>
          <w:highlight w:val="none"/>
          <w:lang w:val="en-US" w:eastAsia="zh-CN"/>
        </w:rPr>
      </w:pPr>
      <w:r>
        <w:rPr>
          <w:rFonts w:hint="default" w:ascii="Times New Roman" w:hAnsi="Times New Roman" w:eastAsia="方正仿宋_GBK" w:cs="Times New Roman"/>
          <w:bCs/>
          <w:color w:val="auto"/>
          <w:kern w:val="0"/>
          <w:sz w:val="32"/>
          <w:szCs w:val="32"/>
          <w:highlight w:val="none"/>
          <w:lang w:eastAsia="zh-CN"/>
        </w:rPr>
        <w:t>（</w:t>
      </w:r>
      <w:r>
        <w:rPr>
          <w:rFonts w:hint="default" w:ascii="Times New Roman" w:hAnsi="Times New Roman" w:eastAsia="方正仿宋_GBK" w:cs="Times New Roman"/>
          <w:bCs/>
          <w:color w:val="auto"/>
          <w:kern w:val="0"/>
          <w:sz w:val="32"/>
          <w:szCs w:val="32"/>
          <w:highlight w:val="none"/>
          <w:lang w:val="en-US" w:eastAsia="zh-CN"/>
        </w:rPr>
        <w:t>1）</w:t>
      </w:r>
      <w:r>
        <w:rPr>
          <w:rFonts w:hint="default" w:ascii="Times New Roman" w:hAnsi="Times New Roman" w:eastAsia="方正仿宋_GBK" w:cs="Times New Roman"/>
          <w:bCs/>
          <w:color w:val="auto"/>
          <w:kern w:val="0"/>
          <w:sz w:val="32"/>
          <w:szCs w:val="32"/>
          <w:highlight w:val="none"/>
        </w:rPr>
        <w:t>当D-2日</w:t>
      </w:r>
      <w:r>
        <w:rPr>
          <w:rFonts w:hint="default" w:ascii="Times New Roman" w:hAnsi="Times New Roman" w:eastAsia="方正仿宋_GBK" w:cs="Times New Roman"/>
          <w:bCs/>
          <w:color w:val="auto"/>
          <w:kern w:val="0"/>
          <w:sz w:val="32"/>
          <w:szCs w:val="32"/>
          <w:highlight w:val="none"/>
          <w:lang w:eastAsia="zh-CN"/>
        </w:rPr>
        <w:t>电网</w:t>
      </w:r>
      <w:r>
        <w:rPr>
          <w:rFonts w:hint="default" w:ascii="Times New Roman" w:hAnsi="Times New Roman" w:eastAsia="方正仿宋_GBK" w:cs="Times New Roman"/>
          <w:bCs/>
          <w:color w:val="auto"/>
          <w:kern w:val="0"/>
          <w:sz w:val="32"/>
          <w:szCs w:val="32"/>
          <w:highlight w:val="none"/>
          <w:lang w:val="en-US" w:eastAsia="zh-CN"/>
        </w:rPr>
        <w:t>96点调度负荷曲线（每15分钟一个点）出现陡增</w:t>
      </w:r>
      <w:r>
        <w:rPr>
          <w:rFonts w:hint="default" w:ascii="Times New Roman" w:hAnsi="Times New Roman" w:eastAsia="方正仿宋_GBK" w:cs="Times New Roman"/>
          <w:bCs/>
          <w:color w:val="auto"/>
          <w:kern w:val="0"/>
          <w:sz w:val="32"/>
          <w:szCs w:val="32"/>
          <w:highlight w:val="none"/>
          <w:lang w:eastAsia="zh-CN"/>
        </w:rPr>
        <w:t>，负荷增长点（</w:t>
      </w:r>
      <w:r>
        <w:rPr>
          <w:rFonts w:hint="default" w:ascii="Times New Roman" w:hAnsi="Times New Roman" w:eastAsia="方正仿宋_GBK" w:cs="Times New Roman"/>
          <w:bCs/>
          <w:color w:val="auto"/>
          <w:kern w:val="0"/>
          <w:sz w:val="32"/>
          <w:szCs w:val="32"/>
          <w:highlight w:val="none"/>
          <w:lang w:val="en-US" w:eastAsia="zh-CN"/>
        </w:rPr>
        <w:t>P点）较前一个负荷点（P-1点）的负荷增长值超过200万千瓦，且增长率超过16%时，启动D日电力调节量交易。调节起始时刻点为P-1点，调节时长1小时。调节需求为该时刻点负荷增长值超过200万千瓦的部分。</w:t>
      </w:r>
    </w:p>
    <w:p>
      <w:pPr>
        <w:pStyle w:val="2"/>
        <w:keepNext w:val="0"/>
        <w:keepLines w:val="0"/>
        <w:pageBreakBefore w:val="0"/>
        <w:widowControl w:val="0"/>
        <w:wordWrap/>
        <w:overflowPunct/>
        <w:topLinePunct w:val="0"/>
        <w:bidi w:val="0"/>
        <w:spacing w:line="580" w:lineRule="exact"/>
        <w:rPr>
          <w:rFonts w:hint="eastAsia" w:ascii="方正仿宋_GBK" w:hAnsi="方正仿宋_GBK" w:eastAsia="方正仿宋_GBK" w:cs="方正仿宋_GBK"/>
          <w:b w:val="0"/>
          <w:bCs/>
          <w:color w:val="auto"/>
          <w:kern w:val="0"/>
          <w:sz w:val="32"/>
          <w:szCs w:val="32"/>
          <w:highlight w:val="none"/>
          <w:lang w:val="en-US" w:eastAsia="zh-CN" w:bidi="ar-SA"/>
        </w:rPr>
      </w:pPr>
      <w:r>
        <w:rPr>
          <w:rFonts w:hint="default" w:ascii="Times New Roman" w:hAnsi="Times New Roman" w:eastAsia="方正仿宋_GBK" w:cs="Times New Roman"/>
          <w:bCs/>
          <w:color w:val="auto"/>
          <w:kern w:val="0"/>
          <w:sz w:val="32"/>
          <w:szCs w:val="32"/>
          <w:highlight w:val="none"/>
          <w:lang w:eastAsia="zh-CN"/>
        </w:rPr>
        <w:t>（</w:t>
      </w:r>
      <w:r>
        <w:rPr>
          <w:rFonts w:hint="default" w:ascii="Times New Roman" w:hAnsi="Times New Roman" w:eastAsia="方正仿宋_GBK" w:cs="Times New Roman"/>
          <w:bCs/>
          <w:color w:val="auto"/>
          <w:kern w:val="0"/>
          <w:sz w:val="32"/>
          <w:szCs w:val="32"/>
          <w:highlight w:val="none"/>
          <w:lang w:val="en-US" w:eastAsia="zh-CN"/>
        </w:rPr>
        <w:t>2）其他系统安全需要。</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2"/>
        <w:rPr>
          <w:rFonts w:hint="eastAsia" w:ascii="方正仿宋_GBK" w:hAnsi="方正仿宋_GBK" w:eastAsia="方正仿宋_GBK" w:cs="方正仿宋_GBK"/>
          <w:b/>
          <w:bCs/>
          <w:color w:val="auto"/>
          <w:kern w:val="0"/>
          <w:sz w:val="32"/>
          <w:szCs w:val="32"/>
          <w:highlight w:val="none"/>
          <w:lang w:val="en-US" w:eastAsia="zh-CN" w:bidi="ar"/>
        </w:rPr>
      </w:pPr>
      <w:r>
        <w:rPr>
          <w:rFonts w:hint="eastAsia" w:ascii="Times New Roman" w:hAnsi="Times New Roman" w:eastAsia="方正仿宋_GBK" w:cs="Times New Roman"/>
          <w:b w:val="0"/>
          <w:bCs w:val="0"/>
          <w:color w:val="auto"/>
          <w:sz w:val="32"/>
          <w:szCs w:val="32"/>
          <w:highlight w:val="none"/>
          <w:lang w:val="en-US" w:eastAsia="zh-CN"/>
        </w:rPr>
        <w:t>2</w:t>
      </w:r>
      <w:r>
        <w:rPr>
          <w:rFonts w:hint="default" w:ascii="Times New Roman" w:hAnsi="Times New Roman" w:eastAsia="方正仿宋_GBK" w:cs="Times New Roman"/>
          <w:b w:val="0"/>
          <w:bCs w:val="0"/>
          <w:color w:val="auto"/>
          <w:sz w:val="32"/>
          <w:szCs w:val="32"/>
          <w:highlight w:val="none"/>
          <w:lang w:val="en-US" w:eastAsia="zh-CN"/>
        </w:rPr>
        <w:t>．</w:t>
      </w:r>
      <w:r>
        <w:rPr>
          <w:rFonts w:hint="eastAsia" w:ascii="方正仿宋_GBK" w:hAnsi="方正仿宋_GBK" w:eastAsia="方正仿宋_GBK" w:cs="方正仿宋_GBK"/>
          <w:b/>
          <w:bCs/>
          <w:color w:val="auto"/>
          <w:kern w:val="0"/>
          <w:sz w:val="32"/>
          <w:szCs w:val="32"/>
          <w:highlight w:val="none"/>
          <w:lang w:val="en-US" w:eastAsia="zh-CN" w:bidi="ar"/>
        </w:rPr>
        <w:t>组织流程</w:t>
      </w:r>
    </w:p>
    <w:p>
      <w:pPr>
        <w:pStyle w:val="2"/>
        <w:keepNext w:val="0"/>
        <w:keepLines w:val="0"/>
        <w:pageBreakBefore w:val="0"/>
        <w:widowControl w:val="0"/>
        <w:wordWrap/>
        <w:overflowPunct/>
        <w:topLinePunct w:val="0"/>
        <w:bidi w:val="0"/>
        <w:spacing w:line="580" w:lineRule="exact"/>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电力调节量交易按照以下时序组织开展：</w:t>
      </w:r>
    </w:p>
    <w:p>
      <w:pPr>
        <w:pStyle w:val="2"/>
        <w:keepNext w:val="0"/>
        <w:keepLines w:val="0"/>
        <w:pageBreakBefore w:val="0"/>
        <w:widowControl w:val="0"/>
        <w:wordWrap/>
        <w:overflowPunct/>
        <w:topLinePunct w:val="0"/>
        <w:bidi w:val="0"/>
        <w:spacing w:line="580" w:lineRule="exact"/>
        <w:rPr>
          <w:rFonts w:hint="default"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D-1日2:00前，电力调度机构通过电力调度自动化系统将D-2日调度负荷曲线数据传输至新型电力负荷管理系统。</w:t>
      </w:r>
    </w:p>
    <w:p>
      <w:pPr>
        <w:pStyle w:val="2"/>
        <w:keepNext w:val="0"/>
        <w:keepLines w:val="0"/>
        <w:pageBreakBefore w:val="0"/>
        <w:widowControl w:val="0"/>
        <w:wordWrap/>
        <w:overflowPunct/>
        <w:topLinePunct w:val="0"/>
        <w:bidi w:val="0"/>
        <w:spacing w:line="580" w:lineRule="exact"/>
        <w:rPr>
          <w:rFonts w:hint="default"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D-1日8:00前，</w:t>
      </w:r>
      <w:r>
        <w:rPr>
          <w:rFonts w:hint="eastAsia" w:ascii="Times New Roman" w:hAnsi="Times New Roman" w:eastAsia="方正仿宋_GBK" w:cs="Times New Roman"/>
          <w:bCs/>
          <w:color w:val="auto"/>
          <w:kern w:val="0"/>
          <w:sz w:val="32"/>
          <w:szCs w:val="32"/>
          <w:highlight w:val="none"/>
          <w:lang w:eastAsia="zh-CN"/>
        </w:rPr>
        <w:t>新型电力负荷管理系统</w:t>
      </w:r>
      <w:r>
        <w:rPr>
          <w:rFonts w:hint="eastAsia" w:ascii="Times New Roman" w:hAnsi="Times New Roman" w:eastAsia="方正仿宋_GBK" w:cs="Times New Roman"/>
          <w:bCs/>
          <w:color w:val="auto"/>
          <w:kern w:val="0"/>
          <w:sz w:val="32"/>
          <w:szCs w:val="32"/>
          <w:highlight w:val="none"/>
          <w:lang w:val="en-US" w:eastAsia="zh-CN"/>
        </w:rPr>
        <w:t>根据</w:t>
      </w:r>
      <w:r>
        <w:rPr>
          <w:rFonts w:hint="eastAsia" w:ascii="Times New Roman" w:hAnsi="Times New Roman" w:eastAsia="方正仿宋_GBK" w:cs="Times New Roman"/>
          <w:bCs/>
          <w:color w:val="auto"/>
          <w:kern w:val="0"/>
          <w:sz w:val="32"/>
          <w:szCs w:val="32"/>
          <w:highlight w:val="none"/>
          <w:lang w:eastAsia="zh-CN"/>
        </w:rPr>
        <w:t>启动条件，自动触发电力调节量交易，计算调节时段、调节需求、基线，传输至电力交易平台。</w:t>
      </w:r>
    </w:p>
    <w:p>
      <w:pPr>
        <w:pStyle w:val="2"/>
        <w:keepNext w:val="0"/>
        <w:keepLines w:val="0"/>
        <w:pageBreakBefore w:val="0"/>
        <w:widowControl w:val="0"/>
        <w:wordWrap/>
        <w:overflowPunct/>
        <w:topLinePunct w:val="0"/>
        <w:bidi w:val="0"/>
        <w:spacing w:line="580" w:lineRule="exact"/>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D-1日9:00前，电力交易平台发布电力调节量交易所需相关信息，包括调节时段、调节需求、限价范围、基线等，完成事前信息发布。</w:t>
      </w:r>
    </w:p>
    <w:p>
      <w:pPr>
        <w:pStyle w:val="2"/>
        <w:keepNext w:val="0"/>
        <w:keepLines w:val="0"/>
        <w:pageBreakBefore w:val="0"/>
        <w:widowControl w:val="0"/>
        <w:wordWrap/>
        <w:overflowPunct/>
        <w:topLinePunct w:val="0"/>
        <w:bidi w:val="0"/>
        <w:spacing w:line="580" w:lineRule="exact"/>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D-1日9:45前，虚拟电厂运营商在开展日前现货市场交易申报时，同步开展负荷类交易单元的调节量交易申报。</w:t>
      </w:r>
    </w:p>
    <w:p>
      <w:pPr>
        <w:pStyle w:val="2"/>
        <w:keepNext w:val="0"/>
        <w:keepLines w:val="0"/>
        <w:pageBreakBefore w:val="0"/>
        <w:widowControl w:val="0"/>
        <w:wordWrap/>
        <w:overflowPunct/>
        <w:topLinePunct w:val="0"/>
        <w:bidi w:val="0"/>
        <w:spacing w:line="580" w:lineRule="exact"/>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D-1日14:00前，重庆市电力负荷管理中心根据调节量需求和虚拟电厂申报信息完成调节量出清。</w:t>
      </w:r>
    </w:p>
    <w:p>
      <w:pPr>
        <w:pStyle w:val="2"/>
        <w:keepNext w:val="0"/>
        <w:keepLines w:val="0"/>
        <w:pageBreakBefore w:val="0"/>
        <w:widowControl w:val="0"/>
        <w:wordWrap/>
        <w:overflowPunct/>
        <w:topLinePunct w:val="0"/>
        <w:bidi w:val="0"/>
        <w:spacing w:line="580" w:lineRule="exact"/>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D-1日17:30前，电力调度机构将调节量交易出清结果纳入日前现货市场出清边界，并通过电力交易平台发布日前现货市场交易、调节量市场交易出清结果。</w:t>
      </w:r>
    </w:p>
    <w:p>
      <w:pPr>
        <w:pStyle w:val="5"/>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textAlignment w:val="baseline"/>
        <w:outlineLvl w:val="2"/>
        <w:rPr>
          <w:rFonts w:hint="eastAsia" w:ascii="方正仿宋_GBK" w:hAnsi="方正仿宋_GBK" w:eastAsia="方正仿宋_GBK" w:cs="方正仿宋_GBK"/>
          <w:b/>
          <w:bCs/>
          <w:color w:val="auto"/>
          <w:spacing w:val="3"/>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w:t>
      </w:r>
      <w:r>
        <w:rPr>
          <w:rFonts w:hint="default" w:ascii="Times New Roman" w:hAnsi="Times New Roman" w:eastAsia="方正仿宋_GBK" w:cs="Times New Roman"/>
          <w:b w:val="0"/>
          <w:bCs w:val="0"/>
          <w:color w:val="auto"/>
          <w:sz w:val="32"/>
          <w:szCs w:val="32"/>
          <w:highlight w:val="none"/>
          <w:lang w:val="en-US" w:eastAsia="zh-CN"/>
        </w:rPr>
        <w:t>．</w:t>
      </w:r>
      <w:r>
        <w:rPr>
          <w:rFonts w:hint="eastAsia" w:ascii="方正仿宋_GBK" w:hAnsi="方正仿宋_GBK" w:eastAsia="方正仿宋_GBK" w:cs="方正仿宋_GBK"/>
          <w:b/>
          <w:bCs/>
          <w:color w:val="auto"/>
          <w:spacing w:val="3"/>
          <w:sz w:val="32"/>
          <w:szCs w:val="32"/>
          <w:highlight w:val="none"/>
          <w:lang w:val="en-US" w:eastAsia="zh-CN"/>
        </w:rPr>
        <w:t>交易申报</w:t>
      </w:r>
    </w:p>
    <w:p>
      <w:pPr>
        <w:pStyle w:val="2"/>
        <w:keepNext w:val="0"/>
        <w:keepLines w:val="0"/>
        <w:pageBreakBefore w:val="0"/>
        <w:widowControl w:val="0"/>
        <w:wordWrap/>
        <w:overflowPunct/>
        <w:topLinePunct w:val="0"/>
        <w:bidi w:val="0"/>
        <w:spacing w:line="580" w:lineRule="exact"/>
        <w:rPr>
          <w:rFonts w:hint="eastAsia" w:ascii="Times New Roman" w:hAnsi="Times New Roman" w:eastAsia="方正仿宋_GBK" w:cs="Times New Roman"/>
          <w:bCs/>
          <w:color w:val="auto"/>
          <w:kern w:val="0"/>
          <w:sz w:val="32"/>
          <w:szCs w:val="32"/>
          <w:highlight w:val="none"/>
          <w:lang w:val="en-US" w:eastAsia="zh-CN"/>
        </w:rPr>
      </w:pPr>
      <w:r>
        <w:rPr>
          <w:rFonts w:hint="eastAsia" w:ascii="Times New Roman" w:hAnsi="Times New Roman" w:eastAsia="方正仿宋_GBK" w:cs="Times New Roman"/>
          <w:bCs/>
          <w:color w:val="auto"/>
          <w:kern w:val="0"/>
          <w:sz w:val="32"/>
          <w:szCs w:val="32"/>
          <w:highlight w:val="none"/>
          <w:lang w:val="en-US" w:eastAsia="zh-CN"/>
        </w:rPr>
        <w:t>虚拟电厂以负荷类交易单元为单位，按调节时段申报调节量（千瓦）和调节量报价（元/千瓦时）。调节量的最小申报单位为100千瓦，且不得超过申报时段的基线平均负荷和电力市场调控能力认证的调节量。调节量报价不得超过限价范围，调节量最高限价为D-2日调节时段内的实时现货市场出清最高价格，最低限价为0元/千瓦时。</w:t>
      </w:r>
    </w:p>
    <w:p>
      <w:pPr>
        <w:pStyle w:val="5"/>
        <w:keepNext w:val="0"/>
        <w:keepLines w:val="0"/>
        <w:pageBreakBefore w:val="0"/>
        <w:widowControl w:val="0"/>
        <w:kinsoku w:val="0"/>
        <w:wordWrap/>
        <w:overflowPunct/>
        <w:topLinePunct w:val="0"/>
        <w:autoSpaceDE w:val="0"/>
        <w:autoSpaceDN w:val="0"/>
        <w:bidi w:val="0"/>
        <w:adjustRightInd w:val="0"/>
        <w:snapToGrid w:val="0"/>
        <w:spacing w:line="580" w:lineRule="exact"/>
        <w:ind w:left="0" w:leftChars="0" w:firstLine="640" w:firstLineChars="200"/>
        <w:textAlignment w:val="baseline"/>
        <w:outlineLvl w:val="2"/>
        <w:rPr>
          <w:rFonts w:hint="eastAsia" w:ascii="方正仿宋_GBK" w:hAnsi="方正仿宋_GBK" w:eastAsia="方正仿宋_GBK" w:cs="方正仿宋_GBK"/>
          <w:b/>
          <w:bCs/>
          <w:color w:val="auto"/>
          <w:spacing w:val="3"/>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w:t>
      </w:r>
      <w:r>
        <w:rPr>
          <w:rFonts w:hint="default" w:ascii="Times New Roman" w:hAnsi="Times New Roman" w:eastAsia="方正仿宋_GBK" w:cs="Times New Roman"/>
          <w:b w:val="0"/>
          <w:bCs w:val="0"/>
          <w:color w:val="auto"/>
          <w:sz w:val="32"/>
          <w:szCs w:val="32"/>
          <w:highlight w:val="none"/>
          <w:lang w:val="en-US" w:eastAsia="zh-CN"/>
        </w:rPr>
        <w:t>．</w:t>
      </w:r>
      <w:r>
        <w:rPr>
          <w:rFonts w:hint="eastAsia" w:ascii="方正仿宋_GBK" w:hAnsi="方正仿宋_GBK" w:eastAsia="方正仿宋_GBK" w:cs="方正仿宋_GBK"/>
          <w:b/>
          <w:bCs/>
          <w:color w:val="auto"/>
          <w:spacing w:val="3"/>
          <w:sz w:val="32"/>
          <w:szCs w:val="32"/>
          <w:highlight w:val="none"/>
          <w:lang w:val="en-US" w:eastAsia="zh-CN"/>
        </w:rPr>
        <w:t>市场出清</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Times New Roman" w:hAnsi="Times New Roman" w:eastAsia="方正仿宋_GBK" w:cs="Times New Roman"/>
          <w:bCs/>
          <w:color w:val="auto"/>
          <w:kern w:val="0"/>
          <w:sz w:val="32"/>
          <w:szCs w:val="32"/>
          <w:highlight w:val="none"/>
          <w:lang w:val="en-US" w:eastAsia="zh-CN" w:bidi="ar-SA"/>
        </w:rPr>
      </w:pPr>
      <w:r>
        <w:rPr>
          <w:rFonts w:hint="eastAsia" w:ascii="Times New Roman" w:hAnsi="Times New Roman" w:eastAsia="方正仿宋_GBK" w:cs="Times New Roman"/>
          <w:bCs/>
          <w:color w:val="auto"/>
          <w:kern w:val="0"/>
          <w:sz w:val="32"/>
          <w:szCs w:val="32"/>
          <w:highlight w:val="none"/>
          <w:lang w:val="en-US" w:eastAsia="zh-CN" w:bidi="ar-SA"/>
        </w:rPr>
        <w:t>重庆市电力负荷管理中心采用“集中竞价，边际出清”模式，按照“价格优先、时间优先、调节量优先”的原则，对申报价格由低到高、申报时间由先到后、申报调节量由大到小进行排序，直至达到调节需求，成交响应最后100千瓦的申报价格为边际出清价格。当边际出清主体的申报调节量大于剩余调节需求时，则全量出清该主体的申报调节量。若申报调节量未达调节需求，则出清全部申报主体的申报调节量。运行日，虚拟电厂负荷类交易单元按照中标调节量开展调节。</w:t>
      </w:r>
    </w:p>
    <w:p>
      <w:pPr>
        <w:pStyle w:val="11"/>
        <w:keepNext w:val="0"/>
        <w:keepLines w:val="0"/>
        <w:pageBreakBefore w:val="0"/>
        <w:widowControl w:val="0"/>
        <w:numPr>
          <w:ilvl w:val="0"/>
          <w:numId w:val="3"/>
        </w:numPr>
        <w:kinsoku/>
        <w:wordWrap/>
        <w:overflowPunct/>
        <w:topLinePunct w:val="0"/>
        <w:autoSpaceDE/>
        <w:autoSpaceDN/>
        <w:bidi w:val="0"/>
        <w:adjustRightInd/>
        <w:snapToGrid/>
        <w:spacing w:after="0" w:line="580" w:lineRule="exact"/>
        <w:ind w:firstLine="640" w:firstLineChars="200"/>
        <w:jc w:val="left"/>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rPr>
        <w:t>辅助服务交易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Times New Roman" w:hAnsi="Times New Roman" w:eastAsia="方正仿宋_GBK" w:cs="Times New Roman"/>
          <w:bCs/>
          <w:color w:val="auto"/>
          <w:kern w:val="0"/>
          <w:sz w:val="32"/>
          <w:szCs w:val="32"/>
          <w:highlight w:val="none"/>
          <w:lang w:val="en-US" w:eastAsia="zh-CN" w:bidi="ar-SA"/>
        </w:rPr>
      </w:pPr>
      <w:r>
        <w:rPr>
          <w:rFonts w:hint="eastAsia" w:ascii="Times New Roman" w:hAnsi="Times New Roman" w:eastAsia="方正仿宋_GBK" w:cs="Times New Roman"/>
          <w:bCs/>
          <w:color w:val="auto"/>
          <w:kern w:val="0"/>
          <w:sz w:val="32"/>
          <w:szCs w:val="32"/>
          <w:highlight w:val="none"/>
          <w:lang w:val="en-US" w:eastAsia="zh-CN" w:bidi="ar-SA"/>
        </w:rPr>
        <w:t>重庆市虚拟电厂参与调频辅助服务交易按照《湖北、江西、重庆电力调频辅助服务市场运行规则》（华中监能市场规〔2025〕35号）执行。起步阶段，具备条件的虚拟电厂可参与调频辅助服务市场。同一运行日，虚拟电厂仅可参与现货市场、调频辅助服务市场之一，在竞价日市场申报时自主选择，若未选择默认参与现货市场。待后续爬坡、备用辅助服务市场建立以后，若虚拟电厂技术性能与调节能力满足要求，推动虚拟电厂参与爬坡、备用等辅助服务市场。</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80" w:lineRule="exact"/>
        <w:ind w:left="0" w:leftChars="0" w:firstLine="640" w:firstLineChars="200"/>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结算机制</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Times New Roman" w:hAnsi="Times New Roman" w:eastAsia="方正仿宋_GBK" w:cs="Times New Roman"/>
          <w:bCs/>
          <w:color w:val="auto"/>
          <w:kern w:val="0"/>
          <w:sz w:val="32"/>
          <w:szCs w:val="32"/>
          <w:highlight w:val="none"/>
          <w:lang w:val="en-US" w:eastAsia="zh-CN" w:bidi="ar-SA"/>
        </w:rPr>
      </w:pPr>
      <w:r>
        <w:rPr>
          <w:rFonts w:hint="eastAsia" w:ascii="Times New Roman" w:hAnsi="Times New Roman" w:eastAsia="方正仿宋_GBK" w:cs="Times New Roman"/>
          <w:bCs/>
          <w:color w:val="auto"/>
          <w:kern w:val="0"/>
          <w:sz w:val="32"/>
          <w:szCs w:val="32"/>
          <w:highlight w:val="none"/>
          <w:lang w:val="en-US" w:eastAsia="zh-CN" w:bidi="ar-SA"/>
        </w:rPr>
        <w:t>电力市场交易结算中使用电网企业计量装置数据，虚拟电厂在批发市场中的计量数据由聚合资源计量数据叠加形成，其中发用单元电量分别叠加，不得相互冲抵。重庆市电力交易中心负责出具虚拟电厂及其聚合单元的交易结算依据，电网企业负责开展虚拟电厂及其聚合资源的相关费用结算及支付。</w:t>
      </w:r>
    </w:p>
    <w:p>
      <w:pPr>
        <w:pStyle w:val="11"/>
        <w:keepNext w:val="0"/>
        <w:keepLines w:val="0"/>
        <w:pageBreakBefore w:val="0"/>
        <w:widowControl w:val="0"/>
        <w:numPr>
          <w:ilvl w:val="0"/>
          <w:numId w:val="4"/>
        </w:numPr>
        <w:kinsoku/>
        <w:wordWrap/>
        <w:overflowPunct/>
        <w:topLinePunct w:val="0"/>
        <w:autoSpaceDE/>
        <w:autoSpaceDN/>
        <w:bidi w:val="0"/>
        <w:adjustRightInd/>
        <w:snapToGrid/>
        <w:spacing w:after="0" w:line="580" w:lineRule="exact"/>
        <w:ind w:left="0" w:leftChars="0" w:firstLine="640" w:firstLineChars="200"/>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电能量交易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Times New Roman" w:hAnsi="Times New Roman" w:eastAsia="方正仿宋_GBK" w:cs="Times New Roman"/>
          <w:bCs/>
          <w:color w:val="auto"/>
          <w:kern w:val="0"/>
          <w:sz w:val="32"/>
          <w:szCs w:val="32"/>
          <w:highlight w:val="none"/>
          <w:lang w:val="en-US" w:eastAsia="zh-CN" w:bidi="ar-SA"/>
        </w:rPr>
      </w:pPr>
      <w:r>
        <w:rPr>
          <w:rFonts w:hint="eastAsia" w:ascii="Times New Roman" w:hAnsi="Times New Roman" w:eastAsia="方正仿宋_GBK" w:cs="Times New Roman"/>
          <w:bCs/>
          <w:color w:val="auto"/>
          <w:kern w:val="0"/>
          <w:sz w:val="32"/>
          <w:szCs w:val="32"/>
          <w:highlight w:val="none"/>
          <w:lang w:val="en-US" w:eastAsia="zh-CN" w:bidi="ar-SA"/>
        </w:rPr>
        <w:t>发电类交易单元的电能量电费（含调平电费）、市场运营费用（其他结构不平衡费用分摊/分享）计算方式参照市场化机组结算机制执行；负荷类交易单元的电能量电费（含调平电费）、市场运营费用（机组运行成本补偿费用分摊、用户侧中长期偏差收益回收、其他结构不平衡费用分摊/分享）计算方式参照售电公司结算机制执行。</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Times New Roman" w:hAnsi="Times New Roman" w:eastAsia="方正仿宋_GBK" w:cs="Times New Roman"/>
          <w:bCs/>
          <w:color w:val="auto"/>
          <w:kern w:val="0"/>
          <w:sz w:val="32"/>
          <w:szCs w:val="32"/>
          <w:highlight w:val="none"/>
          <w:lang w:val="en-US" w:eastAsia="zh-CN" w:bidi="ar-SA"/>
        </w:rPr>
      </w:pPr>
      <w:r>
        <w:rPr>
          <w:rFonts w:hint="eastAsia" w:ascii="Times New Roman" w:hAnsi="Times New Roman" w:eastAsia="方正仿宋_GBK" w:cs="Times New Roman"/>
          <w:bCs/>
          <w:color w:val="auto"/>
          <w:kern w:val="0"/>
          <w:sz w:val="32"/>
          <w:szCs w:val="32"/>
          <w:highlight w:val="none"/>
          <w:lang w:val="en-US" w:eastAsia="zh-CN" w:bidi="ar-SA"/>
        </w:rPr>
        <w:t>拥有负荷类交易单元的虚拟电厂实际持仓合约电量的日分解电量与当日实际用电量的偏差应不超过允许偏差范围，超出允许范围产生的收益将被回收，计算标准及方式参照售电公司相关要求执行。</w:t>
      </w:r>
    </w:p>
    <w:p>
      <w:pPr>
        <w:pStyle w:val="11"/>
        <w:keepNext w:val="0"/>
        <w:keepLines w:val="0"/>
        <w:pageBreakBefore w:val="0"/>
        <w:widowControl w:val="0"/>
        <w:numPr>
          <w:ilvl w:val="0"/>
          <w:numId w:val="4"/>
        </w:numPr>
        <w:kinsoku/>
        <w:wordWrap/>
        <w:overflowPunct/>
        <w:topLinePunct w:val="0"/>
        <w:autoSpaceDE/>
        <w:autoSpaceDN/>
        <w:bidi w:val="0"/>
        <w:adjustRightInd/>
        <w:snapToGrid/>
        <w:spacing w:after="0" w:line="580" w:lineRule="exact"/>
        <w:ind w:firstLine="640" w:firstLineChars="200"/>
        <w:jc w:val="left"/>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调节量交易</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pP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调节量交易结算按照调节量交易实施细则执行，虚拟电厂的调节量费用由批发市场的用电主体（不含参与调节量交易的虚拟电厂本身）按照运行日调节时段对应小时的用电量比例分摊。</w:t>
      </w:r>
    </w:p>
    <w:p>
      <w:pPr>
        <w:pStyle w:val="11"/>
        <w:keepNext w:val="0"/>
        <w:keepLines w:val="0"/>
        <w:pageBreakBefore w:val="0"/>
        <w:widowControl w:val="0"/>
        <w:numPr>
          <w:ilvl w:val="0"/>
          <w:numId w:val="4"/>
        </w:numPr>
        <w:kinsoku/>
        <w:wordWrap/>
        <w:overflowPunct/>
        <w:topLinePunct w:val="0"/>
        <w:autoSpaceDE/>
        <w:autoSpaceDN/>
        <w:bidi w:val="0"/>
        <w:adjustRightInd/>
        <w:snapToGrid/>
        <w:spacing w:after="0" w:line="580" w:lineRule="exact"/>
        <w:ind w:firstLine="640" w:firstLineChars="200"/>
        <w:jc w:val="left"/>
        <w:textAlignment w:val="auto"/>
        <w:outlineLvl w:val="1"/>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辅助服务交易</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pP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虚拟电厂参与辅助服务费用按照电力辅助服务市场规则结算；待用户侧参与辅助服务市场费用分摊后，虚拟电厂下网电量同步参与辅助服务市场费用分摊。</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80" w:lineRule="exact"/>
        <w:ind w:left="0" w:leftChars="0" w:firstLine="640" w:firstLineChars="200"/>
        <w:textAlignment w:val="auto"/>
        <w:outlineLvl w:val="0"/>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评估考核</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pPr>
      <w:r>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t>虚拟电厂参与电能量交易、辅助服务交易期间，按照华中能监局《华中区域电力辅助服务管理实施细则》、《华中区域电力辅助服务管理实施细则》</w:t>
      </w:r>
      <w:r>
        <w:rPr>
          <w:rFonts w:hint="eastAsia" w:ascii="Times New Roman" w:hAnsi="Times New Roman" w:eastAsia="方正仿宋_GBK" w:cs="Times New Roman"/>
          <w:bCs/>
          <w:color w:val="auto"/>
          <w:kern w:val="0"/>
          <w:sz w:val="32"/>
          <w:szCs w:val="32"/>
          <w:highlight w:val="none"/>
          <w:lang w:val="en-US" w:eastAsia="zh-CN" w:bidi="ar-SA"/>
        </w:rPr>
        <w:t>〔</w:t>
      </w:r>
      <w:r>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t>华中能监市场规（2025年）71号</w:t>
      </w:r>
      <w:r>
        <w:rPr>
          <w:rFonts w:hint="eastAsia" w:ascii="Times New Roman" w:hAnsi="Times New Roman" w:eastAsia="方正仿宋_GBK" w:cs="Times New Roman"/>
          <w:bCs/>
          <w:color w:val="auto"/>
          <w:kern w:val="0"/>
          <w:sz w:val="32"/>
          <w:szCs w:val="32"/>
          <w:highlight w:val="none"/>
          <w:lang w:val="en-US" w:eastAsia="zh-CN" w:bidi="ar-SA"/>
        </w:rPr>
        <w:t>〕</w:t>
      </w:r>
      <w:r>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t>以及《</w:t>
      </w:r>
      <w:r>
        <w:rPr>
          <w:rFonts w:hint="default" w:ascii="Times New Roman" w:hAnsi="Times New Roman" w:eastAsia="方正仿宋_GBK" w:cs="Times New Roman"/>
          <w:i w:val="0"/>
          <w:iCs w:val="0"/>
          <w:strike w:val="0"/>
          <w:dstrike w:val="0"/>
          <w:color w:val="auto"/>
          <w:kern w:val="2"/>
          <w:sz w:val="32"/>
          <w:szCs w:val="32"/>
          <w:highlight w:val="none"/>
          <w:u w:val="none"/>
          <w:lang w:val="zh-CN" w:eastAsia="zh-CN" w:bidi="ar-SA"/>
        </w:rPr>
        <w:t>重庆电力现货交易实施细则</w:t>
      </w:r>
      <w:r>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t>》相关规则考核管理。</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pPr>
      <w:r>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t>虚拟电厂参与调节量交易期间，负荷类交易单元的实际调节负荷小于中标调节量的50%时，计为调节未达标一次。一个自然月内未达标超过3次的，该交易单元停牌1个月，一年内停牌超过3次，取消该交易单元交易资格。其某个聚合用户连续3次均无实际调节负荷，则将该聚合用户移出被聚合序列，更新虚拟电厂负荷类交易单元调节能力等有关信息，次月起按更新后信息参与交易。</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default" w:ascii="Times New Roman" w:hAnsi="Times New Roman" w:eastAsia="方正仿宋_GBK" w:cs="Times New Roman"/>
          <w:i w:val="0"/>
          <w:iCs w:val="0"/>
          <w:strike w:val="0"/>
          <w:dstrike w:val="0"/>
          <w:color w:val="auto"/>
          <w:kern w:val="2"/>
          <w:sz w:val="32"/>
          <w:szCs w:val="32"/>
          <w:highlight w:val="none"/>
          <w:u w:val="none"/>
          <w:lang w:val="en-US" w:eastAsia="zh-CN" w:bidi="ar-SA"/>
        </w:rPr>
      </w:pPr>
      <w:r>
        <w:rPr>
          <w:rFonts w:hint="default" w:ascii="Times New Roman" w:hAnsi="Times New Roman" w:eastAsia="方正仿宋_GBK" w:cs="Times New Roman"/>
          <w:color w:val="auto"/>
          <w:sz w:val="32"/>
          <w:szCs w:val="32"/>
          <w:highlight w:val="none"/>
          <w:u w:val="none"/>
        </w:rPr>
        <w:t>当虚拟电厂</w:t>
      </w:r>
      <w:r>
        <w:rPr>
          <w:rFonts w:hint="default" w:ascii="Times New Roman" w:hAnsi="Times New Roman" w:eastAsia="方正仿宋_GBK" w:cs="Times New Roman"/>
          <w:color w:val="auto"/>
          <w:sz w:val="32"/>
          <w:szCs w:val="32"/>
          <w:highlight w:val="none"/>
          <w:u w:val="none"/>
          <w:lang w:eastAsia="zh-CN"/>
        </w:rPr>
        <w:t>的</w:t>
      </w:r>
      <w:r>
        <w:rPr>
          <w:rFonts w:hint="default" w:ascii="Times New Roman" w:hAnsi="Times New Roman" w:eastAsia="方正仿宋_GBK" w:cs="Times New Roman"/>
          <w:color w:val="auto"/>
          <w:sz w:val="32"/>
          <w:szCs w:val="32"/>
          <w:highlight w:val="none"/>
          <w:u w:val="none"/>
        </w:rPr>
        <w:t>聚合规模、调节能力、系统接入等发生变化，不满足</w:t>
      </w:r>
      <w:r>
        <w:rPr>
          <w:rFonts w:hint="default" w:ascii="Times New Roman" w:hAnsi="Times New Roman" w:eastAsia="方正仿宋_GBK" w:cs="Times New Roman"/>
          <w:color w:val="auto"/>
          <w:sz w:val="32"/>
          <w:szCs w:val="32"/>
          <w:highlight w:val="none"/>
          <w:u w:val="none"/>
          <w:lang w:eastAsia="zh-CN"/>
        </w:rPr>
        <w:t>电力市场</w:t>
      </w:r>
      <w:r>
        <w:rPr>
          <w:rFonts w:hint="default" w:ascii="Times New Roman" w:hAnsi="Times New Roman" w:eastAsia="方正仿宋_GBK" w:cs="Times New Roman"/>
          <w:color w:val="auto"/>
          <w:sz w:val="32"/>
          <w:szCs w:val="32"/>
          <w:highlight w:val="none"/>
          <w:u w:val="none"/>
        </w:rPr>
        <w:t>参与条件</w:t>
      </w:r>
      <w:r>
        <w:rPr>
          <w:rFonts w:hint="default" w:ascii="Times New Roman" w:hAnsi="Times New Roman" w:eastAsia="方正仿宋_GBK" w:cs="Times New Roman"/>
          <w:color w:val="auto"/>
          <w:sz w:val="32"/>
          <w:szCs w:val="32"/>
          <w:highlight w:val="none"/>
          <w:u w:val="none"/>
          <w:lang w:eastAsia="zh-CN"/>
        </w:rPr>
        <w:t>时，由</w:t>
      </w:r>
      <w:r>
        <w:rPr>
          <w:rFonts w:hint="default" w:ascii="Times New Roman" w:hAnsi="Times New Roman" w:eastAsia="方正仿宋_GBK" w:cs="Times New Roman"/>
          <w:color w:val="auto"/>
          <w:sz w:val="32"/>
          <w:szCs w:val="32"/>
          <w:highlight w:val="none"/>
          <w:u w:val="none"/>
        </w:rPr>
        <w:t>重庆市电力负荷管理中心</w:t>
      </w:r>
      <w:r>
        <w:rPr>
          <w:rFonts w:hint="default" w:ascii="Times New Roman" w:hAnsi="Times New Roman" w:eastAsia="方正仿宋_GBK" w:cs="Times New Roman"/>
          <w:color w:val="auto"/>
          <w:sz w:val="32"/>
          <w:szCs w:val="32"/>
          <w:highlight w:val="none"/>
          <w:u w:val="none"/>
          <w:lang w:eastAsia="zh-CN"/>
        </w:rPr>
        <w:t>提出限期整改要求。整改期间，暂停该虚拟电厂运营商交易资格。</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80" w:lineRule="exact"/>
        <w:ind w:left="0" w:leftChars="0" w:firstLine="640" w:firstLineChars="200"/>
        <w:textAlignment w:val="auto"/>
        <w:outlineLvl w:val="0"/>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退出市场</w:t>
      </w:r>
    </w:p>
    <w:p>
      <w:pPr>
        <w:keepNext w:val="0"/>
        <w:keepLines w:val="0"/>
        <w:pageBreakBefore w:val="0"/>
        <w:numPr>
          <w:ilvl w:val="0"/>
          <w:numId w:val="0"/>
        </w:numPr>
        <w:wordWrap/>
        <w:overflowPunct/>
        <w:topLinePunct w:val="0"/>
        <w:bidi w:val="0"/>
        <w:spacing w:line="580" w:lineRule="exact"/>
        <w:ind w:firstLine="640"/>
        <w:outlineLvl w:val="9"/>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虚拟电厂启动自愿或强制退市的条件和程序，参照国家及重庆售电公司相关规定执行。履行资源或强制退市程序后，电力交易机构同步将相关信息推送至</w:t>
      </w:r>
      <w:r>
        <w:rPr>
          <w:rFonts w:hint="eastAsia" w:ascii="方正仿宋_GBK" w:hAnsi="方正仿宋_GBK" w:eastAsia="方正仿宋_GBK" w:cs="方正仿宋_GBK"/>
          <w:color w:val="auto"/>
          <w:sz w:val="32"/>
          <w:szCs w:val="32"/>
          <w:highlight w:val="none"/>
          <w:u w:val="none"/>
        </w:rPr>
        <w:t>重庆市电力负荷管理中心</w:t>
      </w:r>
      <w:r>
        <w:rPr>
          <w:rFonts w:hint="eastAsia" w:ascii="方正仿宋_GBK" w:hAnsi="方正仿宋_GBK" w:eastAsia="方正仿宋_GBK" w:cs="方正仿宋_GBK"/>
          <w:color w:val="auto"/>
          <w:sz w:val="32"/>
          <w:szCs w:val="32"/>
          <w:highlight w:val="none"/>
          <w:u w:val="none"/>
          <w:lang w:eastAsia="zh-CN"/>
        </w:rPr>
        <w:t>和电力调度机构。</w:t>
      </w:r>
    </w:p>
    <w:p>
      <w:pPr>
        <w:pStyle w:val="2"/>
        <w:keepNext w:val="0"/>
        <w:keepLines w:val="0"/>
        <w:pageBreakBefore w:val="0"/>
        <w:widowControl w:val="0"/>
        <w:wordWrap/>
        <w:overflowPunct/>
        <w:topLinePunct w:val="0"/>
        <w:bidi w:val="0"/>
        <w:spacing w:line="580" w:lineRule="exact"/>
        <w:ind w:left="0" w:leftChars="0" w:firstLine="0" w:firstLineChars="0"/>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pP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640" w:firstLineChars="200"/>
        <w:jc w:val="both"/>
        <w:textAlignment w:val="auto"/>
        <w:outlineLvl w:val="0"/>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r>
        <w:rPr>
          <w:rFonts w:hint="eastAsia" w:ascii="Times New Roman" w:hAnsi="Times New Roman" w:eastAsia="方正仿宋_GBK" w:cs="Times New Roman"/>
          <w:color w:val="auto"/>
          <w:sz w:val="32"/>
          <w:szCs w:val="32"/>
          <w:highlight w:val="none"/>
          <w:lang w:val="en-US" w:eastAsia="zh-CN"/>
        </w:rPr>
        <w:t>附件：</w:t>
      </w: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调节量交易实施细则</w:t>
      </w: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eastAsia="方正黑体_GBK"/>
          <w:color w:val="auto"/>
          <w:sz w:val="32"/>
          <w:szCs w:val="22"/>
          <w:highlight w:val="none"/>
          <w:lang w:val="en-US" w:eastAsia="zh-CN"/>
        </w:rPr>
      </w:pPr>
      <w:r>
        <w:rPr>
          <w:rFonts w:hint="eastAsia" w:ascii="Times New Roman" w:hAnsi="Times New Roman" w:eastAsia="方正黑体_GBK"/>
          <w:color w:val="auto"/>
          <w:sz w:val="32"/>
          <w:szCs w:val="22"/>
          <w:highlight w:val="none"/>
        </w:rPr>
        <w:t>附</w:t>
      </w:r>
      <w:r>
        <w:rPr>
          <w:rFonts w:hint="eastAsia" w:eastAsia="方正黑体_GBK"/>
          <w:color w:val="auto"/>
          <w:sz w:val="32"/>
          <w:szCs w:val="22"/>
          <w:highlight w:val="none"/>
          <w:lang w:eastAsia="zh-CN"/>
        </w:rPr>
        <w:t>件</w:t>
      </w: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Times New Roman" w:hAnsi="Times New Roman" w:eastAsia="方正小标宋_GBK" w:cs="Times New Roman"/>
          <w:b w:val="0"/>
          <w:bCs w:val="0"/>
          <w:color w:val="auto"/>
          <w:spacing w:val="0"/>
          <w:sz w:val="44"/>
          <w:szCs w:val="44"/>
          <w:highlight w:val="none"/>
          <w:lang w:val="en-US" w:eastAsia="zh-CN"/>
        </w:rPr>
      </w:pPr>
      <w:r>
        <w:rPr>
          <w:rFonts w:hint="eastAsia" w:eastAsia="方正黑体_GBK"/>
          <w:color w:val="auto"/>
          <w:sz w:val="32"/>
          <w:szCs w:val="22"/>
          <w:highlight w:val="none"/>
          <w:lang w:val="en-US" w:eastAsia="zh-CN"/>
        </w:rPr>
        <w:t xml:space="preserve"> </w:t>
      </w:r>
    </w:p>
    <w:p>
      <w:pPr>
        <w:keepNext w:val="0"/>
        <w:keepLines w:val="0"/>
        <w:pageBreakBefore w:val="0"/>
        <w:widowControl/>
        <w:numPr>
          <w:ilvl w:val="-1"/>
          <w:numId w:val="0"/>
        </w:numPr>
        <w:suppressLineNumbers w:val="0"/>
        <w:kinsoku/>
        <w:wordWrap/>
        <w:overflowPunct/>
        <w:topLinePunct w:val="0"/>
        <w:autoSpaceDE/>
        <w:autoSpaceDN/>
        <w:bidi w:val="0"/>
        <w:adjustRightInd w:val="0"/>
        <w:snapToGrid w:val="0"/>
        <w:spacing w:line="580" w:lineRule="exact"/>
        <w:ind w:left="0" w:leftChars="0" w:firstLine="0" w:firstLineChars="0"/>
        <w:jc w:val="center"/>
        <w:textAlignment w:val="auto"/>
        <w:outlineLvl w:val="2"/>
        <w:rPr>
          <w:rFonts w:hint="eastAsia" w:ascii="方正黑体_GBK" w:hAnsi="方正黑体_GBK" w:eastAsia="方正黑体_GBK" w:cs="方正黑体_GBK"/>
          <w:color w:val="auto"/>
          <w:sz w:val="32"/>
          <w:szCs w:val="32"/>
          <w:highlight w:val="none"/>
          <w:lang w:val="en-US" w:eastAsia="zh-CN"/>
        </w:rPr>
      </w:pPr>
      <w:r>
        <w:rPr>
          <w:rFonts w:hint="eastAsia" w:ascii="Times New Roman" w:hAnsi="Times New Roman" w:eastAsia="方正小标宋_GBK" w:cs="Times New Roman"/>
          <w:b w:val="0"/>
          <w:bCs w:val="0"/>
          <w:color w:val="auto"/>
          <w:spacing w:val="0"/>
          <w:sz w:val="44"/>
          <w:szCs w:val="44"/>
          <w:highlight w:val="none"/>
          <w:lang w:val="en-US" w:eastAsia="zh-CN"/>
        </w:rPr>
        <w:t>调节量交易实施细则</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80" w:lineRule="exact"/>
        <w:jc w:val="both"/>
        <w:textAlignment w:val="auto"/>
        <w:outlineLvl w:val="9"/>
        <w:rPr>
          <w:rFonts w:hint="eastAsia" w:ascii="方正仿宋_GBK" w:hAnsi="方正仿宋_GBK" w:eastAsia="方正仿宋_GBK" w:cs="方正仿宋_GBK"/>
          <w:b/>
          <w:bCs/>
          <w:color w:val="auto"/>
          <w:spacing w:val="3"/>
          <w:sz w:val="32"/>
          <w:szCs w:val="32"/>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firstLine="640" w:firstLineChars="200"/>
        <w:textAlignment w:val="auto"/>
        <w:outlineLvl w:val="1"/>
        <w:rPr>
          <w:rFonts w:hint="eastAsia" w:ascii="方正仿宋_GBK" w:hAnsi="方正仿宋_GBK" w:eastAsia="方正仿宋_GBK" w:cs="方正仿宋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一、基线计算方法</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80" w:lineRule="exact"/>
        <w:ind w:left="0" w:leftChars="0" w:firstLine="640" w:firstLineChars="200"/>
        <w:jc w:val="both"/>
        <w:textAlignment w:val="auto"/>
        <w:outlineLvl w:val="2"/>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（一）基线日选取方法</w:t>
      </w:r>
    </w:p>
    <w:p>
      <w:pPr>
        <w:keepNext w:val="0"/>
        <w:keepLines w:val="0"/>
        <w:pageBreakBefore w:val="0"/>
        <w:widowControl w:val="0"/>
        <w:tabs>
          <w:tab w:val="left" w:pos="1843"/>
        </w:tabs>
        <w:kinsoku/>
        <w:wordWrap/>
        <w:overflowPunct/>
        <w:topLinePunct w:val="0"/>
        <w:autoSpaceDE/>
        <w:autoSpaceDN/>
        <w:bidi w:val="0"/>
        <w:adjustRightInd w:val="0"/>
        <w:snapToGrid w:val="0"/>
        <w:spacing w:line="580" w:lineRule="exact"/>
        <w:ind w:firstLine="624" w:firstLineChars="200"/>
        <w:jc w:val="both"/>
        <w:textAlignment w:val="auto"/>
        <w:outlineLvl w:val="9"/>
        <w:rPr>
          <w:rFonts w:hint="eastAsia" w:ascii="Times New Roman" w:hAnsi="Times New Roman" w:eastAsia="方正仿宋_GBK" w:cs="Times New Roman"/>
          <w:color w:val="auto"/>
          <w:spacing w:val="-4"/>
          <w:sz w:val="32"/>
          <w:szCs w:val="32"/>
          <w:highlight w:val="none"/>
          <w:lang w:val="en-US" w:eastAsia="zh-CN"/>
        </w:rPr>
      </w:pPr>
      <w:r>
        <w:rPr>
          <w:rFonts w:hint="eastAsia" w:ascii="Times New Roman" w:hAnsi="Times New Roman" w:eastAsia="方正仿宋_GBK" w:cs="Times New Roman"/>
          <w:color w:val="auto"/>
          <w:spacing w:val="-4"/>
          <w:sz w:val="32"/>
          <w:szCs w:val="32"/>
          <w:highlight w:val="none"/>
          <w:lang w:val="en-US" w:eastAsia="zh-CN"/>
        </w:rPr>
        <w:t>基线日根据调节量交易运行日的类别分为两类。若运行日为工作日，取调节量交易申报前3个工作日作为基线日；若运行日为非工作日（周末及法定节假日），取调节量交易申报前2个非工作日作为基线日。若遇执行有序用电、需求响应等负荷管理措施以及启动调节量交易等调节市场的日期，则视为非正常日，基线日应往前顺延。</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80" w:lineRule="exact"/>
        <w:ind w:left="0" w:leftChars="0" w:firstLine="640" w:firstLineChars="200"/>
        <w:jc w:val="both"/>
        <w:textAlignment w:val="auto"/>
        <w:outlineLvl w:val="2"/>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（二）基线负荷计算</w:t>
      </w:r>
    </w:p>
    <w:p>
      <w:pPr>
        <w:pStyle w:val="2"/>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Times New Roman" w:hAnsi="Times New Roman" w:eastAsia="方正仿宋_GBK" w:cs="Times New Roman"/>
          <w:color w:val="auto"/>
          <w:spacing w:val="-4"/>
          <w:sz w:val="32"/>
          <w:szCs w:val="32"/>
          <w:highlight w:val="none"/>
          <w:lang w:val="en-US" w:eastAsia="zh-CN"/>
        </w:rPr>
      </w:pPr>
      <w:r>
        <w:rPr>
          <w:rFonts w:hint="eastAsia" w:ascii="Times New Roman" w:hAnsi="Times New Roman" w:eastAsia="方正仿宋_GBK" w:cs="Times New Roman"/>
          <w:color w:val="auto"/>
          <w:spacing w:val="-4"/>
          <w:sz w:val="32"/>
          <w:szCs w:val="32"/>
          <w:highlight w:val="none"/>
          <w:lang w:val="en-US" w:eastAsia="zh-CN"/>
        </w:rPr>
        <w:t>虚拟电厂的基线负荷按照单个调节时段开展计算。负荷类交易单元的基线负荷通过其聚合资源电力营销户号负荷叠加计算。若无法获取聚合资源的基线负荷，该聚合资源当次交易量不计算。</w:t>
      </w:r>
    </w:p>
    <w:p>
      <w:pPr>
        <w:keepNext w:val="0"/>
        <w:keepLines w:val="0"/>
        <w:pageBreakBefore w:val="0"/>
        <w:widowControl w:val="0"/>
        <w:tabs>
          <w:tab w:val="left" w:pos="1843"/>
        </w:tabs>
        <w:kinsoku/>
        <w:wordWrap/>
        <w:overflowPunct/>
        <w:topLinePunct w:val="0"/>
        <w:autoSpaceDE/>
        <w:autoSpaceDN/>
        <w:bidi w:val="0"/>
        <w:adjustRightInd w:val="0"/>
        <w:snapToGrid w:val="0"/>
        <w:spacing w:line="580" w:lineRule="exact"/>
        <w:ind w:firstLine="624" w:firstLineChars="200"/>
        <w:jc w:val="both"/>
        <w:textAlignment w:val="auto"/>
        <w:outlineLvl w:val="9"/>
        <w:rPr>
          <w:rFonts w:hint="eastAsia" w:ascii="Times New Roman" w:hAnsi="Times New Roman" w:eastAsia="方正仿宋_GBK" w:cs="Times New Roman"/>
          <w:color w:val="auto"/>
          <w:spacing w:val="-4"/>
          <w:sz w:val="32"/>
          <w:szCs w:val="32"/>
          <w:highlight w:val="none"/>
          <w:lang w:val="en-US" w:eastAsia="zh-CN"/>
        </w:rPr>
      </w:pPr>
      <w:r>
        <w:rPr>
          <w:rFonts w:hint="eastAsia" w:ascii="Times New Roman" w:hAnsi="Times New Roman" w:eastAsia="方正仿宋_GBK" w:cs="Times New Roman"/>
          <w:color w:val="auto"/>
          <w:spacing w:val="-4"/>
          <w:sz w:val="32"/>
          <w:szCs w:val="32"/>
          <w:highlight w:val="none"/>
          <w:lang w:val="en-US" w:eastAsia="zh-CN"/>
        </w:rPr>
        <w:t>时刻点基线负荷：在基线日同一采集时刻点对应的15分钟负荷样本均值。</w:t>
      </w:r>
    </w:p>
    <w:p>
      <w:pPr>
        <w:keepNext w:val="0"/>
        <w:keepLines w:val="0"/>
        <w:pageBreakBefore w:val="0"/>
        <w:widowControl w:val="0"/>
        <w:tabs>
          <w:tab w:val="left" w:pos="1843"/>
        </w:tabs>
        <w:kinsoku/>
        <w:wordWrap/>
        <w:overflowPunct/>
        <w:topLinePunct w:val="0"/>
        <w:autoSpaceDE/>
        <w:autoSpaceDN/>
        <w:bidi w:val="0"/>
        <w:adjustRightInd w:val="0"/>
        <w:snapToGrid w:val="0"/>
        <w:spacing w:line="580" w:lineRule="exact"/>
        <w:ind w:firstLine="624" w:firstLineChars="200"/>
        <w:jc w:val="both"/>
        <w:textAlignment w:val="auto"/>
        <w:outlineLvl w:val="9"/>
        <w:rPr>
          <w:rFonts w:hint="eastAsia" w:ascii="Times New Roman" w:hAnsi="Times New Roman" w:eastAsia="方正仿宋_GBK" w:cs="Times New Roman"/>
          <w:color w:val="auto"/>
          <w:spacing w:val="-4"/>
          <w:sz w:val="32"/>
          <w:szCs w:val="32"/>
          <w:highlight w:val="none"/>
          <w:lang w:val="en-US" w:eastAsia="zh-CN"/>
        </w:rPr>
      </w:pPr>
      <w:r>
        <w:rPr>
          <w:rFonts w:hint="eastAsia" w:ascii="Times New Roman" w:hAnsi="Times New Roman" w:eastAsia="方正仿宋_GBK" w:cs="Times New Roman"/>
          <w:color w:val="auto"/>
          <w:spacing w:val="-4"/>
          <w:sz w:val="32"/>
          <w:szCs w:val="32"/>
          <w:highlight w:val="none"/>
          <w:lang w:val="en-US" w:eastAsia="zh-CN"/>
        </w:rPr>
        <w:t>基线平均负荷：调节时段内各时刻点基线负荷的平均值。</w:t>
      </w:r>
    </w:p>
    <w:p>
      <w:pPr>
        <w:keepNext w:val="0"/>
        <w:keepLines w:val="0"/>
        <w:pageBreakBefore w:val="0"/>
        <w:widowControl w:val="0"/>
        <w:tabs>
          <w:tab w:val="left" w:pos="1843"/>
        </w:tabs>
        <w:kinsoku/>
        <w:wordWrap/>
        <w:overflowPunct/>
        <w:topLinePunct w:val="0"/>
        <w:autoSpaceDE/>
        <w:autoSpaceDN/>
        <w:bidi w:val="0"/>
        <w:adjustRightInd w:val="0"/>
        <w:snapToGrid w:val="0"/>
        <w:spacing w:line="580" w:lineRule="exact"/>
        <w:ind w:firstLine="624" w:firstLineChars="200"/>
        <w:jc w:val="both"/>
        <w:textAlignment w:val="auto"/>
        <w:outlineLvl w:val="9"/>
        <w:rPr>
          <w:rFonts w:hint="eastAsia" w:ascii="Times New Roman" w:hAnsi="Times New Roman" w:eastAsia="方正仿宋_GBK" w:cs="Times New Roman"/>
          <w:color w:val="auto"/>
          <w:spacing w:val="-4"/>
          <w:sz w:val="32"/>
          <w:szCs w:val="32"/>
          <w:highlight w:val="none"/>
          <w:lang w:val="en-US" w:eastAsia="zh-CN"/>
        </w:rPr>
      </w:pPr>
      <w:r>
        <w:rPr>
          <w:rFonts w:hint="eastAsia" w:ascii="Times New Roman" w:hAnsi="Times New Roman" w:eastAsia="方正仿宋_GBK" w:cs="Times New Roman"/>
          <w:color w:val="auto"/>
          <w:spacing w:val="-4"/>
          <w:sz w:val="32"/>
          <w:szCs w:val="32"/>
          <w:highlight w:val="none"/>
          <w:lang w:val="en-US" w:eastAsia="zh-CN"/>
        </w:rPr>
        <w:t>基线最大负荷：调节时段内各时刻点基线负荷的最大值。</w:t>
      </w:r>
    </w:p>
    <w:p>
      <w:pPr>
        <w:keepNext w:val="0"/>
        <w:keepLines w:val="0"/>
        <w:pageBreakBefore w:val="0"/>
        <w:widowControl w:val="0"/>
        <w:tabs>
          <w:tab w:val="left" w:pos="1843"/>
        </w:tabs>
        <w:kinsoku/>
        <w:wordWrap/>
        <w:overflowPunct/>
        <w:topLinePunct w:val="0"/>
        <w:autoSpaceDE/>
        <w:autoSpaceDN/>
        <w:bidi w:val="0"/>
        <w:adjustRightInd w:val="0"/>
        <w:snapToGrid w:val="0"/>
        <w:spacing w:line="580" w:lineRule="exact"/>
        <w:ind w:firstLine="624" w:firstLineChars="200"/>
        <w:jc w:val="both"/>
        <w:textAlignment w:val="auto"/>
        <w:outlineLvl w:val="9"/>
        <w:rPr>
          <w:rFonts w:hint="eastAsia"/>
          <w:color w:val="auto"/>
          <w:highlight w:val="none"/>
          <w:lang w:val="en-US" w:eastAsia="zh-CN"/>
        </w:rPr>
      </w:pPr>
      <w:r>
        <w:rPr>
          <w:rFonts w:hint="eastAsia" w:ascii="Times New Roman" w:hAnsi="Times New Roman" w:eastAsia="方正仿宋_GBK" w:cs="Times New Roman"/>
          <w:color w:val="auto"/>
          <w:spacing w:val="-4"/>
          <w:sz w:val="32"/>
          <w:szCs w:val="32"/>
          <w:highlight w:val="none"/>
          <w:lang w:val="en-US" w:eastAsia="zh-CN"/>
        </w:rPr>
        <w:t>基线最小负荷：调节时段内各时刻点基线负荷的最小值。</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80" w:lineRule="exact"/>
        <w:ind w:left="0" w:leftChars="0" w:firstLine="640" w:firstLineChars="200"/>
        <w:textAlignment w:val="auto"/>
        <w:outlineLvl w:val="1"/>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二、调节有效性判定</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80" w:lineRule="exact"/>
        <w:ind w:left="0" w:leftChars="0" w:firstLine="624" w:firstLineChars="200"/>
        <w:jc w:val="both"/>
        <w:textAlignment w:val="auto"/>
        <w:outlineLvl w:val="9"/>
        <w:rPr>
          <w:rFonts w:hint="eastAsia" w:ascii="Times New Roman" w:hAnsi="Times New Roman" w:eastAsia="方正仿宋_GBK" w:cs="Times New Roman"/>
          <w:color w:val="auto"/>
          <w:spacing w:val="-4"/>
          <w:kern w:val="2"/>
          <w:sz w:val="32"/>
          <w:szCs w:val="32"/>
          <w:highlight w:val="none"/>
          <w:lang w:val="en-US" w:eastAsia="zh-CN" w:bidi="ar-SA"/>
        </w:rPr>
      </w:pPr>
      <w:r>
        <w:rPr>
          <w:rFonts w:hint="eastAsia" w:ascii="Times New Roman" w:hAnsi="Times New Roman" w:eastAsia="方正仿宋_GBK" w:cs="Times New Roman"/>
          <w:color w:val="auto"/>
          <w:spacing w:val="-4"/>
          <w:kern w:val="2"/>
          <w:sz w:val="32"/>
          <w:szCs w:val="32"/>
          <w:highlight w:val="none"/>
          <w:lang w:val="en-US" w:eastAsia="zh-CN" w:bidi="ar-SA"/>
        </w:rPr>
        <w:t>虚拟电厂的调节有效性按照单个调节时段进行判断，有效调节电量按照单个调节时段进行计算。</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80" w:lineRule="exact"/>
        <w:ind w:left="0" w:leftChars="0" w:firstLine="640" w:firstLineChars="200"/>
        <w:jc w:val="both"/>
        <w:textAlignment w:val="auto"/>
        <w:outlineLvl w:val="2"/>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（一）有效性判定</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虚拟电厂负荷类交易单元在调节时段内同时满足以下条件则认定为有效响应：</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实际平均负荷＜基线平均负荷</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val="en-US" w:eastAsia="zh-CN"/>
        </w:rPr>
        <w:t>实际最大负荷≤基线最大负荷</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lang w:val="en-US" w:eastAsia="zh-CN"/>
        </w:rPr>
        <w:t>P点负荷响应率≥80%（时刻点负荷响应率=时刻点下调调节负荷量/中标调节量）</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cs="Times New Roman"/>
          <w:color w:val="auto"/>
          <w:lang w:val="en-US" w:eastAsia="zh-CN"/>
        </w:rPr>
      </w:pPr>
      <w:r>
        <w:rPr>
          <w:rFonts w:hint="default" w:ascii="Times New Roman" w:hAnsi="Times New Roman" w:eastAsia="方正仿宋_GBK" w:cs="Times New Roman"/>
          <w:b w:val="0"/>
          <w:bCs w:val="0"/>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val="en-US" w:eastAsia="zh-CN"/>
        </w:rPr>
        <w:t>平均负荷响应率≥80%（平均负荷响应率=平均下调调节负荷/中标调节量）</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其中，实际平均负荷：运行日调节时段内全部时刻点负荷的平均值；实际最大负荷：运行日调节时段内全部时刻点负荷的最大值；下调调节负荷=基线负荷－实际负荷。</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80" w:lineRule="exact"/>
        <w:ind w:left="0" w:leftChars="0" w:firstLine="640" w:firstLineChars="200"/>
        <w:jc w:val="both"/>
        <w:textAlignment w:val="auto"/>
        <w:outlineLvl w:val="2"/>
        <w:rPr>
          <w:rFonts w:hint="eastAsia"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（二）有效调节电量</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有效调节电量=∑调节时段有效调节负荷</w:t>
      </w:r>
      <w:r>
        <w:rPr>
          <w:rFonts w:hint="default" w:ascii="Times New Roman" w:hAnsi="Times New Roman" w:eastAsia="方正仿宋_GBK" w:cs="Times New Roman"/>
          <w:color w:val="auto"/>
          <w:spacing w:val="-4"/>
          <w:kern w:val="2"/>
          <w:sz w:val="32"/>
          <w:szCs w:val="32"/>
          <w:highlight w:val="none"/>
          <w:lang w:val="en-US" w:eastAsia="zh-CN" w:bidi="ar-SA"/>
        </w:rPr>
        <w:t>×调节时段时长</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虚拟电厂负荷类交易单元在调节时段内被认定为有效响应后，按以下规则计算有效调节负荷：</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当“80%≤平均负荷响应率≤100%”时，有效调节负荷取虚拟电厂负荷类交易单元在调节时段内的平均下调调节负荷；</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0" w:firstLineChars="200"/>
        <w:jc w:val="both"/>
        <w:textAlignment w:val="baseline"/>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当“平均负荷响应率＞100%”时，有效调节负荷取虚拟电厂负荷类交易单元在调节时段内的中标调节量。</w:t>
      </w:r>
    </w:p>
    <w:p>
      <w:pPr>
        <w:keepNext w:val="0"/>
        <w:keepLines w:val="0"/>
        <w:pageBreakBefore w:val="0"/>
        <w:widowControl/>
        <w:numPr>
          <w:ilvl w:val="0"/>
          <w:numId w:val="0"/>
        </w:numPr>
        <w:kinsoku/>
        <w:wordWrap/>
        <w:overflowPunct/>
        <w:topLinePunct w:val="0"/>
        <w:autoSpaceDE/>
        <w:autoSpaceDN/>
        <w:bidi w:val="0"/>
        <w:adjustRightInd/>
        <w:snapToGrid/>
        <w:spacing w:after="0" w:line="600" w:lineRule="exact"/>
        <w:ind w:left="0" w:leftChars="0" w:firstLine="640" w:firstLineChars="200"/>
        <w:textAlignment w:val="auto"/>
        <w:outlineLvl w:val="1"/>
        <w:rPr>
          <w:rFonts w:hint="eastAsia" w:ascii="方正仿宋_GBK" w:hAnsi="方正仿宋_GBK" w:eastAsia="方正仿宋_GBK" w:cs="方正仿宋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三、调节量收益</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600" w:lineRule="exact"/>
        <w:ind w:left="0" w:leftChars="0" w:firstLine="640" w:firstLineChars="200"/>
        <w:jc w:val="both"/>
        <w:textAlignment w:val="auto"/>
        <w:outlineLvl w:val="2"/>
        <w:rPr>
          <w:rFonts w:hint="default" w:ascii="方正楷体_GBK" w:hAnsi="方正楷体_GBK" w:eastAsia="方正楷体_GBK" w:cs="方正楷体_GBK"/>
          <w:b w:val="0"/>
          <w:bCs w:val="0"/>
          <w:color w:val="auto"/>
          <w:kern w:val="2"/>
          <w:sz w:val="32"/>
          <w:szCs w:val="32"/>
          <w:highlight w:val="none"/>
          <w:lang w:val="en-US" w:eastAsia="zh-CN" w:bidi="ar-SA"/>
        </w:rPr>
      </w:pPr>
      <w:r>
        <w:rPr>
          <w:rFonts w:hint="eastAsia" w:ascii="方正楷体_GBK" w:hAnsi="方正楷体_GBK" w:eastAsia="方正楷体_GBK" w:cs="方正楷体_GBK"/>
          <w:b w:val="0"/>
          <w:bCs w:val="0"/>
          <w:color w:val="auto"/>
          <w:kern w:val="2"/>
          <w:sz w:val="32"/>
          <w:szCs w:val="32"/>
          <w:highlight w:val="none"/>
          <w:lang w:val="en-US" w:eastAsia="zh-CN" w:bidi="ar-SA"/>
        </w:rPr>
        <w:t>（一）虚拟电厂负荷类交易单元调节量收益公式如下</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outlineLvl w:val="9"/>
        <w:rPr>
          <w:rFonts w:hint="default" w:ascii="Cambria Math" w:hAnsi="Cambria Math" w:eastAsia="方正仿宋_GBK" w:cs="方正仿宋_GBK"/>
          <w:b w:val="0"/>
          <w:bCs w:val="0"/>
          <w:iCs w:val="0"/>
          <w:color w:val="auto"/>
          <w:sz w:val="32"/>
          <w:szCs w:val="32"/>
          <w:highlight w:val="none"/>
          <w:lang w:val="en-US" w:eastAsia="zh-CN"/>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调节收益.虚拟电厂</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default" w:ascii="Cambria Math" w:hAnsi="Cambria Math" w:eastAsia="方正仿宋_GBK" w:cs="方正仿宋_GBK"/>
            <w:color w:val="auto"/>
            <w:kern w:val="2"/>
            <w:sz w:val="32"/>
            <w:szCs w:val="32"/>
            <w:highlight w:val="none"/>
            <w:lang w:val="en-US" w:eastAsia="zh-CN" w:bidi="ar-SA"/>
          </w:rPr>
          <m:t>=</m:t>
        </m:r>
        <m:nary>
          <m:naryPr>
            <m:chr m:val="∑"/>
            <m:limLoc m:val="undOvr"/>
            <m:subHide m:val="1"/>
            <m:supHide m:val="1"/>
            <m:ctrlPr>
              <w:rPr>
                <w:rFonts w:hint="default" w:ascii="Cambria Math" w:hAnsi="Cambria Math" w:eastAsia="方正仿宋_GBK" w:cs="方正仿宋_GBK"/>
                <w:bCs w:val="0"/>
                <w:i w:val="0"/>
                <w:iCs w:val="0"/>
                <w:color w:val="auto"/>
                <w:sz w:val="32"/>
                <w:szCs w:val="32"/>
                <w:highlight w:val="none"/>
                <w:lang w:val="en-US" w:eastAsia="zh-CN"/>
              </w:rPr>
            </m:ctrlPr>
          </m:naryPr>
          <m:sub>
            <m:ctrlPr>
              <w:rPr>
                <w:rFonts w:hint="default" w:ascii="Cambria Math" w:hAnsi="Cambria Math" w:eastAsia="方正仿宋_GBK" w:cs="方正仿宋_GBK"/>
                <w:bCs w:val="0"/>
                <w:i w:val="0"/>
                <w:iCs w:val="0"/>
                <w:color w:val="auto"/>
                <w:sz w:val="32"/>
                <w:szCs w:val="32"/>
                <w:highlight w:val="none"/>
                <w:lang w:val="en-US" w:eastAsia="zh-CN"/>
              </w:rPr>
            </m:ctrlPr>
          </m:sub>
          <m:sup>
            <m:ctrlPr>
              <w:rPr>
                <w:rFonts w:hint="default" w:ascii="Cambria Math" w:hAnsi="Cambria Math" w:eastAsia="方正仿宋_GBK" w:cs="方正仿宋_GBK"/>
                <w:bCs w:val="0"/>
                <w:i w:val="0"/>
                <w:iCs w:val="0"/>
                <w:color w:val="auto"/>
                <w:sz w:val="32"/>
                <w:szCs w:val="32"/>
                <w:highlight w:val="none"/>
                <w:lang w:val="en-US" w:eastAsia="zh-CN"/>
              </w:rPr>
            </m:ctrlPr>
          </m:sup>
          <m:e>
            <m:r>
              <m:rPr>
                <m:sty m:val="p"/>
              </m:rPr>
              <w:rPr>
                <w:rFonts w:hint="default" w:ascii="Cambria Math" w:hAnsi="Cambria Math" w:eastAsia="方正仿宋_GBK" w:cs="方正仿宋_GBK"/>
                <w:color w:val="auto"/>
                <w:sz w:val="32"/>
                <w:szCs w:val="32"/>
                <w:highlight w:val="none"/>
                <w:lang w:val="en-US" w:eastAsia="zh-CN"/>
              </w:rPr>
              <m:t>（</m:t>
            </m:r>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调节收益.虚拟电厂</m:t>
                </m:r>
                <m:r>
                  <m:rPr>
                    <m:sty m:val="p"/>
                  </m:rPr>
                  <w:rPr>
                    <w:rFonts w:hint="default"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default" w:ascii="Cambria Math" w:hAnsi="Cambria Math" w:eastAsia="方正仿宋_GBK" w:cs="方正仿宋_GBK"/>
                <w:color w:val="auto"/>
                <w:sz w:val="32"/>
                <w:szCs w:val="32"/>
                <w:highlight w:val="none"/>
                <w:lang w:val="en-US" w:eastAsia="zh-CN"/>
              </w:rPr>
              <m:t>）</m:t>
            </m:r>
            <m:ctrlPr>
              <w:rPr>
                <w:rFonts w:hint="default" w:ascii="Cambria Math" w:hAnsi="Cambria Math" w:eastAsia="方正仿宋_GBK" w:cs="方正仿宋_GBK"/>
                <w:bCs w:val="0"/>
                <w:i w:val="0"/>
                <w:iCs w:val="0"/>
                <w:color w:val="auto"/>
                <w:sz w:val="32"/>
                <w:szCs w:val="32"/>
                <w:highlight w:val="none"/>
                <w:lang w:val="en-US" w:eastAsia="zh-CN"/>
              </w:rPr>
            </m:ctrlPr>
          </m:e>
        </m:nary>
        <m:r>
          <m:rPr>
            <m:sty m:val="p"/>
          </m:rPr>
          <w:rPr>
            <w:rFonts w:hint="default" w:ascii="Cambria Math" w:hAnsi="Cambria Math" w:eastAsia="方正仿宋_GBK" w:cs="方正仿宋_GBK"/>
            <w:color w:val="auto"/>
            <w:sz w:val="32"/>
            <w:szCs w:val="32"/>
            <w:highlight w:val="none"/>
            <w:lang w:val="en-US" w:eastAsia="zh-CN"/>
          </w:rPr>
          <m:t xml:space="preserve"> </m:t>
        </m:r>
      </m:oMath>
      <w:r>
        <w:rPr>
          <w:rFonts w:hint="default" w:ascii="Cambria Math" w:hAnsi="Cambria Math" w:eastAsia="方正仿宋_GBK" w:cs="方正仿宋_GBK"/>
          <w:b w:val="0"/>
          <w:i w:val="0"/>
          <w:color w:val="auto"/>
          <w:sz w:val="32"/>
          <w:szCs w:val="32"/>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调节收益.虚拟电厂</m:t>
            </m:r>
            <m:r>
              <m:rPr>
                <m:sty m:val="p"/>
              </m:rPr>
              <w:rPr>
                <w:rFonts w:hint="default"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default" w:ascii="Cambria Math" w:hAnsi="Cambria Math" w:eastAsia="方正仿宋_GBK" w:cs="方正仿宋_GBK"/>
            <w:color w:val="auto"/>
            <w:kern w:val="2"/>
            <w:sz w:val="32"/>
            <w:szCs w:val="32"/>
            <w:highlight w:val="none"/>
            <w:lang w:val="en-US" w:eastAsia="zh-CN" w:bidi="ar-SA"/>
          </w:rPr>
          <m:t>=</m:t>
        </m:r>
        <m:sSub>
          <m:sSubPr>
            <m:ctrlPr>
              <w:rPr>
                <w:rFonts w:hint="default" w:ascii="Cambria Math" w:hAnsi="Cambria Math" w:eastAsia="方正仿宋_GBK" w:cs="方正仿宋_GBK"/>
                <w:bCs w:val="0"/>
                <w:i w:val="0"/>
                <w:iCs w:val="0"/>
                <w:color w:val="auto"/>
                <w:sz w:val="32"/>
                <w:szCs w:val="32"/>
                <w:highlight w:val="none"/>
                <w:lang w:val="en-US" w:eastAsia="zh-CN"/>
              </w:rPr>
            </m:ctrlPr>
          </m:sSubPr>
          <m:e>
            <m:r>
              <m:rPr>
                <m:sty m:val="p"/>
              </m:rPr>
              <w:rPr>
                <w:rFonts w:hint="default" w:ascii="Cambria Math" w:hAnsi="Cambria Math" w:eastAsia="方正仿宋_GBK" w:cs="方正仿宋_GBK"/>
                <w:color w:val="auto"/>
                <w:sz w:val="32"/>
                <w:szCs w:val="32"/>
                <w:highlight w:val="none"/>
                <w:lang w:val="en-US" w:eastAsia="zh-CN"/>
              </w:rPr>
              <m:t>Q</m:t>
            </m:r>
            <m:ctrlPr>
              <w:rPr>
                <w:rFonts w:hint="default" w:ascii="Cambria Math" w:hAnsi="Cambria Math" w:eastAsia="方正仿宋_GBK" w:cs="方正仿宋_GBK"/>
                <w:bCs w:val="0"/>
                <w:i w:val="0"/>
                <w:iCs w:val="0"/>
                <w:color w:val="auto"/>
                <w:sz w:val="32"/>
                <w:szCs w:val="32"/>
                <w:highlight w:val="none"/>
                <w:lang w:val="en-US" w:eastAsia="zh-CN"/>
              </w:rPr>
            </m:ctrlPr>
          </m:e>
          <m:sub>
            <m:r>
              <m:rPr>
                <m:sty m:val="p"/>
              </m:rPr>
              <w:rPr>
                <w:rFonts w:hint="default" w:ascii="Cambria Math" w:hAnsi="Cambria Math" w:eastAsia="方正仿宋_GBK" w:cs="方正仿宋_GBK"/>
                <w:color w:val="auto"/>
                <w:sz w:val="32"/>
                <w:szCs w:val="32"/>
                <w:highlight w:val="none"/>
                <w:lang w:val="en-US" w:eastAsia="zh-CN"/>
              </w:rPr>
              <m:t>有效调节电量,t</m:t>
            </m:r>
            <m:ctrlPr>
              <w:rPr>
                <w:rFonts w:hint="default" w:ascii="Cambria Math" w:hAnsi="Cambria Math" w:eastAsia="方正仿宋_GBK" w:cs="方正仿宋_GBK"/>
                <w:bCs w:val="0"/>
                <w:i w:val="0"/>
                <w:iCs w:val="0"/>
                <w:color w:val="auto"/>
                <w:sz w:val="32"/>
                <w:szCs w:val="32"/>
                <w:highlight w:val="none"/>
                <w:lang w:val="en-US" w:eastAsia="zh-CN"/>
              </w:rPr>
            </m:ctrlPr>
          </m:sub>
        </m:sSub>
        <m:r>
          <m:rPr>
            <m:sty m:val="p"/>
          </m:rPr>
          <w:rPr>
            <w:rFonts w:hint="eastAsia" w:ascii="Times New Roman" w:hAnsi="Times New Roman" w:eastAsia="方正仿宋_GBK" w:cs="Times New Roman"/>
            <w:color w:val="auto"/>
            <w:spacing w:val="-4"/>
            <w:kern w:val="2"/>
            <w:sz w:val="32"/>
            <w:szCs w:val="32"/>
            <w:highlight w:val="none"/>
            <w:lang w:val="en-US" w:eastAsia="zh-CN" w:bidi="ar-SA"/>
          </w:rPr>
          <m:t>×</m:t>
        </m:r>
        <m:sSub>
          <m:sSubPr>
            <m:ctrlPr>
              <w:rPr>
                <w:rFonts w:hint="default" w:ascii="Cambria Math" w:hAnsi="Cambria Math" w:eastAsia="方正仿宋_GBK" w:cs="方正仿宋_GBK"/>
                <w:bCs w:val="0"/>
                <w:i w:val="0"/>
                <w:iCs w:val="0"/>
                <w:color w:val="auto"/>
                <w:sz w:val="32"/>
                <w:szCs w:val="32"/>
                <w:highlight w:val="none"/>
                <w:lang w:val="en-US" w:eastAsia="zh-CN"/>
              </w:rPr>
            </m:ctrlPr>
          </m:sSubPr>
          <m:e>
            <m:r>
              <m:rPr>
                <m:sty m:val="p"/>
              </m:rPr>
              <w:rPr>
                <w:rFonts w:hint="default" w:ascii="Cambria Math" w:hAnsi="Cambria Math" w:eastAsia="方正仿宋_GBK" w:cs="方正仿宋_GBK"/>
                <w:color w:val="auto"/>
                <w:sz w:val="32"/>
                <w:szCs w:val="32"/>
                <w:highlight w:val="none"/>
                <w:lang w:val="en-US" w:eastAsia="zh-CN"/>
              </w:rPr>
              <m:t>P</m:t>
            </m:r>
            <m:ctrlPr>
              <w:rPr>
                <w:rFonts w:hint="default" w:ascii="Cambria Math" w:hAnsi="Cambria Math" w:eastAsia="方正仿宋_GBK" w:cs="方正仿宋_GBK"/>
                <w:bCs w:val="0"/>
                <w:i w:val="0"/>
                <w:iCs w:val="0"/>
                <w:color w:val="auto"/>
                <w:sz w:val="32"/>
                <w:szCs w:val="32"/>
                <w:highlight w:val="none"/>
                <w:lang w:val="en-US" w:eastAsia="zh-CN"/>
              </w:rPr>
            </m:ctrlPr>
          </m:e>
          <m:sub>
            <m:r>
              <m:rPr>
                <m:sty m:val="p"/>
              </m:rPr>
              <w:rPr>
                <w:rFonts w:hint="default" w:ascii="Cambria Math" w:hAnsi="Cambria Math" w:eastAsia="方正仿宋_GBK" w:cs="方正仿宋_GBK"/>
                <w:color w:val="auto"/>
                <w:sz w:val="32"/>
                <w:szCs w:val="32"/>
                <w:highlight w:val="none"/>
                <w:lang w:val="en-US" w:eastAsia="zh-CN"/>
              </w:rPr>
              <m:t>出清价格,t</m:t>
            </m:r>
            <m:ctrlPr>
              <w:rPr>
                <w:rFonts w:hint="default" w:ascii="Cambria Math" w:hAnsi="Cambria Math" w:eastAsia="方正仿宋_GBK" w:cs="方正仿宋_GBK"/>
                <w:bCs w:val="0"/>
                <w:i w:val="0"/>
                <w:iCs w:val="0"/>
                <w:color w:val="auto"/>
                <w:sz w:val="32"/>
                <w:szCs w:val="32"/>
                <w:highlight w:val="none"/>
                <w:lang w:val="en-US" w:eastAsia="zh-CN"/>
              </w:rPr>
            </m:ctrlPr>
          </m:sub>
        </m:sSub>
      </m:oMath>
      <w:r>
        <w:rPr>
          <w:rFonts w:hint="default" w:ascii="Cambria Math" w:hAnsi="Cambria Math" w:eastAsia="方正仿宋_GBK" w:cs="方正仿宋_GBK"/>
          <w:bCs w:val="0"/>
          <w:i w:val="0"/>
          <w:iCs w:val="0"/>
          <w:color w:val="auto"/>
          <w:sz w:val="32"/>
          <w:szCs w:val="32"/>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40" w:firstLineChars="200"/>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其中：</w:t>
      </w:r>
    </w:p>
    <w:p>
      <w:pPr>
        <w:pStyle w:val="2"/>
        <w:keepNext w:val="0"/>
        <w:keepLines w:val="0"/>
        <w:pageBreakBefore w:val="0"/>
        <w:widowControl w:val="0"/>
        <w:kinsoku/>
        <w:wordWrap/>
        <w:overflowPunct/>
        <w:topLinePunct w:val="0"/>
        <w:autoSpaceDE/>
        <w:autoSpaceDN/>
        <w:bidi w:val="0"/>
        <w:adjustRightInd/>
        <w:snapToGrid/>
        <w:textAlignment w:val="auto"/>
        <w:rPr>
          <w:rFonts w:hint="eastAsia" w:ascii="Cambria Math" w:hAnsi="Cambria Math" w:eastAsia="方正仿宋_GBK" w:cs="方正仿宋_GBK"/>
          <w:b w:val="0"/>
          <w:bCs w:val="0"/>
          <w:color w:val="auto"/>
          <w:kern w:val="2"/>
          <w:sz w:val="32"/>
          <w:szCs w:val="32"/>
          <w:highlight w:val="none"/>
          <w:lang w:val="en-US" w:eastAsia="zh-CN" w:bidi="ar-SA"/>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调节收益.虚拟电厂</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oMath>
      <w:r>
        <w:rPr>
          <w:rFonts w:hint="eastAsia" w:ascii="Cambria Math" w:hAnsi="Cambria Math" w:eastAsia="方正仿宋_GBK" w:cs="方正仿宋_GBK"/>
          <w:b w:val="0"/>
          <w:bCs w:val="0"/>
          <w:color w:val="auto"/>
          <w:kern w:val="2"/>
          <w:sz w:val="32"/>
          <w:szCs w:val="32"/>
          <w:highlight w:val="none"/>
          <w:lang w:val="en-US" w:eastAsia="zh-CN" w:bidi="ar-SA"/>
        </w:rPr>
        <w:t>为虚拟电厂在各个调节时段获得的调节量收益总和；</w:t>
      </w:r>
    </w:p>
    <w:p>
      <w:pPr>
        <w:pStyle w:val="2"/>
        <w:keepNext w:val="0"/>
        <w:keepLines w:val="0"/>
        <w:pageBreakBefore w:val="0"/>
        <w:widowControl w:val="0"/>
        <w:kinsoku/>
        <w:wordWrap/>
        <w:overflowPunct/>
        <w:topLinePunct w:val="0"/>
        <w:autoSpaceDE/>
        <w:autoSpaceDN/>
        <w:bidi w:val="0"/>
        <w:adjustRightInd/>
        <w:snapToGrid/>
        <w:textAlignment w:val="auto"/>
        <w:rPr>
          <w:rFonts w:hint="default" w:hAnsi="Cambria Math" w:eastAsia="方正仿宋_GBK" w:cs="方正仿宋_GBK"/>
          <w:bCs w:val="0"/>
          <w:i w:val="0"/>
          <w:iCs w:val="0"/>
          <w:color w:val="auto"/>
          <w:sz w:val="32"/>
          <w:szCs w:val="32"/>
          <w:highlight w:val="none"/>
          <w:lang w:val="en-US" w:eastAsia="zh-CN"/>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调节收益.虚拟电厂</m:t>
            </m:r>
            <m:r>
              <m:rPr>
                <m:sty m:val="p"/>
              </m:rPr>
              <w:rPr>
                <w:rFonts w:hint="default"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oMath>
      <w:r>
        <w:rPr>
          <w:rFonts w:hint="eastAsia" w:ascii="Cambria Math" w:hAnsi="Cambria Math" w:eastAsia="方正仿宋_GBK" w:cs="方正仿宋_GBK"/>
          <w:b w:val="0"/>
          <w:bCs w:val="0"/>
          <w:color w:val="auto"/>
          <w:kern w:val="2"/>
          <w:sz w:val="32"/>
          <w:szCs w:val="32"/>
          <w:highlight w:val="none"/>
          <w:lang w:val="en-US" w:eastAsia="zh-CN" w:bidi="ar-SA"/>
        </w:rPr>
        <w:t xml:space="preserve"> 为虚拟电厂在t时段获得的调节量收益；</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Cambria Math" w:hAnsi="Cambria Math" w:eastAsia="方正仿宋_GBK" w:cs="方正仿宋_GBK"/>
          <w:b w:val="0"/>
          <w:bCs w:val="0"/>
          <w:color w:val="auto"/>
          <w:kern w:val="2"/>
          <w:sz w:val="32"/>
          <w:szCs w:val="32"/>
          <w:highlight w:val="none"/>
          <w:lang w:val="en-US" w:eastAsia="zh-CN" w:bidi="ar-SA"/>
        </w:rPr>
      </w:pPr>
      <m:oMath>
        <m:sSub>
          <m:sSubPr>
            <m:ctrlPr>
              <w:rPr>
                <w:rFonts w:hint="default" w:ascii="Cambria Math" w:hAnsi="Cambria Math" w:eastAsia="方正仿宋_GBK" w:cs="方正仿宋_GBK"/>
                <w:bCs w:val="0"/>
                <w:i w:val="0"/>
                <w:iCs w:val="0"/>
                <w:color w:val="auto"/>
                <w:sz w:val="32"/>
                <w:szCs w:val="32"/>
                <w:highlight w:val="none"/>
                <w:lang w:val="en-US" w:eastAsia="zh-CN"/>
              </w:rPr>
            </m:ctrlPr>
          </m:sSubPr>
          <m:e>
            <m:r>
              <m:rPr>
                <m:sty m:val="p"/>
              </m:rPr>
              <w:rPr>
                <w:rFonts w:hint="default" w:ascii="Cambria Math" w:hAnsi="Cambria Math" w:eastAsia="方正仿宋_GBK" w:cs="方正仿宋_GBK"/>
                <w:color w:val="auto"/>
                <w:sz w:val="32"/>
                <w:szCs w:val="32"/>
                <w:highlight w:val="none"/>
                <w:lang w:val="en-US" w:eastAsia="zh-CN"/>
              </w:rPr>
              <m:t>Q</m:t>
            </m:r>
            <m:ctrlPr>
              <w:rPr>
                <w:rFonts w:hint="default" w:ascii="Cambria Math" w:hAnsi="Cambria Math" w:eastAsia="方正仿宋_GBK" w:cs="方正仿宋_GBK"/>
                <w:bCs w:val="0"/>
                <w:i w:val="0"/>
                <w:iCs w:val="0"/>
                <w:color w:val="auto"/>
                <w:sz w:val="32"/>
                <w:szCs w:val="32"/>
                <w:highlight w:val="none"/>
                <w:lang w:val="en-US" w:eastAsia="zh-CN"/>
              </w:rPr>
            </m:ctrlPr>
          </m:e>
          <m:sub>
            <m:r>
              <m:rPr>
                <m:sty m:val="p"/>
              </m:rPr>
              <w:rPr>
                <w:rFonts w:hint="default" w:ascii="Cambria Math" w:hAnsi="Cambria Math" w:eastAsia="方正仿宋_GBK" w:cs="方正仿宋_GBK"/>
                <w:color w:val="auto"/>
                <w:sz w:val="32"/>
                <w:szCs w:val="32"/>
                <w:highlight w:val="none"/>
                <w:lang w:val="en-US" w:eastAsia="zh-CN"/>
              </w:rPr>
              <m:t>有效调节电量，t</m:t>
            </m:r>
            <m:ctrlPr>
              <w:rPr>
                <w:rFonts w:hint="default" w:ascii="Cambria Math" w:hAnsi="Cambria Math" w:eastAsia="方正仿宋_GBK" w:cs="方正仿宋_GBK"/>
                <w:bCs w:val="0"/>
                <w:i w:val="0"/>
                <w:iCs w:val="0"/>
                <w:color w:val="auto"/>
                <w:sz w:val="32"/>
                <w:szCs w:val="32"/>
                <w:highlight w:val="none"/>
                <w:lang w:val="en-US" w:eastAsia="zh-CN"/>
              </w:rPr>
            </m:ctrlPr>
          </m:sub>
        </m:sSub>
      </m:oMath>
      <w:r>
        <w:rPr>
          <w:rFonts w:hint="default" w:ascii="Cambria Math" w:hAnsi="Cambria Math" w:eastAsia="方正仿宋_GBK" w:cs="方正仿宋_GBK"/>
          <w:bCs w:val="0"/>
          <w:i w:val="0"/>
          <w:iCs w:val="0"/>
          <w:color w:val="auto"/>
          <w:sz w:val="32"/>
          <w:szCs w:val="32"/>
          <w:highlight w:val="none"/>
          <w:lang w:val="en-US" w:eastAsia="zh-CN"/>
        </w:rPr>
        <w:t xml:space="preserve"> </w:t>
      </w:r>
      <w:r>
        <w:rPr>
          <w:rFonts w:hint="eastAsia" w:ascii="Cambria Math" w:hAnsi="Cambria Math" w:eastAsia="方正仿宋_GBK" w:cs="方正仿宋_GBK"/>
          <w:b w:val="0"/>
          <w:bCs w:val="0"/>
          <w:color w:val="auto"/>
          <w:kern w:val="2"/>
          <w:sz w:val="32"/>
          <w:szCs w:val="32"/>
          <w:highlight w:val="none"/>
          <w:lang w:val="en-US" w:eastAsia="zh-CN" w:bidi="ar-SA"/>
        </w:rPr>
        <w:t>为虚拟电厂在t时段内的有效调节电量；</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40" w:firstLineChars="200"/>
        <w:textAlignment w:val="auto"/>
        <w:outlineLvl w:val="9"/>
        <w:rPr>
          <w:rFonts w:hint="eastAsia" w:ascii="Cambria Math" w:hAnsi="Cambria Math" w:eastAsia="方正仿宋_GBK" w:cs="方正仿宋_GBK"/>
          <w:b w:val="0"/>
          <w:bCs w:val="0"/>
          <w:color w:val="auto"/>
          <w:kern w:val="2"/>
          <w:sz w:val="32"/>
          <w:szCs w:val="32"/>
          <w:highlight w:val="none"/>
          <w:lang w:val="en-US" w:eastAsia="zh-CN" w:bidi="ar-SA"/>
        </w:rPr>
      </w:pPr>
      <m:oMath>
        <m:sSub>
          <m:sSubPr>
            <m:ctrlPr>
              <w:rPr>
                <w:rFonts w:hint="default" w:ascii="Cambria Math" w:hAnsi="Cambria Math" w:eastAsia="方正仿宋_GBK" w:cs="方正仿宋_GBK"/>
                <w:bCs w:val="0"/>
                <w:i w:val="0"/>
                <w:iCs w:val="0"/>
                <w:color w:val="auto"/>
                <w:sz w:val="32"/>
                <w:szCs w:val="32"/>
                <w:highlight w:val="none"/>
                <w:lang w:val="en-US" w:eastAsia="zh-CN"/>
              </w:rPr>
            </m:ctrlPr>
          </m:sSubPr>
          <m:e>
            <m:r>
              <m:rPr>
                <m:sty m:val="p"/>
              </m:rPr>
              <w:rPr>
                <w:rFonts w:hint="default" w:ascii="Cambria Math" w:hAnsi="Cambria Math" w:eastAsia="方正仿宋_GBK" w:cs="方正仿宋_GBK"/>
                <w:color w:val="auto"/>
                <w:sz w:val="32"/>
                <w:szCs w:val="32"/>
                <w:highlight w:val="none"/>
                <w:lang w:val="en-US" w:eastAsia="zh-CN"/>
              </w:rPr>
              <m:t>P</m:t>
            </m:r>
            <m:ctrlPr>
              <w:rPr>
                <w:rFonts w:hint="default" w:ascii="Cambria Math" w:hAnsi="Cambria Math" w:eastAsia="方正仿宋_GBK" w:cs="方正仿宋_GBK"/>
                <w:bCs w:val="0"/>
                <w:i w:val="0"/>
                <w:iCs w:val="0"/>
                <w:color w:val="auto"/>
                <w:sz w:val="32"/>
                <w:szCs w:val="32"/>
                <w:highlight w:val="none"/>
                <w:lang w:val="en-US" w:eastAsia="zh-CN"/>
              </w:rPr>
            </m:ctrlPr>
          </m:e>
          <m:sub>
            <m:r>
              <m:rPr>
                <m:sty m:val="p"/>
              </m:rPr>
              <w:rPr>
                <w:rFonts w:hint="default" w:ascii="Cambria Math" w:hAnsi="Cambria Math" w:eastAsia="方正仿宋_GBK" w:cs="方正仿宋_GBK"/>
                <w:color w:val="auto"/>
                <w:sz w:val="32"/>
                <w:szCs w:val="32"/>
                <w:highlight w:val="none"/>
                <w:lang w:val="en-US" w:eastAsia="zh-CN"/>
              </w:rPr>
              <m:t>出清价格，t</m:t>
            </m:r>
            <m:ctrlPr>
              <w:rPr>
                <w:rFonts w:hint="default" w:ascii="Cambria Math" w:hAnsi="Cambria Math" w:eastAsia="方正仿宋_GBK" w:cs="方正仿宋_GBK"/>
                <w:bCs w:val="0"/>
                <w:i w:val="0"/>
                <w:iCs w:val="0"/>
                <w:color w:val="auto"/>
                <w:sz w:val="32"/>
                <w:szCs w:val="32"/>
                <w:highlight w:val="none"/>
                <w:lang w:val="en-US" w:eastAsia="zh-CN"/>
              </w:rPr>
            </m:ctrlPr>
          </m:sub>
        </m:sSub>
      </m:oMath>
      <w:r>
        <w:rPr>
          <w:rFonts w:hint="default" w:ascii="Cambria Math" w:hAnsi="Cambria Math" w:eastAsia="方正仿宋_GBK" w:cs="方正仿宋_GBK"/>
          <w:bCs w:val="0"/>
          <w:i w:val="0"/>
          <w:iCs w:val="0"/>
          <w:color w:val="auto"/>
          <w:sz w:val="32"/>
          <w:szCs w:val="32"/>
          <w:highlight w:val="none"/>
          <w:lang w:val="en-US" w:eastAsia="zh-CN"/>
        </w:rPr>
        <w:t xml:space="preserve"> </w:t>
      </w:r>
      <w:r>
        <w:rPr>
          <w:rFonts w:hint="eastAsia" w:ascii="Cambria Math" w:hAnsi="Cambria Math" w:eastAsia="方正仿宋_GBK" w:cs="方正仿宋_GBK"/>
          <w:bCs w:val="0"/>
          <w:i w:val="0"/>
          <w:iCs w:val="0"/>
          <w:color w:val="auto"/>
          <w:sz w:val="32"/>
          <w:szCs w:val="32"/>
          <w:highlight w:val="none"/>
          <w:lang w:val="en-US" w:eastAsia="zh-CN"/>
        </w:rPr>
        <w:t>为虚拟电厂在</w:t>
      </w:r>
      <w:r>
        <w:rPr>
          <w:rFonts w:hint="eastAsia" w:ascii="Cambria Math" w:hAnsi="Cambria Math" w:eastAsia="方正仿宋_GBK" w:cs="方正仿宋_GBK"/>
          <w:b w:val="0"/>
          <w:bCs w:val="0"/>
          <w:color w:val="auto"/>
          <w:kern w:val="2"/>
          <w:sz w:val="32"/>
          <w:szCs w:val="32"/>
          <w:highlight w:val="none"/>
          <w:lang w:val="en-US" w:eastAsia="zh-CN" w:bidi="ar-SA"/>
        </w:rPr>
        <w:t>t时段内的出清价格。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0" w:leftChars="0" w:firstLine="643" w:firstLineChars="200"/>
        <w:jc w:val="both"/>
        <w:textAlignment w:val="auto"/>
        <w:outlineLvl w:val="2"/>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（二）虚拟电厂负荷类聚合资源调节量收益公式如下</w:t>
      </w:r>
    </w:p>
    <w:p>
      <w:pPr>
        <w:pStyle w:val="2"/>
        <w:spacing w:line="240" w:lineRule="auto"/>
        <w:rPr>
          <w:rFonts w:hint="eastAsia" w:ascii="Cambria Math" w:hAnsi="Cambria Math" w:eastAsia="方正仿宋_GBK" w:cs="方正仿宋_GBK"/>
          <w:b w:val="0"/>
          <w:bCs w:val="0"/>
          <w:i w:val="0"/>
          <w:color w:val="auto"/>
          <w:kern w:val="2"/>
          <w:sz w:val="32"/>
          <w:szCs w:val="32"/>
          <w:highlight w:val="none"/>
          <w:lang w:val="en-US" w:eastAsia="zh-CN" w:bidi="ar-SA"/>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m:t>
            </m:r>
            <m:r>
              <m:rPr>
                <m:sty m:val="p"/>
              </m:rPr>
              <w:rPr>
                <w:rFonts w:hint="default" w:ascii="Cambria Math" w:hAnsi="Cambria Math" w:eastAsia="方正仿宋_GBK" w:cs="方正仿宋_GBK"/>
                <w:color w:val="auto"/>
                <w:kern w:val="2"/>
                <w:sz w:val="32"/>
                <w:szCs w:val="32"/>
                <w:highlight w:val="none"/>
                <w:lang w:val="en-US" w:eastAsia="zh-CN" w:bidi="ar-SA"/>
              </w:rPr>
              <m:t>资源a</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oMath>
      <w:r>
        <w:rPr>
          <w:rFonts w:hint="eastAsia" w:hAnsi="Cambria Math" w:eastAsia="方正仿宋_GBK" w:cs="方正仿宋_GBK"/>
          <w:b w:val="0"/>
          <w:bCs w:val="0"/>
          <w:i w:val="0"/>
          <w:color w:val="auto"/>
          <w:kern w:val="2"/>
          <w:sz w:val="32"/>
          <w:szCs w:val="32"/>
          <w:highlight w:val="none"/>
          <w:lang w:val="en-US" w:eastAsia="zh-CN" w:bidi="ar-SA"/>
        </w:rPr>
        <w:t>=</w:t>
      </w:r>
      <m:oMath>
        <m:nary>
          <m:naryPr>
            <m:chr m:val="∑"/>
            <m:limLoc m:val="undOvr"/>
            <m:subHide m:val="1"/>
            <m:supHide m:val="1"/>
            <m:ctrlPr>
              <w:rPr>
                <w:rFonts w:hint="default" w:ascii="Cambria Math" w:hAnsi="Cambria Math" w:eastAsia="方正仿宋_GBK" w:cs="方正仿宋_GBK"/>
                <w:bCs w:val="0"/>
                <w:i w:val="0"/>
                <w:iCs w:val="0"/>
                <w:color w:val="auto"/>
                <w:sz w:val="32"/>
                <w:szCs w:val="32"/>
                <w:highlight w:val="none"/>
                <w:lang w:val="en-US" w:eastAsia="zh-CN"/>
              </w:rPr>
            </m:ctrlPr>
          </m:naryPr>
          <m:sub>
            <m:ctrlPr>
              <w:rPr>
                <w:rFonts w:hint="default" w:ascii="Cambria Math" w:hAnsi="Cambria Math" w:eastAsia="方正仿宋_GBK" w:cs="方正仿宋_GBK"/>
                <w:bCs w:val="0"/>
                <w:i w:val="0"/>
                <w:iCs w:val="0"/>
                <w:color w:val="auto"/>
                <w:sz w:val="32"/>
                <w:szCs w:val="32"/>
                <w:highlight w:val="none"/>
                <w:lang w:val="en-US" w:eastAsia="zh-CN"/>
              </w:rPr>
            </m:ctrlPr>
          </m:sub>
          <m:sup>
            <m:ctrlPr>
              <w:rPr>
                <w:rFonts w:hint="default" w:ascii="Cambria Math" w:hAnsi="Cambria Math" w:eastAsia="方正仿宋_GBK" w:cs="方正仿宋_GBK"/>
                <w:bCs w:val="0"/>
                <w:i w:val="0"/>
                <w:iCs w:val="0"/>
                <w:color w:val="auto"/>
                <w:sz w:val="32"/>
                <w:szCs w:val="32"/>
                <w:highlight w:val="none"/>
                <w:lang w:val="en-US" w:eastAsia="zh-CN"/>
              </w:rPr>
            </m:ctrlPr>
          </m:sup>
          <m:e>
            <m:r>
              <m:rPr>
                <m:sty m:val="p"/>
              </m:rPr>
              <w:rPr>
                <w:rFonts w:hint="default" w:ascii="Cambria Math" w:hAnsi="Cambria Math" w:eastAsia="方正仿宋_GBK" w:cs="方正仿宋_GBK"/>
                <w:color w:val="auto"/>
                <w:sz w:val="32"/>
                <w:szCs w:val="32"/>
                <w:highlight w:val="none"/>
                <w:lang w:val="en-US" w:eastAsia="zh-CN"/>
              </w:rPr>
              <m:t>（</m:t>
            </m:r>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default"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调节收益.资源a</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default" w:ascii="Cambria Math" w:hAnsi="Cambria Math" w:eastAsia="方正仿宋_GBK" w:cs="方正仿宋_GBK"/>
                <w:color w:val="auto"/>
                <w:sz w:val="32"/>
                <w:szCs w:val="32"/>
                <w:highlight w:val="none"/>
                <w:lang w:val="en-US" w:eastAsia="zh-CN"/>
              </w:rPr>
              <m:t>）</m:t>
            </m:r>
            <m:ctrlPr>
              <w:rPr>
                <w:rFonts w:hint="default" w:ascii="Cambria Math" w:hAnsi="Cambria Math" w:eastAsia="方正仿宋_GBK" w:cs="方正仿宋_GBK"/>
                <w:bCs w:val="0"/>
                <w:i w:val="0"/>
                <w:iCs w:val="0"/>
                <w:color w:val="auto"/>
                <w:sz w:val="32"/>
                <w:szCs w:val="32"/>
                <w:highlight w:val="none"/>
                <w:lang w:val="en-US" w:eastAsia="zh-CN"/>
              </w:rPr>
            </m:ctrlPr>
          </m:e>
        </m:nary>
      </m:oMath>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outlineLvl w:val="9"/>
        <w:rPr>
          <w:rFonts w:hint="default" w:ascii="Cambria Math" w:hAnsi="Cambria Math" w:eastAsia="方正仿宋_GBK" w:cs="方正仿宋_GBK"/>
          <w:b w:val="0"/>
          <w:bCs w:val="0"/>
          <w:i w:val="0"/>
          <w:color w:val="auto"/>
          <w:kern w:val="2"/>
          <w:sz w:val="32"/>
          <w:szCs w:val="32"/>
          <w:highlight w:val="none"/>
          <w:lang w:val="en-US" w:eastAsia="zh-CN" w:bidi="ar-SA"/>
        </w:rPr>
      </w:pPr>
      <m:oMathPara>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调节收益.资源a</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eastAsia" w:ascii="Cambria Math" w:hAnsi="Cambria Math" w:eastAsia="方正仿宋_GBK" w:cs="方正仿宋_GBK"/>
              <w:color w:val="auto"/>
              <w:kern w:val="2"/>
              <w:sz w:val="32"/>
              <w:szCs w:val="32"/>
              <w:highlight w:val="none"/>
              <w:lang w:val="en-US" w:bidi="ar-SA"/>
            </w:rPr>
            <m:t>=</m:t>
          </m:r>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调节收益.虚拟电厂</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ascii="Cambria Math" w:hAnsi="Cambria Math" w:cs="方正仿宋_GBK"/>
              <w:color w:val="auto"/>
              <w:kern w:val="2"/>
              <w:sz w:val="32"/>
              <w:szCs w:val="32"/>
              <w:highlight w:val="none"/>
              <w:lang w:val="en-US" w:bidi="ar-SA"/>
            </w:rPr>
            <m:t>×</m:t>
          </m:r>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I</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贡献占比.资源a</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eastAsia" w:ascii="Cambria Math" w:hAnsi="Cambria Math" w:eastAsia="方正仿宋_GBK" w:cs="方正仿宋_GBK"/>
              <w:color w:val="auto"/>
              <w:kern w:val="2"/>
              <w:sz w:val="32"/>
              <w:szCs w:val="32"/>
              <w:highlight w:val="none"/>
              <w:lang w:val="en-US" w:eastAsia="zh-CN" w:bidi="ar-SA"/>
            </w:rPr>
            <m:t>%</m:t>
          </m:r>
          <m:r>
            <m:rPr>
              <m:sty m:val="p"/>
            </m:rPr>
            <w:rPr>
              <w:rFonts w:ascii="Cambria Math" w:hAnsi="Cambria Math" w:cs="方正仿宋_GBK"/>
              <w:color w:val="auto"/>
              <w:kern w:val="2"/>
              <w:sz w:val="32"/>
              <w:szCs w:val="32"/>
              <w:highlight w:val="none"/>
              <w:lang w:val="en-US" w:bidi="ar-SA"/>
            </w:rPr>
            <m:t>×</m:t>
          </m:r>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k</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约定收益分配比例.资源a</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eastAsia" w:ascii="Cambria Math" w:hAnsi="Cambria Math" w:eastAsia="方正仿宋_GBK" w:cs="方正仿宋_GBK"/>
              <w:color w:val="auto"/>
              <w:kern w:val="2"/>
              <w:sz w:val="32"/>
              <w:szCs w:val="32"/>
              <w:highlight w:val="none"/>
              <w:lang w:val="en-US" w:eastAsia="zh-CN" w:bidi="ar-SA"/>
            </w:rPr>
            <m:t>%</m:t>
          </m:r>
        </m:oMath>
      </m:oMathPara>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left="0" w:leftChars="0" w:firstLine="640" w:firstLineChars="200"/>
        <w:jc w:val="left"/>
        <w:textAlignment w:val="auto"/>
        <w:outlineLvl w:val="9"/>
        <w:rPr>
          <w:rFonts w:hint="eastAsia" w:ascii="Cambria Math" w:hAnsi="Cambria Math" w:eastAsia="方正仿宋_GBK" w:cs="方正仿宋_GBK"/>
          <w:color w:val="auto"/>
          <w:kern w:val="2"/>
          <w:sz w:val="32"/>
          <w:szCs w:val="32"/>
          <w:highlight w:val="none"/>
          <w:lang w:val="en-US" w:bidi="ar-SA"/>
        </w:rPr>
      </w:pPr>
      <m:oMath>
        <m:sSub>
          <m:sSubPr>
            <m:ctrlPr>
              <w:rPr>
                <w:rFonts w:hint="eastAsia" w:ascii="Cambria Math" w:hAnsi="Cambria Math" w:eastAsia="方正仿宋_GBK" w:cs="方正仿宋_GBK"/>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 xml:space="preserve"> I</m:t>
            </m:r>
            <m:ctrlPr>
              <w:rPr>
                <w:rFonts w:hint="eastAsia" w:ascii="Cambria Math" w:hAnsi="Cambria Math" w:eastAsia="方正仿宋_GBK" w:cs="方正仿宋_GBK"/>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贡献占比.资源a</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color w:val="auto"/>
                <w:kern w:val="2"/>
                <w:sz w:val="32"/>
                <w:szCs w:val="32"/>
                <w:highlight w:val="none"/>
                <w:lang w:val="en-US" w:eastAsia="zh-CN" w:bidi="ar-SA"/>
              </w:rPr>
            </m:ctrlPr>
          </m:sub>
        </m:sSub>
        <m:r>
          <m:rPr>
            <m:sty m:val="p"/>
          </m:rPr>
          <w:rPr>
            <w:rFonts w:hint="eastAsia" w:ascii="Cambria Math" w:hAnsi="Cambria Math" w:eastAsia="方正仿宋_GBK" w:cs="方正仿宋_GBK"/>
            <w:color w:val="auto"/>
            <w:kern w:val="2"/>
            <w:sz w:val="32"/>
            <w:szCs w:val="32"/>
            <w:highlight w:val="none"/>
            <w:lang w:val="en-US" w:bidi="ar-SA"/>
          </w:rPr>
          <m:t>%=</m:t>
        </m:r>
        <m:f>
          <m:fPr>
            <m:ctrlPr>
              <w:rPr>
                <w:rFonts w:hint="eastAsia" w:ascii="Cambria Math" w:hAnsi="Cambria Math" w:eastAsia="方正仿宋_GBK" w:cs="方正仿宋_GBK"/>
                <w:color w:val="auto"/>
                <w:kern w:val="2"/>
                <w:sz w:val="32"/>
                <w:szCs w:val="32"/>
                <w:highlight w:val="none"/>
                <w:lang w:val="en-US" w:bidi="ar-SA"/>
              </w:rPr>
            </m:ctrlPr>
          </m:fPr>
          <m:num>
            <m:sSub>
              <m:sSubPr>
                <m:ctrlPr>
                  <w:rPr>
                    <w:rFonts w:hint="eastAsia" w:ascii="Cambria Math" w:hAnsi="Cambria Math" w:eastAsia="方正仿宋_GBK" w:cs="方正仿宋_GBK"/>
                    <w:color w:val="auto"/>
                    <w:kern w:val="2"/>
                    <w:sz w:val="32"/>
                    <w:szCs w:val="32"/>
                    <w:highlight w:val="none"/>
                    <w:lang w:val="en-US"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Q</m:t>
                </m:r>
                <m:ctrlPr>
                  <w:rPr>
                    <w:rFonts w:hint="eastAsia" w:ascii="Cambria Math" w:hAnsi="Cambria Math" w:eastAsia="方正仿宋_GBK" w:cs="方正仿宋_GBK"/>
                    <w:color w:val="auto"/>
                    <w:kern w:val="2"/>
                    <w:sz w:val="32"/>
                    <w:szCs w:val="32"/>
                    <w:highlight w:val="none"/>
                    <w:lang w:val="en-US"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正贡献电量.资源a</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color w:val="auto"/>
                    <w:kern w:val="2"/>
                    <w:sz w:val="32"/>
                    <w:szCs w:val="32"/>
                    <w:highlight w:val="none"/>
                    <w:lang w:val="en-US" w:bidi="ar-SA"/>
                  </w:rPr>
                </m:ctrlPr>
              </m:sub>
            </m:sSub>
            <m:ctrlPr>
              <w:rPr>
                <w:rFonts w:hint="eastAsia" w:ascii="Cambria Math" w:hAnsi="Cambria Math" w:eastAsia="方正仿宋_GBK" w:cs="方正仿宋_GBK"/>
                <w:color w:val="auto"/>
                <w:kern w:val="2"/>
                <w:sz w:val="32"/>
                <w:szCs w:val="32"/>
                <w:highlight w:val="none"/>
                <w:lang w:val="en-US" w:bidi="ar-SA"/>
              </w:rPr>
            </m:ctrlPr>
          </m:num>
          <m:den>
            <m:nary>
              <m:naryPr>
                <m:chr m:val="∑"/>
                <m:limLoc m:val="undOvr"/>
                <m:subHide m:val="1"/>
                <m:supHide m:val="1"/>
                <m:ctrlPr>
                  <w:rPr>
                    <w:rFonts w:hint="eastAsia" w:ascii="Cambria Math" w:hAnsi="Cambria Math" w:eastAsia="方正仿宋_GBK" w:cs="方正仿宋_GBK"/>
                    <w:color w:val="auto"/>
                    <w:kern w:val="2"/>
                    <w:sz w:val="32"/>
                    <w:szCs w:val="32"/>
                    <w:highlight w:val="none"/>
                    <w:lang w:val="en-US" w:bidi="ar-SA"/>
                  </w:rPr>
                </m:ctrlPr>
              </m:naryPr>
              <m:sub>
                <m:ctrlPr>
                  <w:rPr>
                    <w:rFonts w:hint="eastAsia" w:ascii="Cambria Math" w:hAnsi="Cambria Math" w:eastAsia="方正仿宋_GBK" w:cs="方正仿宋_GBK"/>
                    <w:color w:val="auto"/>
                    <w:kern w:val="2"/>
                    <w:sz w:val="32"/>
                    <w:szCs w:val="32"/>
                    <w:highlight w:val="none"/>
                    <w:lang w:val="en-US" w:bidi="ar-SA"/>
                  </w:rPr>
                </m:ctrlPr>
              </m:sub>
              <m:sup>
                <m:ctrlPr>
                  <w:rPr>
                    <w:rFonts w:hint="eastAsia" w:ascii="Cambria Math" w:hAnsi="Cambria Math" w:eastAsia="方正仿宋_GBK" w:cs="方正仿宋_GBK"/>
                    <w:color w:val="auto"/>
                    <w:kern w:val="2"/>
                    <w:sz w:val="32"/>
                    <w:szCs w:val="32"/>
                    <w:highlight w:val="none"/>
                    <w:lang w:val="en-US" w:bidi="ar-SA"/>
                  </w:rPr>
                </m:ctrlPr>
              </m:sup>
              <m:e>
                <m:sSub>
                  <m:sSubPr>
                    <m:ctrlPr>
                      <w:rPr>
                        <w:rFonts w:hint="eastAsia" w:ascii="Cambria Math" w:hAnsi="Cambria Math" w:eastAsia="方正仿宋_GBK" w:cs="方正仿宋_GBK"/>
                        <w:color w:val="auto"/>
                        <w:kern w:val="2"/>
                        <w:sz w:val="32"/>
                        <w:szCs w:val="32"/>
                        <w:highlight w:val="none"/>
                        <w:lang w:val="en-US"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Q</m:t>
                    </m:r>
                    <m:ctrlPr>
                      <w:rPr>
                        <w:rFonts w:hint="eastAsia" w:ascii="Cambria Math" w:hAnsi="Cambria Math" w:eastAsia="方正仿宋_GBK" w:cs="方正仿宋_GBK"/>
                        <w:color w:val="auto"/>
                        <w:kern w:val="2"/>
                        <w:sz w:val="32"/>
                        <w:szCs w:val="32"/>
                        <w:highlight w:val="none"/>
                        <w:lang w:val="en-US"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正贡献电量.所有聚合资源</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color w:val="auto"/>
                        <w:kern w:val="2"/>
                        <w:sz w:val="32"/>
                        <w:szCs w:val="32"/>
                        <w:highlight w:val="none"/>
                        <w:lang w:val="en-US" w:bidi="ar-SA"/>
                      </w:rPr>
                    </m:ctrlPr>
                  </m:sub>
                </m:sSub>
                <m:ctrlPr>
                  <w:rPr>
                    <w:rFonts w:hint="eastAsia" w:ascii="Cambria Math" w:hAnsi="Cambria Math" w:eastAsia="方正仿宋_GBK" w:cs="方正仿宋_GBK"/>
                    <w:color w:val="auto"/>
                    <w:kern w:val="2"/>
                    <w:sz w:val="32"/>
                    <w:szCs w:val="32"/>
                    <w:highlight w:val="none"/>
                    <w:lang w:val="en-US" w:bidi="ar-SA"/>
                  </w:rPr>
                </m:ctrlPr>
              </m:e>
            </m:nary>
            <m:ctrlPr>
              <w:rPr>
                <w:rFonts w:hint="eastAsia" w:ascii="Cambria Math" w:hAnsi="Cambria Math" w:eastAsia="方正仿宋_GBK" w:cs="方正仿宋_GBK"/>
                <w:color w:val="auto"/>
                <w:kern w:val="2"/>
                <w:sz w:val="32"/>
                <w:szCs w:val="32"/>
                <w:highlight w:val="none"/>
                <w:lang w:val="en-US" w:bidi="ar-SA"/>
              </w:rPr>
            </m:ctrlPr>
          </m:den>
        </m:f>
      </m:oMath>
      <w:r>
        <w:rPr>
          <w:rFonts w:hint="eastAsia" w:ascii="Cambria Math" w:hAnsi="Cambria Math" w:eastAsia="方正仿宋_GBK" w:cs="方正仿宋_GBK"/>
          <w:color w:val="auto"/>
          <w:kern w:val="2"/>
          <w:sz w:val="32"/>
          <w:szCs w:val="32"/>
          <w:highlight w:val="none"/>
          <w:lang w:val="en-US" w:bidi="ar-SA"/>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40" w:firstLineChars="200"/>
        <w:textAlignment w:val="auto"/>
        <w:outlineLvl w:val="9"/>
        <w:rPr>
          <w:rFonts w:hint="eastAsia"/>
          <w:color w:val="auto"/>
          <w:lang w:val="en-US" w:eastAsia="zh-CN"/>
        </w:rPr>
      </w:pPr>
      <w:r>
        <w:rPr>
          <w:rFonts w:hint="eastAsia" w:ascii="方正仿宋_GBK" w:hAnsi="方正仿宋_GBK" w:eastAsia="方正仿宋_GBK" w:cs="方正仿宋_GBK"/>
          <w:color w:val="auto"/>
          <w:sz w:val="32"/>
          <w:szCs w:val="32"/>
          <w:highlight w:val="none"/>
          <w:lang w:val="en-US" w:eastAsia="zh-CN"/>
        </w:rPr>
        <w:t>其中：</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left="0" w:leftChars="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调节收益.资源a</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oMath>
      <w:r>
        <w:rPr>
          <w:rFonts w:hint="eastAsia" w:ascii="方正仿宋_GBK" w:hAnsi="方正仿宋_GBK" w:eastAsia="方正仿宋_GBK" w:cs="方正仿宋_GBK"/>
          <w:b w:val="0"/>
          <w:bCs w:val="0"/>
          <w:i w:val="0"/>
          <w:color w:val="auto"/>
          <w:kern w:val="2"/>
          <w:sz w:val="32"/>
          <w:szCs w:val="32"/>
          <w:highlight w:val="none"/>
          <w:lang w:val="en-US" w:eastAsia="zh-CN" w:bidi="ar-SA"/>
        </w:rPr>
        <w:t>为</w:t>
      </w:r>
      <w:r>
        <w:rPr>
          <w:rFonts w:hint="eastAsia" w:ascii="方正仿宋_GBK" w:hAnsi="方正仿宋_GBK" w:eastAsia="方正仿宋_GBK" w:cs="方正仿宋_GBK"/>
          <w:color w:val="auto"/>
          <w:sz w:val="32"/>
          <w:szCs w:val="32"/>
          <w:highlight w:val="none"/>
          <w:lang w:val="en-US" w:eastAsia="zh-CN"/>
        </w:rPr>
        <w:t>聚合资源</w:t>
      </w:r>
      <w:r>
        <w:rPr>
          <w:rFonts w:hint="eastAsia" w:ascii="Cambria Math" w:hAnsi="Cambria Math" w:eastAsia="方正仿宋_GBK" w:cs="Cambria Math"/>
          <w:color w:val="auto"/>
          <w:sz w:val="32"/>
          <w:szCs w:val="32"/>
          <w:highlight w:val="none"/>
          <w:lang w:val="en-US" w:eastAsia="zh-CN"/>
        </w:rPr>
        <w:t>a</w:t>
      </w:r>
      <w:r>
        <w:rPr>
          <w:rFonts w:hint="eastAsia" w:ascii="方正仿宋_GBK" w:hAnsi="方正仿宋_GBK" w:eastAsia="方正仿宋_GBK" w:cs="方正仿宋_GBK"/>
          <w:color w:val="auto"/>
          <w:sz w:val="32"/>
          <w:szCs w:val="32"/>
          <w:highlight w:val="none"/>
          <w:lang w:val="en-US" w:eastAsia="zh-CN"/>
        </w:rPr>
        <w:t>在各个调节时段获得的调节量收益总和；</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left="0" w:leftChars="0" w:firstLine="643" w:firstLineChars="200"/>
        <w:jc w:val="left"/>
        <w:textAlignment w:val="auto"/>
        <w:outlineLvl w:val="9"/>
        <w:rPr>
          <w:rFonts w:hint="eastAsia" w:ascii="方正仿宋_GBK" w:hAnsi="方正仿宋_GBK" w:eastAsia="方正仿宋_GBK" w:cs="方正仿宋_GBK"/>
          <w:color w:val="auto"/>
          <w:sz w:val="32"/>
          <w:szCs w:val="32"/>
          <w:highlight w:val="none"/>
          <w:lang w:val="en-US" w:eastAsia="zh-CN"/>
        </w:rPr>
      </w:pPr>
      <m:oMath>
        <m:sSub>
          <m:sSubPr>
            <m:ctrlPr>
              <w:rPr>
                <w:rFonts w:hint="eastAsia" w:ascii="Cambria Math" w:hAnsi="Cambria Math" w:eastAsia="方正仿宋_GBK" w:cs="方正仿宋_GBK"/>
                <w:b/>
                <w:bCs/>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bCs/>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调节收益.资源a</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bCs/>
                <w:color w:val="auto"/>
                <w:kern w:val="2"/>
                <w:sz w:val="32"/>
                <w:szCs w:val="32"/>
                <w:highlight w:val="none"/>
                <w:lang w:val="en-US" w:eastAsia="zh-CN" w:bidi="ar-SA"/>
              </w:rPr>
            </m:ctrlPr>
          </m:sub>
        </m:sSub>
      </m:oMath>
      <w:r>
        <w:rPr>
          <w:rFonts w:hint="eastAsia" w:ascii="方正仿宋_GBK" w:hAnsi="方正仿宋_GBK" w:eastAsia="方正仿宋_GBK" w:cs="方正仿宋_GBK"/>
          <w:b w:val="0"/>
          <w:bCs w:val="0"/>
          <w:i w:val="0"/>
          <w:color w:val="auto"/>
          <w:kern w:val="2"/>
          <w:sz w:val="32"/>
          <w:szCs w:val="32"/>
          <w:highlight w:val="none"/>
          <w:lang w:val="en-US" w:eastAsia="zh-CN" w:bidi="ar-SA"/>
        </w:rPr>
        <w:t>为</w:t>
      </w:r>
      <w:r>
        <w:rPr>
          <w:rFonts w:hint="eastAsia" w:ascii="方正仿宋_GBK" w:hAnsi="方正仿宋_GBK" w:eastAsia="方正仿宋_GBK" w:cs="方正仿宋_GBK"/>
          <w:color w:val="auto"/>
          <w:sz w:val="32"/>
          <w:szCs w:val="32"/>
          <w:highlight w:val="none"/>
          <w:lang w:val="en-US" w:eastAsia="zh-CN"/>
        </w:rPr>
        <w:t>聚合资源</w:t>
      </w:r>
      <w:r>
        <w:rPr>
          <w:rFonts w:hint="default" w:ascii="Cambria Math" w:hAnsi="Cambria Math" w:eastAsia="方正仿宋_GBK" w:cs="Cambria Math"/>
          <w:color w:val="auto"/>
          <w:sz w:val="32"/>
          <w:szCs w:val="32"/>
          <w:highlight w:val="none"/>
          <w:lang w:val="en-US" w:eastAsia="zh-CN"/>
        </w:rPr>
        <w:t>a</w:t>
      </w:r>
      <w:r>
        <w:rPr>
          <w:rFonts w:hint="eastAsia" w:ascii="方正仿宋_GBK" w:hAnsi="方正仿宋_GBK" w:eastAsia="方正仿宋_GBK" w:cs="方正仿宋_GBK"/>
          <w:color w:val="auto"/>
          <w:sz w:val="32"/>
          <w:szCs w:val="32"/>
          <w:highlight w:val="none"/>
          <w:lang w:val="en-US" w:eastAsia="zh-CN"/>
        </w:rPr>
        <w:t>在</w:t>
      </w:r>
      <w:r>
        <w:rPr>
          <w:rFonts w:hint="default" w:ascii="Cambria Math" w:hAnsi="Cambria Math" w:eastAsia="方正仿宋_GBK" w:cs="Cambria Math"/>
          <w:color w:val="auto"/>
          <w:sz w:val="32"/>
          <w:szCs w:val="32"/>
          <w:highlight w:val="none"/>
          <w:lang w:val="en-US" w:eastAsia="zh-CN"/>
        </w:rPr>
        <w:t>t</w:t>
      </w:r>
      <w:r>
        <w:rPr>
          <w:rFonts w:hint="eastAsia" w:ascii="方正仿宋_GBK" w:hAnsi="方正仿宋_GBK" w:eastAsia="方正仿宋_GBK" w:cs="方正仿宋_GBK"/>
          <w:color w:val="auto"/>
          <w:sz w:val="32"/>
          <w:szCs w:val="32"/>
          <w:highlight w:val="none"/>
          <w:lang w:val="en-US" w:eastAsia="zh-CN"/>
        </w:rPr>
        <w:t>时段的调节量收益；</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left="638" w:leftChars="304" w:firstLine="0" w:firstLineChars="0"/>
        <w:jc w:val="both"/>
        <w:textAlignment w:val="auto"/>
        <w:outlineLvl w:val="9"/>
        <w:rPr>
          <w:rFonts w:hint="eastAsia" w:ascii="Cambria Math" w:hAnsi="Cambria Math" w:eastAsia="方正仿宋_GBK" w:cs="方正仿宋_GBK"/>
          <w:b w:val="0"/>
          <w:bCs w:val="0"/>
          <w:color w:val="auto"/>
          <w:kern w:val="2"/>
          <w:sz w:val="32"/>
          <w:szCs w:val="32"/>
          <w:highlight w:val="none"/>
          <w:lang w:val="en-US" w:eastAsia="zh-CN" w:bidi="ar-SA"/>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F</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调节收益.虚拟电厂</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oMath>
      <w:r>
        <w:rPr>
          <w:rFonts w:hint="eastAsia" w:ascii="Cambria Math" w:hAnsi="Cambria Math" w:eastAsia="方正仿宋_GBK" w:cs="方正仿宋_GBK"/>
          <w:b w:val="0"/>
          <w:bCs w:val="0"/>
          <w:color w:val="auto"/>
          <w:kern w:val="2"/>
          <w:sz w:val="32"/>
          <w:szCs w:val="32"/>
          <w:highlight w:val="none"/>
          <w:lang w:val="en-US" w:eastAsia="zh-CN" w:bidi="ar-SA"/>
        </w:rPr>
        <w:t>为虚拟电厂在t时段获得的调节量收益；</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uto"/>
        <w:ind w:firstLine="640" w:firstLineChars="200"/>
        <w:jc w:val="both"/>
        <w:textAlignment w:val="auto"/>
        <w:outlineLvl w:val="9"/>
        <w:rPr>
          <w:rFonts w:hint="eastAsia" w:ascii="方正仿宋_GBK" w:hAnsi="方正仿宋_GBK" w:eastAsia="方正仿宋_GBK" w:cs="方正仿宋_GBK"/>
          <w:color w:val="auto"/>
          <w:sz w:val="32"/>
          <w:szCs w:val="32"/>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I</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贡献占比.资源a</m:t>
            </m:r>
            <m:r>
              <m:rPr>
                <m:sty m:val="p"/>
              </m:rPr>
              <w:rPr>
                <w:rFonts w:hint="default" w:ascii="Cambria Math" w:hAnsi="Cambria Math" w:eastAsia="方正仿宋_GBK" w:cs="方正仿宋_GBK"/>
                <w:color w:val="auto"/>
                <w:kern w:val="2"/>
                <w:sz w:val="32"/>
                <w:szCs w:val="32"/>
                <w:highlight w:val="none"/>
                <w:lang w:val="en-US" w:eastAsia="zh-CN" w:bidi="ar-SA"/>
              </w:rPr>
              <m:t>,</m:t>
            </m:r>
            <m:r>
              <m:rPr>
                <m:sty m:val="p"/>
              </m:rPr>
              <w:rPr>
                <w:rFonts w:hint="eastAsia" w:ascii="Cambria Math" w:hAnsi="Cambria Math" w:eastAsia="方正仿宋_GBK" w:cs="方正仿宋_GBK"/>
                <w:color w:val="auto"/>
                <w:kern w:val="2"/>
                <w:sz w:val="32"/>
                <w:szCs w:val="32"/>
                <w:highlight w:val="none"/>
                <w:lang w:val="en-US" w:eastAsia="zh-CN" w:bidi="ar-SA"/>
              </w:rPr>
              <m:t>t</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r>
          <m:rPr>
            <m:sty m:val="p"/>
          </m:rPr>
          <w:rPr>
            <w:rFonts w:hint="eastAsia" w:ascii="Cambria Math" w:hAnsi="Cambria Math" w:eastAsia="方正仿宋_GBK" w:cs="方正仿宋_GBK"/>
            <w:color w:val="auto"/>
            <w:kern w:val="2"/>
            <w:sz w:val="32"/>
            <w:szCs w:val="32"/>
            <w:highlight w:val="none"/>
            <w:lang w:val="en-US" w:bidi="ar-SA"/>
          </w:rPr>
          <m:t>%</m:t>
        </m:r>
      </m:oMath>
      <w:r>
        <w:rPr>
          <w:rFonts w:hint="eastAsia" w:ascii="方正仿宋_GBK" w:hAnsi="方正仿宋_GBK" w:eastAsia="方正仿宋_GBK" w:cs="方正仿宋_GBK"/>
          <w:i w:val="0"/>
          <w:color w:val="auto"/>
          <w:kern w:val="2"/>
          <w:sz w:val="32"/>
          <w:szCs w:val="32"/>
          <w:highlight w:val="none"/>
          <w:lang w:val="en-US" w:eastAsia="zh-CN" w:bidi="ar-SA"/>
        </w:rPr>
        <w:t>为聚合资源</w:t>
      </w:r>
      <w:r>
        <w:rPr>
          <w:rFonts w:hint="default" w:ascii="Cambria Math" w:hAnsi="Cambria Math" w:eastAsia="方正仿宋_GBK" w:cs="Cambria Math"/>
          <w:i w:val="0"/>
          <w:color w:val="auto"/>
          <w:kern w:val="2"/>
          <w:sz w:val="32"/>
          <w:szCs w:val="32"/>
          <w:highlight w:val="none"/>
          <w:lang w:val="en-US" w:eastAsia="zh-CN" w:bidi="ar-SA"/>
        </w:rPr>
        <w:t>a</w:t>
      </w:r>
      <w:r>
        <w:rPr>
          <w:rFonts w:hint="eastAsia" w:ascii="方正仿宋_GBK" w:hAnsi="方正仿宋_GBK" w:eastAsia="方正仿宋_GBK" w:cs="方正仿宋_GBK"/>
          <w:color w:val="auto"/>
          <w:sz w:val="32"/>
          <w:szCs w:val="32"/>
          <w:highlight w:val="none"/>
          <w:lang w:val="en-US" w:eastAsia="zh-CN"/>
        </w:rPr>
        <w:t>在</w:t>
      </w:r>
      <w:r>
        <w:rPr>
          <w:rFonts w:hint="default" w:ascii="Cambria Math" w:hAnsi="Cambria Math" w:eastAsia="方正仿宋_GBK" w:cs="Cambria Math"/>
          <w:color w:val="auto"/>
          <w:sz w:val="32"/>
          <w:szCs w:val="32"/>
          <w:highlight w:val="none"/>
          <w:lang w:val="en-US" w:eastAsia="zh-CN"/>
        </w:rPr>
        <w:t>t</w:t>
      </w:r>
      <w:r>
        <w:rPr>
          <w:rFonts w:hint="eastAsia" w:ascii="方正仿宋_GBK" w:hAnsi="方正仿宋_GBK" w:eastAsia="方正仿宋_GBK" w:cs="方正仿宋_GBK"/>
          <w:color w:val="auto"/>
          <w:sz w:val="32"/>
          <w:szCs w:val="32"/>
          <w:highlight w:val="none"/>
          <w:lang w:val="en-US" w:eastAsia="zh-CN"/>
        </w:rPr>
        <w:t>时段的</w:t>
      </w:r>
      <w:r>
        <w:rPr>
          <w:rFonts w:hint="eastAsia" w:ascii="方正仿宋_GBK" w:hAnsi="方正仿宋_GBK" w:eastAsia="方正仿宋_GBK" w:cs="方正仿宋_GBK"/>
          <w:i w:val="0"/>
          <w:color w:val="auto"/>
          <w:kern w:val="2"/>
          <w:sz w:val="32"/>
          <w:szCs w:val="32"/>
          <w:highlight w:val="none"/>
          <w:lang w:val="en-US" w:eastAsia="zh-CN" w:bidi="ar-SA"/>
        </w:rPr>
        <w:t>正贡献电量占虚拟电厂所有聚合资源</w:t>
      </w:r>
      <w:r>
        <w:rPr>
          <w:rFonts w:hint="eastAsia" w:ascii="方正仿宋_GBK" w:hAnsi="方正仿宋_GBK" w:eastAsia="方正仿宋_GBK" w:cs="方正仿宋_GBK"/>
          <w:color w:val="auto"/>
          <w:sz w:val="32"/>
          <w:szCs w:val="32"/>
          <w:highlight w:val="none"/>
          <w:lang w:val="en-US" w:eastAsia="zh-CN"/>
        </w:rPr>
        <w:t>在</w:t>
      </w:r>
      <w:r>
        <w:rPr>
          <w:rFonts w:hint="default" w:ascii="Cambria Math" w:hAnsi="Cambria Math" w:eastAsia="方正仿宋_GBK" w:cs="Cambria Math"/>
          <w:color w:val="auto"/>
          <w:sz w:val="32"/>
          <w:szCs w:val="32"/>
          <w:highlight w:val="none"/>
          <w:lang w:val="en-US" w:eastAsia="zh-CN"/>
        </w:rPr>
        <w:t>t</w:t>
      </w:r>
      <w:r>
        <w:rPr>
          <w:rFonts w:hint="eastAsia" w:ascii="方正仿宋_GBK" w:hAnsi="方正仿宋_GBK" w:eastAsia="方正仿宋_GBK" w:cs="方正仿宋_GBK"/>
          <w:color w:val="auto"/>
          <w:sz w:val="32"/>
          <w:szCs w:val="32"/>
          <w:highlight w:val="none"/>
          <w:lang w:val="en-US" w:eastAsia="zh-CN"/>
        </w:rPr>
        <w:t>时段的</w:t>
      </w:r>
      <w:r>
        <w:rPr>
          <w:rFonts w:hint="eastAsia" w:ascii="方正仿宋_GBK" w:hAnsi="方正仿宋_GBK" w:eastAsia="方正仿宋_GBK" w:cs="方正仿宋_GBK"/>
          <w:i w:val="0"/>
          <w:color w:val="auto"/>
          <w:kern w:val="2"/>
          <w:sz w:val="32"/>
          <w:szCs w:val="32"/>
          <w:highlight w:val="none"/>
          <w:lang w:val="en-US" w:eastAsia="zh-CN" w:bidi="ar-SA"/>
        </w:rPr>
        <w:t>正贡献电量的比例；</w:t>
      </w:r>
    </w:p>
    <w:p>
      <w:pPr>
        <w:widowControl/>
        <w:numPr>
          <w:ilvl w:val="-1"/>
          <w:numId w:val="0"/>
        </w:numPr>
        <w:ind w:firstLine="640" w:firstLineChars="200"/>
        <w:outlineLvl w:val="9"/>
        <w:rPr>
          <w:rFonts w:hint="eastAsia" w:ascii="方正仿宋_GBK" w:hAnsi="方正仿宋_GBK" w:eastAsia="方正仿宋_GBK" w:cs="方正仿宋_GBK"/>
          <w:color w:val="auto"/>
          <w:sz w:val="32"/>
          <w:szCs w:val="32"/>
          <w:highlight w:val="none"/>
          <w:lang w:val="en-US" w:eastAsia="zh-CN"/>
        </w:rPr>
      </w:pPr>
      <m:oMath>
        <m:sSub>
          <m:sSubPr>
            <m:ctrlPr>
              <w:rPr>
                <w:rFonts w:hint="eastAsia" w:ascii="Cambria Math" w:hAnsi="Cambria Math" w:eastAsia="方正仿宋_GBK" w:cs="方正仿宋_GBK"/>
                <w:b w:val="0"/>
                <w:bCs w:val="0"/>
                <w:color w:val="auto"/>
                <w:kern w:val="2"/>
                <w:sz w:val="32"/>
                <w:szCs w:val="32"/>
                <w:highlight w:val="none"/>
                <w:lang w:val="en-US" w:eastAsia="zh-CN"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k</m:t>
            </m:r>
            <m:ctrlPr>
              <w:rPr>
                <w:rFonts w:hint="eastAsia" w:ascii="Cambria Math" w:hAnsi="Cambria Math" w:eastAsia="方正仿宋_GBK" w:cs="方正仿宋_GBK"/>
                <w:b w:val="0"/>
                <w:bCs w:val="0"/>
                <w:color w:val="auto"/>
                <w:kern w:val="2"/>
                <w:sz w:val="32"/>
                <w:szCs w:val="32"/>
                <w:highlight w:val="none"/>
                <w:lang w:val="en-US" w:eastAsia="zh-CN"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约定收益分配比例.资源a</m:t>
            </m:r>
            <m:ctrlPr>
              <w:rPr>
                <w:rFonts w:hint="eastAsia" w:ascii="Cambria Math" w:hAnsi="Cambria Math" w:eastAsia="方正仿宋_GBK" w:cs="方正仿宋_GBK"/>
                <w:b w:val="0"/>
                <w:bCs w:val="0"/>
                <w:color w:val="auto"/>
                <w:kern w:val="2"/>
                <w:sz w:val="32"/>
                <w:szCs w:val="32"/>
                <w:highlight w:val="none"/>
                <w:lang w:val="en-US" w:eastAsia="zh-CN" w:bidi="ar-SA"/>
              </w:rPr>
            </m:ctrlPr>
          </m:sub>
        </m:sSub>
      </m:oMath>
      <w:r>
        <w:rPr>
          <w:rFonts w:hint="eastAsia" w:ascii="方正仿宋_GBK" w:hAnsi="方正仿宋_GBK" w:eastAsia="方正仿宋_GBK" w:cs="方正仿宋_GBK"/>
          <w:b w:val="0"/>
          <w:bCs w:val="0"/>
          <w:i w:val="0"/>
          <w:color w:val="auto"/>
          <w:kern w:val="2"/>
          <w:sz w:val="32"/>
          <w:szCs w:val="32"/>
          <w:highlight w:val="none"/>
          <w:lang w:val="en-US" w:eastAsia="zh-CN" w:bidi="ar-SA"/>
        </w:rPr>
        <w:t>%</w:t>
      </w:r>
      <w:r>
        <w:rPr>
          <w:rFonts w:hint="eastAsia" w:ascii="方正仿宋_GBK" w:hAnsi="方正仿宋_GBK" w:eastAsia="方正仿宋_GBK" w:cs="方正仿宋_GBK"/>
          <w:i w:val="0"/>
          <w:color w:val="auto"/>
          <w:kern w:val="2"/>
          <w:sz w:val="32"/>
          <w:szCs w:val="32"/>
          <w:highlight w:val="none"/>
          <w:lang w:val="en-US" w:eastAsia="zh-CN" w:bidi="ar-SA"/>
        </w:rPr>
        <w:t>为</w:t>
      </w:r>
      <w:r>
        <w:rPr>
          <w:rFonts w:hint="eastAsia" w:ascii="方正仿宋_GBK" w:hAnsi="方正仿宋_GBK" w:eastAsia="方正仿宋_GBK" w:cs="方正仿宋_GBK"/>
          <w:color w:val="auto"/>
          <w:sz w:val="32"/>
          <w:szCs w:val="32"/>
          <w:highlight w:val="none"/>
          <w:lang w:val="en-US" w:eastAsia="zh-CN"/>
        </w:rPr>
        <w:t>虚拟电厂与聚合资源a约定的调节收益分配比例；</w:t>
      </w:r>
    </w:p>
    <w:p>
      <w:pPr>
        <w:widowControl/>
        <w:numPr>
          <w:ilvl w:val="-1"/>
          <w:numId w:val="0"/>
        </w:numPr>
        <w:tabs>
          <w:tab w:val="left" w:pos="7149"/>
        </w:tabs>
        <w:ind w:firstLine="640" w:firstLineChars="200"/>
        <w:outlineLvl w:val="9"/>
        <w:rPr>
          <w:rFonts w:hint="eastAsia" w:ascii="方正仿宋_GBK" w:hAnsi="方正仿宋_GBK" w:eastAsia="方正仿宋_GBK" w:cs="方正仿宋_GBK"/>
          <w:i w:val="0"/>
          <w:color w:val="auto"/>
          <w:kern w:val="2"/>
          <w:sz w:val="32"/>
          <w:szCs w:val="32"/>
          <w:highlight w:val="none"/>
          <w:lang w:val="en-US" w:eastAsia="zh-CN" w:bidi="ar-SA"/>
        </w:rPr>
      </w:pPr>
      <m:oMath>
        <m:sSub>
          <m:sSubPr>
            <m:ctrlPr>
              <w:rPr>
                <w:rFonts w:hint="eastAsia" w:ascii="Cambria Math" w:hAnsi="Cambria Math" w:eastAsia="方正仿宋_GBK" w:cs="方正仿宋_GBK"/>
                <w:color w:val="auto"/>
                <w:kern w:val="2"/>
                <w:sz w:val="32"/>
                <w:szCs w:val="32"/>
                <w:highlight w:val="none"/>
                <w:lang w:val="en-US"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Q</m:t>
            </m:r>
            <m:ctrlPr>
              <w:rPr>
                <w:rFonts w:hint="eastAsia" w:ascii="Cambria Math" w:hAnsi="Cambria Math" w:eastAsia="方正仿宋_GBK" w:cs="方正仿宋_GBK"/>
                <w:color w:val="auto"/>
                <w:kern w:val="2"/>
                <w:sz w:val="32"/>
                <w:szCs w:val="32"/>
                <w:highlight w:val="none"/>
                <w:lang w:val="en-US"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正贡献电量.资源a.t</m:t>
            </m:r>
            <m:ctrlPr>
              <w:rPr>
                <w:rFonts w:hint="eastAsia" w:ascii="Cambria Math" w:hAnsi="Cambria Math" w:eastAsia="方正仿宋_GBK" w:cs="方正仿宋_GBK"/>
                <w:color w:val="auto"/>
                <w:kern w:val="2"/>
                <w:sz w:val="32"/>
                <w:szCs w:val="32"/>
                <w:highlight w:val="none"/>
                <w:lang w:val="en-US" w:bidi="ar-SA"/>
              </w:rPr>
            </m:ctrlPr>
          </m:sub>
        </m:sSub>
      </m:oMath>
      <w:r>
        <w:rPr>
          <w:rFonts w:hint="eastAsia" w:ascii="方正仿宋_GBK" w:hAnsi="方正仿宋_GBK" w:eastAsia="方正仿宋_GBK" w:cs="方正仿宋_GBK"/>
          <w:i w:val="0"/>
          <w:color w:val="auto"/>
          <w:kern w:val="2"/>
          <w:sz w:val="32"/>
          <w:szCs w:val="32"/>
          <w:highlight w:val="none"/>
          <w:lang w:val="en-US" w:eastAsia="zh-CN" w:bidi="ar-SA"/>
        </w:rPr>
        <w:t>为聚合资源</w:t>
      </w:r>
      <w:r>
        <w:rPr>
          <w:rFonts w:hint="default" w:ascii="Cambria Math" w:hAnsi="Cambria Math" w:eastAsia="方正仿宋_GBK" w:cs="Cambria Math"/>
          <w:i w:val="0"/>
          <w:color w:val="auto"/>
          <w:kern w:val="2"/>
          <w:sz w:val="32"/>
          <w:szCs w:val="32"/>
          <w:highlight w:val="none"/>
          <w:lang w:val="en-US" w:eastAsia="zh-CN" w:bidi="ar-SA"/>
        </w:rPr>
        <w:t>a</w:t>
      </w:r>
      <w:r>
        <w:rPr>
          <w:rFonts w:hint="eastAsia" w:ascii="方正仿宋_GBK" w:hAnsi="方正仿宋_GBK" w:eastAsia="方正仿宋_GBK" w:cs="方正仿宋_GBK"/>
          <w:i w:val="0"/>
          <w:color w:val="auto"/>
          <w:kern w:val="2"/>
          <w:sz w:val="32"/>
          <w:szCs w:val="32"/>
          <w:highlight w:val="none"/>
          <w:lang w:val="en-US" w:eastAsia="zh-CN" w:bidi="ar-SA"/>
        </w:rPr>
        <w:t>在</w:t>
      </w:r>
      <w:r>
        <w:rPr>
          <w:rFonts w:hint="default" w:ascii="Cambria Math" w:hAnsi="Cambria Math" w:eastAsia="方正仿宋_GBK" w:cs="Cambria Math"/>
          <w:i w:val="0"/>
          <w:color w:val="auto"/>
          <w:kern w:val="2"/>
          <w:sz w:val="32"/>
          <w:szCs w:val="32"/>
          <w:highlight w:val="none"/>
          <w:lang w:val="en-US" w:eastAsia="zh-CN" w:bidi="ar-SA"/>
        </w:rPr>
        <w:t>t</w:t>
      </w:r>
      <w:r>
        <w:rPr>
          <w:rFonts w:hint="eastAsia" w:ascii="方正仿宋_GBK" w:hAnsi="方正仿宋_GBK" w:eastAsia="方正仿宋_GBK" w:cs="方正仿宋_GBK"/>
          <w:i w:val="0"/>
          <w:color w:val="auto"/>
          <w:kern w:val="2"/>
          <w:sz w:val="32"/>
          <w:szCs w:val="32"/>
          <w:highlight w:val="none"/>
          <w:lang w:val="en-US" w:eastAsia="zh-CN" w:bidi="ar-SA"/>
        </w:rPr>
        <w:t>时段的正贡献电量，为聚合资源a在</w:t>
      </w:r>
      <w:r>
        <w:rPr>
          <w:rFonts w:hint="default" w:ascii="Cambria Math" w:hAnsi="Cambria Math" w:eastAsia="方正仿宋_GBK" w:cs="Cambria Math"/>
          <w:i w:val="0"/>
          <w:color w:val="auto"/>
          <w:kern w:val="2"/>
          <w:sz w:val="32"/>
          <w:szCs w:val="32"/>
          <w:highlight w:val="none"/>
          <w:lang w:val="en-US" w:eastAsia="zh-CN" w:bidi="ar-SA"/>
        </w:rPr>
        <w:t>t</w:t>
      </w:r>
      <w:r>
        <w:rPr>
          <w:rFonts w:hint="eastAsia" w:ascii="方正仿宋_GBK" w:hAnsi="方正仿宋_GBK" w:eastAsia="方正仿宋_GBK" w:cs="方正仿宋_GBK"/>
          <w:i w:val="0"/>
          <w:color w:val="auto"/>
          <w:kern w:val="2"/>
          <w:sz w:val="32"/>
          <w:szCs w:val="32"/>
          <w:highlight w:val="none"/>
          <w:lang w:val="en-US" w:eastAsia="zh-CN" w:bidi="ar-SA"/>
        </w:rPr>
        <w:t>时段的的平均调节负荷与调节时段时长的乘积；</w:t>
      </w:r>
      <w:r>
        <w:rPr>
          <w:rFonts w:hint="eastAsia" w:ascii="方正仿宋_GBK" w:hAnsi="方正仿宋_GBK" w:eastAsia="方正仿宋_GBK" w:cs="方正仿宋_GBK"/>
          <w:i w:val="0"/>
          <w:color w:val="auto"/>
          <w:kern w:val="2"/>
          <w:sz w:val="32"/>
          <w:szCs w:val="32"/>
          <w:highlight w:val="none"/>
          <w:lang w:val="en-US" w:eastAsia="zh-CN" w:bidi="ar-SA"/>
        </w:rPr>
        <w:tab/>
      </w:r>
    </w:p>
    <w:p>
      <w:pPr>
        <w:widowControl/>
        <w:numPr>
          <w:ilvl w:val="-1"/>
          <w:numId w:val="0"/>
        </w:numPr>
        <w:ind w:firstLine="640" w:firstLineChars="200"/>
        <w:outlineLvl w:val="9"/>
        <w:rPr>
          <w:rFonts w:hint="eastAsia" w:ascii="方正仿宋_GBK" w:hAnsi="方正仿宋_GBK" w:eastAsia="方正仿宋_GBK" w:cs="方正仿宋_GBK"/>
          <w:i w:val="0"/>
          <w:color w:val="auto"/>
          <w:kern w:val="2"/>
          <w:sz w:val="32"/>
          <w:szCs w:val="32"/>
          <w:highlight w:val="none"/>
          <w:lang w:val="en-US" w:eastAsia="zh-CN" w:bidi="ar-SA"/>
        </w:rPr>
        <w:sectPr>
          <w:pgSz w:w="11906" w:h="16838"/>
          <w:pgMar w:top="1440" w:right="1800" w:bottom="1440" w:left="1800" w:header="851" w:footer="992" w:gutter="0"/>
          <w:pgNumType w:fmt="decimal"/>
          <w:cols w:space="720" w:num="1"/>
          <w:docGrid w:type="lines" w:linePitch="312" w:charSpace="0"/>
        </w:sectPr>
      </w:pPr>
      <m:oMath>
        <m:sSub>
          <m:sSubPr>
            <m:ctrlPr>
              <w:rPr>
                <w:rFonts w:hint="eastAsia" w:ascii="Cambria Math" w:hAnsi="Cambria Math" w:eastAsia="方正仿宋_GBK" w:cs="方正仿宋_GBK"/>
                <w:color w:val="auto"/>
                <w:kern w:val="2"/>
                <w:sz w:val="32"/>
                <w:szCs w:val="32"/>
                <w:highlight w:val="none"/>
                <w:lang w:val="en-US" w:bidi="ar-SA"/>
              </w:rPr>
            </m:ctrlPr>
          </m:sSubPr>
          <m:e>
            <m:r>
              <m:rPr>
                <m:sty m:val="p"/>
              </m:rPr>
              <w:rPr>
                <w:rFonts w:hint="eastAsia" w:ascii="Cambria Math" w:hAnsi="Cambria Math" w:eastAsia="方正仿宋_GBK" w:cs="方正仿宋_GBK"/>
                <w:color w:val="auto"/>
                <w:kern w:val="2"/>
                <w:sz w:val="32"/>
                <w:szCs w:val="32"/>
                <w:highlight w:val="none"/>
                <w:lang w:val="en-US" w:eastAsia="zh-CN" w:bidi="ar-SA"/>
              </w:rPr>
              <m:t>Q</m:t>
            </m:r>
            <m:ctrlPr>
              <w:rPr>
                <w:rFonts w:hint="eastAsia" w:ascii="Cambria Math" w:hAnsi="Cambria Math" w:eastAsia="方正仿宋_GBK" w:cs="方正仿宋_GBK"/>
                <w:color w:val="auto"/>
                <w:kern w:val="2"/>
                <w:sz w:val="32"/>
                <w:szCs w:val="32"/>
                <w:highlight w:val="none"/>
                <w:lang w:val="en-US" w:bidi="ar-SA"/>
              </w:rPr>
            </m:ctrlPr>
          </m:e>
          <m:sub>
            <m:r>
              <m:rPr>
                <m:sty m:val="p"/>
              </m:rPr>
              <w:rPr>
                <w:rFonts w:hint="eastAsia" w:ascii="Cambria Math" w:hAnsi="Cambria Math" w:eastAsia="方正仿宋_GBK" w:cs="方正仿宋_GBK"/>
                <w:color w:val="auto"/>
                <w:kern w:val="2"/>
                <w:sz w:val="32"/>
                <w:szCs w:val="32"/>
                <w:highlight w:val="none"/>
                <w:lang w:val="en-US" w:eastAsia="zh-CN" w:bidi="ar-SA"/>
              </w:rPr>
              <m:t>正贡献电量.所有聚合资源.t</m:t>
            </m:r>
            <m:ctrlPr>
              <w:rPr>
                <w:rFonts w:hint="eastAsia" w:ascii="Cambria Math" w:hAnsi="Cambria Math" w:eastAsia="方正仿宋_GBK" w:cs="方正仿宋_GBK"/>
                <w:color w:val="auto"/>
                <w:kern w:val="2"/>
                <w:sz w:val="32"/>
                <w:szCs w:val="32"/>
                <w:highlight w:val="none"/>
                <w:lang w:val="en-US" w:bidi="ar-SA"/>
              </w:rPr>
            </m:ctrlPr>
          </m:sub>
        </m:sSub>
      </m:oMath>
      <w:r>
        <w:rPr>
          <w:rFonts w:hint="eastAsia" w:ascii="方正仿宋_GBK" w:hAnsi="方正仿宋_GBK" w:eastAsia="方正仿宋_GBK" w:cs="方正仿宋_GBK"/>
          <w:i w:val="0"/>
          <w:color w:val="auto"/>
          <w:kern w:val="2"/>
          <w:sz w:val="32"/>
          <w:szCs w:val="32"/>
          <w:highlight w:val="none"/>
          <w:lang w:val="en-US" w:eastAsia="zh-CN" w:bidi="ar-SA"/>
        </w:rPr>
        <w:t>为虚拟电厂所有聚合资源在</w:t>
      </w:r>
      <w:r>
        <w:rPr>
          <w:rFonts w:hint="default" w:ascii="Cambria Math" w:hAnsi="Cambria Math" w:eastAsia="方正仿宋_GBK" w:cs="Cambria Math"/>
          <w:i w:val="0"/>
          <w:color w:val="auto"/>
          <w:kern w:val="2"/>
          <w:sz w:val="32"/>
          <w:szCs w:val="32"/>
          <w:highlight w:val="none"/>
          <w:lang w:val="en-US" w:eastAsia="zh-CN" w:bidi="ar-SA"/>
        </w:rPr>
        <w:t>t</w:t>
      </w:r>
      <w:r>
        <w:rPr>
          <w:rFonts w:hint="eastAsia" w:ascii="方正仿宋_GBK" w:hAnsi="方正仿宋_GBK" w:eastAsia="方正仿宋_GBK" w:cs="方正仿宋_GBK"/>
          <w:i w:val="0"/>
          <w:color w:val="auto"/>
          <w:kern w:val="2"/>
          <w:sz w:val="32"/>
          <w:szCs w:val="32"/>
          <w:highlight w:val="none"/>
          <w:lang w:val="en-US" w:eastAsia="zh-CN" w:bidi="ar-SA"/>
        </w:rPr>
        <w:t>时段的正贡献电量总和。</w:t>
      </w:r>
    </w:p>
    <w:p>
      <w:pPr>
        <w:keepNext w:val="0"/>
        <w:keepLines w:val="0"/>
        <w:pageBreakBefore w:val="0"/>
        <w:widowControl/>
        <w:kinsoku/>
        <w:wordWrap/>
        <w:overflowPunct/>
        <w:topLinePunct w:val="0"/>
        <w:autoSpaceDE/>
        <w:autoSpaceDN/>
        <w:bidi w:val="0"/>
        <w:adjustRightInd/>
        <w:snapToGrid/>
        <w:spacing w:line="580" w:lineRule="exact"/>
        <w:ind w:firstLine="0" w:firstLineChars="0"/>
        <w:jc w:val="left"/>
        <w:textAlignment w:val="auto"/>
        <w:rPr>
          <w:rFonts w:ascii="Times New Roman" w:hAnsi="Times New Roman" w:eastAsia="方正黑体_GBK"/>
          <w:sz w:val="32"/>
          <w:szCs w:val="32"/>
        </w:rPr>
      </w:pPr>
      <w:r>
        <w:rPr>
          <w:rFonts w:hint="eastAsia" w:ascii="Times New Roman" w:hAnsi="Times New Roman" w:eastAsia="方正黑体_GBK"/>
          <w:sz w:val="32"/>
          <w:szCs w:val="32"/>
        </w:rPr>
        <w:t>附件</w:t>
      </w:r>
      <w:r>
        <w:rPr>
          <w:rFonts w:ascii="Times New Roman" w:hAnsi="Times New Roman" w:eastAsia="方正黑体_GBK"/>
          <w:sz w:val="32"/>
          <w:szCs w:val="32"/>
        </w:rPr>
        <w:t>2</w:t>
      </w: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方正仿宋_GBK"/>
          <w:sz w:val="32"/>
          <w:szCs w:val="32"/>
        </w:rPr>
      </w:pPr>
    </w:p>
    <w:p>
      <w:pPr>
        <w:keepNext w:val="0"/>
        <w:keepLines w:val="0"/>
        <w:widowControl/>
        <w:suppressLineNumbers w:val="0"/>
        <w:autoSpaceDE w:val="0"/>
        <w:autoSpaceDN/>
        <w:spacing w:before="0" w:beforeAutospacing="0" w:after="0" w:afterAutospacing="0" w:line="600" w:lineRule="exact"/>
        <w:ind w:left="0" w:leftChars="0" w:right="0"/>
        <w:jc w:val="center"/>
        <w:rPr>
          <w:rFonts w:hint="eastAsia" w:ascii="Times New Roman" w:hAnsi="Times New Roman" w:eastAsia="方正小标宋_GBK"/>
          <w:bCs w:val="0"/>
          <w:sz w:val="44"/>
          <w:szCs w:val="44"/>
        </w:rPr>
      </w:pPr>
      <w:r>
        <w:rPr>
          <w:rFonts w:hint="eastAsia" w:ascii="Times New Roman" w:hAnsi="Times New Roman" w:eastAsia="方正小标宋_GBK"/>
          <w:bCs w:val="0"/>
          <w:sz w:val="44"/>
          <w:szCs w:val="44"/>
        </w:rPr>
        <w:t>《</w:t>
      </w:r>
      <w:r>
        <w:rPr>
          <w:rFonts w:hint="eastAsia" w:ascii="方正小标宋_GBK" w:hAnsi="方正小标宋_GBK" w:eastAsia="方正小标宋_GBK" w:cs="方正小标宋_GBK"/>
          <w:color w:val="auto"/>
          <w:kern w:val="0"/>
          <w:sz w:val="44"/>
          <w:szCs w:val="44"/>
          <w:highlight w:val="none"/>
          <w:lang w:val="en-US" w:eastAsia="zh-CN" w:bidi="ar"/>
        </w:rPr>
        <w:t>重庆市虚拟电厂参与电力市场</w:t>
      </w:r>
      <w:r>
        <w:rPr>
          <w:rFonts w:hint="eastAsia" w:ascii="方正小标宋_GBK" w:hAnsi="方正小标宋_GBK" w:eastAsia="方正小标宋_GBK" w:cs="方正小标宋_GBK"/>
          <w:kern w:val="0"/>
          <w:sz w:val="44"/>
          <w:szCs w:val="44"/>
          <w:lang w:val="en-US" w:eastAsia="zh-CN" w:bidi="ar"/>
        </w:rPr>
        <w:t>交易实施方案</w:t>
      </w:r>
      <w:r>
        <w:rPr>
          <w:rFonts w:hint="eastAsia" w:ascii="Times New Roman" w:hAnsi="Times New Roman" w:eastAsia="方正小标宋_GBK"/>
          <w:bCs w:val="0"/>
          <w:sz w:val="44"/>
          <w:szCs w:val="44"/>
          <w:lang w:eastAsia="zh-CN"/>
        </w:rPr>
        <w:t>（征求意见稿）</w:t>
      </w:r>
      <w:r>
        <w:rPr>
          <w:rFonts w:hint="eastAsia" w:ascii="Times New Roman" w:hAnsi="Times New Roman" w:eastAsia="方正小标宋_GBK"/>
          <w:bCs w:val="0"/>
          <w:sz w:val="44"/>
          <w:szCs w:val="44"/>
        </w:rPr>
        <w:t>》起草说明</w:t>
      </w:r>
    </w:p>
    <w:p>
      <w:pPr>
        <w:keepNext w:val="0"/>
        <w:keepLines w:val="0"/>
        <w:pageBreakBefore w:val="0"/>
        <w:kinsoku/>
        <w:wordWrap/>
        <w:overflowPunct/>
        <w:topLinePunct w:val="0"/>
        <w:autoSpaceDE/>
        <w:autoSpaceDN/>
        <w:bidi w:val="0"/>
        <w:adjustRightInd/>
        <w:snapToGrid/>
        <w:spacing w:line="580" w:lineRule="exact"/>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 </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sz w:val="32"/>
          <w:szCs w:val="32"/>
        </w:rPr>
      </w:pPr>
      <w:r>
        <w:rPr>
          <w:rFonts w:hint="eastAsia" w:ascii="Times New Roman" w:hAnsi="Times New Roman" w:eastAsia="方正黑体_GBK"/>
          <w:sz w:val="32"/>
          <w:szCs w:val="32"/>
        </w:rPr>
        <w:t>一、起草背景</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月，国家发展改革委</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国家能源局联合印发了</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关于加快推进虚拟电厂发展的指导意见</w:t>
      </w:r>
      <w:r>
        <w:rPr>
          <w:rFonts w:ascii="Times New Roman" w:hAnsi="Times New Roman" w:eastAsia="方正仿宋_GBK"/>
          <w:sz w:val="32"/>
          <w:szCs w:val="32"/>
        </w:rPr>
        <w:t>》（发改</w:t>
      </w:r>
      <w:r>
        <w:rPr>
          <w:rFonts w:hint="eastAsia" w:ascii="Times New Roman" w:hAnsi="Times New Roman" w:eastAsia="方正仿宋_GBK"/>
          <w:sz w:val="32"/>
          <w:szCs w:val="32"/>
          <w:lang w:val="en-US" w:eastAsia="zh-CN"/>
        </w:rPr>
        <w:t>能源</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357</w:t>
      </w:r>
      <w:r>
        <w:rPr>
          <w:rFonts w:ascii="Times New Roman" w:hAnsi="Times New Roman" w:eastAsia="方正仿宋_GBK"/>
          <w:sz w:val="32"/>
          <w:szCs w:val="32"/>
        </w:rPr>
        <w:t>号），对</w:t>
      </w:r>
      <w:r>
        <w:rPr>
          <w:rFonts w:hint="eastAsia" w:ascii="Times New Roman" w:hAnsi="Times New Roman" w:eastAsia="方正仿宋_GBK"/>
          <w:sz w:val="32"/>
          <w:szCs w:val="32"/>
          <w:lang w:val="en-US" w:eastAsia="zh-CN"/>
        </w:rPr>
        <w:t>虚拟电厂建设运行管理机制、调节能力、商业模式创新发展均</w:t>
      </w:r>
      <w:r>
        <w:rPr>
          <w:rFonts w:ascii="Times New Roman" w:hAnsi="Times New Roman" w:eastAsia="方正仿宋_GBK"/>
          <w:sz w:val="32"/>
          <w:szCs w:val="32"/>
        </w:rPr>
        <w:t>提出新的总体要求，明确指出</w:t>
      </w:r>
      <w:r>
        <w:rPr>
          <w:rFonts w:hint="eastAsia" w:ascii="Times New Roman" w:hAnsi="Times New Roman" w:eastAsia="方正仿宋_GBK"/>
          <w:sz w:val="32"/>
          <w:szCs w:val="32"/>
          <w:lang w:val="en-US" w:eastAsia="zh-CN"/>
        </w:rPr>
        <w:t>各省级主管部门要会同有关部门编制虚拟电厂参与电力市场交易的配套文件</w:t>
      </w:r>
      <w:r>
        <w:rPr>
          <w:rFonts w:ascii="Times New Roman" w:hAnsi="Times New Roman" w:eastAsia="方正仿宋_GBK"/>
          <w:sz w:val="32"/>
          <w:szCs w:val="32"/>
        </w:rPr>
        <w:t>。</w:t>
      </w:r>
      <w:r>
        <w:rPr>
          <w:rFonts w:hint="eastAsia" w:ascii="Times New Roman" w:hAnsi="Times New Roman" w:eastAsia="方正仿宋_GBK"/>
          <w:sz w:val="32"/>
          <w:szCs w:val="32"/>
        </w:rPr>
        <w:t>为贯彻</w:t>
      </w:r>
      <w:r>
        <w:rPr>
          <w:rFonts w:hint="eastAsia" w:ascii="Times New Roman" w:hAnsi="Times New Roman" w:eastAsia="方正仿宋_GBK"/>
          <w:kern w:val="2"/>
          <w:sz w:val="32"/>
          <w:szCs w:val="32"/>
          <w:lang w:val="en-US" w:eastAsia="zh-CN"/>
        </w:rPr>
        <w:t>全国统一电力市场体系建设部署</w:t>
      </w:r>
      <w:r>
        <w:rPr>
          <w:rFonts w:hint="eastAsia" w:ascii="Times New Roman" w:hAnsi="Times New Roman" w:eastAsia="方正仿宋_GBK"/>
          <w:kern w:val="2"/>
          <w:sz w:val="32"/>
          <w:szCs w:val="32"/>
          <w:lang w:eastAsia="zh-CN"/>
        </w:rPr>
        <w:t>，</w:t>
      </w:r>
      <w:r>
        <w:rPr>
          <w:rFonts w:hint="eastAsia" w:ascii="Times New Roman" w:hAnsi="Times New Roman" w:eastAsia="方正仿宋_GBK"/>
          <w:sz w:val="32"/>
          <w:szCs w:val="32"/>
        </w:rPr>
        <w:t>落实国家和重庆市关于</w:t>
      </w:r>
      <w:r>
        <w:rPr>
          <w:rFonts w:hint="eastAsia" w:ascii="Times New Roman" w:hAnsi="Times New Roman" w:eastAsia="方正仿宋_GBK"/>
          <w:sz w:val="32"/>
          <w:szCs w:val="32"/>
          <w:lang w:val="en-US" w:eastAsia="zh-CN"/>
        </w:rPr>
        <w:t>虚拟电厂建设发展的</w:t>
      </w:r>
      <w:r>
        <w:rPr>
          <w:rFonts w:hint="eastAsia" w:ascii="Times New Roman" w:hAnsi="Times New Roman" w:eastAsia="方正仿宋_GBK"/>
          <w:sz w:val="32"/>
          <w:szCs w:val="32"/>
        </w:rPr>
        <w:t>决策部署，</w:t>
      </w:r>
      <w:r>
        <w:rPr>
          <w:rFonts w:hint="eastAsia" w:ascii="Times New Roman" w:hAnsi="Times New Roman" w:eastAsia="方正仿宋_GBK"/>
          <w:sz w:val="32"/>
          <w:szCs w:val="32"/>
          <w:lang w:val="en-US" w:eastAsia="zh-CN"/>
        </w:rPr>
        <w:t>提升</w:t>
      </w:r>
      <w:r>
        <w:rPr>
          <w:rFonts w:hint="eastAsia" w:ascii="Times New Roman" w:hAnsi="Times New Roman" w:eastAsia="方正仿宋_GBK"/>
          <w:spacing w:val="-4"/>
          <w:sz w:val="32"/>
          <w:szCs w:val="32"/>
          <w:lang w:val="en-US" w:eastAsia="zh-CN"/>
        </w:rPr>
        <w:t>虚拟电厂调节能力，保障电力系统安全稳定运行、促进系能源消纳</w:t>
      </w:r>
      <w:r>
        <w:rPr>
          <w:rFonts w:ascii="Times New Roman" w:hAnsi="Times New Roman" w:eastAsia="方正仿宋_GBK"/>
          <w:sz w:val="32"/>
          <w:szCs w:val="32"/>
        </w:rPr>
        <w:t>，按照</w:t>
      </w:r>
      <w:r>
        <w:rPr>
          <w:rFonts w:hint="eastAsia" w:ascii="Times New Roman" w:hAnsi="Times New Roman" w:eastAsia="方正仿宋_GBK"/>
          <w:sz w:val="32"/>
          <w:szCs w:val="32"/>
        </w:rPr>
        <w:t>国家有关法律法规以及政策文件要求</w:t>
      </w:r>
      <w:r>
        <w:rPr>
          <w:rFonts w:ascii="Times New Roman" w:hAnsi="Times New Roman" w:eastAsia="方正仿宋_GBK"/>
          <w:sz w:val="32"/>
          <w:szCs w:val="32"/>
        </w:rPr>
        <w:t>，结合</w:t>
      </w:r>
      <w:r>
        <w:rPr>
          <w:rFonts w:hint="default" w:ascii="Times New Roman" w:hAnsi="Times New Roman" w:eastAsia="方正仿宋_GBK" w:cs="Times New Roman"/>
          <w:color w:val="auto"/>
          <w:sz w:val="32"/>
          <w:szCs w:val="32"/>
          <w:highlight w:val="none"/>
          <w:lang w:val="en-US" w:eastAsia="zh-CN"/>
        </w:rPr>
        <w:t>《重庆市虚拟电厂建设管理实施方案》（渝经信电力〔2024〕7号）等文件精神</w:t>
      </w:r>
      <w:r>
        <w:rPr>
          <w:rFonts w:ascii="Times New Roman" w:hAnsi="Times New Roman" w:eastAsia="方正仿宋_GBK"/>
          <w:sz w:val="32"/>
          <w:szCs w:val="32"/>
        </w:rPr>
        <w:t>，我委组织有关单位认真研究起草了《</w:t>
      </w:r>
      <w:r>
        <w:rPr>
          <w:rFonts w:hint="eastAsia" w:ascii="Times New Roman" w:hAnsi="Times New Roman" w:eastAsia="方正仿宋_GBK"/>
          <w:sz w:val="32"/>
          <w:szCs w:val="32"/>
          <w:lang w:val="en-US" w:eastAsia="zh-CN"/>
        </w:rPr>
        <w:t>重庆市虚拟电厂参与电力市场交易实施方案</w:t>
      </w:r>
      <w:r>
        <w:rPr>
          <w:rFonts w:hint="eastAsia" w:ascii="Times New Roman" w:hAnsi="Times New Roman" w:eastAsia="方正仿宋_GBK"/>
          <w:sz w:val="32"/>
          <w:szCs w:val="32"/>
          <w:lang w:eastAsia="zh-CN"/>
        </w:rPr>
        <w:t>（征求意见稿）</w:t>
      </w:r>
      <w:r>
        <w:rPr>
          <w:rFonts w:ascii="Times New Roman" w:hAnsi="Times New Roman" w:eastAsia="方正仿宋_GBK"/>
          <w:sz w:val="32"/>
          <w:szCs w:val="32"/>
        </w:rPr>
        <w:t>》（以下简称《</w:t>
      </w:r>
      <w:r>
        <w:rPr>
          <w:rFonts w:hint="eastAsia" w:ascii="Times New Roman" w:hAnsi="Times New Roman" w:eastAsia="方正仿宋_GBK"/>
          <w:sz w:val="32"/>
          <w:szCs w:val="32"/>
          <w:lang w:val="en-US" w:eastAsia="zh-CN"/>
        </w:rPr>
        <w:t>实施方案</w:t>
      </w:r>
      <w:r>
        <w:rPr>
          <w:rFonts w:ascii="Times New Roman" w:hAnsi="Times New Roman" w:eastAsia="方正仿宋_GBK"/>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sz w:val="32"/>
          <w:szCs w:val="32"/>
        </w:rPr>
      </w:pPr>
      <w:r>
        <w:rPr>
          <w:rFonts w:hint="eastAsia" w:ascii="Times New Roman" w:hAnsi="Times New Roman" w:eastAsia="方正黑体_GBK"/>
          <w:sz w:val="32"/>
          <w:szCs w:val="32"/>
        </w:rPr>
        <w:t>二、文件制定过程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sz w:val="32"/>
          <w:szCs w:val="32"/>
        </w:rPr>
      </w:pPr>
      <w:r>
        <w:rPr>
          <w:rFonts w:ascii="Times New Roman" w:hAnsi="Times New Roman" w:eastAsia="方正仿宋_GBK"/>
          <w:sz w:val="32"/>
          <w:szCs w:val="32"/>
        </w:rPr>
        <w:t>我委于202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月启动《</w:t>
      </w:r>
      <w:r>
        <w:rPr>
          <w:rFonts w:hint="eastAsia" w:ascii="Times New Roman" w:hAnsi="Times New Roman" w:eastAsia="方正仿宋_GBK"/>
          <w:sz w:val="32"/>
          <w:szCs w:val="32"/>
          <w:lang w:val="en-US" w:eastAsia="zh-CN"/>
        </w:rPr>
        <w:t>实施方案</w:t>
      </w:r>
      <w:r>
        <w:rPr>
          <w:rFonts w:ascii="Times New Roman" w:hAnsi="Times New Roman" w:eastAsia="方正仿宋_GBK"/>
          <w:sz w:val="32"/>
          <w:szCs w:val="32"/>
        </w:rPr>
        <w:t>》起草编制工作，前期召集国网</w:t>
      </w:r>
      <w:r>
        <w:rPr>
          <w:rFonts w:hint="eastAsia" w:ascii="Times New Roman" w:hAnsi="Times New Roman" w:eastAsia="方正仿宋_GBK"/>
          <w:sz w:val="32"/>
          <w:szCs w:val="32"/>
          <w:lang w:eastAsia="zh-CN"/>
        </w:rPr>
        <w:t>重庆</w:t>
      </w:r>
      <w:r>
        <w:rPr>
          <w:rFonts w:ascii="Times New Roman" w:hAnsi="Times New Roman" w:eastAsia="方正仿宋_GBK"/>
          <w:sz w:val="32"/>
          <w:szCs w:val="32"/>
        </w:rPr>
        <w:t>市电力公司</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重庆市电力交易中心</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相关发用电企业</w:t>
      </w:r>
      <w:r>
        <w:rPr>
          <w:rFonts w:hint="eastAsia" w:ascii="Times New Roman" w:hAnsi="Times New Roman" w:eastAsia="方正仿宋_GBK"/>
          <w:sz w:val="32"/>
          <w:szCs w:val="32"/>
          <w:lang w:val="en-US" w:eastAsia="zh-CN"/>
        </w:rPr>
        <w:t>及虚拟电厂</w:t>
      </w:r>
      <w:r>
        <w:rPr>
          <w:rFonts w:ascii="Times New Roman" w:hAnsi="Times New Roman" w:eastAsia="方正仿宋_GBK"/>
          <w:sz w:val="32"/>
          <w:szCs w:val="32"/>
        </w:rPr>
        <w:t>，广泛听取意见，就有关问题进行充分研究，最终形成了《</w:t>
      </w:r>
      <w:r>
        <w:rPr>
          <w:rFonts w:hint="eastAsia" w:ascii="Times New Roman" w:hAnsi="Times New Roman" w:eastAsia="方正仿宋_GBK"/>
          <w:sz w:val="32"/>
          <w:szCs w:val="32"/>
          <w:lang w:val="en-US" w:eastAsia="zh-CN"/>
        </w:rPr>
        <w:t>实施方案</w:t>
      </w:r>
      <w:r>
        <w:rPr>
          <w:rFonts w:ascii="Times New Roman" w:hAnsi="Times New Roman" w:eastAsia="方正仿宋_GBK"/>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黑体_GBK"/>
          <w:sz w:val="32"/>
          <w:szCs w:val="32"/>
        </w:rPr>
      </w:pPr>
      <w:r>
        <w:rPr>
          <w:rFonts w:hint="eastAsia" w:ascii="Times New Roman" w:hAnsi="Times New Roman" w:eastAsia="方正黑体_GBK"/>
          <w:sz w:val="32"/>
          <w:szCs w:val="32"/>
        </w:rPr>
        <w:t>三、文件主要内容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实施方案</w:t>
      </w:r>
      <w:r>
        <w:rPr>
          <w:rFonts w:ascii="Times New Roman" w:hAnsi="Times New Roman" w:eastAsia="方正仿宋_GBK"/>
          <w:sz w:val="32"/>
          <w:szCs w:val="32"/>
        </w:rPr>
        <w:t>》共包括</w:t>
      </w:r>
      <w:r>
        <w:rPr>
          <w:rFonts w:hint="eastAsia" w:ascii="Times New Roman" w:hAnsi="Times New Roman" w:eastAsia="方正仿宋_GBK"/>
          <w:sz w:val="32"/>
          <w:szCs w:val="32"/>
          <w:lang w:val="en-US" w:eastAsia="zh-CN"/>
        </w:rPr>
        <w:t>参与条件</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市场注册、交易方式、交易品种</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结算机制</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评估考核</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退出市场7</w:t>
      </w:r>
      <w:r>
        <w:rPr>
          <w:rFonts w:ascii="Times New Roman" w:hAnsi="Times New Roman" w:eastAsia="方正仿宋_GBK"/>
          <w:sz w:val="32"/>
          <w:szCs w:val="32"/>
        </w:rPr>
        <w:t>个部分。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sz w:val="32"/>
          <w:szCs w:val="32"/>
        </w:rPr>
      </w:pPr>
      <w:r>
        <w:rPr>
          <w:rFonts w:hint="eastAsia" w:ascii="方正楷体_GBK" w:hAnsi="方正楷体_GBK" w:eastAsia="方正楷体_GBK" w:cs="方正楷体_GBK"/>
          <w:b w:val="0"/>
          <w:bCs w:val="0"/>
          <w:color w:val="auto"/>
          <w:sz w:val="32"/>
          <w:szCs w:val="32"/>
          <w:highlight w:val="none"/>
          <w:lang w:val="en-US" w:eastAsia="zh-CN"/>
        </w:rPr>
        <w:t>（一）参与条件。</w:t>
      </w:r>
      <w:r>
        <w:rPr>
          <w:rFonts w:hint="eastAsia" w:ascii="方正仿宋_GBK" w:hAnsi="方正仿宋_GBK" w:eastAsia="方正仿宋_GBK" w:cs="方正仿宋_GBK"/>
          <w:color w:val="auto"/>
          <w:sz w:val="32"/>
          <w:szCs w:val="32"/>
          <w:highlight w:val="none"/>
          <w:lang w:val="en-US" w:eastAsia="zh-CN"/>
        </w:rPr>
        <w:t>虚拟电厂运营商在电力市场中开展交易，应具备售电公司资质，且在电力交易平台完成市场注册</w:t>
      </w:r>
      <w:r>
        <w:rPr>
          <w:rFonts w:hint="eastAsia" w:ascii="Times New Roman" w:hAnsi="Times New Roman" w:eastAsia="方正仿宋_GBK"/>
          <w:sz w:val="32"/>
          <w:szCs w:val="32"/>
        </w:rPr>
        <w:t>。</w:t>
      </w:r>
      <w:r>
        <w:rPr>
          <w:rFonts w:hint="eastAsia" w:ascii="方正仿宋_GBK" w:hAnsi="方正仿宋_GBK" w:eastAsia="方正仿宋_GBK" w:cs="方正仿宋_GBK"/>
          <w:color w:val="auto"/>
          <w:sz w:val="32"/>
          <w:szCs w:val="32"/>
          <w:highlight w:val="none"/>
          <w:lang w:val="en-US" w:eastAsia="zh-CN"/>
        </w:rPr>
        <w:t>聚合资源应为具有</w:t>
      </w:r>
      <w:r>
        <w:rPr>
          <w:rFonts w:hint="eastAsia" w:ascii="方正仿宋_GBK" w:hAnsi="方正仿宋_GBK" w:eastAsia="方正仿宋_GBK" w:cs="方正仿宋_GBK"/>
          <w:color w:val="auto"/>
          <w:sz w:val="32"/>
          <w:szCs w:val="32"/>
          <w:highlight w:val="none"/>
        </w:rPr>
        <w:t>国网重庆市电力公司</w:t>
      </w:r>
      <w:r>
        <w:rPr>
          <w:rFonts w:hint="eastAsia" w:ascii="方正仿宋_GBK" w:hAnsi="方正仿宋_GBK" w:eastAsia="方正仿宋_GBK" w:cs="方正仿宋_GBK"/>
          <w:color w:val="auto"/>
          <w:sz w:val="32"/>
          <w:szCs w:val="32"/>
          <w:highlight w:val="none"/>
          <w:lang w:eastAsia="zh-CN"/>
        </w:rPr>
        <w:t>独立</w:t>
      </w:r>
      <w:r>
        <w:rPr>
          <w:rFonts w:hint="eastAsia" w:ascii="方正仿宋_GBK" w:hAnsi="方正仿宋_GBK" w:eastAsia="方正仿宋_GBK" w:cs="方正仿宋_GBK"/>
          <w:color w:val="auto"/>
          <w:sz w:val="32"/>
          <w:szCs w:val="32"/>
          <w:highlight w:val="none"/>
        </w:rPr>
        <w:t>营销户号</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在电力交易平台注册、非电力调度机构直接调度管辖的经营主体。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方正仿宋_GBK"/>
          <w:sz w:val="32"/>
          <w:szCs w:val="32"/>
        </w:rPr>
      </w:pPr>
      <w:r>
        <w:rPr>
          <w:rFonts w:hint="eastAsia" w:ascii="方正楷体_GBK" w:hAnsi="方正楷体_GBK" w:eastAsia="方正楷体_GBK" w:cs="方正楷体_GBK"/>
          <w:b w:val="0"/>
          <w:bCs w:val="0"/>
          <w:color w:val="auto"/>
          <w:sz w:val="32"/>
          <w:szCs w:val="32"/>
          <w:highlight w:val="none"/>
          <w:lang w:val="en-US" w:eastAsia="zh-CN"/>
        </w:rPr>
        <w:t>（二）市场注册。</w:t>
      </w:r>
      <w:r>
        <w:rPr>
          <w:rFonts w:hint="eastAsia" w:ascii="方正仿宋_GBK" w:hAnsi="方正仿宋_GBK" w:eastAsia="方正仿宋_GBK" w:cs="方正仿宋_GBK"/>
          <w:color w:val="auto"/>
          <w:sz w:val="32"/>
          <w:szCs w:val="32"/>
          <w:highlight w:val="none"/>
          <w:lang w:val="en-US" w:eastAsia="zh-CN"/>
        </w:rPr>
        <w:t>虚拟电厂运营商注册、信息变更及注销流程参照《售电公司管理办法》要求执行，按照申请、承诺、审查、公示、生效的流程办理。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ascii="Times New Roman" w:hAnsi="Times New Roman" w:eastAsia="方正仿宋_GBK"/>
          <w:sz w:val="32"/>
          <w:szCs w:val="32"/>
        </w:rPr>
      </w:pPr>
      <w:r>
        <w:rPr>
          <w:rFonts w:hint="eastAsia" w:ascii="方正楷体_GBK" w:hAnsi="方正楷体_GBK" w:eastAsia="方正楷体_GBK" w:cs="方正楷体_GBK"/>
          <w:b w:val="0"/>
          <w:bCs w:val="0"/>
          <w:color w:val="auto"/>
          <w:sz w:val="32"/>
          <w:szCs w:val="32"/>
          <w:highlight w:val="none"/>
          <w:lang w:val="en-US" w:eastAsia="zh-CN"/>
        </w:rPr>
        <w:t>（三）交易方式。</w:t>
      </w: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虚拟电厂与聚合资源通过电力交易平台签订聚合套餐，同步实现聚合服务关系的自动建立，虚拟电厂与聚合资源聚合服务关系及合约周期须与聚合关系一致。聚合资源发生变化后，虚拟电厂须按聚合关系及时终止、重新签订聚合套餐。</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sz w:val="32"/>
          <w:szCs w:val="32"/>
        </w:rPr>
      </w:pPr>
      <w:r>
        <w:rPr>
          <w:rFonts w:hint="eastAsia" w:ascii="方正楷体_GBK" w:hAnsi="方正楷体_GBK" w:eastAsia="方正楷体_GBK" w:cs="方正楷体_GBK"/>
          <w:b w:val="0"/>
          <w:bCs w:val="0"/>
          <w:color w:val="auto"/>
          <w:sz w:val="32"/>
          <w:szCs w:val="32"/>
          <w:highlight w:val="none"/>
          <w:lang w:val="en-US" w:eastAsia="zh-CN"/>
        </w:rPr>
        <w:t>（四）交易品种。</w:t>
      </w:r>
      <w:r>
        <w:rPr>
          <w:rFonts w:hint="eastAsia" w:ascii="方正仿宋_GBK" w:hAnsi="方正仿宋_GBK" w:eastAsia="方正仿宋_GBK" w:cs="方正仿宋_GBK"/>
          <w:color w:val="auto"/>
          <w:sz w:val="32"/>
          <w:szCs w:val="32"/>
          <w:highlight w:val="none"/>
          <w:lang w:val="en-US" w:eastAsia="zh-CN"/>
        </w:rPr>
        <w:t>交易品种分为电能量交易、调节量交易、辅助服务交易等三个品种。</w:t>
      </w:r>
      <w:r>
        <w:rPr>
          <w:rFonts w:hint="eastAsia" w:ascii="Times New Roman" w:hAnsi="Times New Roman" w:eastAsia="方正仿宋_GBK"/>
          <w:sz w:val="32"/>
          <w:szCs w:val="32"/>
          <w:lang w:val="en-US" w:eastAsia="zh-CN"/>
        </w:rPr>
        <w:t>虚拟电厂运营商完成市场注册后，负荷类、发电类聚合单元分别形成相应的交易单元，以交易单元整体参与市场交易。</w:t>
      </w:r>
    </w:p>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方正黑体_GBK" w:hAnsi="方正黑体_GBK" w:eastAsia="方正黑体_GBK" w:cs="方正黑体_GBK"/>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（五）结算机制。</w:t>
      </w: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电力市场交易结算中使用电网企业计量装置数据，虚拟电厂在批发市场中的计量数据由聚合资源计量数据叠加形成，其中发用单元电量分别叠加，不得相互冲抵。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sz w:val="32"/>
          <w:szCs w:val="32"/>
          <w:lang w:val="en-US" w:eastAsia="zh-CN"/>
        </w:rPr>
      </w:pPr>
      <w:r>
        <w:rPr>
          <w:rFonts w:hint="eastAsia" w:ascii="方正楷体_GBK" w:hAnsi="方正楷体_GBK" w:eastAsia="方正楷体_GBK" w:cs="方正楷体_GBK"/>
          <w:b w:val="0"/>
          <w:bCs w:val="0"/>
          <w:color w:val="auto"/>
          <w:sz w:val="32"/>
          <w:szCs w:val="32"/>
          <w:highlight w:val="none"/>
          <w:lang w:val="en-US" w:eastAsia="zh-CN"/>
        </w:rPr>
        <w:t>（六）评估考核。</w:t>
      </w:r>
      <w:r>
        <w:rPr>
          <w:rFonts w:hint="eastAsia" w:ascii="Times New Roman" w:hAnsi="Times New Roman" w:eastAsia="方正仿宋_GBK"/>
          <w:sz w:val="32"/>
          <w:szCs w:val="32"/>
          <w:lang w:val="en-US" w:eastAsia="zh-CN"/>
        </w:rPr>
        <w:t>明确</w:t>
      </w:r>
      <w:r>
        <w:rPr>
          <w:rFonts w:hint="eastAsia" w:ascii="方正仿宋_GBK" w:hAnsi="方正仿宋_GBK" w:eastAsia="方正仿宋_GBK" w:cs="方正仿宋_GBK"/>
          <w:i w:val="0"/>
          <w:iCs w:val="0"/>
          <w:strike w:val="0"/>
          <w:dstrike w:val="0"/>
          <w:color w:val="auto"/>
          <w:kern w:val="2"/>
          <w:sz w:val="32"/>
          <w:szCs w:val="32"/>
          <w:highlight w:val="none"/>
          <w:u w:val="none"/>
          <w:lang w:val="en-US" w:eastAsia="zh-CN" w:bidi="ar-SA"/>
        </w:rPr>
        <w:t>虚拟电厂参与电能量交易、调节量交易、辅助服务交易期间的考核规则。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sz w:val="32"/>
          <w:szCs w:val="32"/>
          <w:lang w:eastAsia="zh-CN"/>
        </w:rPr>
      </w:pPr>
      <w:r>
        <w:rPr>
          <w:rFonts w:hint="eastAsia" w:ascii="方正楷体_GBK" w:hAnsi="方正楷体_GBK" w:eastAsia="方正楷体_GBK" w:cs="方正楷体_GBK"/>
          <w:b w:val="0"/>
          <w:bCs w:val="0"/>
          <w:color w:val="auto"/>
          <w:sz w:val="32"/>
          <w:szCs w:val="32"/>
          <w:highlight w:val="none"/>
          <w:lang w:val="en-US" w:eastAsia="zh-CN"/>
        </w:rPr>
        <w:t>（七）退出市场。</w:t>
      </w:r>
      <w:r>
        <w:rPr>
          <w:rFonts w:hint="eastAsia" w:ascii="方正仿宋_GBK" w:hAnsi="方正仿宋_GBK" w:eastAsia="方正仿宋_GBK" w:cs="方正仿宋_GBK"/>
          <w:color w:val="auto"/>
          <w:sz w:val="32"/>
          <w:szCs w:val="32"/>
          <w:highlight w:val="none"/>
          <w:u w:val="none"/>
          <w:lang w:val="en-US" w:eastAsia="zh-CN"/>
        </w:rPr>
        <w:t>虚拟电厂启动自愿或强制退市的条件和程序，参照国家及重庆售电公司相关规定执行。</w:t>
      </w:r>
    </w:p>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lang w:val="en-US" w:eastAsia="zh-CN"/>
        </w:rPr>
      </w:pPr>
    </w:p>
    <w:p>
      <w:pPr>
        <w:pStyle w:val="2"/>
        <w:keepNext w:val="0"/>
        <w:keepLines w:val="0"/>
        <w:pageBreakBefore w:val="0"/>
        <w:kinsoku/>
        <w:wordWrap/>
        <w:overflowPunct/>
        <w:topLinePunct w:val="0"/>
        <w:autoSpaceDE/>
        <w:autoSpaceDN/>
        <w:bidi w:val="0"/>
        <w:adjustRightInd/>
        <w:snapToGrid/>
        <w:spacing w:line="580" w:lineRule="exact"/>
        <w:ind w:firstLine="0" w:firstLineChars="0"/>
        <w:textAlignment w:val="auto"/>
        <w:rPr>
          <w:rFonts w:hint="eastAsia" w:ascii="方正仿宋_GBK" w:hAnsi="方正仿宋_GBK" w:eastAsia="方正仿宋_GBK" w:cs="方正仿宋_GBK"/>
          <w:color w:val="auto"/>
          <w:sz w:val="32"/>
          <w:szCs w:val="32"/>
          <w:highlight w:val="none"/>
          <w:lang w:val="en-US"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altName w:val="方正小标宋_GBK"/>
    <w:panose1 w:val="02010600010101010101"/>
    <w:charset w:val="86"/>
    <w:family w:val="auto"/>
    <w:pitch w:val="default"/>
    <w:sig w:usb0="00000000" w:usb1="00000000" w:usb2="00000000" w:usb3="00000000" w:csb0="00040000"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- 1 -</w:t>
                          </w:r>
                          <w:r>
                            <w:rPr>
                              <w:rFonts w:hint="default" w:ascii="Times New Roman" w:hAnsi="Times New Roman" w:cs="Times New Roman"/>
                              <w:sz w:val="32"/>
                              <w:szCs w:val="32"/>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- 1 -</w:t>
                    </w:r>
                    <w:r>
                      <w:rPr>
                        <w:rFonts w:hint="default" w:ascii="Times New Roman" w:hAnsi="Times New Roman" w:cs="Times New Roman"/>
                        <w:sz w:val="32"/>
                        <w:szCs w:val="32"/>
                      </w:rPr>
                      <w:fldChar w:fldCharType="end"/>
                    </w:r>
                    <w:r>
                      <w:rPr>
                        <w:rFonts w:hint="default" w:ascii="Times New Roman" w:hAnsi="Times New Roman" w:cs="Times New Roman"/>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2A928C"/>
    <w:multiLevelType w:val="singleLevel"/>
    <w:tmpl w:val="912A928C"/>
    <w:lvl w:ilvl="0" w:tentative="0">
      <w:start w:val="1"/>
      <w:numFmt w:val="chineseCounting"/>
      <w:suff w:val="nothing"/>
      <w:lvlText w:val="（%1）"/>
      <w:lvlJc w:val="left"/>
      <w:rPr>
        <w:rFonts w:hint="eastAsia"/>
      </w:rPr>
    </w:lvl>
  </w:abstractNum>
  <w:abstractNum w:abstractNumId="1">
    <w:nsid w:val="B469518B"/>
    <w:multiLevelType w:val="singleLevel"/>
    <w:tmpl w:val="B469518B"/>
    <w:lvl w:ilvl="0" w:tentative="0">
      <w:start w:val="1"/>
      <w:numFmt w:val="chineseCounting"/>
      <w:suff w:val="nothing"/>
      <w:lvlText w:val="（%1）"/>
      <w:lvlJc w:val="left"/>
      <w:rPr>
        <w:rFonts w:hint="eastAsia"/>
      </w:rPr>
    </w:lvl>
  </w:abstractNum>
  <w:abstractNum w:abstractNumId="2">
    <w:nsid w:val="E2ADF67C"/>
    <w:multiLevelType w:val="singleLevel"/>
    <w:tmpl w:val="E2ADF67C"/>
    <w:lvl w:ilvl="0" w:tentative="0">
      <w:start w:val="1"/>
      <w:numFmt w:val="chineseCounting"/>
      <w:suff w:val="nothing"/>
      <w:lvlText w:val="（%1）"/>
      <w:lvlJc w:val="left"/>
      <w:rPr>
        <w:rFonts w:hint="eastAsia"/>
      </w:rPr>
    </w:lvl>
  </w:abstractNum>
  <w:abstractNum w:abstractNumId="3">
    <w:nsid w:val="57A44BED"/>
    <w:multiLevelType w:val="singleLevel"/>
    <w:tmpl w:val="57A44BED"/>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DE0B20"/>
    <w:rsid w:val="00202EC6"/>
    <w:rsid w:val="002C6CD8"/>
    <w:rsid w:val="00351B66"/>
    <w:rsid w:val="00544619"/>
    <w:rsid w:val="007D53AD"/>
    <w:rsid w:val="0086204C"/>
    <w:rsid w:val="00897072"/>
    <w:rsid w:val="00B80ABA"/>
    <w:rsid w:val="00CF5500"/>
    <w:rsid w:val="00D9659E"/>
    <w:rsid w:val="011533D3"/>
    <w:rsid w:val="011646D7"/>
    <w:rsid w:val="013D2A0F"/>
    <w:rsid w:val="0153673B"/>
    <w:rsid w:val="015574EF"/>
    <w:rsid w:val="015A4203"/>
    <w:rsid w:val="016340E6"/>
    <w:rsid w:val="016853DB"/>
    <w:rsid w:val="01B554DA"/>
    <w:rsid w:val="01CE24C1"/>
    <w:rsid w:val="021D70DF"/>
    <w:rsid w:val="02712178"/>
    <w:rsid w:val="027B51E5"/>
    <w:rsid w:val="0295051F"/>
    <w:rsid w:val="029C57D8"/>
    <w:rsid w:val="029F34E7"/>
    <w:rsid w:val="02EC685C"/>
    <w:rsid w:val="031841A0"/>
    <w:rsid w:val="032A5D49"/>
    <w:rsid w:val="032E4FAE"/>
    <w:rsid w:val="03402FEE"/>
    <w:rsid w:val="034E55F8"/>
    <w:rsid w:val="035D7E14"/>
    <w:rsid w:val="036946D6"/>
    <w:rsid w:val="0376507B"/>
    <w:rsid w:val="039336BC"/>
    <w:rsid w:val="03C21D37"/>
    <w:rsid w:val="03C46D55"/>
    <w:rsid w:val="04110D86"/>
    <w:rsid w:val="041741F5"/>
    <w:rsid w:val="04406FAC"/>
    <w:rsid w:val="0451447E"/>
    <w:rsid w:val="046105BC"/>
    <w:rsid w:val="046B5540"/>
    <w:rsid w:val="04915E0F"/>
    <w:rsid w:val="04991D9B"/>
    <w:rsid w:val="04A845B3"/>
    <w:rsid w:val="04A930A7"/>
    <w:rsid w:val="04F273E8"/>
    <w:rsid w:val="05020145"/>
    <w:rsid w:val="051A5F1D"/>
    <w:rsid w:val="052650CD"/>
    <w:rsid w:val="05695BD3"/>
    <w:rsid w:val="056B5B59"/>
    <w:rsid w:val="05785B85"/>
    <w:rsid w:val="05883053"/>
    <w:rsid w:val="05926AFC"/>
    <w:rsid w:val="05AB50DB"/>
    <w:rsid w:val="05AD7087"/>
    <w:rsid w:val="05F50C9F"/>
    <w:rsid w:val="06143B6B"/>
    <w:rsid w:val="06357A0E"/>
    <w:rsid w:val="063660B8"/>
    <w:rsid w:val="065E4982"/>
    <w:rsid w:val="065F5E83"/>
    <w:rsid w:val="069F5975"/>
    <w:rsid w:val="06F6187A"/>
    <w:rsid w:val="06F86E33"/>
    <w:rsid w:val="07044413"/>
    <w:rsid w:val="070C4371"/>
    <w:rsid w:val="070F49A2"/>
    <w:rsid w:val="07141485"/>
    <w:rsid w:val="071E42E2"/>
    <w:rsid w:val="072B545A"/>
    <w:rsid w:val="0735547F"/>
    <w:rsid w:val="07437DA7"/>
    <w:rsid w:val="07607A90"/>
    <w:rsid w:val="076C043D"/>
    <w:rsid w:val="0779664C"/>
    <w:rsid w:val="077C7A64"/>
    <w:rsid w:val="07944BFB"/>
    <w:rsid w:val="07994906"/>
    <w:rsid w:val="07A64AE1"/>
    <w:rsid w:val="07AA60A4"/>
    <w:rsid w:val="07AD5675"/>
    <w:rsid w:val="07C21FD0"/>
    <w:rsid w:val="07D259DB"/>
    <w:rsid w:val="07E958A3"/>
    <w:rsid w:val="07F13D17"/>
    <w:rsid w:val="07F65A18"/>
    <w:rsid w:val="082048FD"/>
    <w:rsid w:val="082C68DA"/>
    <w:rsid w:val="08364290"/>
    <w:rsid w:val="08385472"/>
    <w:rsid w:val="084F54BD"/>
    <w:rsid w:val="085A4E94"/>
    <w:rsid w:val="087010E6"/>
    <w:rsid w:val="08793F74"/>
    <w:rsid w:val="087B5C8E"/>
    <w:rsid w:val="089A1F2A"/>
    <w:rsid w:val="08AE69CD"/>
    <w:rsid w:val="08B96F5C"/>
    <w:rsid w:val="08C138CB"/>
    <w:rsid w:val="08DB4C3F"/>
    <w:rsid w:val="08E1269F"/>
    <w:rsid w:val="08F203BB"/>
    <w:rsid w:val="091D2635"/>
    <w:rsid w:val="0989705D"/>
    <w:rsid w:val="09A81679"/>
    <w:rsid w:val="09B43F01"/>
    <w:rsid w:val="09BA2382"/>
    <w:rsid w:val="09BA5C05"/>
    <w:rsid w:val="09E27CC3"/>
    <w:rsid w:val="0A35554F"/>
    <w:rsid w:val="0A567C82"/>
    <w:rsid w:val="0A670558"/>
    <w:rsid w:val="0A91291F"/>
    <w:rsid w:val="0AC972AB"/>
    <w:rsid w:val="0ADE46E3"/>
    <w:rsid w:val="0AFA2B41"/>
    <w:rsid w:val="0B0C1D2F"/>
    <w:rsid w:val="0B0F6EEB"/>
    <w:rsid w:val="0B1041C0"/>
    <w:rsid w:val="0B13248D"/>
    <w:rsid w:val="0B5224A3"/>
    <w:rsid w:val="0B5F1B81"/>
    <w:rsid w:val="0B7735DC"/>
    <w:rsid w:val="0B9B0319"/>
    <w:rsid w:val="0BAA755A"/>
    <w:rsid w:val="0BF16C73"/>
    <w:rsid w:val="0BF33045"/>
    <w:rsid w:val="0C087637"/>
    <w:rsid w:val="0C097EDB"/>
    <w:rsid w:val="0C1C2E6D"/>
    <w:rsid w:val="0C39369B"/>
    <w:rsid w:val="0C3962D6"/>
    <w:rsid w:val="0CA77552"/>
    <w:rsid w:val="0CB71D6A"/>
    <w:rsid w:val="0CBF1375"/>
    <w:rsid w:val="0CEF5748"/>
    <w:rsid w:val="0CF91A1C"/>
    <w:rsid w:val="0D304119"/>
    <w:rsid w:val="0D347726"/>
    <w:rsid w:val="0D463014"/>
    <w:rsid w:val="0D5D0726"/>
    <w:rsid w:val="0D645222"/>
    <w:rsid w:val="0D706F9B"/>
    <w:rsid w:val="0DA24987"/>
    <w:rsid w:val="0DCF6FB4"/>
    <w:rsid w:val="0DD24882"/>
    <w:rsid w:val="0DE7465B"/>
    <w:rsid w:val="0E0E6588"/>
    <w:rsid w:val="0E3C53EA"/>
    <w:rsid w:val="0E587F98"/>
    <w:rsid w:val="0E6B7738"/>
    <w:rsid w:val="0E7E7158"/>
    <w:rsid w:val="0EC46B3F"/>
    <w:rsid w:val="0EE91E83"/>
    <w:rsid w:val="0EEF0710"/>
    <w:rsid w:val="0EF34AB0"/>
    <w:rsid w:val="0F05663A"/>
    <w:rsid w:val="0F087FB5"/>
    <w:rsid w:val="0F192623"/>
    <w:rsid w:val="0F1B48C5"/>
    <w:rsid w:val="0F263529"/>
    <w:rsid w:val="0F2C4CF2"/>
    <w:rsid w:val="0F340338"/>
    <w:rsid w:val="0F3A0931"/>
    <w:rsid w:val="0F3E1577"/>
    <w:rsid w:val="0F4962DB"/>
    <w:rsid w:val="0F78156E"/>
    <w:rsid w:val="0FB60B51"/>
    <w:rsid w:val="0FC4616A"/>
    <w:rsid w:val="0FFB478D"/>
    <w:rsid w:val="102A61E8"/>
    <w:rsid w:val="102B0279"/>
    <w:rsid w:val="10352FA6"/>
    <w:rsid w:val="104E02CD"/>
    <w:rsid w:val="10611EED"/>
    <w:rsid w:val="10624C74"/>
    <w:rsid w:val="106612B1"/>
    <w:rsid w:val="10C1060B"/>
    <w:rsid w:val="10D26327"/>
    <w:rsid w:val="10F66AD9"/>
    <w:rsid w:val="10FC16EA"/>
    <w:rsid w:val="11183DA1"/>
    <w:rsid w:val="11651119"/>
    <w:rsid w:val="11B8789F"/>
    <w:rsid w:val="11D3174D"/>
    <w:rsid w:val="11EB3571"/>
    <w:rsid w:val="12016B0E"/>
    <w:rsid w:val="1205799E"/>
    <w:rsid w:val="120862FD"/>
    <w:rsid w:val="12355743"/>
    <w:rsid w:val="126D60C9"/>
    <w:rsid w:val="12A84095"/>
    <w:rsid w:val="12B87441"/>
    <w:rsid w:val="130F49EF"/>
    <w:rsid w:val="1322106F"/>
    <w:rsid w:val="13264285"/>
    <w:rsid w:val="132D2C84"/>
    <w:rsid w:val="134C669F"/>
    <w:rsid w:val="136D6D1B"/>
    <w:rsid w:val="13E35A2F"/>
    <w:rsid w:val="14036B03"/>
    <w:rsid w:val="14075E6A"/>
    <w:rsid w:val="146520CE"/>
    <w:rsid w:val="148E18CD"/>
    <w:rsid w:val="14CA373C"/>
    <w:rsid w:val="14D47131"/>
    <w:rsid w:val="14F55F71"/>
    <w:rsid w:val="150D3199"/>
    <w:rsid w:val="151C212F"/>
    <w:rsid w:val="155952E9"/>
    <w:rsid w:val="1577083D"/>
    <w:rsid w:val="15811E9E"/>
    <w:rsid w:val="15AA0367"/>
    <w:rsid w:val="15C26140"/>
    <w:rsid w:val="15C9134E"/>
    <w:rsid w:val="15D156D3"/>
    <w:rsid w:val="15D2312F"/>
    <w:rsid w:val="15F7556C"/>
    <w:rsid w:val="16030126"/>
    <w:rsid w:val="16363F81"/>
    <w:rsid w:val="164D7999"/>
    <w:rsid w:val="165A26FA"/>
    <w:rsid w:val="165C08BD"/>
    <w:rsid w:val="16620247"/>
    <w:rsid w:val="167C659A"/>
    <w:rsid w:val="16B12479"/>
    <w:rsid w:val="16D142DB"/>
    <w:rsid w:val="16D84EFC"/>
    <w:rsid w:val="16F278A9"/>
    <w:rsid w:val="170C7896"/>
    <w:rsid w:val="1722157F"/>
    <w:rsid w:val="174360B4"/>
    <w:rsid w:val="176D76F6"/>
    <w:rsid w:val="178578EC"/>
    <w:rsid w:val="178F10EE"/>
    <w:rsid w:val="17961FE4"/>
    <w:rsid w:val="17A061C8"/>
    <w:rsid w:val="17BB3CFC"/>
    <w:rsid w:val="17C502C4"/>
    <w:rsid w:val="17C50FB3"/>
    <w:rsid w:val="17E81778"/>
    <w:rsid w:val="17FB378B"/>
    <w:rsid w:val="18037924"/>
    <w:rsid w:val="18410677"/>
    <w:rsid w:val="18444BC9"/>
    <w:rsid w:val="18727996"/>
    <w:rsid w:val="189B0B6A"/>
    <w:rsid w:val="18A55883"/>
    <w:rsid w:val="18AC4015"/>
    <w:rsid w:val="18BF3C55"/>
    <w:rsid w:val="18E36123"/>
    <w:rsid w:val="18FB68AA"/>
    <w:rsid w:val="18FF6912"/>
    <w:rsid w:val="19121FD6"/>
    <w:rsid w:val="19155232"/>
    <w:rsid w:val="1921046B"/>
    <w:rsid w:val="194C318E"/>
    <w:rsid w:val="19B23720"/>
    <w:rsid w:val="19CF2104"/>
    <w:rsid w:val="19D54EDD"/>
    <w:rsid w:val="1A1A2C13"/>
    <w:rsid w:val="1A225770"/>
    <w:rsid w:val="1A302507"/>
    <w:rsid w:val="1AAF2DD5"/>
    <w:rsid w:val="1ABF0D7F"/>
    <w:rsid w:val="1AC02153"/>
    <w:rsid w:val="1AC11938"/>
    <w:rsid w:val="1B022228"/>
    <w:rsid w:val="1B1C7B86"/>
    <w:rsid w:val="1B233534"/>
    <w:rsid w:val="1B3335C5"/>
    <w:rsid w:val="1B5C274E"/>
    <w:rsid w:val="1B5F3ED3"/>
    <w:rsid w:val="1B797F1F"/>
    <w:rsid w:val="1BA05BE1"/>
    <w:rsid w:val="1BB32EA2"/>
    <w:rsid w:val="1BB37A1B"/>
    <w:rsid w:val="1BBB7DC7"/>
    <w:rsid w:val="1BF7363C"/>
    <w:rsid w:val="1C27085E"/>
    <w:rsid w:val="1C452E4C"/>
    <w:rsid w:val="1C5B508E"/>
    <w:rsid w:val="1C5D4811"/>
    <w:rsid w:val="1C92426F"/>
    <w:rsid w:val="1C93342E"/>
    <w:rsid w:val="1C951971"/>
    <w:rsid w:val="1C9A5DF9"/>
    <w:rsid w:val="1CBF6038"/>
    <w:rsid w:val="1CE974F2"/>
    <w:rsid w:val="1D022362"/>
    <w:rsid w:val="1D346C93"/>
    <w:rsid w:val="1D40788B"/>
    <w:rsid w:val="1D567413"/>
    <w:rsid w:val="1D6A17C8"/>
    <w:rsid w:val="1D8773D9"/>
    <w:rsid w:val="1D8C3C27"/>
    <w:rsid w:val="1DA96440"/>
    <w:rsid w:val="1DBA2C3C"/>
    <w:rsid w:val="1DBC4C07"/>
    <w:rsid w:val="1DC550ED"/>
    <w:rsid w:val="1DC57AE4"/>
    <w:rsid w:val="1DD24BFC"/>
    <w:rsid w:val="1DD60F66"/>
    <w:rsid w:val="1DD81269"/>
    <w:rsid w:val="1DE27165"/>
    <w:rsid w:val="1DE9717E"/>
    <w:rsid w:val="1E214A6A"/>
    <w:rsid w:val="1E276EC6"/>
    <w:rsid w:val="1E4361B4"/>
    <w:rsid w:val="1E4F41C5"/>
    <w:rsid w:val="1E5F2261"/>
    <w:rsid w:val="1E9858BE"/>
    <w:rsid w:val="1EA929A4"/>
    <w:rsid w:val="1ED94129"/>
    <w:rsid w:val="1F022551"/>
    <w:rsid w:val="1F43795A"/>
    <w:rsid w:val="1F471C5F"/>
    <w:rsid w:val="1F55360B"/>
    <w:rsid w:val="1F63408D"/>
    <w:rsid w:val="1F65178F"/>
    <w:rsid w:val="1FA86D80"/>
    <w:rsid w:val="1FAF2E88"/>
    <w:rsid w:val="1FBB64FE"/>
    <w:rsid w:val="1FC009DE"/>
    <w:rsid w:val="1FDD13CE"/>
    <w:rsid w:val="1FDE0B20"/>
    <w:rsid w:val="20060ED7"/>
    <w:rsid w:val="201C7BDE"/>
    <w:rsid w:val="20227BB9"/>
    <w:rsid w:val="202F6C59"/>
    <w:rsid w:val="2044337B"/>
    <w:rsid w:val="20504C0F"/>
    <w:rsid w:val="2058422B"/>
    <w:rsid w:val="208A3AF0"/>
    <w:rsid w:val="208E5D79"/>
    <w:rsid w:val="209946E2"/>
    <w:rsid w:val="20A21BCF"/>
    <w:rsid w:val="20AB3639"/>
    <w:rsid w:val="20B55C45"/>
    <w:rsid w:val="20C54A1F"/>
    <w:rsid w:val="21161512"/>
    <w:rsid w:val="21166835"/>
    <w:rsid w:val="21286860"/>
    <w:rsid w:val="21561F3F"/>
    <w:rsid w:val="21567D40"/>
    <w:rsid w:val="216A315E"/>
    <w:rsid w:val="216A5E8D"/>
    <w:rsid w:val="21916A34"/>
    <w:rsid w:val="21D918C4"/>
    <w:rsid w:val="21E41624"/>
    <w:rsid w:val="220D4744"/>
    <w:rsid w:val="220F716F"/>
    <w:rsid w:val="22420C43"/>
    <w:rsid w:val="224C47AB"/>
    <w:rsid w:val="225B70DE"/>
    <w:rsid w:val="225D2832"/>
    <w:rsid w:val="22874540"/>
    <w:rsid w:val="2288086B"/>
    <w:rsid w:val="22881232"/>
    <w:rsid w:val="228A6BEC"/>
    <w:rsid w:val="22942A3A"/>
    <w:rsid w:val="22B456FE"/>
    <w:rsid w:val="22BE4AC7"/>
    <w:rsid w:val="22E307CC"/>
    <w:rsid w:val="22EC3898"/>
    <w:rsid w:val="22FA40AF"/>
    <w:rsid w:val="230D5D8D"/>
    <w:rsid w:val="23251857"/>
    <w:rsid w:val="23251A54"/>
    <w:rsid w:val="233B46DE"/>
    <w:rsid w:val="23454FED"/>
    <w:rsid w:val="23615817"/>
    <w:rsid w:val="237E342A"/>
    <w:rsid w:val="23902475"/>
    <w:rsid w:val="23A14683"/>
    <w:rsid w:val="23B44AAB"/>
    <w:rsid w:val="2411147B"/>
    <w:rsid w:val="24171AC2"/>
    <w:rsid w:val="24302880"/>
    <w:rsid w:val="243506CB"/>
    <w:rsid w:val="243D00AD"/>
    <w:rsid w:val="24454B90"/>
    <w:rsid w:val="244E7A1E"/>
    <w:rsid w:val="24AF1021"/>
    <w:rsid w:val="24C9636D"/>
    <w:rsid w:val="24D37C77"/>
    <w:rsid w:val="24DF4D8F"/>
    <w:rsid w:val="24E753F8"/>
    <w:rsid w:val="24EB7C26"/>
    <w:rsid w:val="25053949"/>
    <w:rsid w:val="251417F8"/>
    <w:rsid w:val="251E5675"/>
    <w:rsid w:val="25574EFF"/>
    <w:rsid w:val="257F322F"/>
    <w:rsid w:val="25926C98"/>
    <w:rsid w:val="25F43F10"/>
    <w:rsid w:val="25FB09DE"/>
    <w:rsid w:val="2647305C"/>
    <w:rsid w:val="26505110"/>
    <w:rsid w:val="26567DF3"/>
    <w:rsid w:val="266F47A7"/>
    <w:rsid w:val="266F679F"/>
    <w:rsid w:val="26977FBF"/>
    <w:rsid w:val="26A84480"/>
    <w:rsid w:val="26AD5820"/>
    <w:rsid w:val="26B3324E"/>
    <w:rsid w:val="26B64DC4"/>
    <w:rsid w:val="27054FF7"/>
    <w:rsid w:val="27284ECD"/>
    <w:rsid w:val="274804E7"/>
    <w:rsid w:val="275D3451"/>
    <w:rsid w:val="277C25F4"/>
    <w:rsid w:val="27B3359E"/>
    <w:rsid w:val="27CA5604"/>
    <w:rsid w:val="27D56FD5"/>
    <w:rsid w:val="27DF6D16"/>
    <w:rsid w:val="27E3759F"/>
    <w:rsid w:val="280254F9"/>
    <w:rsid w:val="28260244"/>
    <w:rsid w:val="28600282"/>
    <w:rsid w:val="286E0463"/>
    <w:rsid w:val="287113E7"/>
    <w:rsid w:val="288C3296"/>
    <w:rsid w:val="288D7F06"/>
    <w:rsid w:val="28924EE2"/>
    <w:rsid w:val="289D6C27"/>
    <w:rsid w:val="28A245B6"/>
    <w:rsid w:val="28BC3D0D"/>
    <w:rsid w:val="28D72411"/>
    <w:rsid w:val="28E30421"/>
    <w:rsid w:val="28F65471"/>
    <w:rsid w:val="290C4C94"/>
    <w:rsid w:val="291D1EF9"/>
    <w:rsid w:val="29437A2E"/>
    <w:rsid w:val="294B6B4C"/>
    <w:rsid w:val="294C7E51"/>
    <w:rsid w:val="2960326E"/>
    <w:rsid w:val="29683EFE"/>
    <w:rsid w:val="297A058A"/>
    <w:rsid w:val="299B1E3B"/>
    <w:rsid w:val="29A948DC"/>
    <w:rsid w:val="29B7655D"/>
    <w:rsid w:val="29BB5F06"/>
    <w:rsid w:val="29C47A66"/>
    <w:rsid w:val="2A0C4A0C"/>
    <w:rsid w:val="2A3D50C6"/>
    <w:rsid w:val="2A87765E"/>
    <w:rsid w:val="2AA04397"/>
    <w:rsid w:val="2AA250AF"/>
    <w:rsid w:val="2ABE0ADA"/>
    <w:rsid w:val="2AD82E5B"/>
    <w:rsid w:val="2AED4651"/>
    <w:rsid w:val="2AED757D"/>
    <w:rsid w:val="2B0E422E"/>
    <w:rsid w:val="2B6A23CA"/>
    <w:rsid w:val="2B6D2985"/>
    <w:rsid w:val="2B6E0DD0"/>
    <w:rsid w:val="2B717AB4"/>
    <w:rsid w:val="2B7E3773"/>
    <w:rsid w:val="2B8A00F2"/>
    <w:rsid w:val="2BAA363C"/>
    <w:rsid w:val="2BAF763B"/>
    <w:rsid w:val="2BB36041"/>
    <w:rsid w:val="2BE47167"/>
    <w:rsid w:val="2BEC169E"/>
    <w:rsid w:val="2BFD08C4"/>
    <w:rsid w:val="2C01152E"/>
    <w:rsid w:val="2C013BC2"/>
    <w:rsid w:val="2C03611C"/>
    <w:rsid w:val="2C24507B"/>
    <w:rsid w:val="2C3B13EC"/>
    <w:rsid w:val="2C3E11BA"/>
    <w:rsid w:val="2C510E4D"/>
    <w:rsid w:val="2C5524AE"/>
    <w:rsid w:val="2C5D2C57"/>
    <w:rsid w:val="2C870B22"/>
    <w:rsid w:val="2C9D1A19"/>
    <w:rsid w:val="2CB539FD"/>
    <w:rsid w:val="2CBB12FA"/>
    <w:rsid w:val="2CDE44AA"/>
    <w:rsid w:val="2CDF1F2B"/>
    <w:rsid w:val="2CF808D7"/>
    <w:rsid w:val="2D264830"/>
    <w:rsid w:val="2D4A7B39"/>
    <w:rsid w:val="2D4C4ADE"/>
    <w:rsid w:val="2D895C4C"/>
    <w:rsid w:val="2DA11FE9"/>
    <w:rsid w:val="2DA27A6B"/>
    <w:rsid w:val="2DA433D6"/>
    <w:rsid w:val="2DA92C79"/>
    <w:rsid w:val="2DD2603B"/>
    <w:rsid w:val="2DDE7F07"/>
    <w:rsid w:val="2E0348F9"/>
    <w:rsid w:val="2E1754F4"/>
    <w:rsid w:val="2E1E35FD"/>
    <w:rsid w:val="2E454CF5"/>
    <w:rsid w:val="2E50117F"/>
    <w:rsid w:val="2E5655E1"/>
    <w:rsid w:val="2E77242A"/>
    <w:rsid w:val="2E8D2EEB"/>
    <w:rsid w:val="2ECA37FB"/>
    <w:rsid w:val="2ED72AD0"/>
    <w:rsid w:val="2F552934"/>
    <w:rsid w:val="2F662E89"/>
    <w:rsid w:val="2F681955"/>
    <w:rsid w:val="2F7075FF"/>
    <w:rsid w:val="2F734D88"/>
    <w:rsid w:val="2F874408"/>
    <w:rsid w:val="2F9846A2"/>
    <w:rsid w:val="2FE86833"/>
    <w:rsid w:val="2FF62D45"/>
    <w:rsid w:val="300A115E"/>
    <w:rsid w:val="30191779"/>
    <w:rsid w:val="30282422"/>
    <w:rsid w:val="302D0419"/>
    <w:rsid w:val="304765B2"/>
    <w:rsid w:val="30507B30"/>
    <w:rsid w:val="30512EC8"/>
    <w:rsid w:val="30527354"/>
    <w:rsid w:val="307937B2"/>
    <w:rsid w:val="308D3CB6"/>
    <w:rsid w:val="30973EC7"/>
    <w:rsid w:val="309A2B85"/>
    <w:rsid w:val="309D3F50"/>
    <w:rsid w:val="30C535FF"/>
    <w:rsid w:val="30F92FE5"/>
    <w:rsid w:val="310869BC"/>
    <w:rsid w:val="31101099"/>
    <w:rsid w:val="3113148D"/>
    <w:rsid w:val="312E383F"/>
    <w:rsid w:val="31763C33"/>
    <w:rsid w:val="3185644C"/>
    <w:rsid w:val="319C18F5"/>
    <w:rsid w:val="31B13D90"/>
    <w:rsid w:val="31D855AA"/>
    <w:rsid w:val="31DB4CF3"/>
    <w:rsid w:val="31E13107"/>
    <w:rsid w:val="32121533"/>
    <w:rsid w:val="321C31D1"/>
    <w:rsid w:val="32202587"/>
    <w:rsid w:val="322F21EE"/>
    <w:rsid w:val="323E5734"/>
    <w:rsid w:val="325C2C2C"/>
    <w:rsid w:val="32691F42"/>
    <w:rsid w:val="32917090"/>
    <w:rsid w:val="32925530"/>
    <w:rsid w:val="32A07E9E"/>
    <w:rsid w:val="32A3559F"/>
    <w:rsid w:val="32AB5D01"/>
    <w:rsid w:val="32C21E98"/>
    <w:rsid w:val="32DF3206"/>
    <w:rsid w:val="32E33E0A"/>
    <w:rsid w:val="32F82AAB"/>
    <w:rsid w:val="33153593"/>
    <w:rsid w:val="333E1891"/>
    <w:rsid w:val="334A28B5"/>
    <w:rsid w:val="334D3839"/>
    <w:rsid w:val="336D2610"/>
    <w:rsid w:val="33701470"/>
    <w:rsid w:val="33B05ADC"/>
    <w:rsid w:val="33B91964"/>
    <w:rsid w:val="33C4712A"/>
    <w:rsid w:val="33DA14EB"/>
    <w:rsid w:val="33DD3477"/>
    <w:rsid w:val="33E15824"/>
    <w:rsid w:val="34011131"/>
    <w:rsid w:val="340861B3"/>
    <w:rsid w:val="34412C8C"/>
    <w:rsid w:val="34432ACD"/>
    <w:rsid w:val="34762022"/>
    <w:rsid w:val="34893DA5"/>
    <w:rsid w:val="348F18C7"/>
    <w:rsid w:val="34A82C22"/>
    <w:rsid w:val="34C952B5"/>
    <w:rsid w:val="34DA64C3"/>
    <w:rsid w:val="34DD524A"/>
    <w:rsid w:val="3518051D"/>
    <w:rsid w:val="352743C4"/>
    <w:rsid w:val="35316ED2"/>
    <w:rsid w:val="35371DC3"/>
    <w:rsid w:val="35385E89"/>
    <w:rsid w:val="354C6A67"/>
    <w:rsid w:val="35635123"/>
    <w:rsid w:val="35642BA4"/>
    <w:rsid w:val="357F7C41"/>
    <w:rsid w:val="359470BC"/>
    <w:rsid w:val="35A83E4D"/>
    <w:rsid w:val="35AD429D"/>
    <w:rsid w:val="35B93933"/>
    <w:rsid w:val="35C57746"/>
    <w:rsid w:val="35D602B0"/>
    <w:rsid w:val="35D817EB"/>
    <w:rsid w:val="35F15F75"/>
    <w:rsid w:val="35FD27E8"/>
    <w:rsid w:val="362030DD"/>
    <w:rsid w:val="363B56AF"/>
    <w:rsid w:val="36404A68"/>
    <w:rsid w:val="364D4191"/>
    <w:rsid w:val="3676199F"/>
    <w:rsid w:val="36B136BA"/>
    <w:rsid w:val="36D24400"/>
    <w:rsid w:val="36EA5EE9"/>
    <w:rsid w:val="36EF1119"/>
    <w:rsid w:val="36FC7442"/>
    <w:rsid w:val="373D5CAD"/>
    <w:rsid w:val="3768578B"/>
    <w:rsid w:val="376C67FD"/>
    <w:rsid w:val="37735EDE"/>
    <w:rsid w:val="3793123B"/>
    <w:rsid w:val="37981613"/>
    <w:rsid w:val="37AD17E4"/>
    <w:rsid w:val="37B01725"/>
    <w:rsid w:val="37B336EE"/>
    <w:rsid w:val="37BE13C4"/>
    <w:rsid w:val="37C71483"/>
    <w:rsid w:val="37DB4E80"/>
    <w:rsid w:val="37EE70D8"/>
    <w:rsid w:val="38091EFE"/>
    <w:rsid w:val="38174ABC"/>
    <w:rsid w:val="385F708A"/>
    <w:rsid w:val="387719FE"/>
    <w:rsid w:val="3881462B"/>
    <w:rsid w:val="388A09EB"/>
    <w:rsid w:val="389323D2"/>
    <w:rsid w:val="38BA026A"/>
    <w:rsid w:val="38BC1B0D"/>
    <w:rsid w:val="38E01351"/>
    <w:rsid w:val="38E85CE9"/>
    <w:rsid w:val="38F165F8"/>
    <w:rsid w:val="38F705A5"/>
    <w:rsid w:val="390E5F29"/>
    <w:rsid w:val="393F0420"/>
    <w:rsid w:val="394C5A0D"/>
    <w:rsid w:val="39530C1B"/>
    <w:rsid w:val="39533EAF"/>
    <w:rsid w:val="39662ED0"/>
    <w:rsid w:val="39731EC1"/>
    <w:rsid w:val="39AC3FF3"/>
    <w:rsid w:val="39AF1642"/>
    <w:rsid w:val="39C42A21"/>
    <w:rsid w:val="39E27206"/>
    <w:rsid w:val="39E66332"/>
    <w:rsid w:val="39F27E46"/>
    <w:rsid w:val="3A106F28"/>
    <w:rsid w:val="3A121F53"/>
    <w:rsid w:val="3A164EE9"/>
    <w:rsid w:val="3A28020D"/>
    <w:rsid w:val="3A717D6E"/>
    <w:rsid w:val="3A7262AF"/>
    <w:rsid w:val="3A7417E1"/>
    <w:rsid w:val="3AA9374B"/>
    <w:rsid w:val="3AAA42A8"/>
    <w:rsid w:val="3ABD5C6F"/>
    <w:rsid w:val="3ABF1E23"/>
    <w:rsid w:val="3AFE0C57"/>
    <w:rsid w:val="3AFF08D7"/>
    <w:rsid w:val="3B0276ED"/>
    <w:rsid w:val="3B3F16C0"/>
    <w:rsid w:val="3B7407DE"/>
    <w:rsid w:val="3BC60A9D"/>
    <w:rsid w:val="3BC773AD"/>
    <w:rsid w:val="3BDA6005"/>
    <w:rsid w:val="3BDA63FB"/>
    <w:rsid w:val="3BDC2844"/>
    <w:rsid w:val="3BEB75DB"/>
    <w:rsid w:val="3BF47EEA"/>
    <w:rsid w:val="3C007580"/>
    <w:rsid w:val="3C087078"/>
    <w:rsid w:val="3C2C5136"/>
    <w:rsid w:val="3C3A2A25"/>
    <w:rsid w:val="3C631823"/>
    <w:rsid w:val="3C696AB3"/>
    <w:rsid w:val="3C6F7B96"/>
    <w:rsid w:val="3C8961DF"/>
    <w:rsid w:val="3C8A5E5F"/>
    <w:rsid w:val="3CAA41E0"/>
    <w:rsid w:val="3CC168C5"/>
    <w:rsid w:val="3CCA099B"/>
    <w:rsid w:val="3CCB7F4E"/>
    <w:rsid w:val="3CEF2645"/>
    <w:rsid w:val="3CF16B08"/>
    <w:rsid w:val="3CFB0E50"/>
    <w:rsid w:val="3D121CF5"/>
    <w:rsid w:val="3D242985"/>
    <w:rsid w:val="3D3F248B"/>
    <w:rsid w:val="3D56682D"/>
    <w:rsid w:val="3D605157"/>
    <w:rsid w:val="3D663711"/>
    <w:rsid w:val="3DB16F47"/>
    <w:rsid w:val="3DB949A2"/>
    <w:rsid w:val="3DD35D9A"/>
    <w:rsid w:val="3DDF6D89"/>
    <w:rsid w:val="3E2303B9"/>
    <w:rsid w:val="3E237789"/>
    <w:rsid w:val="3E2548E1"/>
    <w:rsid w:val="3E59645B"/>
    <w:rsid w:val="3E607F66"/>
    <w:rsid w:val="3E636D6A"/>
    <w:rsid w:val="3E8135D7"/>
    <w:rsid w:val="3E85048F"/>
    <w:rsid w:val="3E877EFE"/>
    <w:rsid w:val="3E944297"/>
    <w:rsid w:val="3EC34805"/>
    <w:rsid w:val="3EC66A11"/>
    <w:rsid w:val="3ECC747A"/>
    <w:rsid w:val="3EE2142B"/>
    <w:rsid w:val="3EE93B81"/>
    <w:rsid w:val="3F00051C"/>
    <w:rsid w:val="3F057D64"/>
    <w:rsid w:val="3F122481"/>
    <w:rsid w:val="3F263595"/>
    <w:rsid w:val="3F4761A7"/>
    <w:rsid w:val="3F572AFA"/>
    <w:rsid w:val="3F594633"/>
    <w:rsid w:val="3F697DAE"/>
    <w:rsid w:val="3F97471D"/>
    <w:rsid w:val="3FB4291A"/>
    <w:rsid w:val="3FCB2D5B"/>
    <w:rsid w:val="3FD249C2"/>
    <w:rsid w:val="3FEC556C"/>
    <w:rsid w:val="3FEE42F3"/>
    <w:rsid w:val="3FF67181"/>
    <w:rsid w:val="3FFB3897"/>
    <w:rsid w:val="40185A1F"/>
    <w:rsid w:val="401F7E22"/>
    <w:rsid w:val="40315527"/>
    <w:rsid w:val="407E4ADB"/>
    <w:rsid w:val="40943DAC"/>
    <w:rsid w:val="40C14231"/>
    <w:rsid w:val="40C81C57"/>
    <w:rsid w:val="40DF387B"/>
    <w:rsid w:val="40E1219E"/>
    <w:rsid w:val="40EC510F"/>
    <w:rsid w:val="412020E6"/>
    <w:rsid w:val="413B0711"/>
    <w:rsid w:val="41602848"/>
    <w:rsid w:val="4168682B"/>
    <w:rsid w:val="419044B2"/>
    <w:rsid w:val="41D36635"/>
    <w:rsid w:val="41DB41F0"/>
    <w:rsid w:val="41DF1416"/>
    <w:rsid w:val="41F239D4"/>
    <w:rsid w:val="421E2009"/>
    <w:rsid w:val="4226589A"/>
    <w:rsid w:val="424C61B2"/>
    <w:rsid w:val="426623FD"/>
    <w:rsid w:val="42726F39"/>
    <w:rsid w:val="428419AD"/>
    <w:rsid w:val="42990F4A"/>
    <w:rsid w:val="42A538CE"/>
    <w:rsid w:val="42A559CA"/>
    <w:rsid w:val="42CC7BA3"/>
    <w:rsid w:val="42DE7632"/>
    <w:rsid w:val="42E049B1"/>
    <w:rsid w:val="42E67ABD"/>
    <w:rsid w:val="42E874D3"/>
    <w:rsid w:val="43003087"/>
    <w:rsid w:val="431C24B3"/>
    <w:rsid w:val="4347328D"/>
    <w:rsid w:val="434E7343"/>
    <w:rsid w:val="43605E98"/>
    <w:rsid w:val="43610097"/>
    <w:rsid w:val="436112E1"/>
    <w:rsid w:val="43636E1D"/>
    <w:rsid w:val="43726BC2"/>
    <w:rsid w:val="43862855"/>
    <w:rsid w:val="439730C4"/>
    <w:rsid w:val="439E355D"/>
    <w:rsid w:val="43BA0A83"/>
    <w:rsid w:val="43C12653"/>
    <w:rsid w:val="43EF63F4"/>
    <w:rsid w:val="441C6218"/>
    <w:rsid w:val="4430746A"/>
    <w:rsid w:val="4451091D"/>
    <w:rsid w:val="44531FA9"/>
    <w:rsid w:val="44543565"/>
    <w:rsid w:val="44621F2D"/>
    <w:rsid w:val="446B37BD"/>
    <w:rsid w:val="448A687F"/>
    <w:rsid w:val="44923EBD"/>
    <w:rsid w:val="44B8774F"/>
    <w:rsid w:val="44E71197"/>
    <w:rsid w:val="44EC44AD"/>
    <w:rsid w:val="44F41E19"/>
    <w:rsid w:val="44FB38F9"/>
    <w:rsid w:val="44FB67ED"/>
    <w:rsid w:val="4515782D"/>
    <w:rsid w:val="451B08D2"/>
    <w:rsid w:val="454E2756"/>
    <w:rsid w:val="455B6CA9"/>
    <w:rsid w:val="456E0177"/>
    <w:rsid w:val="458E4A51"/>
    <w:rsid w:val="45BD7EAD"/>
    <w:rsid w:val="45CC270F"/>
    <w:rsid w:val="45E05E91"/>
    <w:rsid w:val="46016E03"/>
    <w:rsid w:val="461055A4"/>
    <w:rsid w:val="46161889"/>
    <w:rsid w:val="4627757F"/>
    <w:rsid w:val="463E363B"/>
    <w:rsid w:val="464E3068"/>
    <w:rsid w:val="466965F4"/>
    <w:rsid w:val="46703CEC"/>
    <w:rsid w:val="46783EAC"/>
    <w:rsid w:val="46CB3B65"/>
    <w:rsid w:val="46DE72AE"/>
    <w:rsid w:val="46F2090A"/>
    <w:rsid w:val="47013507"/>
    <w:rsid w:val="4703600F"/>
    <w:rsid w:val="47053384"/>
    <w:rsid w:val="473C169A"/>
    <w:rsid w:val="474017B8"/>
    <w:rsid w:val="47430FF6"/>
    <w:rsid w:val="47552596"/>
    <w:rsid w:val="475A449F"/>
    <w:rsid w:val="478430E5"/>
    <w:rsid w:val="47883CE9"/>
    <w:rsid w:val="478A4FEE"/>
    <w:rsid w:val="478F3EEB"/>
    <w:rsid w:val="47933B65"/>
    <w:rsid w:val="47A45C40"/>
    <w:rsid w:val="47BA1F3A"/>
    <w:rsid w:val="47D55366"/>
    <w:rsid w:val="47DD5650"/>
    <w:rsid w:val="47E66258"/>
    <w:rsid w:val="47EF2794"/>
    <w:rsid w:val="480B073B"/>
    <w:rsid w:val="48235F71"/>
    <w:rsid w:val="48733CAB"/>
    <w:rsid w:val="489E7667"/>
    <w:rsid w:val="48A94D50"/>
    <w:rsid w:val="48B7695A"/>
    <w:rsid w:val="48C301EE"/>
    <w:rsid w:val="48E82B89"/>
    <w:rsid w:val="48FD70CE"/>
    <w:rsid w:val="48FF4BA2"/>
    <w:rsid w:val="49042AD4"/>
    <w:rsid w:val="49241A07"/>
    <w:rsid w:val="492B5001"/>
    <w:rsid w:val="494F0556"/>
    <w:rsid w:val="4953205B"/>
    <w:rsid w:val="49543DC1"/>
    <w:rsid w:val="495D296B"/>
    <w:rsid w:val="495D504C"/>
    <w:rsid w:val="49715F54"/>
    <w:rsid w:val="498328B1"/>
    <w:rsid w:val="499A5CF7"/>
    <w:rsid w:val="49E73E13"/>
    <w:rsid w:val="4A0E278E"/>
    <w:rsid w:val="4A1115C7"/>
    <w:rsid w:val="4A141010"/>
    <w:rsid w:val="4A18317D"/>
    <w:rsid w:val="4A1B4023"/>
    <w:rsid w:val="4A2E3584"/>
    <w:rsid w:val="4A342933"/>
    <w:rsid w:val="4A570F01"/>
    <w:rsid w:val="4A62606A"/>
    <w:rsid w:val="4AA82E5E"/>
    <w:rsid w:val="4AAF6A94"/>
    <w:rsid w:val="4AB87D6C"/>
    <w:rsid w:val="4ACA1A06"/>
    <w:rsid w:val="4B0C27B9"/>
    <w:rsid w:val="4B401FE2"/>
    <w:rsid w:val="4B662959"/>
    <w:rsid w:val="4B9C5418"/>
    <w:rsid w:val="4BAF683C"/>
    <w:rsid w:val="4BE32B5B"/>
    <w:rsid w:val="4C07034B"/>
    <w:rsid w:val="4C327DB7"/>
    <w:rsid w:val="4C410DA6"/>
    <w:rsid w:val="4C411429"/>
    <w:rsid w:val="4C4F564A"/>
    <w:rsid w:val="4C5A5F5C"/>
    <w:rsid w:val="4C613EDC"/>
    <w:rsid w:val="4CE42B74"/>
    <w:rsid w:val="4D2607A2"/>
    <w:rsid w:val="4D3C543A"/>
    <w:rsid w:val="4D3D4B44"/>
    <w:rsid w:val="4D470CD7"/>
    <w:rsid w:val="4D902EEE"/>
    <w:rsid w:val="4DBF769C"/>
    <w:rsid w:val="4DC260AA"/>
    <w:rsid w:val="4DD10C01"/>
    <w:rsid w:val="4DD6455B"/>
    <w:rsid w:val="4DDB3749"/>
    <w:rsid w:val="4DEC2C7B"/>
    <w:rsid w:val="4DFE3E1E"/>
    <w:rsid w:val="4E1C6E78"/>
    <w:rsid w:val="4E1F4272"/>
    <w:rsid w:val="4E275DC7"/>
    <w:rsid w:val="4E2C224E"/>
    <w:rsid w:val="4E5221F5"/>
    <w:rsid w:val="4E5E3D22"/>
    <w:rsid w:val="4E816CDB"/>
    <w:rsid w:val="4E9A073B"/>
    <w:rsid w:val="4EA07953"/>
    <w:rsid w:val="4EAC01FC"/>
    <w:rsid w:val="4EB1136E"/>
    <w:rsid w:val="4EB45A8C"/>
    <w:rsid w:val="4EBD1B3D"/>
    <w:rsid w:val="4F3C2F17"/>
    <w:rsid w:val="4F737FE7"/>
    <w:rsid w:val="4F851019"/>
    <w:rsid w:val="4F8C5937"/>
    <w:rsid w:val="4F92089C"/>
    <w:rsid w:val="4FAA26BF"/>
    <w:rsid w:val="4FD27FE7"/>
    <w:rsid w:val="4FD47002"/>
    <w:rsid w:val="4FE1061B"/>
    <w:rsid w:val="4FF37764"/>
    <w:rsid w:val="4FF87737"/>
    <w:rsid w:val="4FFF7BCB"/>
    <w:rsid w:val="50014337"/>
    <w:rsid w:val="50161B52"/>
    <w:rsid w:val="503910FB"/>
    <w:rsid w:val="504B22A8"/>
    <w:rsid w:val="506917F9"/>
    <w:rsid w:val="507E5F1B"/>
    <w:rsid w:val="50CC731F"/>
    <w:rsid w:val="50D774F1"/>
    <w:rsid w:val="50E03B09"/>
    <w:rsid w:val="510319F7"/>
    <w:rsid w:val="513B53D4"/>
    <w:rsid w:val="516C3C72"/>
    <w:rsid w:val="51882519"/>
    <w:rsid w:val="51892F55"/>
    <w:rsid w:val="51907133"/>
    <w:rsid w:val="519A53EE"/>
    <w:rsid w:val="519E3DF4"/>
    <w:rsid w:val="51BF7BAC"/>
    <w:rsid w:val="51E67A6C"/>
    <w:rsid w:val="51FA0B8F"/>
    <w:rsid w:val="51FB1F8F"/>
    <w:rsid w:val="51FB670C"/>
    <w:rsid w:val="51FE10A0"/>
    <w:rsid w:val="521F0CE5"/>
    <w:rsid w:val="5220694C"/>
    <w:rsid w:val="52347B6B"/>
    <w:rsid w:val="52375831"/>
    <w:rsid w:val="523A5B1F"/>
    <w:rsid w:val="52597DAA"/>
    <w:rsid w:val="525D775B"/>
    <w:rsid w:val="527E2D5C"/>
    <w:rsid w:val="52A01E26"/>
    <w:rsid w:val="52B668E9"/>
    <w:rsid w:val="52C43BD6"/>
    <w:rsid w:val="52D43E71"/>
    <w:rsid w:val="52DE4780"/>
    <w:rsid w:val="52E16E6B"/>
    <w:rsid w:val="52EF7686"/>
    <w:rsid w:val="53275E3C"/>
    <w:rsid w:val="536C4488"/>
    <w:rsid w:val="539663EF"/>
    <w:rsid w:val="53982CB5"/>
    <w:rsid w:val="539F6DBD"/>
    <w:rsid w:val="53B03216"/>
    <w:rsid w:val="53B23B9F"/>
    <w:rsid w:val="53B60EF4"/>
    <w:rsid w:val="53D8021B"/>
    <w:rsid w:val="53FE7FEB"/>
    <w:rsid w:val="54077C82"/>
    <w:rsid w:val="54323F77"/>
    <w:rsid w:val="544E7B7F"/>
    <w:rsid w:val="54A30BE9"/>
    <w:rsid w:val="54CB1DAD"/>
    <w:rsid w:val="54E41652"/>
    <w:rsid w:val="54E55621"/>
    <w:rsid w:val="5519761B"/>
    <w:rsid w:val="551E5284"/>
    <w:rsid w:val="553F12D3"/>
    <w:rsid w:val="55407A91"/>
    <w:rsid w:val="556A2BB0"/>
    <w:rsid w:val="55926B69"/>
    <w:rsid w:val="559B1181"/>
    <w:rsid w:val="559F33DB"/>
    <w:rsid w:val="55A17803"/>
    <w:rsid w:val="55D67720"/>
    <w:rsid w:val="56015079"/>
    <w:rsid w:val="56021A16"/>
    <w:rsid w:val="56137B46"/>
    <w:rsid w:val="561B1EF5"/>
    <w:rsid w:val="56245862"/>
    <w:rsid w:val="56466840"/>
    <w:rsid w:val="568E7490"/>
    <w:rsid w:val="5697490A"/>
    <w:rsid w:val="56E4164C"/>
    <w:rsid w:val="56E47142"/>
    <w:rsid w:val="56E755A0"/>
    <w:rsid w:val="56F049FE"/>
    <w:rsid w:val="570145E3"/>
    <w:rsid w:val="571F6D7F"/>
    <w:rsid w:val="572052E3"/>
    <w:rsid w:val="57212282"/>
    <w:rsid w:val="575E42E5"/>
    <w:rsid w:val="57653C70"/>
    <w:rsid w:val="576F66D1"/>
    <w:rsid w:val="577B610C"/>
    <w:rsid w:val="577F009D"/>
    <w:rsid w:val="57A76203"/>
    <w:rsid w:val="57B701F7"/>
    <w:rsid w:val="57D8252C"/>
    <w:rsid w:val="57E33E35"/>
    <w:rsid w:val="57E767C7"/>
    <w:rsid w:val="57EE1B99"/>
    <w:rsid w:val="57F24B59"/>
    <w:rsid w:val="58350AC5"/>
    <w:rsid w:val="583D4E28"/>
    <w:rsid w:val="583E747D"/>
    <w:rsid w:val="584274DB"/>
    <w:rsid w:val="584F05EC"/>
    <w:rsid w:val="58502974"/>
    <w:rsid w:val="586C319D"/>
    <w:rsid w:val="586E66A0"/>
    <w:rsid w:val="58922210"/>
    <w:rsid w:val="58AF298D"/>
    <w:rsid w:val="58B23912"/>
    <w:rsid w:val="58C658F7"/>
    <w:rsid w:val="58D27BE0"/>
    <w:rsid w:val="58D61252"/>
    <w:rsid w:val="58D81BED"/>
    <w:rsid w:val="58E52E67"/>
    <w:rsid w:val="59350DEE"/>
    <w:rsid w:val="594B060D"/>
    <w:rsid w:val="59741D79"/>
    <w:rsid w:val="59943F04"/>
    <w:rsid w:val="59A72F25"/>
    <w:rsid w:val="59AC5511"/>
    <w:rsid w:val="59B72A67"/>
    <w:rsid w:val="59B91A1F"/>
    <w:rsid w:val="59CB64DC"/>
    <w:rsid w:val="59D57095"/>
    <w:rsid w:val="59E720E8"/>
    <w:rsid w:val="59E8398F"/>
    <w:rsid w:val="59FD1648"/>
    <w:rsid w:val="5A175E1B"/>
    <w:rsid w:val="5A24433C"/>
    <w:rsid w:val="5A2C3F9F"/>
    <w:rsid w:val="5A3410A5"/>
    <w:rsid w:val="5A353249"/>
    <w:rsid w:val="5A66425D"/>
    <w:rsid w:val="5ACA36EA"/>
    <w:rsid w:val="5AFC19C5"/>
    <w:rsid w:val="5B081FAC"/>
    <w:rsid w:val="5B145DFF"/>
    <w:rsid w:val="5B1D7DBE"/>
    <w:rsid w:val="5B212792"/>
    <w:rsid w:val="5B5A3F8B"/>
    <w:rsid w:val="5B5D6D73"/>
    <w:rsid w:val="5B787010"/>
    <w:rsid w:val="5B792E20"/>
    <w:rsid w:val="5B85605C"/>
    <w:rsid w:val="5B866D5D"/>
    <w:rsid w:val="5B8E7A06"/>
    <w:rsid w:val="5B9568DC"/>
    <w:rsid w:val="5BA12CE0"/>
    <w:rsid w:val="5BC748A6"/>
    <w:rsid w:val="5BD91F40"/>
    <w:rsid w:val="5BDF66FE"/>
    <w:rsid w:val="5C02756B"/>
    <w:rsid w:val="5C4B3179"/>
    <w:rsid w:val="5C5235A4"/>
    <w:rsid w:val="5C693FE2"/>
    <w:rsid w:val="5C846D00"/>
    <w:rsid w:val="5CB32755"/>
    <w:rsid w:val="5CDD04E9"/>
    <w:rsid w:val="5CEF3C87"/>
    <w:rsid w:val="5D0900B4"/>
    <w:rsid w:val="5D142B36"/>
    <w:rsid w:val="5D2A1A9F"/>
    <w:rsid w:val="5D450E12"/>
    <w:rsid w:val="5D602572"/>
    <w:rsid w:val="5D777921"/>
    <w:rsid w:val="5D8F31C2"/>
    <w:rsid w:val="5D926300"/>
    <w:rsid w:val="5D9B1AE7"/>
    <w:rsid w:val="5DCA6E6D"/>
    <w:rsid w:val="5DDF3148"/>
    <w:rsid w:val="5DE7641D"/>
    <w:rsid w:val="5DFF338B"/>
    <w:rsid w:val="5E004230"/>
    <w:rsid w:val="5E0B71A9"/>
    <w:rsid w:val="5E4E6BDA"/>
    <w:rsid w:val="5E635D67"/>
    <w:rsid w:val="5E66256E"/>
    <w:rsid w:val="5E791835"/>
    <w:rsid w:val="5E7B72A3"/>
    <w:rsid w:val="5E7C3116"/>
    <w:rsid w:val="5E7F55FA"/>
    <w:rsid w:val="5EBF01B4"/>
    <w:rsid w:val="5EC75A8B"/>
    <w:rsid w:val="5F0A4A0D"/>
    <w:rsid w:val="5F130109"/>
    <w:rsid w:val="5F265A5F"/>
    <w:rsid w:val="5F2C67EF"/>
    <w:rsid w:val="5F3F53A9"/>
    <w:rsid w:val="5F494323"/>
    <w:rsid w:val="5F55550A"/>
    <w:rsid w:val="5F7207A8"/>
    <w:rsid w:val="5FA3545B"/>
    <w:rsid w:val="5FB47C92"/>
    <w:rsid w:val="5FF53AC1"/>
    <w:rsid w:val="5FFA2985"/>
    <w:rsid w:val="601531AE"/>
    <w:rsid w:val="604C370F"/>
    <w:rsid w:val="60546985"/>
    <w:rsid w:val="60572D1E"/>
    <w:rsid w:val="60A35A5D"/>
    <w:rsid w:val="60AA38DE"/>
    <w:rsid w:val="60AF11AF"/>
    <w:rsid w:val="60B259E3"/>
    <w:rsid w:val="60CD342B"/>
    <w:rsid w:val="60DB19E6"/>
    <w:rsid w:val="60DE647B"/>
    <w:rsid w:val="60E11714"/>
    <w:rsid w:val="60E50004"/>
    <w:rsid w:val="60E66B60"/>
    <w:rsid w:val="60E93774"/>
    <w:rsid w:val="60FF7953"/>
    <w:rsid w:val="61250DED"/>
    <w:rsid w:val="61312681"/>
    <w:rsid w:val="61397A8E"/>
    <w:rsid w:val="614538A0"/>
    <w:rsid w:val="615833E4"/>
    <w:rsid w:val="61721AF1"/>
    <w:rsid w:val="61B009D1"/>
    <w:rsid w:val="61D37C8C"/>
    <w:rsid w:val="61F0503E"/>
    <w:rsid w:val="61F5736C"/>
    <w:rsid w:val="620221EA"/>
    <w:rsid w:val="620A5BE8"/>
    <w:rsid w:val="62414413"/>
    <w:rsid w:val="6284202E"/>
    <w:rsid w:val="62A22FCF"/>
    <w:rsid w:val="62AA63A9"/>
    <w:rsid w:val="62AC7970"/>
    <w:rsid w:val="62AD4A8B"/>
    <w:rsid w:val="62B04E62"/>
    <w:rsid w:val="62DD39C2"/>
    <w:rsid w:val="62F435E7"/>
    <w:rsid w:val="62FD6475"/>
    <w:rsid w:val="630D577B"/>
    <w:rsid w:val="630E4191"/>
    <w:rsid w:val="631B12A8"/>
    <w:rsid w:val="63253DB6"/>
    <w:rsid w:val="633F31A4"/>
    <w:rsid w:val="63522D92"/>
    <w:rsid w:val="636522D0"/>
    <w:rsid w:val="638650D4"/>
    <w:rsid w:val="639B0DA7"/>
    <w:rsid w:val="63AE2E00"/>
    <w:rsid w:val="63DA4B5E"/>
    <w:rsid w:val="64114B2F"/>
    <w:rsid w:val="644878D7"/>
    <w:rsid w:val="64542A70"/>
    <w:rsid w:val="6458542D"/>
    <w:rsid w:val="6460697E"/>
    <w:rsid w:val="6467228E"/>
    <w:rsid w:val="646A269E"/>
    <w:rsid w:val="648F49B7"/>
    <w:rsid w:val="64BB664B"/>
    <w:rsid w:val="64C04E86"/>
    <w:rsid w:val="64C5395D"/>
    <w:rsid w:val="64DD59BE"/>
    <w:rsid w:val="65071D4D"/>
    <w:rsid w:val="65174234"/>
    <w:rsid w:val="65220379"/>
    <w:rsid w:val="6528390D"/>
    <w:rsid w:val="653D69A4"/>
    <w:rsid w:val="65434131"/>
    <w:rsid w:val="656136E1"/>
    <w:rsid w:val="6598383A"/>
    <w:rsid w:val="65BF14FC"/>
    <w:rsid w:val="660157E8"/>
    <w:rsid w:val="6602326A"/>
    <w:rsid w:val="66203362"/>
    <w:rsid w:val="663C4348"/>
    <w:rsid w:val="66444FD8"/>
    <w:rsid w:val="664B10E0"/>
    <w:rsid w:val="666E039B"/>
    <w:rsid w:val="666F6C14"/>
    <w:rsid w:val="668B6275"/>
    <w:rsid w:val="66A22743"/>
    <w:rsid w:val="66A96EFB"/>
    <w:rsid w:val="66AE3DFD"/>
    <w:rsid w:val="66B2560C"/>
    <w:rsid w:val="66ED66EB"/>
    <w:rsid w:val="671573FD"/>
    <w:rsid w:val="672520C8"/>
    <w:rsid w:val="67312323"/>
    <w:rsid w:val="674D7A09"/>
    <w:rsid w:val="67710EC2"/>
    <w:rsid w:val="677A75D3"/>
    <w:rsid w:val="67834660"/>
    <w:rsid w:val="67862903"/>
    <w:rsid w:val="678F3CF5"/>
    <w:rsid w:val="67957DFD"/>
    <w:rsid w:val="67961102"/>
    <w:rsid w:val="67976B83"/>
    <w:rsid w:val="679A475B"/>
    <w:rsid w:val="67AE1480"/>
    <w:rsid w:val="67CD37DA"/>
    <w:rsid w:val="67CF3BB4"/>
    <w:rsid w:val="67F307F2"/>
    <w:rsid w:val="68016E20"/>
    <w:rsid w:val="68172955"/>
    <w:rsid w:val="682A60F2"/>
    <w:rsid w:val="68402C92"/>
    <w:rsid w:val="6845252E"/>
    <w:rsid w:val="68596C41"/>
    <w:rsid w:val="685E30C9"/>
    <w:rsid w:val="68710A65"/>
    <w:rsid w:val="68A815DC"/>
    <w:rsid w:val="68AB6B45"/>
    <w:rsid w:val="68B97F60"/>
    <w:rsid w:val="68CB7E7A"/>
    <w:rsid w:val="68E53078"/>
    <w:rsid w:val="69031659"/>
    <w:rsid w:val="690A2086"/>
    <w:rsid w:val="690D143F"/>
    <w:rsid w:val="692A3FF4"/>
    <w:rsid w:val="69740266"/>
    <w:rsid w:val="697F5FDF"/>
    <w:rsid w:val="69900B18"/>
    <w:rsid w:val="69964469"/>
    <w:rsid w:val="69992A85"/>
    <w:rsid w:val="69B07290"/>
    <w:rsid w:val="69BE7719"/>
    <w:rsid w:val="6A270143"/>
    <w:rsid w:val="6A6432E1"/>
    <w:rsid w:val="6A7A213F"/>
    <w:rsid w:val="6A842A4E"/>
    <w:rsid w:val="6AB328D2"/>
    <w:rsid w:val="6AC424F4"/>
    <w:rsid w:val="6AE1547D"/>
    <w:rsid w:val="6AE20869"/>
    <w:rsid w:val="6AE44AD1"/>
    <w:rsid w:val="6AF9048F"/>
    <w:rsid w:val="6AFE4495"/>
    <w:rsid w:val="6B085226"/>
    <w:rsid w:val="6B090729"/>
    <w:rsid w:val="6B1B1CC8"/>
    <w:rsid w:val="6B544F7E"/>
    <w:rsid w:val="6B62463B"/>
    <w:rsid w:val="6B641955"/>
    <w:rsid w:val="6B7B6B34"/>
    <w:rsid w:val="6B834B70"/>
    <w:rsid w:val="6B8974A3"/>
    <w:rsid w:val="6B947BF6"/>
    <w:rsid w:val="6B9B5B92"/>
    <w:rsid w:val="6B9F5CD2"/>
    <w:rsid w:val="6C11621C"/>
    <w:rsid w:val="6C1C5327"/>
    <w:rsid w:val="6C27567D"/>
    <w:rsid w:val="6C342FBF"/>
    <w:rsid w:val="6C3660E2"/>
    <w:rsid w:val="6C444C2E"/>
    <w:rsid w:val="6C4471AC"/>
    <w:rsid w:val="6C597B97"/>
    <w:rsid w:val="6C6E7FF0"/>
    <w:rsid w:val="6C733EF9"/>
    <w:rsid w:val="6C8D08A5"/>
    <w:rsid w:val="6C90182A"/>
    <w:rsid w:val="6CAB0844"/>
    <w:rsid w:val="6CB177E0"/>
    <w:rsid w:val="6CCF08E7"/>
    <w:rsid w:val="6CFD60D9"/>
    <w:rsid w:val="6D0D7EFA"/>
    <w:rsid w:val="6D1023E3"/>
    <w:rsid w:val="6D3A0943"/>
    <w:rsid w:val="6D4B7141"/>
    <w:rsid w:val="6D673A8B"/>
    <w:rsid w:val="6D745F31"/>
    <w:rsid w:val="6D7C272C"/>
    <w:rsid w:val="6DCE6CB3"/>
    <w:rsid w:val="6DDB2EA4"/>
    <w:rsid w:val="6DE6435A"/>
    <w:rsid w:val="6DFE3C19"/>
    <w:rsid w:val="6E1130C8"/>
    <w:rsid w:val="6E367FC4"/>
    <w:rsid w:val="6E4D197C"/>
    <w:rsid w:val="6E6D5537"/>
    <w:rsid w:val="6E8E12EF"/>
    <w:rsid w:val="6EAF1824"/>
    <w:rsid w:val="6EC27507"/>
    <w:rsid w:val="6ECC6BD6"/>
    <w:rsid w:val="6F034B31"/>
    <w:rsid w:val="6F0F2B42"/>
    <w:rsid w:val="6F100345"/>
    <w:rsid w:val="6F1963A1"/>
    <w:rsid w:val="6F5867BA"/>
    <w:rsid w:val="6F6A1F57"/>
    <w:rsid w:val="6F7E6E13"/>
    <w:rsid w:val="6F7F4719"/>
    <w:rsid w:val="6FAF39A7"/>
    <w:rsid w:val="6FC85B74"/>
    <w:rsid w:val="6FCC1FFC"/>
    <w:rsid w:val="6FD8258B"/>
    <w:rsid w:val="6FEA5D29"/>
    <w:rsid w:val="70167967"/>
    <w:rsid w:val="701C77FC"/>
    <w:rsid w:val="702459EC"/>
    <w:rsid w:val="703C0167"/>
    <w:rsid w:val="703F45D4"/>
    <w:rsid w:val="70473489"/>
    <w:rsid w:val="704F4550"/>
    <w:rsid w:val="70761190"/>
    <w:rsid w:val="70860455"/>
    <w:rsid w:val="709A5ECC"/>
    <w:rsid w:val="709C6327"/>
    <w:rsid w:val="70B00070"/>
    <w:rsid w:val="70C12509"/>
    <w:rsid w:val="70C57C29"/>
    <w:rsid w:val="70DD65B6"/>
    <w:rsid w:val="70E33D42"/>
    <w:rsid w:val="70E97A2A"/>
    <w:rsid w:val="70EB650A"/>
    <w:rsid w:val="7104661F"/>
    <w:rsid w:val="710F390D"/>
    <w:rsid w:val="713E5355"/>
    <w:rsid w:val="71561D6C"/>
    <w:rsid w:val="716848B4"/>
    <w:rsid w:val="718A245E"/>
    <w:rsid w:val="719D69F4"/>
    <w:rsid w:val="71A40397"/>
    <w:rsid w:val="71B3075F"/>
    <w:rsid w:val="71C13B42"/>
    <w:rsid w:val="71C233B0"/>
    <w:rsid w:val="71D00147"/>
    <w:rsid w:val="71DA42DA"/>
    <w:rsid w:val="71E37168"/>
    <w:rsid w:val="72072820"/>
    <w:rsid w:val="720D49AF"/>
    <w:rsid w:val="723172D3"/>
    <w:rsid w:val="7246140B"/>
    <w:rsid w:val="727331D4"/>
    <w:rsid w:val="729F1A9A"/>
    <w:rsid w:val="72A746B3"/>
    <w:rsid w:val="72B74068"/>
    <w:rsid w:val="72BB2509"/>
    <w:rsid w:val="72D40CB6"/>
    <w:rsid w:val="73050544"/>
    <w:rsid w:val="73114357"/>
    <w:rsid w:val="732B6082"/>
    <w:rsid w:val="7352092E"/>
    <w:rsid w:val="73577FD8"/>
    <w:rsid w:val="735B3E88"/>
    <w:rsid w:val="73625E43"/>
    <w:rsid w:val="73643DE1"/>
    <w:rsid w:val="738D3920"/>
    <w:rsid w:val="73944605"/>
    <w:rsid w:val="73972D8B"/>
    <w:rsid w:val="739F4EC0"/>
    <w:rsid w:val="73A92E61"/>
    <w:rsid w:val="73C36379"/>
    <w:rsid w:val="73DC4D25"/>
    <w:rsid w:val="73DF47E5"/>
    <w:rsid w:val="73EC1C67"/>
    <w:rsid w:val="73FA7AF3"/>
    <w:rsid w:val="74024296"/>
    <w:rsid w:val="740C41EF"/>
    <w:rsid w:val="740F2CEC"/>
    <w:rsid w:val="74237697"/>
    <w:rsid w:val="74510876"/>
    <w:rsid w:val="748A7DE8"/>
    <w:rsid w:val="7491354E"/>
    <w:rsid w:val="74AF4165"/>
    <w:rsid w:val="74B36A38"/>
    <w:rsid w:val="74B43C4B"/>
    <w:rsid w:val="74EC0D2C"/>
    <w:rsid w:val="74FE35BE"/>
    <w:rsid w:val="74FE5519"/>
    <w:rsid w:val="75017085"/>
    <w:rsid w:val="75047D85"/>
    <w:rsid w:val="753C4AE2"/>
    <w:rsid w:val="753F6B6A"/>
    <w:rsid w:val="754E132B"/>
    <w:rsid w:val="755619F7"/>
    <w:rsid w:val="75574608"/>
    <w:rsid w:val="758B6443"/>
    <w:rsid w:val="7591786E"/>
    <w:rsid w:val="75E60258"/>
    <w:rsid w:val="75EF52C6"/>
    <w:rsid w:val="75FD6124"/>
    <w:rsid w:val="760D5049"/>
    <w:rsid w:val="76152AAD"/>
    <w:rsid w:val="76411C10"/>
    <w:rsid w:val="765A0CF4"/>
    <w:rsid w:val="766926EE"/>
    <w:rsid w:val="76923F99"/>
    <w:rsid w:val="76A72ED3"/>
    <w:rsid w:val="76ED445C"/>
    <w:rsid w:val="770A2A28"/>
    <w:rsid w:val="770F0354"/>
    <w:rsid w:val="77137D6A"/>
    <w:rsid w:val="771716B4"/>
    <w:rsid w:val="771A5176"/>
    <w:rsid w:val="772B241F"/>
    <w:rsid w:val="77541DD9"/>
    <w:rsid w:val="77694EF6"/>
    <w:rsid w:val="776F6DFF"/>
    <w:rsid w:val="77700104"/>
    <w:rsid w:val="77712302"/>
    <w:rsid w:val="77813724"/>
    <w:rsid w:val="77AB6658"/>
    <w:rsid w:val="77C47B8E"/>
    <w:rsid w:val="77DD7433"/>
    <w:rsid w:val="77E635C6"/>
    <w:rsid w:val="781B7A5F"/>
    <w:rsid w:val="78376848"/>
    <w:rsid w:val="784719C3"/>
    <w:rsid w:val="784844C0"/>
    <w:rsid w:val="784B32EA"/>
    <w:rsid w:val="785A3917"/>
    <w:rsid w:val="785F4189"/>
    <w:rsid w:val="7867302D"/>
    <w:rsid w:val="787E6FBC"/>
    <w:rsid w:val="78A83684"/>
    <w:rsid w:val="78B6041B"/>
    <w:rsid w:val="79175EB6"/>
    <w:rsid w:val="793B4DF1"/>
    <w:rsid w:val="793C689D"/>
    <w:rsid w:val="79596012"/>
    <w:rsid w:val="79603263"/>
    <w:rsid w:val="79664D79"/>
    <w:rsid w:val="79820DE8"/>
    <w:rsid w:val="799E4E95"/>
    <w:rsid w:val="79AD76AE"/>
    <w:rsid w:val="79BA69C4"/>
    <w:rsid w:val="79CF0984"/>
    <w:rsid w:val="79DC497A"/>
    <w:rsid w:val="79DE1E27"/>
    <w:rsid w:val="79EC2A16"/>
    <w:rsid w:val="79FB1D36"/>
    <w:rsid w:val="7A48161F"/>
    <w:rsid w:val="7A53460B"/>
    <w:rsid w:val="7A552C46"/>
    <w:rsid w:val="7A587B47"/>
    <w:rsid w:val="7A656E5D"/>
    <w:rsid w:val="7A6B461B"/>
    <w:rsid w:val="7A7505B0"/>
    <w:rsid w:val="7A812F09"/>
    <w:rsid w:val="7A84231E"/>
    <w:rsid w:val="7A9F0D7F"/>
    <w:rsid w:val="7AA01628"/>
    <w:rsid w:val="7AC06271"/>
    <w:rsid w:val="7AD037C6"/>
    <w:rsid w:val="7ADE2F17"/>
    <w:rsid w:val="7B0A6165"/>
    <w:rsid w:val="7B166C80"/>
    <w:rsid w:val="7B5514A5"/>
    <w:rsid w:val="7B647CE5"/>
    <w:rsid w:val="7B707DD1"/>
    <w:rsid w:val="7B77443D"/>
    <w:rsid w:val="7B8D2142"/>
    <w:rsid w:val="7B996795"/>
    <w:rsid w:val="7BDD31C6"/>
    <w:rsid w:val="7BF26BF1"/>
    <w:rsid w:val="7C090E25"/>
    <w:rsid w:val="7C242E01"/>
    <w:rsid w:val="7C2470D1"/>
    <w:rsid w:val="7C6C17B0"/>
    <w:rsid w:val="7C9F3284"/>
    <w:rsid w:val="7CB306E6"/>
    <w:rsid w:val="7CD25303"/>
    <w:rsid w:val="7CEC5581"/>
    <w:rsid w:val="7D06612B"/>
    <w:rsid w:val="7D085F7C"/>
    <w:rsid w:val="7D8C3E06"/>
    <w:rsid w:val="7DA51208"/>
    <w:rsid w:val="7DA7645E"/>
    <w:rsid w:val="7DB24046"/>
    <w:rsid w:val="7DF228B1"/>
    <w:rsid w:val="7E0078D1"/>
    <w:rsid w:val="7E304914"/>
    <w:rsid w:val="7E393025"/>
    <w:rsid w:val="7E4B2982"/>
    <w:rsid w:val="7E653AE9"/>
    <w:rsid w:val="7E9F4373"/>
    <w:rsid w:val="7EC35188"/>
    <w:rsid w:val="7F122D08"/>
    <w:rsid w:val="7F2134AB"/>
    <w:rsid w:val="7F25708B"/>
    <w:rsid w:val="7F3610D1"/>
    <w:rsid w:val="7F385146"/>
    <w:rsid w:val="7F657DC7"/>
    <w:rsid w:val="7F6D458E"/>
    <w:rsid w:val="7F963AE5"/>
    <w:rsid w:val="7F9709E3"/>
    <w:rsid w:val="7F982BE1"/>
    <w:rsid w:val="7FB97D90"/>
    <w:rsid w:val="7FC63AB1"/>
    <w:rsid w:val="7FD16CFA"/>
    <w:rsid w:val="7FE35A52"/>
    <w:rsid w:val="7FFB2C86"/>
    <w:rsid w:val="D1DD0E69"/>
    <w:rsid w:val="DEC44751"/>
    <w:rsid w:val="E77FABC7"/>
    <w:rsid w:val="FD7FCB31"/>
    <w:rsid w:val="FE7DDF34"/>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13">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Calibri" w:hAnsi="Calibri" w:eastAsia="宋体" w:cs="Times New Roman"/>
      <w:szCs w:val="22"/>
    </w:rPr>
  </w:style>
  <w:style w:type="paragraph" w:styleId="4">
    <w:name w:val="Body Text First Indent"/>
    <w:basedOn w:val="5"/>
    <w:qFormat/>
    <w:uiPriority w:val="0"/>
    <w:pPr>
      <w:spacing w:line="240" w:lineRule="atLeast"/>
    </w:pPr>
    <w:rPr>
      <w:rFonts w:ascii="等线" w:hAnsi="等线" w:eastAsia="等线" w:cs="Times New Roman"/>
      <w:sz w:val="28"/>
    </w:rPr>
  </w:style>
  <w:style w:type="paragraph" w:styleId="5">
    <w:name w:val="Body Text"/>
    <w:basedOn w:val="1"/>
    <w:next w:val="6"/>
    <w:semiHidden/>
    <w:qFormat/>
    <w:uiPriority w:val="0"/>
    <w:rPr>
      <w:rFonts w:ascii="仿宋" w:hAnsi="仿宋" w:eastAsia="仿宋" w:cs="仿宋"/>
      <w:sz w:val="31"/>
      <w:szCs w:val="31"/>
      <w:lang w:val="en-US" w:eastAsia="en-US" w:bidi="ar-SA"/>
    </w:rPr>
  </w:style>
  <w:style w:type="paragraph" w:styleId="6">
    <w:name w:val="index 7"/>
    <w:basedOn w:val="1"/>
    <w:next w:val="1"/>
    <w:qFormat/>
    <w:uiPriority w:val="0"/>
    <w:pPr>
      <w:ind w:left="2520"/>
    </w:pPr>
    <w:rPr>
      <w:szCs w:val="24"/>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Body Text 2"/>
    <w:basedOn w:val="1"/>
    <w:qFormat/>
    <w:uiPriority w:val="0"/>
    <w:pPr>
      <w:spacing w:after="120" w:line="480" w:lineRule="auto"/>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5">
    <w:name w:val="fontstyle01"/>
    <w:basedOn w:val="13"/>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1345</Words>
  <Characters>1390</Characters>
  <Lines>1</Lines>
  <Paragraphs>1</Paragraphs>
  <TotalTime>5</TotalTime>
  <ScaleCrop>false</ScaleCrop>
  <LinksUpToDate>false</LinksUpToDate>
  <CharactersWithSpaces>1390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2025-05-29T11:25:00Z</dcterms:created>
  <dc:creator>Administrator</dc:creator>
  <cp:lastModifiedBy>Administrator</cp:lastModifiedBy>
  <cp:lastPrinted>2026-06-02T17:06:00Z</cp:lastPrinted>
  <dcterms:modified xsi:type="dcterms:W3CDTF">2026-07-06T09:08:51Z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0C4A35CDAE90D2140D6C4B6A32C0CEAC_43</vt:lpwstr>
  </property>
  <property fmtid="{D5CDD505-2E9C-101B-9397-08002B2CF9AE}" pid="4" name="KSOTemplateDocerSaveRecord">
    <vt:lpwstr>eyJoZGlkIjoiYjk5ODM0YmMxOWJiYWQyNDU4MGIzYWRmYTA0ZmI5NDciLCJ1c2VySWQiOiIyMTY1NjYxMjcifQ==</vt:lpwstr>
  </property>
</Properties>
</file>