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 xml:space="preserve">重庆市经济和信息化委员会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 xml:space="preserve">重庆市财政局           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关于印发《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重庆市电动汽车充电设施服务能力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高质量发展支持政策（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2028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kern w:val="0"/>
          <w:sz w:val="44"/>
          <w:szCs w:val="44"/>
          <w:lang w:val="en-US" w:eastAsia="zh-CN" w:bidi="ar"/>
        </w:rPr>
        <w:t>年）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11"/>
          <w:sz w:val="42"/>
          <w:szCs w:val="42"/>
          <w:shd w:val="clear" w:fill="FFFFFF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规范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各区县（自治县）经济信息委、财政局，西部科学城重庆高新区、万盛经开区经信、财政部门，各有关单位：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现将《重庆市电动汽车充电设施服务能力高质量发展支持政策（2026—2028年）》印发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"/>
        </w:rPr>
        <w:t>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你们，请结合实际认真贯彻执行。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特此通知。</w:t>
      </w:r>
    </w:p>
    <w:p>
      <w:pPr>
        <w:pStyle w:val="4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重庆市经济和信息化委员会    </w:t>
      </w:r>
    </w:p>
    <w:p>
      <w:pPr>
        <w:pStyle w:val="4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重庆市财政局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方正仿宋_GBK"/>
          <w:color w:val="000000"/>
          <w:spacing w:val="2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2026年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" w:bidi="ar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重庆市电动汽车充电设施服务能力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高质量发展支持政策（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2028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年）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为深入贯彻落实《国家发展改革委等部门关于印发电动汽车充电设施服务能力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“三年倍增”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行动方案（2025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2027年）的通知》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（发改能源〔2025〕1250号）、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《重庆市电动汽车充电设施服务能力高质量发展行动方案（2026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2028年）》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渝经信发〔2026〕45号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" w:bidi="ar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等文件精神，进一步优化我市电动汽车充电服务网络，培育车网融合互动新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型产业生态，推动我市充电基础设施实现从“规模建设”向“高质量发展”转型升级，结合工作实际，制定本支持政策。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一、支持大功率充电基础设施建设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支持建设运营面向全社会及所有车型开放充电的大功率充电站，对按照超充基础设施建设技术指南相关要求建成投运的超充桩，给予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万元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桩的一次性支持。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支持建设运营电动超充重型货车大功率充电站，对按照《电动重型货车大功率充电站建设技术规范》（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DB50/T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1915-2025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）有关要求建成的大功率充电枪给予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万元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枪一次性支持。其中，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年支持标准按照每年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逐年退坡，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年度建成投运的大功率充电站参照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年支持标准执行。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二、支持车网互动项目建设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支持企业在办公楼宇、工业园区、居民小区等区域建设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V2G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项目，按照放电功率对新建交流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V2G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桩给予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/kW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、直流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V2G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桩给予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/kW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、具备反向放电功能的换电站给予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/kW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的一次性支持。其中，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年支持标准按照每年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逐年退坡。鼓励整车生产企业研发具备稳定放电功能的新能源汽车产品，并同步出台配套电池质保政策，保障用户参与放电互动的权益。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三、支持营造推广氛围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支持举办充电基础设施以及新能源汽车等领域产业生态重要活动，着力提升“重庆捷充”公共服务品牌影响力，按不超过活动实际费用的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30%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给予支持，单场活动年度支持资金不高于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万元。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本政策措施所列支持标准均为最高标准，政策措施除前文有特殊规定外，均从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日起算，按照年度实际需求实行预算管理和总额控制。同一申报主体同一内容的事项与市级其他同类政策有重叠的，按照“就高、不重复”的原则予以支持。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本文件自公布之日起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日后施行，有效期截至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日。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1417" w:footer="124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139065</wp:posOffset>
              </wp:positionV>
              <wp:extent cx="5409565" cy="1905"/>
              <wp:effectExtent l="0" t="0" r="0" b="0"/>
              <wp:wrapNone/>
              <wp:docPr id="2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9565" cy="190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11" o:spid="_x0000_s1026" o:spt="32" type="#_x0000_t32" style="position:absolute;left:0pt;flip:y;margin-left:6pt;margin-top:10.95pt;height:0.15pt;width:425.95pt;z-index:251660288;mso-width-relative:page;mso-height-relative:page;" filled="f" stroked="t" coordsize="21600,21600" o:gfxdata="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vPTc9YAAAAIAQAADwAAAAAAAAABACAAAAAiAAAAZHJz&#10;L2Rvd25yZXYueG1sUEsBAhQAFAAAAAgAh07iQCrUSnAGAgAA/wMAAA4AAAAAAAAAAQAgAAAAJQEA&#10;AGRycy9lMm9Eb2MueG1sUEsFBgAAAAAGAAYAWQEAAJ0FAAAAAA==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</w:p>
  <w:p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348615</wp:posOffset>
              </wp:positionV>
              <wp:extent cx="5584190" cy="6985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4190" cy="698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2" o:spid="_x0000_s1026" o:spt="32" type="#_x0000_t32" style="position:absolute;left:0pt;margin-left:2pt;margin-top:27.45pt;height:0.55pt;width:439.7pt;z-index:251659264;mso-width-relative:page;mso-height-relative:page;" filled="f" stroked="t" coordsize="21600,21600" o:gfxdata="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Qvjo1gAAAAcBAAAPAAAAAAAAAAEAIAAAACIAAABkcnMvZG93bnJl&#10;di54bWxQSwECFAAUAAAACACHTuJAw5XpRP8BAAD0AwAADgAAAAAAAAABACAAAAAlAQAAZHJzL2Uy&#10;b0RvYy54bWxQSwUGAAAAAAYABgBZAQAAlgUAAAAA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3A9"/>
    <w:rsid w:val="019E71BD"/>
    <w:rsid w:val="01E93D58"/>
    <w:rsid w:val="033A4D0B"/>
    <w:rsid w:val="04B679C3"/>
    <w:rsid w:val="05F07036"/>
    <w:rsid w:val="06E00104"/>
    <w:rsid w:val="080F63D8"/>
    <w:rsid w:val="08CB1D92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7A905B4"/>
    <w:rsid w:val="187168EA"/>
    <w:rsid w:val="18FA03A9"/>
    <w:rsid w:val="196673CA"/>
    <w:rsid w:val="1CF734C9"/>
    <w:rsid w:val="1DEC284C"/>
    <w:rsid w:val="1E6523AC"/>
    <w:rsid w:val="22440422"/>
    <w:rsid w:val="22BB4BBB"/>
    <w:rsid w:val="23A81EB5"/>
    <w:rsid w:val="25EB1AF4"/>
    <w:rsid w:val="27925691"/>
    <w:rsid w:val="294C4119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500467"/>
    <w:rsid w:val="5FCD688E"/>
    <w:rsid w:val="5FF9BDAA"/>
    <w:rsid w:val="608816D1"/>
    <w:rsid w:val="60EF4E7F"/>
    <w:rsid w:val="648B0A32"/>
    <w:rsid w:val="658F6764"/>
    <w:rsid w:val="665233C1"/>
    <w:rsid w:val="69AC0D42"/>
    <w:rsid w:val="6A597EEA"/>
    <w:rsid w:val="6AD9688B"/>
    <w:rsid w:val="6B68303F"/>
    <w:rsid w:val="6D0E3F22"/>
    <w:rsid w:val="744E4660"/>
    <w:rsid w:val="753355A2"/>
    <w:rsid w:val="759F1C61"/>
    <w:rsid w:val="769F2DE8"/>
    <w:rsid w:val="76C673E0"/>
    <w:rsid w:val="76FDEB7C"/>
    <w:rsid w:val="78372035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仿宋_GB2312" w:cs="Times New Roman"/>
      <w:sz w:val="28"/>
    </w:r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2.wpt</Template>
  <Pages>3</Pages>
  <Words>1105</Words>
  <Characters>1160</Characters>
  <Lines>1</Lines>
  <Paragraphs>1</Paragraphs>
  <TotalTime>6</TotalTime>
  <ScaleCrop>false</ScaleCrop>
  <LinksUpToDate>false</LinksUpToDate>
  <CharactersWithSpaces>1204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2024-01-05T01:55:00Z</dcterms:created>
  <dc:creator>熊雪芹</dc:creator>
  <cp:lastModifiedBy>徐琳</cp:lastModifiedBy>
  <dcterms:modified xsi:type="dcterms:W3CDTF">2026-07-13T01:35:47Z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9A9EC1D86D9E4D1D9CDE927F7EDCA35A</vt:lpwstr>
  </property>
</Properties>
</file>