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kern w:val="2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pacing w:val="0"/>
          <w:kern w:val="2"/>
          <w:sz w:val="44"/>
          <w:szCs w:val="44"/>
          <w:lang w:eastAsia="zh-CN"/>
        </w:rPr>
        <w:t>重庆市经济和信息化委员会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kern w:val="2"/>
          <w:sz w:val="44"/>
          <w:szCs w:val="44"/>
        </w:rPr>
        <w:t>关于印发重庆市提振工业经济运行若干政策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pacing w:val="0"/>
          <w:kern w:val="2"/>
          <w:sz w:val="44"/>
          <w:szCs w:val="44"/>
        </w:rPr>
        <w:t>措施的通知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渝经信规范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各区县（自治县）经济信息委，两江新区、西部科学城重庆高新区、万盛经开区经信部门，机关各处室：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《重庆市提振工业经济运行若干政策措施》已经委党组会审议通过，现予印发，请抓好贯彻落实。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重庆市经济和信息化委员会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98" w:firstLineChars="1562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/>
        </w:rPr>
        <w:t xml:space="preserve">  2022年6月15日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5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both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shd w:val="clear" w:color="auto" w:fill="FFFFFF"/>
          <w:lang w:val="en-US" w:eastAsia="zh-CN" w:bidi="ar-SA"/>
        </w:rPr>
        <w:t>重庆市</w:t>
      </w:r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shd w:val="clear" w:color="auto" w:fill="FFFFFF"/>
          <w:lang w:val="en-US" w:eastAsia="zh-CN" w:bidi="ar-SA"/>
        </w:rPr>
        <w:t>提振工业经济运行若干政策措施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</w:rPr>
        <w:t>为贯彻落实国务院稳住经济大盘电视电话会议精神和市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lang w:val="en-US" w:eastAsia="zh-CN"/>
        </w:rPr>
        <w:t>委市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</w:rPr>
        <w:t>政府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lang w:eastAsia="zh-CN"/>
        </w:rPr>
        <w:t>有关工作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</w:rPr>
        <w:t>部署，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lang w:eastAsia="zh-CN"/>
        </w:rPr>
        <w:t>制定以下政策措施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一、稳住市场主体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C0C0C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1.培育领军（链主）企业。实施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一企一策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培育计划，支持企业强创新、拓市场、抓重组、促融合、提质量。</w:t>
      </w:r>
      <w:r>
        <w:rPr>
          <w:rFonts w:hint="default" w:ascii="Times New Roman" w:hAnsi="Times New Roman" w:eastAsia="方正仿宋_GBK" w:cs="Times New Roman"/>
          <w:color w:val="0C0C0C"/>
          <w:sz w:val="32"/>
          <w:szCs w:val="32"/>
          <w:highlight w:val="none"/>
          <w:u w:val="none"/>
          <w:lang w:val="en-US" w:eastAsia="zh-CN" w:bidi="ar"/>
        </w:rPr>
        <w:t>对技术改造投资或扩大再投资后年工业增加值首次突破10亿元及以上工业企业，给予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单个项目</w:t>
      </w:r>
      <w:r>
        <w:rPr>
          <w:rFonts w:hint="default" w:ascii="Times New Roman" w:hAnsi="Times New Roman" w:eastAsia="方正仿宋_GBK" w:cs="Times New Roman"/>
          <w:color w:val="0C0C0C"/>
          <w:sz w:val="32"/>
          <w:szCs w:val="32"/>
          <w:highlight w:val="none"/>
          <w:u w:val="none"/>
          <w:lang w:val="en-US" w:eastAsia="zh-CN" w:bidi="ar"/>
        </w:rPr>
        <w:t>100万元及以上奖励。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2.支持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双百企业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稳健运行。实施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周监测、周调度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，及时协调解决企业用电、用气、用地、用工、融资、运输等方面存在的问题。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支持中小企业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专精特新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发展。深入推进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专精特新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企业高质量发展专项行动计划，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着力打造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专精特新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孵化载体，重点支持一批中小企业孵化器建设。对国家专精特新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小巨人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重点培育企业和新增国家专精特新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小巨人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”企业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给予财政资金支持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4.开展规下企业问诊帮扶。市区联动、部门协同，对照工作清单开展入企问诊，问题化解。鼓励区县（开发区）针对升规企业制定奖励政策。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5.盘活闲置资源。实施停产半停产企业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兼并重组、租赁经营、转产经营、合资合作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四个一批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专项行动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成功实现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兼并重组，符合相关申报条件的企业给予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单个项目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不超过100万元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奖励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二、提振重点产业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6.完善汽车产业生态。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支持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整车企业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新车型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研发上市，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支持公共领域新能源汽车推广应用。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加快充换电、加氢、车路协同等基础设施建设运营，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</w:rPr>
        <w:t>支持企业新建或升级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新能源和智能网联汽车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</w:rPr>
        <w:t>数据平台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打造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应用场景（测试场），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开展实验测试。对符合条件的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企业按项目类别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eastAsia="zh-CN" w:bidi="ar"/>
        </w:rPr>
        <w:t>给予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单个项目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2000万元补助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7.稳住电子产业增势。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出台智能终端产业防疫情调结构稳生产奖补政策，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支持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智能终端企业开展智能化改造，鼓励区县（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开发区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）出台扶持政策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eastAsia="zh-CN" w:bidi="ar"/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对投资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eastAsia="zh-CN" w:bidi="ar"/>
        </w:rPr>
        <w:t>集成电路设计、制造、封测、装备、材料等领域的企业，给予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单个项目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eastAsia="zh-CN" w:bidi="ar"/>
        </w:rPr>
        <w:t>不超过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1000万元支持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8.稳定装备产业增长。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加快工业机器人国产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化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替代进程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支持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装备制造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重点企业产品进入交通、基建、能源、环保等领域采购体系。支持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有关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企业加大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智能山地农机装备研发生产，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按不超过项目投资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</w:rPr>
        <w:t>的20%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eastAsia="zh-CN"/>
        </w:rPr>
        <w:t>择优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</w:rPr>
        <w:t>给予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单个项目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不超过200万元支持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9.加快材料产业复苏。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投资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国家急需战略性新材料、轻合金产业链、先进钢铁产业链以及化工新材料关键环节的企业，给予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单个项目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不超过200万元支持。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10.推动消费品产业提质增效。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三品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战略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，开展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渝见美品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集中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宣传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推广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活动，升级粮油食品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产业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，培育个护美妆产业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，支持与乡村振兴关联度高的特色、绿色产业发展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加大生物医药产业培育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。对新获批的医药产品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eastAsia="zh-CN"/>
        </w:rPr>
        <w:t>按标准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给予不超过1000万元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奖励；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eastAsia="zh-CN"/>
        </w:rPr>
        <w:t>对新建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第三方研发服务平台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高端生产场地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给予不超过1000万元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  <w:t>支持；对符合条件的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第三方研发及生产服务平台按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  <w:t>服务收入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的3%给予不超过500万元奖励。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振兴软件产业。推动出台利用存量楼宇大力发展软件产业促进创新创业的若干措施。聚焦重点行业打造软件应用示范场景，对符合条件的重点工业软件产品、重点信息安全软件产品、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首版次软件产品、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首次进入国家重点软件清单企业、重庆市重点软件企业、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软件公共服务平台，以及通过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揭榜挂帅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等方式对软件领域关键核心技术攻关的重大项目，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给予单个项目不超过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600万元奖励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三、加大投资支持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12.加快开工一批项目。实施新开工项目计划制度，形成项目清单，细化节点安排，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一项一策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提速前期工作，支持企业加快要件办理、场地平整、资金筹措、水电气讯接入。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13.加速在建项目进度。动态调整项目清单，支持细化基础施工、主体施工、厂房装修、设备安装、调试运行等时间节点安排，及时解决项目建设过程中存在的问题。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C0C0C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持续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推进绿色技改。</w:t>
      </w:r>
      <w:r>
        <w:rPr>
          <w:rFonts w:hint="default" w:ascii="Times New Roman" w:hAnsi="Times New Roman" w:eastAsia="方正仿宋_GBK" w:cs="Times New Roman"/>
          <w:color w:val="0C0C0C"/>
          <w:sz w:val="32"/>
          <w:szCs w:val="32"/>
          <w:highlight w:val="none"/>
          <w:lang w:val="en-US" w:eastAsia="zh-CN"/>
        </w:rPr>
        <w:t>支持企业、园区实施节能降碳与资源高效利用、清洁生产和工业固废再利用等领域技术改造，</w:t>
      </w:r>
      <w:r>
        <w:rPr>
          <w:rFonts w:hint="default" w:ascii="Times New Roman" w:hAnsi="Times New Roman" w:eastAsia="方正仿宋_GBK" w:cs="Times New Roman"/>
          <w:color w:val="0C0C0C"/>
          <w:kern w:val="0"/>
          <w:sz w:val="32"/>
          <w:szCs w:val="32"/>
          <w:highlight w:val="none"/>
          <w:lang w:val="en-US" w:eastAsia="zh-CN"/>
        </w:rPr>
        <w:t>给予单个项目不超过200万</w:t>
      </w:r>
      <w:r>
        <w:rPr>
          <w:rFonts w:hint="default" w:ascii="Times New Roman" w:hAnsi="Times New Roman" w:eastAsia="方正仿宋_GBK" w:cs="Times New Roman"/>
          <w:color w:val="0C0C0C"/>
          <w:kern w:val="0"/>
          <w:sz w:val="32"/>
          <w:szCs w:val="32"/>
          <w:highlight w:val="none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color w:val="0C0C0C"/>
          <w:kern w:val="0"/>
          <w:sz w:val="32"/>
          <w:szCs w:val="32"/>
          <w:highlight w:val="none"/>
          <w:lang w:val="en-US" w:eastAsia="zh-CN"/>
        </w:rPr>
        <w:t>奖励。</w:t>
      </w:r>
      <w:r>
        <w:rPr>
          <w:rFonts w:hint="default" w:ascii="Times New Roman" w:hAnsi="Times New Roman" w:eastAsia="方正仿宋_GBK" w:cs="Times New Roman"/>
          <w:color w:val="0C0C0C"/>
          <w:sz w:val="32"/>
          <w:szCs w:val="32"/>
          <w:highlight w:val="none"/>
          <w:lang w:val="en-US" w:eastAsia="zh-CN"/>
        </w:rPr>
        <w:t>对获得</w:t>
      </w:r>
      <w:r>
        <w:rPr>
          <w:rFonts w:hint="default" w:ascii="Times New Roman" w:hAnsi="Times New Roman" w:eastAsia="方正仿宋_GBK" w:cs="Times New Roman"/>
          <w:color w:val="0C0C0C"/>
          <w:sz w:val="32"/>
          <w:szCs w:val="32"/>
          <w:highlight w:val="none"/>
          <w:lang w:val="en-US" w:eastAsia="zh-CN"/>
        </w:rPr>
        <w:t>国家</w:t>
      </w:r>
      <w:r>
        <w:rPr>
          <w:rFonts w:hint="default" w:ascii="Times New Roman" w:hAnsi="Times New Roman" w:eastAsia="方正仿宋_GBK" w:cs="Times New Roman"/>
          <w:color w:val="0C0C0C"/>
          <w:sz w:val="32"/>
          <w:szCs w:val="32"/>
          <w:highlight w:val="none"/>
        </w:rPr>
        <w:t>绿色工厂、绿色园区、绿色供应链</w:t>
      </w:r>
      <w:r>
        <w:rPr>
          <w:rFonts w:hint="default" w:ascii="Times New Roman" w:hAnsi="Times New Roman" w:eastAsia="方正仿宋_GBK" w:cs="Times New Roman"/>
          <w:color w:val="0C0C0C"/>
          <w:sz w:val="32"/>
          <w:szCs w:val="32"/>
          <w:highlight w:val="none"/>
          <w:lang w:eastAsia="zh-CN"/>
        </w:rPr>
        <w:t>试点示范的，给予</w:t>
      </w:r>
      <w:r>
        <w:rPr>
          <w:rFonts w:hint="default" w:ascii="Times New Roman" w:hAnsi="Times New Roman" w:eastAsia="方正仿宋_GBK" w:cs="Times New Roman"/>
          <w:color w:val="0C0C0C"/>
          <w:sz w:val="32"/>
          <w:szCs w:val="32"/>
          <w:highlight w:val="none"/>
          <w:lang w:eastAsia="zh-CN"/>
        </w:rPr>
        <w:t>不超过</w:t>
      </w:r>
      <w:r>
        <w:rPr>
          <w:rFonts w:hint="default" w:ascii="Times New Roman" w:hAnsi="Times New Roman" w:eastAsia="方正仿宋_GBK" w:cs="Times New Roman"/>
          <w:color w:val="0C0C0C"/>
          <w:sz w:val="32"/>
          <w:szCs w:val="32"/>
          <w:highlight w:val="none"/>
        </w:rPr>
        <w:t>100万元</w:t>
      </w:r>
      <w:r>
        <w:rPr>
          <w:rFonts w:hint="default" w:ascii="Times New Roman" w:hAnsi="Times New Roman" w:eastAsia="方正仿宋_GBK" w:cs="Times New Roman"/>
          <w:color w:val="0C0C0C"/>
          <w:sz w:val="32"/>
          <w:szCs w:val="32"/>
          <w:highlight w:val="none"/>
          <w:lang w:eastAsia="zh-CN"/>
        </w:rPr>
        <w:t>的奖励</w:t>
      </w:r>
      <w:r>
        <w:rPr>
          <w:rFonts w:hint="default" w:ascii="Times New Roman" w:hAnsi="Times New Roman" w:eastAsia="方正仿宋_GBK" w:cs="Times New Roman"/>
          <w:color w:val="0C0C0C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15.深入实施智能制造。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支持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企业开展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工业互联网标识解析节点、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5G+工业互联网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、创新示范智能工厂建设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支持数字化车间、新模式应用、物联网等项目建设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支持企业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上云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灯塔工厂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方正仿宋_GBK" w:cs="Times New Roman"/>
          <w:color w:val="0C0C0C"/>
          <w:kern w:val="0"/>
          <w:sz w:val="32"/>
          <w:szCs w:val="32"/>
          <w:highlight w:val="none"/>
          <w:u w:val="none"/>
          <w:lang w:eastAsia="zh-CN"/>
        </w:rPr>
        <w:t>，给予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单个项目</w:t>
      </w:r>
      <w:r>
        <w:rPr>
          <w:rFonts w:hint="default" w:ascii="Times New Roman" w:hAnsi="Times New Roman" w:eastAsia="方正仿宋_GBK" w:cs="Times New Roman"/>
          <w:color w:val="0C0C0C"/>
          <w:kern w:val="0"/>
          <w:sz w:val="32"/>
          <w:szCs w:val="32"/>
          <w:highlight w:val="none"/>
          <w:u w:val="none"/>
          <w:lang w:eastAsia="zh-CN"/>
        </w:rPr>
        <w:t>不超过</w:t>
      </w:r>
      <w:r>
        <w:rPr>
          <w:rFonts w:hint="default" w:ascii="Times New Roman" w:hAnsi="Times New Roman" w:eastAsia="方正仿宋_GBK" w:cs="Times New Roman"/>
          <w:color w:val="0C0C0C"/>
          <w:kern w:val="0"/>
          <w:sz w:val="32"/>
          <w:szCs w:val="32"/>
          <w:highlight w:val="none"/>
          <w:u w:val="none"/>
          <w:lang w:val="en-US" w:eastAsia="zh-CN"/>
        </w:rPr>
        <w:t>1000万元补助。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四、强化增量培育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16.加强投达产项目调度。滚动调整新投产、达产项目清单，市区联动、精准施策，定期收集和协调解决项目推进存在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问题。项目建设和经济指标贡献度纳入政府绩效考核。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17.加快补链延链强链。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/>
        </w:rPr>
        <w:t>形成重点产业链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关键零部件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原材料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缺项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弱项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/>
        </w:rPr>
        <w:t>清单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，建立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招商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项目库，集聚资源开展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点对点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精准招商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促进一批补链、延链项目落地。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0C0C0C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18.支持新产品研发上市。加快实施规上工业企业研发机构倍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highlight w:val="none"/>
          <w:lang w:val="en-US" w:eastAsia="zh-CN"/>
        </w:rPr>
        <w:t>增计划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鼓励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企业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创建国家级、市级工业设计中心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支持企业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以“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揭榜挂帅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、联合攻关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等方式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，狠抓研发设计、技术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突破和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新品上市。</w:t>
      </w:r>
      <w:r>
        <w:rPr>
          <w:rFonts w:hint="default" w:ascii="Times New Roman" w:hAnsi="Times New Roman" w:eastAsia="方正仿宋_GBK" w:cs="Times New Roman"/>
          <w:color w:val="0C0C0C"/>
          <w:kern w:val="0"/>
          <w:sz w:val="32"/>
          <w:szCs w:val="32"/>
          <w:highlight w:val="none"/>
          <w:u w:val="none"/>
          <w:lang w:val="en-US" w:eastAsia="zh-CN" w:bidi="ar"/>
        </w:rPr>
        <w:t>对使用首台（套）重大技术装备、</w:t>
      </w:r>
      <w:r>
        <w:rPr>
          <w:rFonts w:hint="default" w:ascii="Times New Roman" w:hAnsi="Times New Roman" w:eastAsia="方正仿宋_GBK" w:cs="Times New Roman"/>
          <w:i w:val="0"/>
          <w:caps w:val="0"/>
          <w:color w:val="0C0C0C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首批次材料等创新产品的企业</w:t>
      </w:r>
      <w:r>
        <w:rPr>
          <w:rFonts w:hint="default" w:ascii="Times New Roman" w:hAnsi="Times New Roman" w:eastAsia="方正仿宋_GBK" w:cs="Times New Roman"/>
          <w:color w:val="0C0C0C"/>
          <w:kern w:val="0"/>
          <w:sz w:val="32"/>
          <w:szCs w:val="32"/>
          <w:highlight w:val="none"/>
          <w:u w:val="none"/>
          <w:lang w:val="en-US" w:eastAsia="zh-CN" w:bidi="ar"/>
        </w:rPr>
        <w:t>，给予不超过500万元首购首用奖励。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五、实施稳链工程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19.保产业链供应链稳定。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shd w:val="clear" w:color="auto" w:fill="auto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shd w:val="clear" w:color="auto" w:fill="auto"/>
          <w:lang w:val="en-US" w:eastAsia="zh-CN" w:bidi="ar"/>
        </w:rPr>
        <w:t>一链一策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shd w:val="clear" w:color="auto" w:fill="auto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shd w:val="clear" w:color="auto" w:fill="auto"/>
          <w:lang w:val="en-US" w:eastAsia="zh-CN" w:bidi="ar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shd w:val="clear" w:color="auto" w:fill="auto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shd w:val="clear" w:color="auto" w:fill="auto"/>
          <w:lang w:val="en-US" w:eastAsia="zh-CN" w:bidi="ar"/>
        </w:rPr>
        <w:t>一企一专员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shd w:val="clear" w:color="auto" w:fill="auto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shd w:val="clear" w:color="auto" w:fill="auto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日监测、日报告、日调度重点企业供应链运行和保障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。深入实施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链长制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推进问题化解。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20.落实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lang w:val="en-US" w:eastAsia="zh-CN"/>
        </w:rPr>
        <w:t>白名单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lang w:val="en-US" w:eastAsia="zh-CN"/>
        </w:rPr>
        <w:t>制度。动态调整城市运行保障企业、产业链供应链重点企业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lang w:val="en-US" w:eastAsia="zh-CN"/>
        </w:rPr>
        <w:t>防疫物资生产企业、连续生产企业等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lang w:val="en-US" w:eastAsia="zh-CN"/>
        </w:rPr>
        <w:t>白名单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lang w:val="en-US" w:eastAsia="zh-CN"/>
        </w:rPr>
        <w:t>清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lang w:val="en-US" w:eastAsia="zh-CN"/>
        </w:rPr>
        <w:t>单，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细化实化服务措施。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600" w:lineRule="exact"/>
        <w:ind w:left="0" w:leftChars="0" w:right="0" w:rightChars="0" w:firstLine="624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21.完善产业生态。促进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大中小企业融通发展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开展供应链协同伙伴计划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开放供应链、扩大中小微企业采购、构建专业化配套集群成效显著且年累计采购额在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1亿元及以上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的领军（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链主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）企业，给予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单个项目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不超过200万元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奖励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六、优化发展环境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jc w:val="both"/>
        <w:rPr>
          <w:rFonts w:hint="default" w:ascii="Times New Roman" w:hAnsi="Times New Roman" w:eastAsia="sans-serif" w:cs="Times New Roman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22.落实减负降本政策。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出台减负政策措施目录清单，推动减税降费政策落地，规范行政事业性收费、经营服务性收费，落实涉企保证金和生产要素优惠政策。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23.优化企业服务机制。开展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企业吹哨、部门报到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专项行动，政企互动、市区联动、部门协同，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分级分类推动企业诉求和问题事项办理。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24.防范化解拖欠中小企业账款。严格执行《保障中小企业款项支付条例》，开展防范和化解拖欠中小企业账款专项行动，集中化解存量拖欠，严防新增拖欠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健全长效机制，加强整改情况跟踪监督，有效缓解中小企业资金短缺问题。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jc w:val="left"/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70707"/>
          <w:spacing w:val="0"/>
          <w:sz w:val="32"/>
          <w:szCs w:val="32"/>
          <w:lang w:val="en-US" w:eastAsia="zh-CN"/>
        </w:rPr>
        <w:t>25.保障煤电气运要素。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统筹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全市电力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煤炭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天然气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、运输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等保障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供需两侧发力保障全市经济社会发展和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产业链、重点企业能源需求。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jc w:val="both"/>
        <w:textAlignment w:val="baseline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2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</w:rPr>
        <w:t>引导金融资源助力企业发展。完善企业融资需求就近响应机制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</w:rPr>
        <w:t>推进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</w:rPr>
        <w:t>渝企金服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</w:rPr>
        <w:t>区县子平台和服务机构建设。推动商业价值信用贷、转贷应急政策扩面增效，开展中小制造企业抵押增值贷款试点。组建专项基金支持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</w:rPr>
        <w:t>专精特新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</w:rPr>
        <w:t>企业发展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</w:rPr>
        <w:t>优选100家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</w:rPr>
        <w:t>专精特新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</w:rPr>
        <w:t>企业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  <w:lang w:eastAsia="zh-CN"/>
        </w:rPr>
        <w:t>开展上市</w:t>
      </w:r>
      <w:r>
        <w:rPr>
          <w:rFonts w:hint="default" w:ascii="Times New Roman" w:hAnsi="Times New Roman" w:eastAsia="方正仿宋_GBK" w:cs="Times New Roman"/>
          <w:color w:val="070707"/>
          <w:sz w:val="32"/>
          <w:szCs w:val="32"/>
        </w:rPr>
        <w:t>培育。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jc w:val="left"/>
        <w:textAlignment w:val="auto"/>
        <w:rPr>
          <w:rFonts w:hint="default" w:ascii="Times New Roman" w:hAnsi="Times New Roman" w:eastAsia="方正小标宋_GBK" w:cs="Times New Roman"/>
          <w:color w:val="0C0C0C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70707"/>
          <w:sz w:val="32"/>
          <w:szCs w:val="32"/>
          <w:lang w:eastAsia="zh-CN"/>
        </w:rPr>
        <w:t>各区县（开发区）可参照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C0C0C"/>
          <w:spacing w:val="0"/>
          <w:sz w:val="32"/>
          <w:szCs w:val="32"/>
          <w:highlight w:val="none"/>
          <w:shd w:val="clear" w:color="auto" w:fill="auto"/>
        </w:rPr>
        <w:t>本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C0C0C"/>
          <w:spacing w:val="0"/>
          <w:sz w:val="32"/>
          <w:szCs w:val="32"/>
          <w:highlight w:val="none"/>
          <w:shd w:val="clear" w:color="auto" w:fill="auto"/>
          <w:lang w:eastAsia="zh-CN"/>
        </w:rPr>
        <w:t>文件制定相应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C0C0C"/>
          <w:spacing w:val="0"/>
          <w:sz w:val="32"/>
          <w:szCs w:val="32"/>
          <w:highlight w:val="none"/>
          <w:shd w:val="clear" w:color="auto" w:fill="auto"/>
        </w:rPr>
        <w:t>政策措施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C0C0C"/>
          <w:spacing w:val="0"/>
          <w:sz w:val="32"/>
          <w:szCs w:val="32"/>
          <w:highlight w:val="none"/>
          <w:shd w:val="clear" w:color="auto" w:fill="auto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C0C0C"/>
          <w:spacing w:val="0"/>
          <w:sz w:val="32"/>
          <w:szCs w:val="32"/>
          <w:highlight w:val="none"/>
          <w:shd w:val="clear" w:color="auto" w:fill="auto"/>
          <w:lang w:eastAsia="zh-CN"/>
        </w:rPr>
        <w:t>政策措施详细内容以市经济信息委具体下发文件为准；过去有关规定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C0C0C"/>
          <w:spacing w:val="0"/>
          <w:sz w:val="32"/>
          <w:szCs w:val="32"/>
          <w:highlight w:val="none"/>
          <w:shd w:val="clear" w:color="auto" w:fill="auto"/>
        </w:rPr>
        <w:t>与本政策措施不一致的，以本政策措施为准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C0C0C"/>
          <w:spacing w:val="0"/>
          <w:sz w:val="32"/>
          <w:szCs w:val="32"/>
          <w:highlight w:val="none"/>
          <w:shd w:val="clear" w:color="auto" w:fill="auto"/>
          <w:lang w:eastAsia="zh-CN"/>
        </w:rPr>
        <w:t>；国家出台相关政策的，遵照执行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C0C0C"/>
          <w:spacing w:val="0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t xml:space="preserve">  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1417" w:footer="1247" w:gutter="0"/>
      <w:pgNumType w:fmt="numberInDash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Mh2d9gbAgAAIw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139065</wp:posOffset>
              </wp:positionV>
              <wp:extent cx="5409565" cy="1905"/>
              <wp:effectExtent l="0" t="0" r="0" b="0"/>
              <wp:wrapNone/>
              <wp:docPr id="2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9565" cy="1905"/>
                      </a:xfrm>
                      <a:prstGeom prst="straightConnector1">
                        <a:avLst/>
                      </a:prstGeom>
                      <a:ln w="22225" cap="flat" cmpd="sng">
                        <a:solidFill>
                          <a:srgbClr val="005192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直接连接符 11" o:spid="_x0000_s1026" o:spt="32" type="#_x0000_t32" style="position:absolute;left:0pt;flip:y;margin-left:6pt;margin-top:10.95pt;height:0.15pt;width:425.95pt;z-index:251659264;mso-width-relative:page;mso-height-relative:page;" filled="f" stroked="t" coordsize="21600,21600" o:gfxdata="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vPT&#10;c9YAAAAIAQAADwAAAAAAAAABACAAAAAiAAAAZHJzL2Rvd25yZXYueG1sUEsBAhQAFAAAAAgAh07i&#10;QFEJZD7rAQAAsQMAAA4AAAAAAAAAAQAgAAAAJQEAAGRycy9lMm9Eb2MueG1sUEsFBgAAAAAGAAYA&#10;WQEAAIIFAAAAAA==&#10;">
              <v:fill on="f" focussize="0,0"/>
              <v:stroke weight="1.75pt" color="#005192" joinstyle="miter"/>
              <v:imagedata o:title=""/>
              <o:lock v:ext="edit" aspectratio="f"/>
            </v:shape>
          </w:pict>
        </mc:Fallback>
      </mc:AlternateContent>
    </w:r>
  </w:p>
  <w:p>
    <w:pPr>
      <w:pStyle w:val="8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重庆市经济和信息化委员会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348615</wp:posOffset>
              </wp:positionV>
              <wp:extent cx="5584190" cy="6985"/>
              <wp:effectExtent l="0" t="0" r="0" b="0"/>
              <wp:wrapNone/>
              <wp:docPr id="1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4190" cy="6985"/>
                      </a:xfrm>
                      <a:prstGeom prst="straightConnector1">
                        <a:avLst/>
                      </a:prstGeom>
                      <a:ln w="22225" cap="flat" cmpd="sng">
                        <a:solidFill>
                          <a:srgbClr val="005192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直接连接符 2" o:spid="_x0000_s1026" o:spt="32" type="#_x0000_t32" style="position:absolute;left:0pt;margin-left:2pt;margin-top:27.45pt;height:0.55pt;width:439.7pt;z-index:251658240;mso-width-relative:page;mso-height-relative:page;" filled="f" stroked="t" coordsize="21600,21600" o:gfxdata="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FC+OjWAAAABwEA&#10;AA8AAAAAAAAAAQAgAAAAIgAAAGRycy9kb3ducmV2LnhtbFBLAQIUABQAAAAIAIdO4kD/lGxc4wEA&#10;AKYDAAAOAAAAAAAAAAEAIAAAACUBAABkcnMvZTJvRG9jLnhtbFBLBQYAAAAABgAGAFkBAAB6BQAA&#10;AAA=&#10;">
              <v:fill on="f" focussize="0,0"/>
              <v:stroke weight="1.75pt" color="#005192" joinstyle="miter"/>
              <v:imagedata o:title=""/>
              <o:lock v:ext="edit" aspectratio="f"/>
            </v:shap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 w="9525"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eastAsia="zh-CN"/>
      </w:rPr>
      <w:t>重庆市经济和信息化委员会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52622"/>
    <w:rsid w:val="01067093"/>
    <w:rsid w:val="019E71BD"/>
    <w:rsid w:val="01E93D58"/>
    <w:rsid w:val="04B679C3"/>
    <w:rsid w:val="05F07036"/>
    <w:rsid w:val="06E00104"/>
    <w:rsid w:val="080F63D8"/>
    <w:rsid w:val="08F52622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4323D96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2CE54BA"/>
    <w:rsid w:val="648B0A32"/>
    <w:rsid w:val="658F6764"/>
    <w:rsid w:val="665233C1"/>
    <w:rsid w:val="69AC0D42"/>
    <w:rsid w:val="6A597EEA"/>
    <w:rsid w:val="6AD9688B"/>
    <w:rsid w:val="6B68303F"/>
    <w:rsid w:val="6D0E3F22"/>
    <w:rsid w:val="744E4660"/>
    <w:rsid w:val="753355A2"/>
    <w:rsid w:val="759F1C61"/>
    <w:rsid w:val="76054A99"/>
    <w:rsid w:val="76735391"/>
    <w:rsid w:val="769F2DE8"/>
    <w:rsid w:val="76C673E0"/>
    <w:rsid w:val="76FDEB7C"/>
    <w:rsid w:val="79C65162"/>
    <w:rsid w:val="79EE7E31"/>
    <w:rsid w:val="7A0C406F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uiPriority w:val="0"/>
    <w:pPr>
      <w:spacing w:after="120" w:line="240" w:lineRule="atLeast"/>
    </w:pPr>
    <w:rPr>
      <w:rFonts w:ascii="Times New Roman" w:hAnsi="Times New Roman"/>
      <w:spacing w:val="-6"/>
      <w:kern w:val="0"/>
      <w:sz w:val="20"/>
      <w:szCs w:val="20"/>
    </w:rPr>
  </w:style>
  <w:style w:type="paragraph" w:styleId="6">
    <w:name w:val="index 7"/>
    <w:basedOn w:val="1"/>
    <w:next w:val="1"/>
    <w:uiPriority w:val="0"/>
    <w:pPr>
      <w:ind w:left="1200" w:leftChars="1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2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2.wpt</Template>
  <Pages>4</Pages>
  <Words>1105</Words>
  <Characters>1160</Characters>
  <Lines>1</Lines>
  <Paragraphs>1</Paragraphs>
  <ScaleCrop>false</ScaleCrop>
  <LinksUpToDate>false</LinksUpToDate>
  <CharactersWithSpaces>1204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2022-06-08T09:25:00Z</dcterms:created>
  <dc:creator>熊雪芹</dc:creator>
  <cp:lastModifiedBy>熊雪芹</cp:lastModifiedBy>
  <dcterms:modified xsi:type="dcterms:W3CDTF">2022-06-21T08:22:06Z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48C61CB29D3F4D9384F5922CF0F7FFB4</vt:lpwstr>
  </property>
</Properties>
</file>