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b w:val="0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b w:val="0"/>
          <w:bCs/>
          <w:sz w:val="44"/>
          <w:szCs w:val="44"/>
          <w:lang w:eastAsia="zh-CN"/>
        </w:rPr>
        <w:t>重庆市经济和信息化委员会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b w:val="0"/>
          <w:bCs/>
          <w:spacing w:val="0"/>
          <w:w w:val="100"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b w:val="0"/>
          <w:bCs/>
          <w:spacing w:val="0"/>
          <w:w w:val="100"/>
          <w:sz w:val="44"/>
          <w:szCs w:val="44"/>
          <w:lang w:eastAsia="zh-CN"/>
        </w:rPr>
        <w:t>关于印发</w:t>
      </w:r>
      <w:r>
        <w:rPr>
          <w:rFonts w:hint="eastAsia" w:ascii="Times New Roman" w:hAnsi="Times New Roman" w:eastAsia="方正小标宋_GBK"/>
          <w:b w:val="0"/>
          <w:bCs/>
          <w:spacing w:val="0"/>
          <w:w w:val="100"/>
          <w:sz w:val="44"/>
          <w:szCs w:val="44"/>
          <w:lang w:eastAsia="zh-CN"/>
        </w:rPr>
        <w:t>重庆市天然气设施停气作业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Times New Roman" w:hAnsi="Times New Roman" w:eastAsia="方正小标宋_GBK"/>
          <w:b w:val="0"/>
          <w:bCs/>
          <w:spacing w:val="0"/>
          <w:w w:val="100"/>
          <w:sz w:val="44"/>
          <w:szCs w:val="44"/>
          <w:lang w:eastAsia="zh-CN"/>
        </w:rPr>
        <w:t>管理办法</w:t>
      </w:r>
      <w:r>
        <w:rPr>
          <w:rFonts w:ascii="Times New Roman" w:hAnsi="Times New Roman" w:eastAsia="方正小标宋_GBK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渝经信规范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各区县（自治县）经济信息委，两江新区、重庆高新区、万盛经开区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经信</w:t>
      </w: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部门，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各天然气供应企业、天然气管道运输企业、天然气经营企业</w:t>
      </w: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，有关单位：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《重庆市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天然气设施停气作业管理办法</w:t>
      </w: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已经市经济信息委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val="en-US" w:eastAsia="zh-CN"/>
        </w:rPr>
        <w:t>2021年第5次党组会议审议通过，现</w:t>
      </w: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印发给你们，请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lang w:eastAsia="zh-CN"/>
        </w:rPr>
        <w:t>认真贯彻</w:t>
      </w: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 w:eastAsia="方正仿宋_GBK"/>
          <w:b w:val="0"/>
          <w:bCs/>
          <w:sz w:val="32"/>
          <w:szCs w:val="32"/>
          <w:lang w:eastAsia="zh-CN"/>
        </w:rPr>
        <w:t>重庆市经济和信息化委员会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重庆市天然气设施停气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作业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管理办法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第一章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总 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为进一步加强全市天然气设施停气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管理，确保安全平稳供气，避免停送气事故和舆情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事件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，维护社会公共安全，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有效通知用户停气时间和抢修后恢复供气时间，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《城镇燃气管理条例》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《重庆市天然气管理条例》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《天然气基础设施建设与运营管理办法》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（国家发展和改革委员会令第8号）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等法规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规章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的规定，结合我市实际，特制定本办法。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本办法所称天然气设施停气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是指用于天然气储存、输配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和应用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的设备、装置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系统等实施计划性供应中断，使天然气流量为零的作业。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本办法适用于重庆市域内的天然气供应企业、天然气管道运输企业和天然气经营企业的天然气设施停气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重庆市经济和信息化委员会（以下简称市经济信息委）是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全市天然气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管理部门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，负责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全市天然气运行和停气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监督管理，区县（自治县）经济信息委、两江新区、高新区、万盛经开区经济信息部门（以下统称区县经信部门）是本区域天然气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管理部门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负责本行政区域内的天然气运行和停气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监督管理。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 xml:space="preserve">第二章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停气分级管理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天然气设施停气作业按照天然气设施“谁运维、谁负责”的原则管理，天然气设施的运行维护管理单位即为停气作业责任单位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。实施停气作业前，责任单位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制定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作业方案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，明确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组织机构、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保供措施、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安全管理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、应急处置等内容。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根据天然气供应企业、天然气管道运输企业、天然气经营企业天然气设施停气影响供气量或户数和停气时间，停气作业实行分级管理。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（一）一级停气作业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。影响终端用户数在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10万户（含）以上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，或影响终端用户数在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5万户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以上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10万户（不含）以下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且时间超过24小时的计划性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天然气供应企业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。供气量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影响天然气经营企业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达到本款第一项影响程度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计划性停气作业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天然气管道运输企业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。输气量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影响天然气经营企业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达到本款第一项影响程度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计划性停气作业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（二）二级停气作业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。影响终端用户数在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5万户（含）以上10万户（不含）以下且时间不超过24小时，或影响终端用户数在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1万户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以上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5万户（不含）以下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且时间超过24小时的计划性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2.天然气供应企业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。供气量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影响天然气经营企业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达到本款第一项影响程度的计划性停气作业。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天然气管道运输企业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。输气量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影响天然气经营企业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达到本款第一项影响程度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计划性停气作业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（三）三级停气作业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除一级、二级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以外的计划性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停气作业。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第三章  流程及要求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计划实施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一级停气作业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的，责任单位应提前将停气作业方案报市经济信息委，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市经济信息委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在收到停气作业方案后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评估停气影响，组织召开协调会，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明确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停气时间、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工作职责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与保障措施。责任单位按确定的停气时间组织实施停气作业，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</w:rPr>
        <w:t>市经济信息委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  <w:lang w:eastAsia="zh-CN"/>
        </w:rPr>
        <w:t>通过门户网站公告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</w:rPr>
        <w:t>停气作业相关信息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</w:rPr>
        <w:t>第八条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计划实施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二级停气作业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的，责任单位应提前将停气作业方案报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属地经信部门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属地经信部门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在收到停气作业方案后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评估停气影响，组织召开协调会，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明确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停气时间、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工作职责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与保障措施。责任单位按确定的停气时间组织实施停气作业，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属地经信部门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  <w:lang w:eastAsia="zh-CN"/>
        </w:rPr>
        <w:t>通过门户网站公告</w:t>
      </w:r>
      <w:r>
        <w:rPr>
          <w:rFonts w:hint="default"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highlight w:val="none"/>
        </w:rPr>
        <w:t>停气作业相关信息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计划实施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三级停气作业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的，由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责任单位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自行制定停气作业方案，实施前责任单位应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组织召开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重点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户减、停气协调会，并做好沟通协调和解释工作，在准备充分后实施。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eastAsia="zh-CN"/>
        </w:rPr>
        <w:t>第十条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计划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停气作业影响用户范围和时间，涉及跨行政区域、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跨供气区域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且时间超过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24小时的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，原则上由市经济信息委统筹协调并按照本办法第七条有关要求执行。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停气作业时间确定后，天然气供应企业应提前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72小时书面通知天然气管道运输企业、天然气经营企业和直供天然气用户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天然气管道运输企业应提前半个月通知天然气供应企业、天然气经营企业和直供天然气用户；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天然气经营企业应提前48小时书面通知天然气供应企业或天然气管道运输企业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，并通过报刊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、电视、网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、微信等公众媒体发布停气公告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或书面通知受影响的天然气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终端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用户。停气公告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和书面通知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应包括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停气时间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段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、停气原因、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>停气范围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等内容。受停气作业影响的不可中断天然气用户，负责供气的单位应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及时与其协商准备替代能源。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停气作业责任单位应在停气前通过气源流程倒配、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气源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串换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、动用储备气源、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LNG（CNG）补充供气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等措施，最大限度减小居民生活用气影响范围，做到民生用气应保尽保。在实施气源倒配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、气源串换等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调度中，相关单位应积极支持，予以配合。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停气作业责任单位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应梳理年度天然气设施停气作业计划，统筹做好停气作业安排。高压输送管道、主要气源管道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原则上同一管道一年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只实施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一次计划性停气作业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遇特殊情况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需重复停气的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，经市经济信息委综合评估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，根据实际需要实施。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高压输送管道、主要气源管道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结合供用气上下游检维修作业计划同步进行，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同时尽量避开重大节假日、重大活动等特殊用气时段，最大限度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降低对生产生活用气的影响。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计划性停气作业应严格按照公告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发布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信息实施相关停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复气工作，如因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极端恶劣天气等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特殊情况不能按时恢复供气的，应及时发布信息并做好解释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疏导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区县经信部门、天然气供应企业、天然气管道运输企业、天然气经营企业应按照新闻舆论引导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规定，做好天然气设施停气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信息发布和舆情监测、引导工作，最大限度地避免、缩小和消除因天然气设施停气作业相关舆情事件造成的负面影响。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天然气设施停气作业遇重大舆情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第一时间报告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地政府和市经济信息委。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章  附 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十六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本办法下列用语的含义：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 xml:space="preserve">（一）天然气供应企业，是指拥有稳定且可供的天然气资源，通过天然气基础设施销售天然气的企业。 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>（二）天然气管道运输企业，是指通过天然气输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送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>管道提供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天然气公共运输服务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>的企业。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</w:rPr>
        <w:t xml:space="preserve">    （三）天然气经营企业，是指依法取得天然气经营许可，通过天然气设施向天然气用户销售天然气的企业。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十七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本办法的执行情况纳入全市天然气行业年度监督管理检查和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服务质量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考核。因工作失职，造成停气、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复气责任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事故的，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由有关部门依法依规调查处理、追究责任。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lang w:eastAsia="zh-CN"/>
        </w:rPr>
        <w:t>十八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u w:val="none"/>
          <w:lang w:val="zh-CN"/>
        </w:rPr>
        <w:t>本办法于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2021年5月15日起施行。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1417" w:footer="124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139700</wp:posOffset>
              </wp:positionV>
              <wp:extent cx="5404485" cy="1270"/>
              <wp:effectExtent l="0" t="0" r="0" b="0"/>
              <wp:wrapNone/>
              <wp:docPr id="2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4485" cy="1270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11" o:spid="_x0000_s1026" o:spt="32" type="#_x0000_t32" style="position:absolute;left:0pt;flip:y;margin-left:6pt;margin-top:11pt;height:0.1pt;width:425.55pt;z-index:251659264;mso-width-relative:page;mso-height-relative:page;" filled="f" stroked="t" coordsize="21600,21600" o:gfxdata="UEsDBAoAAAAAAIdO4kAAAAAAAAAAAAAAAAAEAAAAZHJzL1BLAwQUAAAACACHTuJAh3/gDtUAAAAI&#10;AQAADwAAAGRycy9kb3ducmV2LnhtbE2PMU/DMBCFdyT+g3VIbNRJCqEKcTogMSJoYWB04iOJsM+p&#10;7aaFX89lgun07p3efa/enp0VM4Y4elKQrzIQSJ03I/UK3t+ebjYgYtJktPWECr4xwra5vKh1ZfyJ&#10;djjvUy84hGKlFQwpTZWUsRvQ6bjyExJ7nz44nViGXpqgTxzurCyyrJROj8QfBj3h44Dd1/7oFEz+&#10;ZXdbzu3BPo/25/6w/rh7DV6p66s8ewCR8Jz+jmHBZ3RomKn1RzJRWNYFV0kKimWyvynXOYh2WRQg&#10;m1r+L9D8AlBLAwQUAAAACACHTuJAIBWPTuwBAACxAwAADgAAAGRycy9lMm9Eb2MueG1srVPLrtMw&#10;EN0j8Q+W9zRJ1cIlanoXLZcNgko89lM/Ekt+yTZN+xP8ABI7WLFkz99w+QzGTimvDUJkYdmemeNz&#10;zkxW10ejyUGEqJztaDOrKRGWOa5s39GXL27uXVESE1gO2lnR0ZOI9Hp9985q9K2Yu8FpLgJBEBvb&#10;0Xd0SMm3VRXZIAzEmfPCYlC6YCDhMfQVDzAiutHVvK7vV6ML3AfHRIx4u52CdF3wpRQsPZMyikR0&#10;R5FbKmso6z6v1XoFbR/AD4qdacA/sDCgLD56gdpCAvI6qD+gjGLBRSfTjDlTOSkVE0UDqmnq39Q8&#10;H8CLogXNif5iU/x/sOzpYReI4h2dU2LBYItu33768ub918/vcL39+IE0TXZp9LHF5I3dhfMp+l3I&#10;ko8yGCK18q9wAIoJKIsci8eni8fimAjDy+WiXiyulpQwjDXzB6UF1YSS0XyI6bFwhuRNR2MKoPoh&#10;bZy12EwXphfg8CQm5IGF3wtysbZkRCX45QcA50lqSLg1HhVG2xd60WnFb5TWuSSGfr/RgRwgT0i9&#10;bB7Os1wE/iUtv7KFOEx5JTTNjlFJZEegHQTwR5aTdPLoosVxp5mNEZwSLfDvyLuSmUDpv8lEEtoi&#10;l+z95Hbe7R0/lSaUe5yLwvY8w3nwfj6X6h9/2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3/g&#10;DtUAAAAIAQAADwAAAAAAAAABACAAAAAiAAAAZHJzL2Rvd25yZXYueG1sUEsBAhQAFAAAAAgAh07i&#10;QCAVj07sAQAAsQMAAA4AAAAAAAAAAQAgAAAAJAEAAGRycy9lMm9Eb2MueG1sUEsFBgAAAAAGAAYA&#10;WQEAAIIFAAAAAA=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348615</wp:posOffset>
              </wp:positionV>
              <wp:extent cx="5584190" cy="6985"/>
              <wp:effectExtent l="0" t="0" r="0" b="0"/>
              <wp:wrapNone/>
              <wp:docPr id="1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4190" cy="698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2" o:spid="_x0000_s1026" o:spt="32" type="#_x0000_t32" style="position:absolute;left:0pt;margin-left:2pt;margin-top:27.45pt;height:0.55pt;width:439.7pt;z-index:251658240;mso-width-relative:page;mso-height-relative:page;" filled="f" stroked="t" coordsize="21600,21600" o:gfxdata="UEsDBAoAAAAAAIdO4kAAAAAAAAAAAAAAAAAEAAAAZHJzL1BLAwQUAAAACACHTuJAUUL46NYAAAAH&#10;AQAADwAAAGRycy9kb3ducmV2LnhtbE2PzU7DMBCE70i8g7VI3KhdGqo0jVNREFfUP6k9uvGSRMTr&#10;EDtNeXuWExx3ZjTzbb66ulZcsA+NJw3TiQKBVHrbUKXhsH97SEGEaMia1hNq+MYAq+L2JjeZ9SNt&#10;8bKLleASCpnRUMfYZVKGskZnwsR3SOx9+N6ZyGdfSdubkctdKx+VmktnGuKF2nT4UmP5uRuchrGs&#10;1l/P76d9OmBH69N29rrZHLW+v5uqJYiI1/gXhl98RoeCmc5+IBtEqyHhT6KGp2QBgu00nSUgzizM&#10;Fcgil//5ix9QSwMEFAAAAAgAh07iQP+UbFzjAQAApgMAAA4AAABkcnMvZTJvRG9jLnhtbK1TS44T&#10;MRDdI3EHy3vSSURGSSudWSQMGwSRgANUbHe3Jf/kMunkElwAiR2sWLLnNgzHoOyEzAxsEKIX1VWu&#10;73suL68P1rC9iqi9a/hkNOZMOeGldl3D3765eTLnDBM4CcY71fCjQn69evxoOYRaTX3vjVSRURGH&#10;9RAa3qcU6qpC0SsLOPJBOXK2PlpIZMaukhEGqm5NNR2Pr6rBRxmiFwqRTjcnJ1+V+m2rRHrVtqgS&#10;Mw2n2VKRschdltVqCXUXIfRanMeAf5jCgnbU9FJqAwnYu6j/KGW1iB59m0bC28q3rRaqYCA0k/Fv&#10;aF73EFTBQuRguNCE/6+seLnfRqYl3R1nDixd0e2Hr9/ff/rx7SPJ2y+f2TSTNASsKXbttvFsYdjG&#10;jPjQRpv/hIUdCrHHC7HqkJigw9ls/nSyIP4F+a4W81kuWd3lhojpufKWZaXhmCLork9r7xzdoI+T&#10;wi3sX2A6Jf5KyI2NY0PDp/TNqAHQErUGEqk2ECx0XUlGb7S80cbkFIzdbm0i20Nei/FssiggaaIH&#10;YbnLBrA/xRXXaWGsTirzAHWvQD5zkqVjIOoc7TjP01glOTOKnkTWSmQCbf4mkoYwjtjJjJ84ztrO&#10;y2OhvpzTMhT+zoubt+2+XbLvntf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FC+OjWAAAABwEA&#10;AA8AAAAAAAAAAQAgAAAAIgAAAGRycy9kb3ducmV2LnhtbFBLAQIUABQAAAAIAIdO4kD/lGxc4wEA&#10;AKYDAAAOAAAAAAAAAAEAIAAAACUBAABkcnMvZTJvRG9jLnhtbFBLBQYAAAAABgAGAFkBAAB6BQAA&#10;AAA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162E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4217B00"/>
    <w:rsid w:val="152D2DCA"/>
    <w:rsid w:val="187168EA"/>
    <w:rsid w:val="196673CA"/>
    <w:rsid w:val="1CF734C9"/>
    <w:rsid w:val="1DEC284C"/>
    <w:rsid w:val="1E6523AC"/>
    <w:rsid w:val="22440422"/>
    <w:rsid w:val="22BB4BBB"/>
    <w:rsid w:val="25B0162E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597EEA"/>
    <w:rsid w:val="6AD9688B"/>
    <w:rsid w:val="6B68303F"/>
    <w:rsid w:val="6D0E3F22"/>
    <w:rsid w:val="744E4660"/>
    <w:rsid w:val="753355A2"/>
    <w:rsid w:val="759F1C61"/>
    <w:rsid w:val="769F2DE8"/>
    <w:rsid w:val="76C673E0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2.wpt</Template>
  <Pages>4</Pages>
  <Words>1105</Words>
  <Characters>1160</Characters>
  <Lines>1</Lines>
  <Paragraphs>1</Paragraphs>
  <ScaleCrop>false</ScaleCrop>
  <LinksUpToDate>false</LinksUpToDate>
  <CharactersWithSpaces>1204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2022-06-08T09:57:00Z</dcterms:created>
  <dc:creator>熊雪芹</dc:creator>
  <cp:lastModifiedBy>熊雪芹</cp:lastModifiedBy>
  <dcterms:modified xsi:type="dcterms:W3CDTF">2022-06-09T02:18:07Z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48C61CB29D3F4D9384F5922CF0F7FFB4</vt:lpwstr>
  </property>
</Properties>
</file>