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610" w:lineRule="atLeas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610" w:lineRule="atLeas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610" w:lineRule="atLeas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610" w:lineRule="atLeas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610" w:lineRule="atLeas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610" w:lineRule="atLeas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610" w:lineRule="atLeas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600" w:lineRule="atLeast"/>
        <w:ind w:left="0" w:right="0" w:firstLine="0" w:firstLineChars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/>
        </w:rPr>
        <w:t>渝经信中小〔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640" w:lineRule="atLeas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640" w:lineRule="atLeast"/>
        <w:ind w:left="0" w:right="0"/>
        <w:jc w:val="both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 xml:space="preserve"> 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/>
        </w:rPr>
        <w:t>重庆市经济和信息化委员会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/>
        </w:rPr>
        <w:t>关于开展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/>
        </w:rPr>
        <w:t>年重庆市制造业单项冠军企业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/>
        </w:rPr>
        <w:t>遴选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/>
        </w:rPr>
        <w:t>的通知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/>
        <w:jc w:val="left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90" w:lineRule="atLeast"/>
        <w:ind w:left="0" w:right="0"/>
        <w:jc w:val="both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各区县（自治县）经济信息委，西部科学城重庆高新区、万盛经开区经信部门，有关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/>
        </w:rPr>
        <w:t>单位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：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90" w:lineRule="atLeast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为加快培育发展制造业优质企业，根据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《重庆市制造业单项冠军企业认定管理办法》（渝经信规范〔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号）规定，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/>
        </w:rPr>
        <w:t>现就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重庆市制造业单项冠军企业遴选认定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事宜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通知如下。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一、基本条件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（一）坚持专业化发展。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申报单位长期专注并深耕制造业某一环节或某一产品领域，截至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/>
        </w:rPr>
        <w:t>底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，从事相关领域时间达到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年及以上，属于新产品的应达到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年及以上。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（二）市场竞争优势明显。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申请产品（生产性服务）市场占有率位居全国前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位或者全球前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位。生产技术或制造工艺较高，关键性能指标处于国内同类产品领先水平，发展潜力大。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（三）自主创新能力突出。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重视技术和产品创新，设立市级及以上研发机构，研发投入强度达到行业平均水平且保持较快增长。拥有有效发明专利等核心自主知识产权数量行业领先，主导或参与制定相关领域技术标准。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（四）经营业绩稳中向好。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企业近三年平均主营业务收入不低于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亿元，国家级专精特新“小巨人”企业不低于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亿元。企业管理理念先进，精益化管理水平高。人才队伍结构合理，有市、区（县）级人才计划入选者，积极参与校企合作人才培养载体建设。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重点支持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/>
        </w:rPr>
        <w:t>属于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工业和信息化部发布的制造业单项冠军企业遴选认定重点领域，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参与国家重大创新平台建设，承担国家重大科技项目，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70707"/>
          <w:spacing w:val="0"/>
          <w:kern w:val="0"/>
          <w:sz w:val="32"/>
          <w:szCs w:val="32"/>
          <w:lang w:val="en-US" w:eastAsia="zh-CN"/>
        </w:rPr>
        <w:t>参与制造业强链补链行动，带动产业链上下游、中小企业融通创新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的企业。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二、申报程序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（一）企业申报。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企业填写申请书（附件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），连同相关附件盖章扫描后合并为一个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PDF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文件（统一命名为“区县—企业名单”），于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日前将申报资料交区县经信部门，无需报送纸质材料。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有效期内的国家级制造业单项冠军企业不再申报。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（二）区县初审。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各区县经信部门对企业申报材料的真实性和完整性进行初步审核，提出审核意见，确定推荐企业名单，填写《重庆市制造业单项冠军企业申请汇总表》（附件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），将电子版推荐报告（可编辑版和盖章扫描版）、推荐企业材料汇总刻盘后，于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日前报送至市经济信息委政务大厅（联系人：肖老师；联系电话：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63898487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），无需报送纸质材料。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（三）市级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/>
        </w:rPr>
        <w:t>认定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市经济信息委根据区县推荐汇总情况，组织开展评审工作，对拟认定企业的财务数据及佐证资料进行现场复核，最终确定认定企业名单。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三、工作要求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（一）加强组织实施。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各区县经信部门要从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/>
        </w:rPr>
        <w:t>双百企业、领军（链主）企业、专精特新“小巨人”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/>
        </w:rPr>
        <w:t>企业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/>
        </w:rPr>
        <w:t>等优质企业中遴选重点培育对象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/>
        </w:rPr>
        <w:t>加强政策宣传和辅导，组织发动符合条件的企业积极申报。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（二）加大政策支持。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市经济信息委将对新认定的重庆市制造业单项冠军企业，优先推荐申报国家级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/>
        </w:rPr>
        <w:t>制造业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单项冠军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/>
        </w:rPr>
        <w:t>企业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，同时，在承担国家和市级重大科技项目、参与制造业强链补链行动，开展智能制造、数字化转型、绿色制造以及技术创新、上市融资、人才引进、市场开拓等方面予以支持。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鼓励各区县加强政策支持。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（三）做好管理服务。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各区县经信部门对已认定的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/>
        </w:rPr>
        <w:t>制造业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单项冠军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/>
        </w:rPr>
        <w:t>企业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要加强跟踪服务，及时将企业更名、重组等重大变更情况报送市经济信息委，并认真做好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/>
        </w:rPr>
        <w:t>制造业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单项冠军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/>
        </w:rPr>
        <w:t>企业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有关工作的组织实施，加强对企业的指导、跟踪和服务。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四、联系方式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业务咨询电话：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023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63895423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重庆市制造业单项冠军企业申请书（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年版）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1600" w:firstLineChars="500"/>
        <w:jc w:val="both"/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部分指标和要求说明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1600" w:firstLineChars="500"/>
        <w:jc w:val="both"/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重庆市制造业单项冠军企业申请汇总表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3520" w:firstLineChars="1100"/>
        <w:jc w:val="both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 xml:space="preserve">     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3520" w:firstLineChars="1100"/>
        <w:jc w:val="both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3520" w:firstLineChars="1100"/>
        <w:jc w:val="both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重庆市经济和信息化委员会</w:t>
      </w:r>
    </w:p>
    <w:p>
      <w:pPr>
        <w:pStyle w:val="7"/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firstLine="4179" w:firstLineChars="1306"/>
        <w:jc w:val="both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 xml:space="preserve">      2026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（此件公开发布）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/>
        <w:snapToGrid/>
        <w:spacing w:beforeLines="0" w:afterLines="0" w:line="240" w:lineRule="auto"/>
        <w:outlineLvl w:val="9"/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tabs>
                              <w:tab w:val="left" w:pos="420"/>
                            </w:tabs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8240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P8Nl1AAAAAcBAAAP&#10;AAAAAAAAAAEAIAAAACIAAABkcnMvZG93bnJldi54bWxQSwECFAAUAAAACACHTuJAwvhJWqoBAAA/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tabs>
                        <w:tab w:val="left" w:pos="420"/>
                      </w:tabs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82791"/>
    <w:rsid w:val="2EC17DC3"/>
    <w:rsid w:val="2F2F7659"/>
    <w:rsid w:val="359D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Times New Roman" w:hAnsi="Times New Roman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10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uiPriority w:val="0"/>
    <w:pPr>
      <w:keepNext w:val="0"/>
      <w:keepLines w:val="0"/>
      <w:widowControl w:val="0"/>
      <w:suppressLineNumbers w:val="0"/>
      <w:spacing w:after="120" w:afterAutospacing="0" w:line="360" w:lineRule="auto"/>
      <w:ind w:firstLine="420" w:firstLineChars="10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jc w:val="left"/>
    </w:pPr>
    <w:rPr>
      <w:rFonts w:hint="eastAsia" w:ascii="宋体" w:hAnsi="Times New Roman" w:eastAsia="宋体" w:cs="宋体"/>
      <w:kern w:val="0"/>
      <w:sz w:val="24"/>
      <w:szCs w:val="24"/>
      <w:lang w:val="en-US" w:eastAsia="zh-CN"/>
    </w:rPr>
  </w:style>
  <w:style w:type="paragraph" w:styleId="8">
    <w:name w:val="Title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  <w:outlineLvl w:val="0"/>
    </w:pPr>
    <w:rPr>
      <w:rFonts w:hint="eastAsia" w:ascii="方正小标宋_GBK" w:hAnsi="方正小标宋_GBK" w:eastAsia="方正小标宋_GBK" w:cs="方正小标宋_GBK"/>
      <w:kern w:val="2"/>
      <w:sz w:val="44"/>
      <w:szCs w:val="44"/>
      <w:lang w:val="en-US" w:eastAsia="zh-CN"/>
    </w:rPr>
  </w:style>
  <w:style w:type="character" w:customStyle="1" w:styleId="11">
    <w:name w:val="10"/>
    <w:basedOn w:val="9"/>
    <w:uiPriority w:val="0"/>
    <w:rPr>
      <w:rFonts w:hint="default" w:ascii="Times New Roman" w:hAnsi="Times New Roman" w:cs="Times New Roman"/>
    </w:rPr>
  </w:style>
  <w:style w:type="character" w:customStyle="1" w:styleId="12">
    <w:name w:val="15"/>
    <w:basedOn w:val="9"/>
    <w:qFormat/>
    <w:uiPriority w:val="0"/>
    <w:rPr>
      <w:rFonts w:hint="default" w:ascii="Times New Roman" w:hAnsi="Times New Roman" w:eastAsia="宋体" w:cs="Verdana"/>
      <w:sz w:val="21"/>
      <w:szCs w:val="21"/>
      <w:vertAlign w:val="superscript"/>
    </w:rPr>
  </w:style>
  <w:style w:type="table" w:customStyle="1" w:styleId="13">
    <w:name w:val="Table Normal"/>
    <w:basedOn w:val="10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2"/>
    </w:rPr>
  </w:style>
  <w:style w:type="paragraph" w:customStyle="1" w:styleId="15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4914</Words>
  <Characters>5150</Characters>
  <Paragraphs>625</Paragraphs>
  <TotalTime>2</TotalTime>
  <ScaleCrop>false</ScaleCrop>
  <LinksUpToDate>false</LinksUpToDate>
  <CharactersWithSpaces>8068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2026-03-28T17:30:00Z</dcterms:created>
  <dc:creator>wh</dc:creator>
  <cp:lastModifiedBy>文萍</cp:lastModifiedBy>
  <dcterms:modified xsi:type="dcterms:W3CDTF">2026-05-13T09:12:27Z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A36092398FD54131193D046A36D1C792_43</vt:lpwstr>
  </property>
</Properties>
</file>