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  <w:t>渝经信</w:t>
      </w:r>
      <w:r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  <w:t>〔202</w:t>
      </w:r>
      <w:r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  <w:t>号</w:t>
      </w: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b w:val="0"/>
          <w:bCs w:val="0"/>
          <w:kern w:val="0"/>
          <w:sz w:val="32"/>
          <w:szCs w:val="32"/>
        </w:rPr>
      </w:pPr>
    </w:p>
    <w:p>
      <w:pPr>
        <w:pStyle w:val="5"/>
        <w:widowControl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0"/>
          <w:sz w:val="44"/>
          <w:szCs w:val="44"/>
          <w:shd w:val="clear" w:fill="FFFFFF"/>
          <w:lang w:val="en-US" w:eastAsia="zh-CN" w:bidi="ar"/>
        </w:rPr>
        <w:t>重庆市经济和信息化委员会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0"/>
          <w:sz w:val="44"/>
          <w:szCs w:val="44"/>
          <w:shd w:val="clear" w:fill="FFFFFF"/>
          <w:lang w:val="en-US" w:eastAsia="zh-CN" w:bidi="ar"/>
        </w:rPr>
        <w:t>关于公布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shd w:val="clear" w:fill="FFFFFF"/>
          <w:lang w:val="en-US" w:eastAsia="zh-CN" w:bidi="ar"/>
        </w:rPr>
        <w:t>工业设计标志性项目指导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shd w:val="clear" w:fill="FFFFFF"/>
          <w:lang w:val="en-US" w:eastAsia="zh-CN" w:bidi="ar"/>
        </w:rPr>
        <w:t>目录名单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0"/>
          <w:sz w:val="44"/>
          <w:szCs w:val="44"/>
          <w:shd w:val="clear" w:fill="FFFFFF"/>
          <w:lang w:val="en-US" w:eastAsia="zh-CN" w:bidi="ar"/>
        </w:rPr>
        <w:t>的通知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rightChars="0"/>
        <w:jc w:val="lef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right="0" w:rightChars="0"/>
        <w:jc w:val="lef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各区县（自治县）经济信息委，两江新区、西部科学城重庆高新区、万盛经开区经信部门，有关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" w:bidi="ar"/>
        </w:rPr>
        <w:t>单位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leftChars="0" w:right="0" w:rightChars="0"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根据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《重庆市经济和信息化委员会关于征集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年度工业设计标志性项目指导目录的通知》（渝经信服务〔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13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号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）相关要求，经单位申报、区县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经信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部门推荐、专家评审等程序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，现将工业设计标志性项目指导目录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名单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正式公布。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leftChars="0" w:right="0" w:rightChars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各相关区县经信部门要强化政策扶持与建设指导，深入发掘工业设计赋能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33618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现代制造业集群体系建设的优秀实践，协同推进国家工业设计示范城市和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全球设计之都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建设，全面提升生产性服务业核心竞争力与区域影响力。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leftChars="0" w:right="0" w:rightChars="0"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leftChars="0" w:right="0" w:rightChars="0"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leftChars="0" w:right="0" w:rightChars="0"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leftChars="0" w:right="0" w:rightChars="0" w:firstLine="640" w:firstLineChars="200"/>
        <w:jc w:val="right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重庆市经济和信息化委员会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leftChars="0" w:right="0" w:rightChars="0" w:firstLine="640" w:firstLineChars="200"/>
        <w:jc w:val="center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15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8" w:lineRule="atLeast"/>
        <w:ind w:left="0" w:leftChars="0" w:right="0" w:rightChars="0" w:firstLine="640" w:firstLineChars="200"/>
        <w:jc w:val="left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（此件公开发布）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 w:line="600" w:lineRule="atLeast"/>
        <w:ind w:left="0" w:right="0"/>
        <w:jc w:val="both"/>
        <w:rPr>
          <w:rFonts w:hint="eastAsia" w:ascii="Times New Roman" w:hAnsi="Times New Roman" w:eastAsia="方正黑体_GBK" w:cs="方正黑体_GBK"/>
          <w:b w:val="0"/>
          <w:bCs w:val="0"/>
          <w:spacing w:val="-4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kern w:val="2"/>
          <w:sz w:val="32"/>
          <w:szCs w:val="32"/>
          <w:lang w:val="en-US" w:eastAsia="zh-CN" w:bidi="ar"/>
        </w:rPr>
        <w:br w:type="page"/>
      </w:r>
    </w:p>
    <w:p>
      <w:pPr>
        <w:pStyle w:val="2"/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atLeast"/>
        <w:jc w:val="center"/>
        <w:rPr>
          <w:rFonts w:hint="eastAsia" w:ascii="Times New Roman" w:hAnsi="Times New Roman" w:eastAsia="方正小标宋_GBK" w:cs="方正小标宋_GBK"/>
          <w:b w:val="0"/>
          <w:bCs w:val="0"/>
          <w:kern w:val="44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kern w:val="44"/>
          <w:sz w:val="44"/>
          <w:szCs w:val="44"/>
        </w:rPr>
        <w:t>工业设计标志性项目指导目录名单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Times New Roman" w:hAnsi="Times New Roman" w:eastAsia="方正楷体_GBK" w:cs="方正楷体_GBK"/>
          <w:b w:val="0"/>
          <w:bCs w:val="0"/>
          <w:kern w:val="2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 w:val="0"/>
          <w:bCs w:val="0"/>
          <w:kern w:val="2"/>
          <w:sz w:val="28"/>
          <w:szCs w:val="28"/>
          <w:lang w:val="en-US" w:eastAsia="zh-CN" w:bidi="ar"/>
        </w:rPr>
        <w:t>（排名不分先后）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Theme="minorEastAsia" w:cstheme="minorBidi"/>
          <w:b w:val="0"/>
          <w:bCs w:val="0"/>
          <w:kern w:val="2"/>
          <w:sz w:val="21"/>
          <w:szCs w:val="24"/>
        </w:rPr>
      </w:pPr>
      <w:r>
        <w:rPr>
          <w:rFonts w:hint="default" w:ascii="Times New Roman" w:hAnsi="Times New Roman" w:eastAsiaTheme="minorEastAsia" w:cstheme="minorBidi"/>
          <w:b w:val="0"/>
          <w:bCs w:val="0"/>
          <w:kern w:val="2"/>
          <w:sz w:val="21"/>
          <w:szCs w:val="24"/>
          <w:lang w:val="en-US" w:eastAsia="zh-CN" w:bidi="ar"/>
        </w:rPr>
        <w:t xml:space="preserve"> </w:t>
      </w:r>
    </w:p>
    <w:tbl>
      <w:tblPr>
        <w:tblStyle w:val="7"/>
        <w:tblW w:w="90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3907"/>
        <w:gridCol w:w="4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设计新品开发类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清安储能技术（重庆）有限公司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高安全、长寿命储能系统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重庆贝奥新视野医疗设备有限公司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广角眼底照相机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重庆杜塞科技有限公司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酷己自行车及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STARK300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、军刀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190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系列摩托车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重庆市水火土食品产业有限公司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莼小丝食品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重庆瑞竹植物纤维制品有限公司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以竹代塑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竹基新材料系列产品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重庆希尔康血液净化器材研发有限公司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SR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系列一次性使用血液灌流器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重庆百业兴农业科技有限公司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椿菇及春笋酱菜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重庆钝感光波文化传播有限公司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《胜利女神：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NIKKE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》《纸嫁衣》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游戏周边产品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重庆丰海坤翔实业（集团）有限公司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耐用型雨刮器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重庆品胜科技有限公司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移动智能标签打印机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重庆千里科技股份有限公司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星舰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摩托车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七腾机器人有限公司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防爆四足机器人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重庆宇海工业设计研究院有限公司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术中给药器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重庆红江机械有限责任公司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船用低速机重油电控高压共轨系统及发动机清洁燃料喷射系统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重庆标能瑞源储能技术研究院有限公司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超级混动电池系统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威科赛乐微电子股份有限公司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Micro LED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外延片及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976nm FP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高功率激光芯片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重庆江东机械有限责任公司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板材多工位伺服液压成形装备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重庆摩尔水处理设备有限公司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人机交互式超纯水机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重庆新赛亚生物科技有限公司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幽门螺杆菌分型快速检测试剂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重庆志成机械有限公司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一种摩托车发动机气缸头及模具开发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重庆宗申动力机械股份有限公司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汽车发动机系列部件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重庆宗申发动机制造有限公司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二轮、三轮摩托车系列发动机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重庆宗申航空发动机制造股份有限公司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航空活塞发动机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重庆宗申通用动力机械有限公司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1WGQD4.3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系列微耕机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重庆宗申通用动力机械有限公司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通用动力及变频发电机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重庆瑞驰汽车实业有限公司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城市物流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VAN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纯电厢式运输车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重庆长安汽车股份有限公司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新一代智能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SUV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家族矩阵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太极集团重庆桐君阁药厂有限公司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中成药系列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中化学华陆新材料有限公司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气凝胶绝热材料系列产品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重庆市万州区三峡绣手工艺品有限公司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系列刺绣产品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重庆市大足区永利刀具有限公司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组合刀具系列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辉腾能源集团股份有限公司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354kW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低日照高效光伏发电产品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重庆市南方阻燃电线电缆有限公司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阻燃中压电缆系列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重庆三峡电缆（集团）有限公司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AI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智能、防火及光伏电缆产品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重庆润通智能装备有限公司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两轮摩托车系列产品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中冶赛迪装备有限公司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三辊棒材减定径机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阿维塔科技（重庆）股份有限公司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阿维塔系列新能源汽车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重庆云潼科技有限公司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汽车芯片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重庆帝勒金驰通用机械股份有限公司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智能微耕机、发动机及全地形车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重庆华孚工业股份有限公司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汽车动力关重零部件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重庆惠科金渝光电科技有限公司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MiniLED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系列显示屏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重庆兰空无人机技术有限公司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无人机反制系列设备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重庆矢崎仪表有限公司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智能座舱及摩托车显示屏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重庆新美鱼博洋铝业有限公司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铝型材系列产品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重庆渝江压铸股份有限公司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新型加工工艺及零部件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重庆长江造型材料（集团）股份有限公司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无机粘结剂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重庆蓝黛精密部件有限公司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汽车变速器平衡轴总成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重庆蓝黛精密部件有限公司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工业机器人关节执行器总成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重庆美的制冷设备有限公司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全面风柜机新品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重庆浪尖工业设计有限公司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庭院精灵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智能驱蚊灌溉系统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重庆宗申机车工业制造有限公司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赛科龙智能网联摩托车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重庆林洲机械制造有限公司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一种零部件工艺开发及产品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未来（重庆）智能显示技术有限公司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HUD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抬头显示器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重庆众思创智能科技有限公司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opengate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智能总拼软硬一体系统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平台和数据库建设类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重庆市轻工业学校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工业设计新产品试制公共服务中心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四川美术学院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工业与数智设计数据平台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国器智眸（重庆）科技有限公司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离娄工业机器视觉开放平台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光辉城市（重庆）科技有限公司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DIVA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：数字孪生系统构建平台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重庆宗申创新技术研究院有限公司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新能源高端电动摩托车系统车控技术研究及应用平台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重庆市服装设计师协会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西南纹样数字图书馆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重庆交通大学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重庆交通大学工业设计中心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重庆众思创智能科技有限公司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智焊云枢设计平台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重庆市万州区三峡绣手工艺品有限公司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绣品矢量数据库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设计服务创新类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重庆杜塞科技有限公司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电动摩托车全案设计服务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重庆云马品牌设计顾问有限公司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太极拳品牌建设与推广项目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重庆浪尖工业设计有限公司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系列化氢能设备系统解决方案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四川美术学院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超大城市数智治理：两江新区智慧城市（社区）运营中心智能系统设计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重庆市轻工业学校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彩色雨刷器协同设计创新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重庆交通大学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艺术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交通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AI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融合设计创新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意谷智联科技（重庆）有限公司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佳兴环保智慧管网运维平台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重庆索奇工业设计有限公司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汽车设计服务的数字化与协同化创新实践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设计赋能区域特色产业类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申报名称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垫江县经济和信息化委员会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垫江好设计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赋能中小企业创新发展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南川区经济和信息化委员会</w:t>
            </w:r>
          </w:p>
        </w:tc>
        <w:tc>
          <w:tcPr>
            <w:tcW w:w="4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设计驱动赋能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推动中医药产业创新发展</w:t>
            </w:r>
          </w:p>
        </w:tc>
      </w:tr>
    </w:tbl>
    <w:p>
      <w:pPr>
        <w:pStyle w:val="8"/>
        <w:widowControl/>
        <w:spacing w:line="400" w:lineRule="exact"/>
        <w:rPr>
          <w:rFonts w:hint="default" w:ascii="Times New Roman" w:hAnsi="Times New Roman" w:eastAsia="宋体" w:cs="Arial"/>
          <w:b w:val="0"/>
          <w:bCs w:val="0"/>
          <w:color w:val="000000"/>
          <w:kern w:val="0"/>
          <w:sz w:val="24"/>
          <w:szCs w:val="24"/>
        </w:rPr>
      </w:pPr>
    </w:p>
    <w:p>
      <w:pPr>
        <w:rPr>
          <w:rFonts w:ascii="Times New Roman" w:hAnsi="Times New Roman"/>
          <w:b w:val="0"/>
          <w:bCs w:val="0"/>
        </w:rPr>
      </w:pPr>
    </w:p>
    <w:p>
      <w:pPr>
        <w:rPr>
          <w:rFonts w:ascii="Times New Roman" w:hAnsi="Times New Roman"/>
          <w:b w:val="0"/>
          <w:bCs w:val="0"/>
        </w:rPr>
      </w:pPr>
    </w:p>
    <w:p>
      <w:pPr>
        <w:rPr>
          <w:rFonts w:ascii="Times New Roman" w:hAnsi="Times New Roman"/>
          <w:b w:val="0"/>
          <w:bCs w:val="0"/>
        </w:rPr>
      </w:pPr>
    </w:p>
    <w:p>
      <w:pPr>
        <w:rPr>
          <w:rFonts w:ascii="Times New Roman" w:hAnsi="Times New Roman"/>
          <w:b w:val="0"/>
          <w:bCs w:val="0"/>
        </w:rPr>
      </w:pPr>
    </w:p>
    <w:p>
      <w:pPr>
        <w:rPr>
          <w:rFonts w:ascii="Times New Roman" w:hAnsi="Times New Roman"/>
          <w:b w:val="0"/>
          <w:bCs w:val="0"/>
        </w:rPr>
      </w:pPr>
    </w:p>
    <w:p>
      <w:pPr>
        <w:rPr>
          <w:rFonts w:hint="eastAsia" w:ascii="Times New Roman" w:hAnsi="Times New Roman"/>
        </w:rPr>
      </w:pPr>
    </w:p>
    <w:p>
      <w:pPr>
        <w:pBdr>
          <w:top w:val="single" w:color="auto" w:sz="4" w:space="0"/>
          <w:bottom w:val="single" w:color="auto" w:sz="4" w:space="0"/>
        </w:pBdr>
        <w:tabs>
          <w:tab w:val="left" w:pos="315"/>
          <w:tab w:val="left" w:pos="630"/>
        </w:tabs>
        <w:spacing w:beforeLines="0" w:afterLines="0"/>
        <w:rPr>
          <w:rFonts w:ascii="Times New Roman" w:hAnsi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重庆市经济和信息化委员会办公室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日印发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YPs2tIAAAAFAQAADwAA&#10;AAAAAAABACAAAAAiAAAAZHJzL2Rvd25yZXYueG1sUEsBAhQAFAAAAAgAh07iQGItDKSqAQAAPgMA&#10;AA4AAAAAAAAAAQAgAAAAI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07CF56AE"/>
    <w:rsid w:val="107B58BB"/>
    <w:rsid w:val="15ED66B4"/>
    <w:rsid w:val="1BE90C16"/>
    <w:rsid w:val="30272BE7"/>
    <w:rsid w:val="3731013E"/>
    <w:rsid w:val="3A2F6C6D"/>
    <w:rsid w:val="4F242363"/>
    <w:rsid w:val="559F1629"/>
    <w:rsid w:val="76B27111"/>
    <w:rsid w:val="7862114A"/>
    <w:rsid w:val="7BDF7449"/>
    <w:rsid w:val="B77F14E1"/>
    <w:rsid w:val="FBDFD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8">
    <w:name w:val="Default"/>
    <w:basedOn w:val="1"/>
    <w:uiPriority w:val="0"/>
    <w:pPr>
      <w:keepNext w:val="0"/>
      <w:keepLines w:val="0"/>
      <w:widowControl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color w:val="000000"/>
      <w:kern w:val="0"/>
      <w:sz w:val="24"/>
      <w:szCs w:val="24"/>
      <w:lang w:val="en-US" w:eastAsia="zh-CN" w:bidi="ar"/>
    </w:rPr>
  </w:style>
  <w:style w:type="paragraph" w:customStyle="1" w:styleId="9">
    <w:name w:val="UserStyle_0"/>
    <w:next w:val="1"/>
    <w:qFormat/>
    <w:uiPriority w:val="0"/>
    <w:pPr>
      <w:textAlignment w:val="baseline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2026-03-27T01:30:00Z</dcterms:created>
  <dc:creator>wh</dc:creator>
  <cp:lastModifiedBy>Administrator</cp:lastModifiedBy>
  <dcterms:modified xsi:type="dcterms:W3CDTF">2026-04-16T08:51:39Z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803EA7121FFA7765BE38E0695EAB6BC2_43</vt:lpwstr>
  </property>
</Properties>
</file>