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重庆市经济和信息化委员会</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重  庆  市  财  政  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重  庆  市  国  税  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重  庆  市  地  税  局</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重    庆     海     关</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关于印发重庆市企业技术中心认定</w:t>
      </w:r>
    </w:p>
    <w:p>
      <w:pPr>
        <w:pStyle w:val="13"/>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Style w:val="10"/>
          <w:rFonts w:hint="default" w:ascii="Times New Roman" w:hAnsi="Times New Roman" w:eastAsia="方正小标宋_GBK" w:cs="Times New Roman"/>
          <w:b w:val="0"/>
          <w:bCs/>
          <w:kern w:val="2"/>
          <w:sz w:val="44"/>
          <w:szCs w:val="44"/>
          <w:shd w:val="clear" w:color="auto" w:fill="FFFFFF"/>
          <w:lang w:val="en-US" w:eastAsia="zh-CN" w:bidi="ar-SA"/>
        </w:rPr>
      </w:pPr>
      <w:r>
        <w:rPr>
          <w:rStyle w:val="10"/>
          <w:rFonts w:hint="default" w:ascii="Times New Roman" w:hAnsi="Times New Roman" w:eastAsia="方正小标宋_GBK" w:cs="Times New Roman"/>
          <w:b w:val="0"/>
          <w:bCs/>
          <w:kern w:val="2"/>
          <w:sz w:val="44"/>
          <w:szCs w:val="44"/>
          <w:shd w:val="clear" w:color="auto" w:fill="FFFFFF"/>
          <w:lang w:val="en-US" w:eastAsia="zh-CN" w:bidi="ar-SA"/>
        </w:rPr>
        <w:t>管理办法的通知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渝经信发〔2016〕86号</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宋体" w:cs="Times New Roman"/>
          <w:i w:val="0"/>
          <w:caps w:val="0"/>
          <w:color w:val="auto"/>
          <w:spacing w:val="0"/>
          <w:sz w:val="44"/>
          <w:szCs w:val="44"/>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各区县（自治县）经济信息委、财政局、国税局、地税局，两江新区、万盛经开区产业、财政、税务主管部门，各控股（集团）公司，各市级大型企业，各有关单位：</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为加快实施创新驱动发展战略，进一步发挥重庆市企业技术中心在企业技术创新体系、产业创新体系和区域创新体系中的引导和示范作用，促进重庆市企业技术中心的建设和发展，规范重庆市企业技术中心管理，根据国家发展改革委、科技部、财政部、海关总署、国家税务总局联合下发的《国家企业技术中心认定管理办法》（2016年第34号令）的要求，结合我市实际，重新制定了《重庆市企业技术中心认定管理办法》，现印发给你们，请认真贯彻执行。2011年印发的《重庆市认定企业技术中心管理办法》（渝经信发〔2011〕88号）同时废止。</w:t>
      </w:r>
    </w:p>
    <w:p>
      <w:pPr>
        <w:pStyle w:val="4"/>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特此通知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p>
    <w:p>
      <w:pPr>
        <w:pStyle w:val="4"/>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重庆市经济信息委   重庆市财政局    重庆市国税局</w:t>
      </w:r>
    </w:p>
    <w:p>
      <w:pPr>
        <w:pStyle w:val="4"/>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重庆市地税局        重庆海关</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2016年11月15日</w:t>
      </w:r>
    </w:p>
    <w:p>
      <w:pPr>
        <w:keepNext w:val="0"/>
        <w:keepLines w:val="0"/>
        <w:pageBreakBefore w:val="0"/>
        <w:widowControl w:val="0"/>
        <w:kinsoku/>
        <w:overflowPunct/>
        <w:topLinePunct w:val="0"/>
        <w:autoSpaceDE/>
        <w:autoSpaceDN/>
        <w:bidi w:val="0"/>
        <w:adjustRightInd/>
        <w:snapToGrid/>
        <w:spacing w:beforeAutospacing="0" w:afterAutospacing="0" w:line="60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重庆市企业技术中心认定管理办法</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第一章　总  则</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第一条</w:t>
      </w:r>
      <w:r>
        <w:rPr>
          <w:rFonts w:hint="default" w:ascii="Times New Roman" w:hAnsi="Times New Roman" w:eastAsia="方正仿宋_GBK" w:cs="Times New Roman"/>
          <w:kern w:val="0"/>
          <w:sz w:val="32"/>
          <w:szCs w:val="32"/>
        </w:rPr>
        <w:t>　为加快实施创新驱动发展战略，进一步发挥重庆市企业技术中心在企业技术创新体系、产业创新体系和区域创新体系中的引导和示范作用，促进重庆市企业技术中心的建设和发展，规范重庆市企业技术中心管理，依据《国家企业技术中心认定管理办法》，特制定本办法。</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第二条</w:t>
      </w:r>
      <w:r>
        <w:rPr>
          <w:rFonts w:hint="default" w:ascii="Times New Roman" w:hAnsi="Times New Roman" w:eastAsia="方正仿宋_GBK" w:cs="Times New Roman"/>
          <w:kern w:val="0"/>
          <w:sz w:val="32"/>
          <w:szCs w:val="32"/>
        </w:rPr>
        <w:t>　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第三条</w:t>
      </w:r>
      <w:r>
        <w:rPr>
          <w:rFonts w:hint="default" w:ascii="Times New Roman" w:hAnsi="Times New Roman" w:eastAsia="方正仿宋_GBK" w:cs="Times New Roman"/>
          <w:kern w:val="0"/>
          <w:sz w:val="32"/>
          <w:szCs w:val="32"/>
        </w:rPr>
        <w:t xml:space="preserve">  重庆市鼓励和支持企业建立技术中心，发挥企业在技术创新中的主体作用，建立健全企业主导产业技术研发创新的体制机制。重庆市根据创新驱动发展要求和经济结构调整需要，对创新能力强、创新机制好、创新业绩显著、引领示范作用大、符合条件的企业技术中心予以认定，并给予政策支持，鼓励和引导企业提高创新能力和带动产业技术进步。</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第四条</w:t>
      </w:r>
      <w:r>
        <w:rPr>
          <w:rFonts w:hint="default" w:ascii="Times New Roman" w:hAnsi="Times New Roman" w:eastAsia="方正仿宋_GBK" w:cs="Times New Roman"/>
          <w:kern w:val="0"/>
          <w:sz w:val="32"/>
          <w:szCs w:val="32"/>
        </w:rPr>
        <w:t>　重庆市经济和信息化委员会（以下简称市经济信息委）、重庆市财政局（以下简称市财政局）、重庆市国家税务局（以下简称市国税局）、重庆市地方税务局（以下简称市地税局）、重庆海关负责指导协调重庆市企业技术中心相关工作。市经济信息委负责重庆市企业技术中心认定的具体组织工作和评价工作。</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第二章 认定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第五条</w:t>
      </w:r>
      <w:r>
        <w:rPr>
          <w:rFonts w:hint="default" w:ascii="Times New Roman" w:hAnsi="Times New Roman" w:eastAsia="方正仿宋_GBK" w:cs="Times New Roman"/>
          <w:kern w:val="0"/>
          <w:sz w:val="32"/>
          <w:szCs w:val="32"/>
        </w:rPr>
        <w:t xml:space="preserve">  重庆市企业技术中心的认定，原则上每年进行一次，受理认定申请的截止日期为每年4月30日。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第六条</w:t>
      </w:r>
      <w:r>
        <w:rPr>
          <w:rFonts w:hint="default" w:ascii="Times New Roman" w:hAnsi="Times New Roman" w:eastAsia="方正仿宋_GBK" w:cs="Times New Roman"/>
          <w:kern w:val="0"/>
          <w:sz w:val="32"/>
          <w:szCs w:val="32"/>
        </w:rPr>
        <w:t xml:space="preserve">　重庆市企业技术中心应当具备以下基本条件：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1.重庆市行政区域范围内的企业所建立和正常运行一年以上的企业技术中心。申报企业所在区县已开展区县级企业技术中心认定工作的，原则上应取得区县级企业技术中心资质。</w:t>
      </w:r>
    </w:p>
    <w:p>
      <w:pPr>
        <w:pStyle w:val="7"/>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textAlignment w:val="baseline"/>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2.企业主营业务收入在5000万元以上（高新技术企业放宽到3000万元，具有自主知识产权的软件产品或核心技术服务的软件和信息技术企业放宽到2000万元）。</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3.企业在本市行业中具有显著的发展优势和竞争优势，具有较强的技术创新能力和水平。</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4.企业具有较好的技术创新机制，企业技术中心组织体系健全，发展规划和目标明确，创新效率和效益显著。</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5.有较高的研究开发投入，年度研究与试验发展经费支出额不低于150万元，研究开发与创新水平在全市同行业中处于领先地位。</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6.拥有技术水平高、实践经验丰富的技术带头人，科技人员队伍结构合理，在全市同行业中具有较强的创新人才优势，专职研究与试验发展人员数不少于30人。</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7.具有较完善的研发、试验和检测等条件，技术开发仪器设备原值不低于300万元。</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default" w:ascii="Times New Roman" w:hAnsi="Times New Roman" w:eastAsia="方正仿宋_GBK" w:cs="Times New Roman"/>
          <w:sz w:val="32"/>
          <w:szCs w:val="32"/>
        </w:rPr>
        <w:t>企业在申请受理截止日期前两年内，不得存在下列情况：</w:t>
      </w: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sz w:val="32"/>
          <w:szCs w:val="32"/>
        </w:rPr>
        <w:t>因违反海关法及有关法律、行政法规，构成走私行为，受到刑事、行政处罚，或因严重违反海关监管规定受到行政处罚</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sz w:val="32"/>
          <w:szCs w:val="32"/>
        </w:rPr>
        <w:t>因违反税收征管法及有关法律、行政法规，构成偷税、骗取出口退税等严重税收违法行为。</w:t>
      </w:r>
      <w:r>
        <w:rPr>
          <w:rFonts w:hint="default" w:ascii="Times New Roman" w:hAnsi="Times New Roman" w:eastAsia="方正仿宋_GBK" w:cs="Times New Roman"/>
          <w:kern w:val="0"/>
          <w:sz w:val="32"/>
          <w:szCs w:val="32"/>
        </w:rPr>
        <w:t xml:space="preserve">（3）司法、行政机关认定的其他严重违法失信行为。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第七条</w:t>
      </w:r>
      <w:r>
        <w:rPr>
          <w:rFonts w:hint="default" w:ascii="Times New Roman" w:hAnsi="Times New Roman" w:eastAsia="方正仿宋_GBK" w:cs="Times New Roman"/>
          <w:kern w:val="0"/>
          <w:sz w:val="32"/>
          <w:szCs w:val="32"/>
        </w:rPr>
        <w:t xml:space="preserve">　重庆市企业技术中心认定程序：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企业向相关主管部门提出申请并按要求上报申请材料，申请材料包括：《重庆市企业技术中心申请报告》（以下简称申请报告）（见附件一）和《重庆市企业技术中心评价材料》（见附件二），同时，登录企业技术中心网上管理系统按要求填报相关数据。</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2.相关主管部门对企业上报的申请材料进行初审，并将初审合格企业的申请材料和推荐意见加盖公章后在规定的时间内上报市经济信息委。</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3.市经济信息委组织专家或委托第三方机构按照《重庆市企业技术中心评价指标体系》（见附件三），对企业申请材料进行初评。</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4.市经济信息委组织专家或委托第三方机构对初评合格的企业开展企业技术中心运行情况答辩。</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5.市经济信息委牵头组织市财政局、市国税局、市地税局、重庆海关对运行情况答辩合格的企业进行现场核查。</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6.市经济信息委会同市财政局、市国税局、市地税局、重庆海关依据国家产业政策、初评结果答辩结果和现场核查的情况等进行综合审查后，择优确定重庆市企业技术中心名单。</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市经济信息委会同市财政局、市国税局、市地税局、重庆海关对认定结果，联合行文予以公布并授牌。</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第三章　评价</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第九条</w:t>
      </w:r>
      <w:r>
        <w:rPr>
          <w:rFonts w:hint="default" w:ascii="Times New Roman" w:hAnsi="Times New Roman" w:eastAsia="方正仿宋_GBK" w:cs="Times New Roman"/>
          <w:kern w:val="0"/>
          <w:sz w:val="32"/>
          <w:szCs w:val="32"/>
        </w:rPr>
        <w:t xml:space="preserve">  重庆市企业技术中心应按主管部门的要求定期填报相关运行情况数据。</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依据重庆市企业技术中心评价指标体系，原则上每两年(偶数年)组织进行一次重庆市企业技术中心运行评价。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第十一条</w:t>
      </w:r>
      <w:r>
        <w:rPr>
          <w:rFonts w:hint="default" w:ascii="Times New Roman" w:hAnsi="Times New Roman" w:eastAsia="方正仿宋_GBK" w:cs="Times New Roman"/>
          <w:kern w:val="0"/>
          <w:sz w:val="32"/>
          <w:szCs w:val="32"/>
        </w:rPr>
        <w:t>  评价原则：</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0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pacing w:val="-10"/>
          <w:kern w:val="0"/>
          <w:sz w:val="32"/>
          <w:szCs w:val="32"/>
        </w:rPr>
        <w:t>1.客观反映技术中心建设发展状况。</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2.定量评价与定性评价相结合。</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3.资料评价考核与企业实地核查相结合。</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第十二条</w:t>
      </w:r>
      <w:r>
        <w:rPr>
          <w:rFonts w:hint="default" w:ascii="Times New Roman" w:hAnsi="Times New Roman" w:eastAsia="方正仿宋_GBK" w:cs="Times New Roman"/>
          <w:kern w:val="0"/>
          <w:sz w:val="32"/>
          <w:szCs w:val="32"/>
        </w:rPr>
        <w:t>　评价程序：</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资料报送。重庆市企业技术中心按照当年评价通知要求，将评价材料报相关主管部门，评价材料包括：《重庆市企业技术中心年度工作总结》（附件四）和《重庆市企业技术中心评价材料》（见附件二）等。同时，登录企业技术中心网上管理系统按要求填报相关数据。</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2.材料初审。相关主管部门对重庆市企业技术中心上报的材料进行审查，并出具审查意见，加盖公章后于当年4月30日前报市经济信息委。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评审核查。市经济信息委组织专家或委托第三方机构按照《重庆市企业技术中心评价指标体系》（见附件三），对重庆市企业技术中心上报的评价材料及相关情况进行核查、评价，核查方式包括召开核查会和实地核查等。</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4.结果确认。市经济信息委对专家或第三方机构提交的评价结果进行审核并确认。</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第十三条</w:t>
      </w:r>
      <w:r>
        <w:rPr>
          <w:rFonts w:hint="default" w:ascii="Times New Roman" w:hAnsi="Times New Roman" w:eastAsia="方正仿宋_GBK" w:cs="Times New Roman"/>
          <w:kern w:val="0"/>
          <w:sz w:val="32"/>
          <w:szCs w:val="32"/>
        </w:rPr>
        <w:t>　评价结果分为优秀、良好、基本合格和不合格。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1.评价得分90分及以上为优秀。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2.评价得分80分（含80分）至90分之间为良好。</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3.评价得分65分（含65分）至80分之间为合格。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4.评价得分60分（含60分）至65分之间为基本合格。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5.有下列情况之一的评价为不合格。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（1）评价得分低于60分；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（2）逾期不上报评价材料的企业技术中心；</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（3）企业研究与试验发展经费支出额、企业专职研究与试验发展人员数、技术开发仪器设备原值三项指标中任何一项低于评价指标体系规定的最低标准。</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第十四条</w:t>
      </w:r>
      <w:r>
        <w:rPr>
          <w:rFonts w:hint="default" w:ascii="Times New Roman" w:hAnsi="Times New Roman" w:eastAsia="方正仿宋_GBK" w:cs="Times New Roman"/>
          <w:kern w:val="0"/>
          <w:sz w:val="32"/>
          <w:szCs w:val="32"/>
        </w:rPr>
        <w:t>　市经济信息委对评价结果予以公布。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第四章　调整与撤销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第十五条</w:t>
      </w:r>
      <w:r>
        <w:rPr>
          <w:rFonts w:hint="default" w:ascii="Times New Roman" w:hAnsi="Times New Roman" w:eastAsia="方正仿宋_GBK" w:cs="Times New Roman"/>
          <w:kern w:val="0"/>
          <w:sz w:val="32"/>
          <w:szCs w:val="32"/>
        </w:rPr>
        <w:t>　有下列情况之一的，撤消重庆市企业技术中心资格：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1.评价不合格；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2.逾期未报送评价材料和连续两次未按主管部门要求填报相关运行情况数据；</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3.提供虚假材料和数据；</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4.重庆市企业技术中心所在企业自行要求撤销其重庆市企业技术中心资格；</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 xml:space="preserve">5.主要由于技术原因发生重大质量、安全事故的企业；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default" w:ascii="Times New Roman" w:hAnsi="Times New Roman" w:eastAsia="方正仿宋_GBK" w:cs="Times New Roman"/>
          <w:sz w:val="32"/>
          <w:szCs w:val="32"/>
        </w:rPr>
        <w:t>因违反海关法及有关法律、行政法规，构成走私行为， 受到刑事、行政处罚，或因严重违反海关监管规定受到行政处罚；</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w:t>
      </w:r>
      <w:r>
        <w:rPr>
          <w:rFonts w:hint="default" w:ascii="Times New Roman" w:hAnsi="Times New Roman" w:eastAsia="方正仿宋_GBK" w:cs="Times New Roman"/>
          <w:sz w:val="32"/>
          <w:szCs w:val="32"/>
        </w:rPr>
        <w:t>因违反税收征管法及有关法律、行政法规，构成偷税、 骗取出口退税等严重税收违法行为；</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8.司法、行政机关认定的其他严重违法失信行为；</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9.企业被依法终止。</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第十六条　市经济信息委会同市财政局、市国税局、市地税局、重庆海关对重庆市企业技术中心的调整、撤销和更名结果予以公布。</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第五章　管理与政策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第十七条</w:t>
      </w:r>
      <w:r>
        <w:rPr>
          <w:rFonts w:hint="default" w:ascii="Times New Roman" w:hAnsi="Times New Roman" w:eastAsia="方正仿宋_GBK" w:cs="Times New Roman"/>
          <w:kern w:val="0"/>
          <w:sz w:val="32"/>
          <w:szCs w:val="32"/>
        </w:rPr>
        <w:t xml:space="preserve">　企业上报的申请重庆市企业技术中心材料和重庆市企业技术中心上报的评价材料内容和数据应真实可靠。提供虚假材料的企业，经核实后，申请重庆市企业技术中心认定的企业两年内不得再申请认定；已是重庆市企业技术中心的撤消其重庆市企业技术中心资格，两年内不得再申请重庆市认定。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spacing w:val="-8"/>
          <w:kern w:val="0"/>
          <w:sz w:val="32"/>
          <w:szCs w:val="32"/>
        </w:rPr>
      </w:pPr>
      <w:r>
        <w:rPr>
          <w:rFonts w:hint="default" w:ascii="Times New Roman" w:hAnsi="Times New Roman" w:eastAsia="方正黑体_GBK" w:cs="Times New Roman"/>
          <w:kern w:val="0"/>
          <w:sz w:val="32"/>
          <w:szCs w:val="32"/>
        </w:rPr>
        <w:t>第十八条</w:t>
      </w:r>
      <w:r>
        <w:rPr>
          <w:rFonts w:hint="default" w:ascii="Times New Roman" w:hAnsi="Times New Roman" w:eastAsia="方正仿宋_GBK" w:cs="Times New Roman"/>
          <w:kern w:val="0"/>
          <w:sz w:val="32"/>
          <w:szCs w:val="32"/>
        </w:rPr>
        <w:t>　因第十五条原因被撤销重庆市企业技术中心资格的，两年内不得重新申报重庆市企业技术中心认定。</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08"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spacing w:val="-8"/>
          <w:kern w:val="0"/>
          <w:sz w:val="32"/>
          <w:szCs w:val="32"/>
        </w:rPr>
        <w:t>第十九条</w:t>
      </w:r>
      <w:r>
        <w:rPr>
          <w:rFonts w:hint="default" w:ascii="Times New Roman" w:hAnsi="Times New Roman" w:eastAsia="方正仿宋_GBK" w:cs="Times New Roman"/>
          <w:spacing w:val="-8"/>
          <w:kern w:val="0"/>
          <w:sz w:val="32"/>
          <w:szCs w:val="32"/>
        </w:rPr>
        <w:t>　 对于评价得分60分至65分（含65分）的重庆市企业技术中心，给予警告，并由相关主管部门负责督促整改。</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第二十条</w:t>
      </w:r>
      <w:r>
        <w:rPr>
          <w:rFonts w:hint="default" w:ascii="Times New Roman" w:hAnsi="Times New Roman" w:eastAsia="方正仿宋_GBK" w:cs="Times New Roman"/>
          <w:kern w:val="0"/>
          <w:sz w:val="32"/>
          <w:szCs w:val="32"/>
        </w:rPr>
        <w:t>　重庆市企业技术中心所在企业发生更名、重组等重大调整的，应在办理相关手续后30个工作日内向相关主管部门报告，并由相关主管部门将有关情况报重庆市经济信息委。</w:t>
      </w:r>
    </w:p>
    <w:p>
      <w:pPr>
        <w:keepNext w:val="0"/>
        <w:keepLines w:val="0"/>
        <w:pageBreakBefore w:val="0"/>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第二十一条</w:t>
      </w:r>
      <w:r>
        <w:rPr>
          <w:rFonts w:hint="default" w:ascii="Times New Roman" w:hAnsi="Times New Roman" w:eastAsia="方正仿宋_GBK" w:cs="Times New Roman"/>
          <w:kern w:val="0"/>
          <w:sz w:val="32"/>
          <w:szCs w:val="32"/>
        </w:rPr>
        <w:t xml:space="preserve"> 市经济信息委会同市财政局对</w:t>
      </w:r>
      <w:r>
        <w:rPr>
          <w:rFonts w:hint="default" w:ascii="Times New Roman" w:hAnsi="Times New Roman" w:eastAsia="方正仿宋_GBK" w:cs="Times New Roman"/>
          <w:sz w:val="32"/>
          <w:szCs w:val="32"/>
        </w:rPr>
        <w:t>新认定和在运行评价中获优秀等次的市级及以上企业技术中心给予补贴，补贴资金从重庆市产业技术创新专项资金中统筹安排。</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第二十二条</w:t>
      </w:r>
      <w:r>
        <w:rPr>
          <w:rFonts w:hint="default" w:ascii="Times New Roman" w:hAnsi="Times New Roman" w:eastAsia="方正仿宋_GBK" w:cs="Times New Roman"/>
          <w:kern w:val="0"/>
          <w:sz w:val="32"/>
          <w:szCs w:val="32"/>
        </w:rPr>
        <w:t> 各区县经济信息委及各企业主管部门负责对管辖范围内的重庆市企业技术中心进行日常管理，督促企业报送相关报表及评价材料，并积极建立各区县企业技术中心管理体系，推动企业创新能力建设。</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仿宋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jc w:val="center"/>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第六章　附则 </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黑体_GBK" w:cs="Times New Roman"/>
          <w:kern w:val="0"/>
          <w:sz w:val="32"/>
          <w:szCs w:val="32"/>
        </w:rPr>
      </w:pP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第二十三条</w:t>
      </w:r>
      <w:r>
        <w:rPr>
          <w:rFonts w:hint="default" w:ascii="Times New Roman" w:hAnsi="Times New Roman" w:eastAsia="方正仿宋_GBK" w:cs="Times New Roman"/>
          <w:kern w:val="0"/>
          <w:sz w:val="32"/>
          <w:szCs w:val="32"/>
        </w:rPr>
        <w:t xml:space="preserve">   各相关主管部门可参照本办法，结合实际，在职责范围内依法制定相应政策，支持企业技术中心建设。</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第二十四条</w:t>
      </w:r>
      <w:r>
        <w:rPr>
          <w:rFonts w:hint="default" w:ascii="Times New Roman" w:hAnsi="Times New Roman" w:eastAsia="方正仿宋_GBK" w:cs="Times New Roman"/>
          <w:kern w:val="0"/>
          <w:sz w:val="32"/>
          <w:szCs w:val="32"/>
        </w:rPr>
        <w:t xml:space="preserve">   本办法涉及的《重庆市企业技术中心评价指标体系》的内容和要求，由市经济信息委商有关部门适时调整，在申报（评价）通知中印发。</w:t>
      </w:r>
    </w:p>
    <w:p>
      <w:pPr>
        <w:keepNext w:val="0"/>
        <w:keepLines w:val="0"/>
        <w:pageBreakBefore w:val="0"/>
        <w:widowControl/>
        <w:kinsoku/>
        <w:overflowPunct/>
        <w:topLinePunct w:val="0"/>
        <w:autoSpaceDE/>
        <w:autoSpaceDN/>
        <w:bidi w:val="0"/>
        <w:adjustRightInd w:val="0"/>
        <w:snapToGrid w:val="0"/>
        <w:spacing w:beforeAutospacing="0" w:afterAutospacing="0" w:line="600" w:lineRule="exact"/>
        <w:ind w:left="0" w:leftChars="0" w:right="0" w:rightChars="0" w:firstLine="640" w:firstLineChars="200"/>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第二十五条</w:t>
      </w:r>
      <w:r>
        <w:rPr>
          <w:rFonts w:hint="default" w:ascii="Times New Roman" w:hAnsi="Times New Roman" w:eastAsia="方正仿宋_GBK" w:cs="Times New Roman"/>
          <w:kern w:val="0"/>
          <w:sz w:val="32"/>
          <w:szCs w:val="32"/>
        </w:rPr>
        <w:t>　本办法从印发之日起施行。原《重庆市认定企业技术中心管理办法》（渝经信发〔2011〕88号）同时废止。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黑体_GBK" w:cs="Times New Roman"/>
          <w:kern w:val="0"/>
          <w:sz w:val="32"/>
          <w:szCs w:val="32"/>
        </w:rPr>
        <w:t>第二十六条</w:t>
      </w:r>
      <w:r>
        <w:rPr>
          <w:rFonts w:hint="default" w:ascii="Times New Roman" w:hAnsi="Times New Roman" w:eastAsia="方正仿宋_GBK" w:cs="Times New Roman"/>
          <w:kern w:val="0"/>
          <w:sz w:val="32"/>
          <w:szCs w:val="32"/>
        </w:rPr>
        <w:t>　本办法由市经济信息委会同市财政局、市国税局、市地税局、重庆海关负责解释。</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pStyle w:val="14"/>
        <w:spacing w:before="0" w:beforeAutospacing="0" w:after="0" w:afterAutospacing="0"/>
        <w:jc w:val="both"/>
        <w:rPr>
          <w:rStyle w:val="10"/>
          <w:rFonts w:hint="eastAsia" w:ascii="方正黑体_GBK" w:hAnsi="仿宋" w:eastAsia="方正黑体_GBK"/>
          <w:b w:val="0"/>
          <w:kern w:val="2"/>
        </w:rPr>
      </w:pPr>
      <w:r>
        <w:rPr>
          <w:rStyle w:val="10"/>
          <w:rFonts w:hint="eastAsia" w:ascii="方正黑体_GBK" w:hAnsi="楷体" w:eastAsia="方正黑体_GBK"/>
          <w:b w:val="0"/>
          <w:kern w:val="2"/>
        </w:rPr>
        <w:t>附件1</w:t>
      </w:r>
    </w:p>
    <w:p>
      <w:pPr>
        <w:pStyle w:val="14"/>
        <w:widowControl w:val="0"/>
        <w:adjustRightInd w:val="0"/>
        <w:snapToGrid w:val="0"/>
        <w:spacing w:before="0" w:beforeAutospacing="0" w:after="0" w:afterAutospacing="0" w:line="600" w:lineRule="atLeast"/>
        <w:jc w:val="both"/>
        <w:rPr>
          <w:rStyle w:val="10"/>
          <w:rFonts w:hint="eastAsia" w:ascii="方正仿宋_GBK" w:hAnsi="仿宋" w:eastAsia="方正仿宋_GBK"/>
          <w:b w:val="0"/>
          <w:kern w:val="2"/>
        </w:rPr>
      </w:pPr>
    </w:p>
    <w:p>
      <w:pPr>
        <w:pStyle w:val="14"/>
        <w:widowControl w:val="0"/>
        <w:adjustRightInd w:val="0"/>
        <w:snapToGrid w:val="0"/>
        <w:spacing w:before="0" w:beforeAutospacing="0" w:after="0" w:afterAutospacing="0" w:line="600" w:lineRule="atLeast"/>
        <w:jc w:val="center"/>
        <w:rPr>
          <w:rFonts w:hint="eastAsia" w:ascii="方正小标宋_GBK" w:hAnsi="仿宋" w:eastAsia="方正小标宋_GBK"/>
          <w:sz w:val="44"/>
          <w:szCs w:val="44"/>
        </w:rPr>
      </w:pPr>
      <w:r>
        <w:rPr>
          <w:rStyle w:val="10"/>
          <w:rFonts w:hint="eastAsia" w:ascii="方正小标宋_GBK" w:hAnsi="仿宋" w:eastAsia="方正小标宋_GBK"/>
          <w:b w:val="0"/>
          <w:kern w:val="2"/>
          <w:sz w:val="44"/>
          <w:szCs w:val="44"/>
        </w:rPr>
        <w:t>《重庆市企业技术中心申请报告》编写提纲</w:t>
      </w:r>
    </w:p>
    <w:p>
      <w:pPr>
        <w:pStyle w:val="8"/>
        <w:widowControl w:val="0"/>
        <w:adjustRightInd w:val="0"/>
        <w:snapToGrid w:val="0"/>
        <w:spacing w:before="0" w:beforeAutospacing="0" w:after="0" w:afterAutospacing="0" w:line="600" w:lineRule="atLeast"/>
        <w:jc w:val="both"/>
        <w:rPr>
          <w:rStyle w:val="10"/>
          <w:rFonts w:hint="eastAsia" w:ascii="方正仿宋_GBK" w:hAnsi="仿宋" w:eastAsia="方正仿宋_GBK"/>
          <w:b w:val="0"/>
          <w:kern w:val="2"/>
          <w:sz w:val="32"/>
          <w:szCs w:val="32"/>
        </w:rPr>
      </w:pPr>
    </w:p>
    <w:p>
      <w:pPr>
        <w:pStyle w:val="8"/>
        <w:widowControl w:val="0"/>
        <w:adjustRightInd w:val="0"/>
        <w:snapToGrid w:val="0"/>
        <w:spacing w:before="0" w:beforeAutospacing="0" w:after="0" w:afterAutospacing="0" w:line="600" w:lineRule="atLeast"/>
        <w:jc w:val="both"/>
        <w:rPr>
          <w:rFonts w:hint="eastAsia" w:ascii="方正黑体_GBK" w:hAnsi="黑体" w:eastAsia="方正黑体_GBK"/>
          <w:kern w:val="2"/>
          <w:sz w:val="32"/>
          <w:szCs w:val="32"/>
        </w:rPr>
      </w:pPr>
      <w:r>
        <w:rPr>
          <w:rStyle w:val="10"/>
          <w:rFonts w:hint="eastAsia" w:ascii="方正仿宋_GBK" w:hAnsi="仿宋" w:eastAsia="方正仿宋_GBK"/>
          <w:b w:val="0"/>
          <w:kern w:val="2"/>
          <w:sz w:val="32"/>
          <w:szCs w:val="32"/>
        </w:rPr>
        <w:t>　　</w:t>
      </w:r>
      <w:r>
        <w:rPr>
          <w:rStyle w:val="10"/>
          <w:rFonts w:hint="eastAsia" w:ascii="方正黑体_GBK" w:hAnsi="黑体" w:eastAsia="方正黑体_GBK"/>
          <w:b w:val="0"/>
          <w:kern w:val="2"/>
          <w:sz w:val="32"/>
          <w:szCs w:val="32"/>
        </w:rPr>
        <w:t>一、企业（集团）的基本情况</w:t>
      </w:r>
    </w:p>
    <w:p>
      <w:pPr>
        <w:pStyle w:val="8"/>
        <w:widowControl w:val="0"/>
        <w:adjustRightInd w:val="0"/>
        <w:snapToGrid w:val="0"/>
        <w:spacing w:before="0" w:beforeAutospacing="0" w:after="0" w:afterAutospacing="0" w:line="600" w:lineRule="atLeast"/>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　　1.企业经营管理等基本情况，包括所有制性质</w:t>
      </w:r>
      <w:r>
        <w:rPr>
          <w:rFonts w:hint="eastAsia" w:ascii="方正仿宋_GBK" w:hAnsi="仿宋" w:eastAsia="方正仿宋_GBK"/>
          <w:color w:val="000000"/>
          <w:kern w:val="2"/>
          <w:sz w:val="32"/>
          <w:szCs w:val="32"/>
        </w:rPr>
        <w:t>与隶属关系</w:t>
      </w:r>
      <w:r>
        <w:rPr>
          <w:rFonts w:hint="eastAsia" w:ascii="方正仿宋_GBK" w:hAnsi="仿宋" w:eastAsia="方正仿宋_GBK"/>
          <w:kern w:val="2"/>
          <w:sz w:val="32"/>
          <w:szCs w:val="32"/>
        </w:rPr>
        <w:t>、主要下属企业、职工人数、企业总资产、资产负债率、银行信用等级、销售收入、利润、</w:t>
      </w:r>
      <w:r>
        <w:rPr>
          <w:rFonts w:hint="eastAsia" w:ascii="方正仿宋_GBK" w:hAnsi="仿宋" w:eastAsia="方正仿宋_GBK"/>
          <w:color w:val="000000"/>
          <w:kern w:val="2"/>
          <w:sz w:val="32"/>
          <w:szCs w:val="32"/>
        </w:rPr>
        <w:t>税收、</w:t>
      </w:r>
      <w:r>
        <w:rPr>
          <w:rFonts w:hint="eastAsia" w:ascii="方正仿宋_GBK" w:hAnsi="仿宋" w:eastAsia="方正仿宋_GBK"/>
          <w:kern w:val="2"/>
          <w:sz w:val="32"/>
          <w:szCs w:val="32"/>
        </w:rPr>
        <w:t>主导产品及市场占有率、技术来源等。</w:t>
      </w:r>
    </w:p>
    <w:p>
      <w:pPr>
        <w:pStyle w:val="8"/>
        <w:widowControl w:val="0"/>
        <w:adjustRightInd w:val="0"/>
        <w:snapToGrid w:val="0"/>
        <w:spacing w:before="0" w:beforeAutospacing="0" w:after="0" w:afterAutospacing="0" w:line="600" w:lineRule="atLeast"/>
        <w:ind w:firstLine="640" w:firstLineChars="200"/>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2.企业在行业中的地位和作用。</w:t>
      </w:r>
    </w:p>
    <w:p>
      <w:pPr>
        <w:pStyle w:val="8"/>
        <w:widowControl w:val="0"/>
        <w:adjustRightInd w:val="0"/>
        <w:snapToGrid w:val="0"/>
        <w:spacing w:before="0" w:beforeAutospacing="0" w:after="0" w:afterAutospacing="0" w:line="600" w:lineRule="atLeast"/>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　　3.企业在本产业领域技术创新中的作用和竞争能力。</w:t>
      </w:r>
    </w:p>
    <w:p>
      <w:pPr>
        <w:pStyle w:val="8"/>
        <w:widowControl w:val="0"/>
        <w:adjustRightInd w:val="0"/>
        <w:snapToGrid w:val="0"/>
        <w:spacing w:before="0" w:beforeAutospacing="0" w:after="0" w:afterAutospacing="0" w:line="600" w:lineRule="atLeast"/>
        <w:jc w:val="both"/>
        <w:rPr>
          <w:rFonts w:hint="eastAsia" w:ascii="方正黑体_GBK" w:hAnsi="黑体" w:eastAsia="方正黑体_GBK"/>
          <w:kern w:val="2"/>
          <w:sz w:val="32"/>
          <w:szCs w:val="32"/>
        </w:rPr>
      </w:pPr>
      <w:r>
        <w:rPr>
          <w:rStyle w:val="10"/>
          <w:rFonts w:hint="eastAsia" w:ascii="方正仿宋_GBK" w:hAnsi="仿宋" w:eastAsia="方正仿宋_GBK"/>
          <w:b w:val="0"/>
          <w:kern w:val="2"/>
          <w:sz w:val="32"/>
          <w:szCs w:val="32"/>
        </w:rPr>
        <w:t>　　</w:t>
      </w:r>
      <w:r>
        <w:rPr>
          <w:rStyle w:val="10"/>
          <w:rFonts w:hint="eastAsia" w:ascii="方正黑体_GBK" w:hAnsi="黑体" w:eastAsia="方正黑体_GBK"/>
          <w:b w:val="0"/>
          <w:kern w:val="2"/>
          <w:sz w:val="32"/>
          <w:szCs w:val="32"/>
        </w:rPr>
        <w:t>二、企业技术中心的基本情况</w:t>
      </w:r>
    </w:p>
    <w:p>
      <w:pPr>
        <w:pStyle w:val="8"/>
        <w:widowControl w:val="0"/>
        <w:adjustRightInd w:val="0"/>
        <w:snapToGrid w:val="0"/>
        <w:spacing w:before="0" w:beforeAutospacing="0" w:after="0" w:afterAutospacing="0" w:line="600" w:lineRule="atLeast"/>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　　1.企业技术中心的组织机构和运行机制，包括：企业技术中心的建设和发展历程、组织架构、组织体系建设、规章制度建立、研发项目组织管理机制、研发经费管理机制、人才激励机制、内外部合作机制等。</w:t>
      </w:r>
    </w:p>
    <w:p>
      <w:pPr>
        <w:pStyle w:val="8"/>
        <w:widowControl w:val="0"/>
        <w:adjustRightInd w:val="0"/>
        <w:snapToGrid w:val="0"/>
        <w:spacing w:before="0" w:beforeAutospacing="0" w:after="0" w:afterAutospacing="0" w:line="600" w:lineRule="atLeast"/>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　　2.企业技术中心的基础条件和创新资源整合情况</w:t>
      </w:r>
      <w:r>
        <w:rPr>
          <w:rFonts w:hint="eastAsia" w:ascii="方正仿宋_GBK" w:hAnsi="仿宋" w:eastAsia="方正仿宋_GBK"/>
          <w:color w:val="000000"/>
          <w:kern w:val="2"/>
          <w:sz w:val="32"/>
          <w:szCs w:val="32"/>
        </w:rPr>
        <w:t>，包括：研究开发和试验基础条件建设情况，固定资产原值、净值</w:t>
      </w:r>
      <w:r>
        <w:rPr>
          <w:rFonts w:hint="eastAsia" w:ascii="方正仿宋_GBK" w:hAnsi="仿宋" w:eastAsia="方正仿宋_GBK"/>
          <w:kern w:val="2"/>
          <w:sz w:val="32"/>
          <w:szCs w:val="32"/>
        </w:rPr>
        <w:t>；企业技术中心技术带头人及创新团队建设情况，人才培养情况；研发投入投入情况；信息化建设情况。</w:t>
      </w:r>
    </w:p>
    <w:p>
      <w:pPr>
        <w:pStyle w:val="8"/>
        <w:widowControl w:val="0"/>
        <w:adjustRightInd w:val="0"/>
        <w:snapToGrid w:val="0"/>
        <w:spacing w:before="0" w:beforeAutospacing="0" w:after="0" w:afterAutospacing="0" w:line="600" w:lineRule="atLeast"/>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　　3.企业技术中心研究开发工作开展情况，包括：原创性创新、自主开发、引进技术消化吸收、重大产品创新、工艺创新、商业模式创新、产学研合作、企业间合作、国际化研发活动等。</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r>
        <w:rPr>
          <w:rFonts w:hint="eastAsia" w:ascii="方正仿宋_GBK" w:hAnsi="仿宋" w:eastAsia="方正仿宋_GBK"/>
          <w:kern w:val="2"/>
          <w:sz w:val="32"/>
          <w:szCs w:val="32"/>
        </w:rPr>
        <w:t>　　4.企业技术中心取得的主要创新成果（3年之内）及其经济社会效益。</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Times New Roman" w:hAnsi="Times New Roman" w:eastAsia="方正仿宋_GBK" w:cs="Times New Roman"/>
          <w:kern w:val="0"/>
          <w:sz w:val="32"/>
          <w:szCs w:val="32"/>
          <w:shd w:val="clear" w:color="auto" w:fill="FFFFFF"/>
          <w:lang w:eastAsia="zh-CN" w:bidi="ar-SA"/>
        </w:rPr>
      </w:pPr>
    </w:p>
    <w:p>
      <w:pPr>
        <w:spacing w:line="560" w:lineRule="exact"/>
        <w:rPr>
          <w:rFonts w:hint="eastAsia" w:ascii="方正黑体_GBK" w:hAnsi="楷体" w:eastAsia="方正黑体_GBK"/>
          <w:sz w:val="32"/>
          <w:szCs w:val="32"/>
        </w:rPr>
      </w:pPr>
      <w:r>
        <w:rPr>
          <w:rFonts w:hint="eastAsia" w:ascii="方正黑体_GBK" w:hAnsi="楷体" w:eastAsia="方正黑体_GBK"/>
          <w:sz w:val="32"/>
          <w:szCs w:val="32"/>
        </w:rPr>
        <w:t>附件2</w:t>
      </w:r>
    </w:p>
    <w:p>
      <w:pPr>
        <w:spacing w:line="360" w:lineRule="auto"/>
        <w:jc w:val="center"/>
        <w:rPr>
          <w:rFonts w:ascii="楷体" w:hAnsi="楷体" w:eastAsia="楷体"/>
          <w:sz w:val="28"/>
          <w:szCs w:val="28"/>
        </w:rPr>
      </w:pPr>
      <w:r>
        <w:rPr>
          <w:rFonts w:hint="eastAsia" w:ascii="方正小标宋_GBK" w:hAnsi="黑体" w:eastAsia="方正小标宋_GBK" w:cs="宋体"/>
          <w:kern w:val="0"/>
          <w:sz w:val="44"/>
          <w:szCs w:val="44"/>
        </w:rPr>
        <w:t>企业技术中心评价材料</w:t>
      </w:r>
    </w:p>
    <w:p>
      <w:pPr>
        <w:spacing w:line="240" w:lineRule="atLeast"/>
        <w:ind w:firstLine="420" w:firstLineChars="200"/>
        <w:rPr>
          <w:rFonts w:ascii="黑体" w:hAnsi="黑体" w:eastAsia="黑体" w:cs="宋体"/>
          <w:kern w:val="0"/>
          <w:szCs w:val="21"/>
        </w:rPr>
      </w:pPr>
    </w:p>
    <w:p>
      <w:pPr>
        <w:spacing w:line="360" w:lineRule="auto"/>
        <w:ind w:firstLine="640" w:firstLineChars="200"/>
        <w:rPr>
          <w:rFonts w:ascii="楷体" w:hAnsi="楷体" w:eastAsia="楷体"/>
          <w:sz w:val="28"/>
          <w:szCs w:val="28"/>
        </w:rPr>
      </w:pPr>
      <w:r>
        <w:rPr>
          <w:rFonts w:hint="eastAsia" w:ascii="黑体" w:hAnsi="黑体" w:eastAsia="黑体" w:cs="宋体"/>
          <w:kern w:val="0"/>
          <w:sz w:val="32"/>
          <w:szCs w:val="32"/>
        </w:rPr>
        <w:t>一、企业技术中心评价表</w:t>
      </w:r>
    </w:p>
    <w:tbl>
      <w:tblPr>
        <w:tblStyle w:val="12"/>
        <w:tblW w:w="9038" w:type="dxa"/>
        <w:jc w:val="center"/>
        <w:tblInd w:w="0" w:type="dxa"/>
        <w:tblLayout w:type="fixed"/>
        <w:tblCellMar>
          <w:top w:w="0" w:type="dxa"/>
          <w:left w:w="108" w:type="dxa"/>
          <w:bottom w:w="0" w:type="dxa"/>
          <w:right w:w="108" w:type="dxa"/>
        </w:tblCellMar>
      </w:tblPr>
      <w:tblGrid>
        <w:gridCol w:w="538"/>
        <w:gridCol w:w="1744"/>
        <w:gridCol w:w="3119"/>
        <w:gridCol w:w="1276"/>
        <w:gridCol w:w="2361"/>
      </w:tblGrid>
      <w:tr>
        <w:tblPrEx>
          <w:tblLayout w:type="fixed"/>
          <w:tblCellMar>
            <w:top w:w="0" w:type="dxa"/>
            <w:left w:w="108" w:type="dxa"/>
            <w:bottom w:w="0" w:type="dxa"/>
            <w:right w:w="108" w:type="dxa"/>
          </w:tblCellMar>
        </w:tblPrEx>
        <w:trPr>
          <w:trHeight w:val="714"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企业名称</w:t>
            </w:r>
          </w:p>
        </w:tc>
        <w:tc>
          <w:tcPr>
            <w:tcW w:w="6756"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96"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通讯地址</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主管单位</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92"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所属行业</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所有制</w:t>
            </w:r>
          </w:p>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形式</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02"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企业负责人</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联系电话</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99"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技术中心负责人</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联系电话</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94"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联</w:t>
            </w:r>
            <w:r>
              <w:rPr>
                <w:rFonts w:ascii="仿宋" w:hAnsi="仿宋" w:eastAsia="仿宋" w:cs="宋体"/>
                <w:kern w:val="0"/>
                <w:sz w:val="24"/>
              </w:rPr>
              <w:t xml:space="preserve"> </w:t>
            </w:r>
            <w:r>
              <w:rPr>
                <w:rFonts w:hint="eastAsia" w:ascii="仿宋" w:hAnsi="仿宋" w:eastAsia="仿宋" w:cs="宋体"/>
                <w:kern w:val="0"/>
                <w:sz w:val="24"/>
              </w:rPr>
              <w:t>系</w:t>
            </w:r>
            <w:r>
              <w:rPr>
                <w:rFonts w:ascii="仿宋" w:hAnsi="仿宋" w:eastAsia="仿宋" w:cs="宋体"/>
                <w:kern w:val="0"/>
                <w:sz w:val="24"/>
              </w:rPr>
              <w:t xml:space="preserve"> </w:t>
            </w:r>
            <w:r>
              <w:rPr>
                <w:rFonts w:hint="eastAsia" w:ascii="仿宋" w:hAnsi="仿宋" w:eastAsia="仿宋" w:cs="宋体"/>
                <w:kern w:val="0"/>
                <w:sz w:val="24"/>
              </w:rPr>
              <w:t>人</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联系电话</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04" w:hRule="atLeast"/>
          <w:jc w:val="center"/>
        </w:trPr>
        <w:tc>
          <w:tcPr>
            <w:tcW w:w="2282"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联系传真</w:t>
            </w:r>
          </w:p>
        </w:tc>
        <w:tc>
          <w:tcPr>
            <w:tcW w:w="311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电子邮件</w:t>
            </w:r>
          </w:p>
        </w:tc>
        <w:tc>
          <w:tcPr>
            <w:tcW w:w="2361"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00" w:hRule="atLeast"/>
          <w:jc w:val="center"/>
        </w:trPr>
        <w:tc>
          <w:tcPr>
            <w:tcW w:w="2282" w:type="dxa"/>
            <w:gridSpan w:val="2"/>
            <w:tcBorders>
              <w:top w:val="single" w:color="auto" w:sz="4" w:space="0"/>
              <w:left w:val="single" w:color="auto" w:sz="4" w:space="0"/>
              <w:bottom w:val="nil"/>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企业网址</w:t>
            </w:r>
          </w:p>
        </w:tc>
        <w:tc>
          <w:tcPr>
            <w:tcW w:w="3119" w:type="dxa"/>
            <w:tcBorders>
              <w:top w:val="single" w:color="auto" w:sz="4" w:space="0"/>
              <w:left w:val="nil"/>
              <w:bottom w:val="nil"/>
              <w:right w:val="single" w:color="auto" w:sz="4" w:space="0"/>
            </w:tcBorders>
            <w:vAlign w:val="center"/>
          </w:tcPr>
          <w:p>
            <w:pPr>
              <w:widowControl/>
              <w:spacing w:line="300" w:lineRule="exact"/>
              <w:jc w:val="center"/>
              <w:rPr>
                <w:rFonts w:ascii="仿宋" w:hAnsi="仿宋" w:eastAsia="仿宋" w:cs="宋体"/>
                <w:kern w:val="0"/>
                <w:sz w:val="24"/>
              </w:rPr>
            </w:pPr>
          </w:p>
        </w:tc>
        <w:tc>
          <w:tcPr>
            <w:tcW w:w="1276" w:type="dxa"/>
            <w:tcBorders>
              <w:top w:val="nil"/>
              <w:left w:val="nil"/>
              <w:bottom w:val="nil"/>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报告年度</w:t>
            </w:r>
          </w:p>
        </w:tc>
        <w:tc>
          <w:tcPr>
            <w:tcW w:w="2361" w:type="dxa"/>
            <w:tcBorders>
              <w:top w:val="nil"/>
              <w:left w:val="nil"/>
              <w:bottom w:val="nil"/>
              <w:right w:val="single" w:color="auto" w:sz="4" w:space="0"/>
            </w:tcBorders>
            <w:vAlign w:val="center"/>
          </w:tcPr>
          <w:p>
            <w:pPr>
              <w:widowControl/>
              <w:spacing w:line="300" w:lineRule="exact"/>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838"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 w:hAnsi="仿宋" w:eastAsia="仿宋" w:cs="宋体"/>
                <w:b/>
                <w:kern w:val="0"/>
                <w:sz w:val="24"/>
              </w:rPr>
            </w:pPr>
            <w:r>
              <w:rPr>
                <w:rFonts w:hint="eastAsia" w:ascii="仿宋" w:hAnsi="仿宋" w:eastAsia="仿宋" w:cs="宋体"/>
                <w:b/>
                <w:kern w:val="0"/>
                <w:sz w:val="24"/>
              </w:rPr>
              <w:t>序号</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定量数据名称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单位</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数据值</w:t>
            </w:r>
          </w:p>
        </w:tc>
      </w:tr>
      <w:tr>
        <w:tblPrEx>
          <w:tblLayout w:type="fixed"/>
          <w:tblCellMar>
            <w:top w:w="0" w:type="dxa"/>
            <w:left w:w="108" w:type="dxa"/>
            <w:bottom w:w="0" w:type="dxa"/>
            <w:right w:w="108" w:type="dxa"/>
          </w:tblCellMar>
        </w:tblPrEx>
        <w:trPr>
          <w:trHeight w:val="694"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企业主营业务收入总额</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T-1</w:t>
            </w:r>
            <w:r>
              <w:rPr>
                <w:rFonts w:hint="eastAsia" w:ascii="仿宋" w:hAnsi="仿宋" w:eastAsia="仿宋" w:cs="宋体"/>
                <w:kern w:val="0"/>
                <w:sz w:val="24"/>
              </w:rPr>
              <w:t>）企业主营业务收入总额</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15"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企业利润总额</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4</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新产品销售收入</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06"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5</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新产品销售利润</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83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6</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企业自有品牌产品与技术出口创汇额</w:t>
            </w:r>
          </w:p>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（或境外项目营业收入）</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万美元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7</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企业研究与试验发展（</w:t>
            </w:r>
            <w:r>
              <w:rPr>
                <w:rFonts w:ascii="仿宋" w:hAnsi="仿宋" w:eastAsia="仿宋" w:cs="宋体"/>
                <w:kern w:val="0"/>
                <w:sz w:val="24"/>
              </w:rPr>
              <w:t>R&amp;D</w:t>
            </w:r>
            <w:r>
              <w:rPr>
                <w:rFonts w:hint="eastAsia" w:ascii="仿宋" w:hAnsi="仿宋" w:eastAsia="仿宋" w:cs="宋体"/>
                <w:kern w:val="0"/>
                <w:sz w:val="24"/>
              </w:rPr>
              <w:t>）经费支出额</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67"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8</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其中：企业内部的日常研发经费支出</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47"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9</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 w:hAnsi="仿宋" w:eastAsia="仿宋" w:cs="宋体"/>
                <w:kern w:val="0"/>
                <w:sz w:val="24"/>
              </w:rPr>
            </w:pPr>
            <w:r>
              <w:rPr>
                <w:rFonts w:hint="eastAsia" w:ascii="仿宋" w:hAnsi="仿宋" w:eastAsia="仿宋" w:cs="宋体"/>
                <w:kern w:val="0"/>
                <w:sz w:val="24"/>
              </w:rPr>
              <w:t>其中：委托外单位开展研发的经费支出</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838"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10</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T-1</w:t>
            </w:r>
            <w:r>
              <w:rPr>
                <w:rFonts w:hint="eastAsia" w:ascii="仿宋" w:hAnsi="仿宋" w:eastAsia="仿宋" w:cs="宋体"/>
                <w:kern w:val="0"/>
                <w:sz w:val="24"/>
              </w:rPr>
              <w:t>）企业研究与试验发展（</w:t>
            </w:r>
            <w:r>
              <w:rPr>
                <w:rFonts w:ascii="仿宋" w:hAnsi="仿宋" w:eastAsia="仿宋" w:cs="宋体"/>
                <w:kern w:val="0"/>
                <w:sz w:val="24"/>
              </w:rPr>
              <w:t>R&amp;D</w:t>
            </w:r>
            <w:r>
              <w:rPr>
                <w:rFonts w:hint="eastAsia" w:ascii="仿宋" w:hAnsi="仿宋" w:eastAsia="仿宋" w:cs="宋体"/>
                <w:kern w:val="0"/>
                <w:sz w:val="24"/>
              </w:rPr>
              <w:t>）经费支出额</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11</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其中：（</w:t>
            </w:r>
            <w:r>
              <w:rPr>
                <w:rFonts w:ascii="仿宋" w:hAnsi="仿宋" w:eastAsia="仿宋" w:cs="宋体"/>
                <w:kern w:val="0"/>
                <w:sz w:val="24"/>
              </w:rPr>
              <w:t>T-1</w:t>
            </w:r>
            <w:r>
              <w:rPr>
                <w:rFonts w:hint="eastAsia" w:ascii="仿宋" w:hAnsi="仿宋" w:eastAsia="仿宋" w:cs="宋体"/>
                <w:kern w:val="0"/>
                <w:sz w:val="24"/>
              </w:rPr>
              <w:t>）企业内部的日常研发经费支出</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7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ind w:firstLine="480" w:firstLineChars="200"/>
              <w:jc w:val="left"/>
              <w:rPr>
                <w:rFonts w:ascii="仿宋" w:hAnsi="仿宋" w:eastAsia="仿宋" w:cs="宋体"/>
                <w:kern w:val="0"/>
                <w:sz w:val="24"/>
              </w:rPr>
            </w:pPr>
            <w:r>
              <w:rPr>
                <w:rFonts w:hint="eastAsia" w:ascii="仿宋" w:hAnsi="仿宋" w:eastAsia="仿宋" w:cs="宋体"/>
                <w:kern w:val="0"/>
                <w:sz w:val="24"/>
              </w:rPr>
              <w:t>其中：（</w:t>
            </w:r>
            <w:r>
              <w:rPr>
                <w:rFonts w:ascii="仿宋" w:hAnsi="仿宋" w:eastAsia="仿宋" w:cs="宋体"/>
                <w:kern w:val="0"/>
                <w:sz w:val="24"/>
              </w:rPr>
              <w:t>T-1</w:t>
            </w:r>
            <w:r>
              <w:rPr>
                <w:rFonts w:hint="eastAsia" w:ascii="仿宋" w:hAnsi="仿宋" w:eastAsia="仿宋" w:cs="宋体"/>
                <w:kern w:val="0"/>
                <w:sz w:val="24"/>
              </w:rPr>
              <w:t>）委托外单位开展研发的经费支出</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13</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企业技术开发仪器设备原值</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23"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14</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国家级研发平台数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个</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559"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省级研发平台数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个</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16</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通过国家或国际组织认证实验室等研究检测机构数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个</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17</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企业职工总数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18</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企业全体职工年收入总额</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19</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企业研究与试验发展（</w:t>
            </w:r>
            <w:r>
              <w:rPr>
                <w:rFonts w:ascii="仿宋" w:hAnsi="仿宋" w:eastAsia="仿宋" w:cs="宋体"/>
                <w:kern w:val="0"/>
                <w:sz w:val="24"/>
              </w:rPr>
              <w:t>R&amp;D</w:t>
            </w:r>
            <w:r>
              <w:rPr>
                <w:rFonts w:hint="eastAsia" w:ascii="仿宋" w:hAnsi="仿宋" w:eastAsia="仿宋" w:cs="宋体"/>
                <w:kern w:val="0"/>
                <w:sz w:val="24"/>
              </w:rPr>
              <w:t>）人员数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61"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20</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技术中心职工人数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21</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技术中心全体职工年收入总额</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22</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技术中心人员培训费</w:t>
            </w:r>
            <w:r>
              <w:rPr>
                <w:rFonts w:ascii="仿宋" w:hAnsi="宋体" w:eastAsia="仿宋" w:cs="宋体"/>
                <w:kern w:val="0"/>
                <w:sz w:val="24"/>
              </w:rPr>
              <w:t> </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万元</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23</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技术中心高级专家人数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24</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技术中心博士人数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25</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来技术中心从事研发工作的外部专家人数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人月</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26</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企业全部研发项目数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27</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其中：基础研究和应用研究项目数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28</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其中：对外合作项目数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29</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当年完成新产品新技术新工艺开发项目数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30</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企业拥有的全部有效发明专利数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31</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当年被受理的专利申请数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32</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其中：当年被受理的发明专利申请数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1101"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33</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最近三年主持和参加制定的国际、国家、行业标准数（建筑行业应包括近三年取得的国家级市级工法数量）</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600" w:hRule="atLeast"/>
          <w:jc w:val="center"/>
        </w:trPr>
        <w:tc>
          <w:tcPr>
            <w:tcW w:w="53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34</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企业获得国家级质量品牌奖项数</w:t>
            </w:r>
          </w:p>
        </w:tc>
        <w:tc>
          <w:tcPr>
            <w:tcW w:w="127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个</w:t>
            </w:r>
          </w:p>
        </w:tc>
        <w:tc>
          <w:tcPr>
            <w:tcW w:w="236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600"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35</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企业获得的市级质量品牌奖项数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个</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806"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36</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获国家自然科学、技术发明、科技进步奖</w:t>
            </w:r>
          </w:p>
          <w:p>
            <w:pPr>
              <w:widowControl/>
              <w:spacing w:line="300" w:lineRule="exact"/>
              <w:jc w:val="left"/>
              <w:rPr>
                <w:rFonts w:ascii="仿宋" w:hAnsi="仿宋" w:eastAsia="仿宋" w:cs="宋体"/>
                <w:kern w:val="0"/>
                <w:sz w:val="24"/>
              </w:rPr>
            </w:pPr>
            <w:r>
              <w:rPr>
                <w:rFonts w:hint="eastAsia" w:ascii="仿宋" w:hAnsi="仿宋" w:eastAsia="仿宋" w:cs="宋体"/>
                <w:kern w:val="0"/>
                <w:sz w:val="24"/>
              </w:rPr>
              <w:t>项目数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758" w:hRule="atLeast"/>
          <w:jc w:val="center"/>
        </w:trPr>
        <w:tc>
          <w:tcPr>
            <w:tcW w:w="53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37</w:t>
            </w:r>
          </w:p>
        </w:tc>
        <w:tc>
          <w:tcPr>
            <w:tcW w:w="4863"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获重庆市自然科学、技术发明、科技进步奖项目数</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hint="eastAsia" w:ascii="仿宋" w:hAnsi="仿宋" w:eastAsia="仿宋" w:cs="宋体"/>
                <w:kern w:val="0"/>
                <w:sz w:val="24"/>
              </w:rPr>
              <w:t>项</w:t>
            </w:r>
          </w:p>
        </w:tc>
        <w:tc>
          <w:tcPr>
            <w:tcW w:w="236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kern w:val="0"/>
                <w:sz w:val="24"/>
              </w:rPr>
            </w:pPr>
            <w:r>
              <w:rPr>
                <w:rFonts w:hint="eastAsia" w:ascii="仿宋" w:hAnsi="仿宋" w:eastAsia="仿宋" w:cs="宋体"/>
                <w:kern w:val="0"/>
                <w:sz w:val="24"/>
              </w:rPr>
              <w:t>　</w:t>
            </w:r>
          </w:p>
        </w:tc>
      </w:tr>
      <w:tr>
        <w:tblPrEx>
          <w:tblLayout w:type="fixed"/>
          <w:tblCellMar>
            <w:top w:w="0" w:type="dxa"/>
            <w:left w:w="108" w:type="dxa"/>
            <w:bottom w:w="0" w:type="dxa"/>
            <w:right w:w="108" w:type="dxa"/>
          </w:tblCellMar>
        </w:tblPrEx>
        <w:trPr>
          <w:trHeight w:val="1687" w:hRule="atLeast"/>
          <w:jc w:val="center"/>
        </w:trPr>
        <w:tc>
          <w:tcPr>
            <w:tcW w:w="9038" w:type="dxa"/>
            <w:gridSpan w:val="5"/>
            <w:tcBorders>
              <w:top w:val="single" w:color="auto" w:sz="4" w:space="0"/>
              <w:left w:val="single" w:color="auto" w:sz="4" w:space="0"/>
              <w:bottom w:val="single" w:color="auto" w:sz="4" w:space="0"/>
              <w:right w:val="single" w:color="auto" w:sz="4" w:space="0"/>
            </w:tcBorders>
            <w:vAlign w:val="top"/>
          </w:tcPr>
          <w:p>
            <w:pPr>
              <w:widowControl/>
              <w:spacing w:line="300" w:lineRule="exact"/>
              <w:jc w:val="left"/>
              <w:rPr>
                <w:rFonts w:ascii="仿宋" w:hAnsi="仿宋" w:eastAsia="仿宋" w:cs="宋体"/>
                <w:kern w:val="0"/>
                <w:sz w:val="24"/>
              </w:rPr>
            </w:pPr>
          </w:p>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一、申报（评价）单位意见</w:t>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t xml:space="preserve">                                 </w:t>
            </w:r>
            <w:r>
              <w:rPr>
                <w:rFonts w:hint="eastAsia" w:ascii="仿宋" w:hAnsi="仿宋" w:eastAsia="仿宋" w:cs="宋体"/>
                <w:kern w:val="0"/>
                <w:sz w:val="24"/>
              </w:rPr>
              <w:t>签章</w:t>
            </w:r>
            <w:r>
              <w:rPr>
                <w:rFonts w:ascii="仿宋" w:hAnsi="仿宋" w:eastAsia="仿宋" w:cs="宋体"/>
                <w:kern w:val="0"/>
                <w:sz w:val="24"/>
              </w:rPr>
              <w:t xml:space="preserve">        </w:t>
            </w:r>
            <w:r>
              <w:rPr>
                <w:rFonts w:hint="eastAsia" w:ascii="仿宋" w:hAnsi="仿宋" w:eastAsia="仿宋" w:cs="宋体"/>
                <w:kern w:val="0"/>
                <w:sz w:val="24"/>
              </w:rPr>
              <w:t>年</w:t>
            </w:r>
            <w:r>
              <w:rPr>
                <w:rFonts w:ascii="仿宋" w:hAnsi="仿宋" w:eastAsia="仿宋" w:cs="宋体"/>
                <w:kern w:val="0"/>
                <w:sz w:val="24"/>
              </w:rPr>
              <w:t xml:space="preserve">    </w:t>
            </w:r>
            <w:r>
              <w:rPr>
                <w:rFonts w:hint="eastAsia" w:ascii="仿宋" w:hAnsi="仿宋" w:eastAsia="仿宋" w:cs="宋体"/>
                <w:kern w:val="0"/>
                <w:sz w:val="24"/>
              </w:rPr>
              <w:t>月</w:t>
            </w:r>
            <w:r>
              <w:rPr>
                <w:rFonts w:ascii="仿宋" w:hAnsi="仿宋" w:eastAsia="仿宋" w:cs="宋体"/>
                <w:kern w:val="0"/>
                <w:sz w:val="24"/>
              </w:rPr>
              <w:t xml:space="preserve">      </w:t>
            </w:r>
            <w:r>
              <w:rPr>
                <w:rFonts w:hint="eastAsia" w:ascii="仿宋" w:hAnsi="仿宋" w:eastAsia="仿宋" w:cs="宋体"/>
                <w:kern w:val="0"/>
                <w:sz w:val="24"/>
              </w:rPr>
              <w:t>日</w:t>
            </w:r>
          </w:p>
        </w:tc>
      </w:tr>
      <w:tr>
        <w:tblPrEx>
          <w:tblLayout w:type="fixed"/>
          <w:tblCellMar>
            <w:top w:w="0" w:type="dxa"/>
            <w:left w:w="108" w:type="dxa"/>
            <w:bottom w:w="0" w:type="dxa"/>
            <w:right w:w="108" w:type="dxa"/>
          </w:tblCellMar>
        </w:tblPrEx>
        <w:trPr>
          <w:trHeight w:val="1690" w:hRule="atLeast"/>
          <w:jc w:val="center"/>
        </w:trPr>
        <w:tc>
          <w:tcPr>
            <w:tcW w:w="9038" w:type="dxa"/>
            <w:gridSpan w:val="5"/>
            <w:tcBorders>
              <w:top w:val="single" w:color="auto" w:sz="4" w:space="0"/>
              <w:left w:val="single" w:color="auto" w:sz="4" w:space="0"/>
              <w:bottom w:val="single" w:color="auto" w:sz="4" w:space="0"/>
              <w:right w:val="single" w:color="auto" w:sz="4" w:space="0"/>
            </w:tcBorders>
            <w:vAlign w:val="top"/>
          </w:tcPr>
          <w:p>
            <w:pPr>
              <w:widowControl/>
              <w:spacing w:line="300" w:lineRule="exact"/>
              <w:jc w:val="left"/>
              <w:rPr>
                <w:rFonts w:ascii="仿宋" w:hAnsi="仿宋" w:eastAsia="仿宋" w:cs="宋体"/>
                <w:kern w:val="0"/>
                <w:sz w:val="24"/>
              </w:rPr>
            </w:pPr>
          </w:p>
          <w:p>
            <w:pPr>
              <w:widowControl/>
              <w:spacing w:line="300" w:lineRule="exact"/>
              <w:jc w:val="left"/>
              <w:rPr>
                <w:rFonts w:ascii="仿宋" w:hAnsi="仿宋" w:eastAsia="仿宋" w:cs="宋体"/>
                <w:kern w:val="0"/>
                <w:sz w:val="24"/>
              </w:rPr>
            </w:pPr>
            <w:r>
              <w:rPr>
                <w:rFonts w:hint="eastAsia" w:ascii="仿宋" w:hAnsi="仿宋" w:eastAsia="仿宋" w:cs="宋体"/>
                <w:kern w:val="0"/>
                <w:sz w:val="24"/>
              </w:rPr>
              <w:t>二、主管单位意见</w:t>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br w:type="textWrapping"/>
            </w:r>
            <w:r>
              <w:rPr>
                <w:rFonts w:ascii="仿宋" w:hAnsi="仿宋" w:eastAsia="仿宋" w:cs="宋体"/>
                <w:kern w:val="0"/>
                <w:sz w:val="24"/>
              </w:rPr>
              <w:t xml:space="preserve">                                  </w:t>
            </w:r>
            <w:r>
              <w:rPr>
                <w:rFonts w:hint="eastAsia" w:ascii="仿宋" w:hAnsi="仿宋" w:eastAsia="仿宋" w:cs="宋体"/>
                <w:kern w:val="0"/>
                <w:sz w:val="24"/>
              </w:rPr>
              <w:t>签章</w:t>
            </w:r>
            <w:r>
              <w:rPr>
                <w:rFonts w:ascii="仿宋" w:hAnsi="仿宋" w:eastAsia="仿宋" w:cs="宋体"/>
                <w:kern w:val="0"/>
                <w:sz w:val="24"/>
              </w:rPr>
              <w:t xml:space="preserve">        </w:t>
            </w:r>
            <w:r>
              <w:rPr>
                <w:rFonts w:hint="eastAsia" w:ascii="仿宋" w:hAnsi="仿宋" w:eastAsia="仿宋" w:cs="宋体"/>
                <w:kern w:val="0"/>
                <w:sz w:val="24"/>
              </w:rPr>
              <w:t>年</w:t>
            </w:r>
            <w:r>
              <w:rPr>
                <w:rFonts w:ascii="仿宋" w:hAnsi="仿宋" w:eastAsia="仿宋" w:cs="宋体"/>
                <w:kern w:val="0"/>
                <w:sz w:val="24"/>
              </w:rPr>
              <w:t xml:space="preserve">    </w:t>
            </w:r>
            <w:r>
              <w:rPr>
                <w:rFonts w:hint="eastAsia" w:ascii="仿宋" w:hAnsi="仿宋" w:eastAsia="仿宋" w:cs="宋体"/>
                <w:kern w:val="0"/>
                <w:sz w:val="24"/>
              </w:rPr>
              <w:t>月</w:t>
            </w:r>
            <w:r>
              <w:rPr>
                <w:rFonts w:ascii="仿宋" w:hAnsi="仿宋" w:eastAsia="仿宋" w:cs="宋体"/>
                <w:kern w:val="0"/>
                <w:sz w:val="24"/>
              </w:rPr>
              <w:t xml:space="preserve">      </w:t>
            </w:r>
            <w:r>
              <w:rPr>
                <w:rFonts w:hint="eastAsia" w:ascii="仿宋" w:hAnsi="仿宋" w:eastAsia="仿宋" w:cs="宋体"/>
                <w:kern w:val="0"/>
                <w:sz w:val="24"/>
              </w:rPr>
              <w:t>日</w:t>
            </w:r>
          </w:p>
        </w:tc>
      </w:tr>
    </w:tbl>
    <w:p>
      <w:pPr>
        <w:widowControl/>
        <w:spacing w:line="580" w:lineRule="exact"/>
        <w:ind w:firstLine="640" w:firstLineChars="200"/>
        <w:rPr>
          <w:kern w:val="0"/>
          <w:szCs w:val="21"/>
        </w:rPr>
      </w:pPr>
      <w:r>
        <w:rPr>
          <w:rFonts w:hint="eastAsia" w:ascii="黑体" w:hAnsi="黑体" w:eastAsia="黑体"/>
          <w:kern w:val="0"/>
          <w:sz w:val="32"/>
          <w:szCs w:val="32"/>
        </w:rPr>
        <w:t>二、需提供的附件及证明材料</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w:t>
      </w:r>
      <w:r>
        <w:rPr>
          <w:rFonts w:hint="eastAsia" w:ascii="方正仿宋_GBK" w:hAnsi="仿宋" w:eastAsia="方正仿宋_GBK" w:cs="仿宋_GB2312"/>
          <w:kern w:val="0"/>
          <w:sz w:val="32"/>
          <w:szCs w:val="32"/>
        </w:rPr>
        <w:t xml:space="preserve"> 企业对报送资料的真实性、完整性承诺。</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w:t>
      </w:r>
      <w:r>
        <w:rPr>
          <w:rFonts w:hint="eastAsia" w:ascii="方正仿宋_GBK" w:hAnsi="仿宋" w:eastAsia="方正仿宋_GBK"/>
          <w:sz w:val="32"/>
          <w:szCs w:val="32"/>
        </w:rPr>
        <w:t xml:space="preserve"> </w:t>
      </w:r>
      <w:r>
        <w:rPr>
          <w:rFonts w:hint="eastAsia" w:ascii="方正仿宋_GBK" w:hAnsi="仿宋" w:eastAsia="方正仿宋_GBK"/>
          <w:kern w:val="0"/>
          <w:sz w:val="32"/>
          <w:szCs w:val="32"/>
        </w:rPr>
        <w:t>规模以上工业法人单位研发项目情况表（107-1）和规模以上工业法人单位研发活动及相关情况表（107-2）。未列入国家统计局规模以上工业企业科技活动情况统计范围的企业应参照上述两个表的格式填报后提交。</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3.企业资产负债表、损益表、现金流量表的复印件。其中，大型企业集团应将下属企业的（107-1、107-2）表合并填报，资产负债表、损益表、现金流量表进行合并填报。</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4.企业技术中心评价表相关附表（表格附后），包括：技术中心高级专家和博士信息表；技术中心外部专家信息表；企业有效发明专利信息表；企业当年被受理的专利申请信息表；最近三年主持和参加制定的标准信息表；国家级(省级)研发平台信息表；国家（国际组织）认证实验室和检测机构信息表；获国家自然科学、技术发明、科技进步奖项目信息表。</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5.评价指标及相关附表所填数据的必要证明材料。</w:t>
      </w:r>
    </w:p>
    <w:p>
      <w:pPr>
        <w:widowControl/>
        <w:spacing w:line="580" w:lineRule="exact"/>
        <w:ind w:firstLine="640" w:firstLineChars="200"/>
        <w:rPr>
          <w:kern w:val="0"/>
          <w:szCs w:val="21"/>
        </w:rPr>
      </w:pPr>
      <w:r>
        <w:rPr>
          <w:rFonts w:hint="eastAsia" w:ascii="黑体" w:hAnsi="黑体" w:eastAsia="黑体"/>
          <w:kern w:val="0"/>
          <w:sz w:val="32"/>
          <w:szCs w:val="32"/>
        </w:rPr>
        <w:t>三、指标解释和填报说明</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1.报告年度：指评价表中指标统计年度，时间范围从填写评价表的上一年1月1日到12月31日。所有指标的填报时间范围，如无特殊指明，均为报告年度。(T-1)年指报告年度的上一年。</w:t>
      </w:r>
    </w:p>
    <w:p>
      <w:pPr>
        <w:autoSpaceDE w:val="0"/>
        <w:autoSpaceDN w:val="0"/>
        <w:spacing w:line="580" w:lineRule="exact"/>
        <w:ind w:firstLine="640" w:firstLineChars="200"/>
        <w:rPr>
          <w:rFonts w:hint="eastAsia" w:ascii="方正仿宋_GBK" w:hAnsi="仿宋" w:eastAsia="方正仿宋_GBK" w:cs="仿宋_GB2312"/>
          <w:kern w:val="0"/>
          <w:sz w:val="32"/>
          <w:szCs w:val="32"/>
        </w:rPr>
      </w:pPr>
      <w:r>
        <w:rPr>
          <w:rFonts w:hint="eastAsia" w:ascii="方正仿宋_GBK" w:hAnsi="仿宋" w:eastAsia="方正仿宋_GBK"/>
          <w:kern w:val="0"/>
          <w:sz w:val="32"/>
          <w:szCs w:val="32"/>
        </w:rPr>
        <w:t>2.</w:t>
      </w:r>
      <w:r>
        <w:rPr>
          <w:rFonts w:hint="eastAsia" w:ascii="方正仿宋_GBK" w:hAnsi="仿宋" w:eastAsia="方正仿宋_GBK" w:cs="仿宋_GB2312"/>
          <w:kern w:val="0"/>
          <w:sz w:val="32"/>
          <w:szCs w:val="32"/>
        </w:rPr>
        <w:t>企业主营业务收入：指报告年度内企业确认的销售商品、提供劳务等主营业务的收入。根据会计“主营业务收入”科目的期末贷方余额填报。若会计报告和会计报表中未设置该科目，以“营业收入”代替填报。</w:t>
      </w:r>
    </w:p>
    <w:p>
      <w:pPr>
        <w:autoSpaceDE w:val="0"/>
        <w:autoSpaceDN w:val="0"/>
        <w:spacing w:line="580" w:lineRule="exact"/>
        <w:ind w:firstLine="640" w:firstLineChars="200"/>
        <w:rPr>
          <w:rFonts w:hint="eastAsia" w:ascii="方正仿宋_GBK" w:hAnsi="仿宋" w:eastAsia="方正仿宋_GBK" w:cs="仿宋_GB2312"/>
          <w:kern w:val="0"/>
          <w:sz w:val="32"/>
          <w:szCs w:val="32"/>
        </w:rPr>
      </w:pPr>
      <w:r>
        <w:rPr>
          <w:rFonts w:hint="eastAsia" w:ascii="方正仿宋_GBK" w:hAnsi="仿宋" w:eastAsia="方正仿宋_GBK"/>
          <w:kern w:val="0"/>
          <w:sz w:val="32"/>
          <w:szCs w:val="32"/>
        </w:rPr>
        <w:t>3.企业利润总额：</w:t>
      </w:r>
      <w:r>
        <w:rPr>
          <w:rFonts w:hint="eastAsia" w:ascii="方正仿宋_GBK" w:hAnsi="仿宋" w:eastAsia="方正仿宋_GBK" w:cs="仿宋_GB2312"/>
          <w:kern w:val="0"/>
          <w:sz w:val="32"/>
          <w:szCs w:val="32"/>
        </w:rPr>
        <w:t>指报告年度企业生产经营过程中各种收入扣除各种耗费后的盈余，反映企业在报告期内实现的盈亏总额</w:t>
      </w:r>
      <w:r>
        <w:rPr>
          <w:rFonts w:hint="eastAsia" w:ascii="方正仿宋_GBK" w:hAnsi="仿宋" w:eastAsia="方正仿宋_GBK"/>
          <w:kern w:val="0"/>
          <w:sz w:val="32"/>
          <w:szCs w:val="32"/>
        </w:rPr>
        <w:t>。</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4.新产品销售收入：</w:t>
      </w:r>
      <w:r>
        <w:rPr>
          <w:rFonts w:hint="eastAsia" w:ascii="方正仿宋_GBK" w:hAnsi="仿宋" w:eastAsia="方正仿宋_GBK" w:cs="仿宋_GB2312"/>
          <w:kern w:val="0"/>
          <w:sz w:val="32"/>
          <w:szCs w:val="32"/>
        </w:rPr>
        <w:t>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r>
        <w:rPr>
          <w:rFonts w:hint="eastAsia" w:ascii="方正仿宋_GBK" w:hAnsi="仿宋" w:eastAsia="方正仿宋_GBK"/>
          <w:kern w:val="0"/>
          <w:sz w:val="32"/>
          <w:szCs w:val="32"/>
        </w:rPr>
        <w:t>。</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5.新产品销售利润：指报告年度内企业通过销售新产品实现的销售（营业）利润。</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6.企业自有品牌产品与技术出口创汇额：指企业出口自己生产的自有品牌的产品和向国外出口技术所收入的外汇。</w:t>
      </w:r>
    </w:p>
    <w:p>
      <w:pPr>
        <w:autoSpaceDE w:val="0"/>
        <w:autoSpaceDN w:val="0"/>
        <w:spacing w:line="580" w:lineRule="exact"/>
        <w:ind w:firstLine="640" w:firstLineChars="200"/>
        <w:rPr>
          <w:rFonts w:hint="eastAsia" w:ascii="方正仿宋_GBK" w:hAnsi="仿宋" w:eastAsia="方正仿宋_GBK" w:cs="仿宋_GB2312"/>
          <w:kern w:val="0"/>
          <w:sz w:val="32"/>
          <w:szCs w:val="32"/>
        </w:rPr>
      </w:pPr>
      <w:r>
        <w:rPr>
          <w:rFonts w:hint="eastAsia" w:ascii="方正仿宋_GBK" w:hAnsi="仿宋" w:eastAsia="方正仿宋_GBK"/>
          <w:kern w:val="0"/>
          <w:sz w:val="32"/>
          <w:szCs w:val="32"/>
        </w:rPr>
        <w:t>7.企业研究与试验发展（R&amp;D）经费支出额：</w:t>
      </w:r>
      <w:r>
        <w:rPr>
          <w:rFonts w:hint="eastAsia" w:ascii="方正仿宋_GBK" w:hAnsi="仿宋" w:eastAsia="方正仿宋_GBK" w:cs="仿宋_GB2312"/>
          <w:kern w:val="0"/>
          <w:sz w:val="32"/>
          <w:szCs w:val="32"/>
        </w:rPr>
        <w:t>指报告年度内企业研发活动的经费支出合计，包括企业内部的日常研发经费支出，当年形成用于研发的固定资产支出和委托外单位开展研发的经费支出。</w:t>
      </w:r>
    </w:p>
    <w:p>
      <w:pPr>
        <w:widowControl/>
        <w:spacing w:line="580" w:lineRule="exact"/>
        <w:ind w:firstLine="640" w:firstLineChars="200"/>
        <w:rPr>
          <w:rFonts w:hint="eastAsia" w:ascii="方正仿宋_GBK" w:hAnsi="仿宋" w:eastAsia="方正仿宋_GBK"/>
          <w:spacing w:val="-4"/>
          <w:kern w:val="0"/>
          <w:sz w:val="32"/>
          <w:szCs w:val="32"/>
        </w:rPr>
      </w:pPr>
      <w:r>
        <w:rPr>
          <w:rFonts w:hint="eastAsia" w:ascii="方正仿宋_GBK" w:hAnsi="仿宋" w:eastAsia="方正仿宋_GBK"/>
          <w:kern w:val="0"/>
          <w:sz w:val="32"/>
          <w:szCs w:val="32"/>
        </w:rPr>
        <w:t>8.</w:t>
      </w:r>
      <w:r>
        <w:rPr>
          <w:rFonts w:hint="eastAsia" w:ascii="方正仿宋_GBK" w:hAnsi="仿宋" w:eastAsia="方正仿宋_GBK"/>
          <w:spacing w:val="-4"/>
          <w:kern w:val="0"/>
          <w:sz w:val="32"/>
          <w:szCs w:val="32"/>
        </w:rPr>
        <w:t>企业内部的日常研发经费支出：指企业在报告年度用于内部开展</w:t>
      </w:r>
      <w:r>
        <w:rPr>
          <w:rFonts w:hint="eastAsia" w:ascii="方正仿宋_GBK" w:hAnsi="仿宋" w:eastAsia="方正仿宋_GBK"/>
          <w:kern w:val="0"/>
          <w:sz w:val="32"/>
          <w:szCs w:val="32"/>
        </w:rPr>
        <w:t>R&amp;D</w:t>
      </w:r>
      <w:r>
        <w:rPr>
          <w:rFonts w:hint="eastAsia" w:ascii="方正仿宋_GBK" w:hAnsi="仿宋" w:eastAsia="方正仿宋_GBK"/>
          <w:spacing w:val="-4"/>
          <w:kern w:val="0"/>
          <w:sz w:val="32"/>
          <w:szCs w:val="32"/>
        </w:rPr>
        <w:t>活动的实际支出。包括用于R&amp;D项目（课题）活动的直接支出，以及间接用于R&amp;D活动的管理费、服务费、与R&amp;D有关的基本建设支出以及外协加工费等。不包括生产性活动支出、归还贷款支出以及与外单位合作或委托外单位进行R&amp;D活动而转拨给对方的经费支出。</w:t>
      </w:r>
    </w:p>
    <w:p>
      <w:pPr>
        <w:widowControl/>
        <w:spacing w:line="580" w:lineRule="exact"/>
        <w:ind w:firstLine="624" w:firstLineChars="200"/>
        <w:rPr>
          <w:rFonts w:hint="eastAsia" w:ascii="方正仿宋_GBK" w:hAnsi="仿宋" w:eastAsia="方正仿宋_GBK"/>
          <w:spacing w:val="-4"/>
          <w:kern w:val="0"/>
          <w:sz w:val="32"/>
          <w:szCs w:val="32"/>
        </w:rPr>
      </w:pPr>
      <w:r>
        <w:rPr>
          <w:rFonts w:hint="eastAsia" w:ascii="方正仿宋_GBK" w:hAnsi="仿宋" w:eastAsia="方正仿宋_GBK"/>
          <w:spacing w:val="-4"/>
          <w:kern w:val="0"/>
          <w:sz w:val="32"/>
          <w:szCs w:val="32"/>
        </w:rPr>
        <w:t>9.委托外单位开展研发的经费支出:指报告期企业委托外单位或与外单位合作进行R&amp;D活动而拨给对方的经费。</w:t>
      </w:r>
    </w:p>
    <w:p>
      <w:pPr>
        <w:widowControl/>
        <w:spacing w:line="580" w:lineRule="exact"/>
        <w:ind w:firstLine="624" w:firstLineChars="200"/>
        <w:rPr>
          <w:rFonts w:hint="eastAsia" w:ascii="方正仿宋_GBK" w:hAnsi="仿宋" w:eastAsia="方正仿宋_GBK"/>
          <w:kern w:val="0"/>
          <w:sz w:val="32"/>
          <w:szCs w:val="32"/>
        </w:rPr>
      </w:pPr>
      <w:r>
        <w:rPr>
          <w:rFonts w:hint="eastAsia" w:ascii="方正仿宋_GBK" w:hAnsi="仿宋" w:eastAsia="方正仿宋_GBK"/>
          <w:spacing w:val="-4"/>
          <w:kern w:val="0"/>
          <w:sz w:val="32"/>
          <w:szCs w:val="32"/>
        </w:rPr>
        <w:t>10.企业技术开发仪器设备原值：指报告年度末企业用于研发的固定资产中的仪器和设备原价。其中，设备包括用于研发活动的各类机器和设备、试验测量仪器、运输工具、工装工具等。</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11．国家级研发平台数：指企业作为项目法人承担建设、国家有关部门归口管理且已经获得批复的科技类、研究开发类平台数。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12.省级研发平台数：指企业作为项目法人承担建设、省级政府有关部门归口管理且已获得批复的科技类、研究开发类平台数。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13.通过国家或国际组织认证实验室等研究检测机构数：指中华人民共和国有关国家部门和国际组织认定认证的、仍在有效期内的实验室、研发检测中心的数量。</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14.企业职工总数：指企业在册职工人数。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15.企业全体职工年收入总额：指企业在册全部职工一年的货币收入的总额。包括职工工资、福利费、奖金、政策补贴、项目提成等各项货币收入的总和。</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16.企业研究与试验发展（R&amp;D）人员数：指报告年度内企业内部直接参加研发项目人员，以及研发活动的管理和直接服务的人员。不包括全年累计从事研发活动时间占制度工作时间10%以下的人员。　　</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17.技术中心职工人数：在技术中心工作并取得劳动报酬的从业人员年平均数。包括技术中心科研开发人员、直接管理人员和直接为其服务的人员等。</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18.技术中心全体职工年收入总额：指技术中心在册全体工作人员的年货币总收入，包括工资、福利费、奖金、政策补贴、项目提成等各项收入的总和。</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19.技术中心人员培训费：指技术中心工作人员在国内、海外地区接受继续教育和专项培训的费用总支出。</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20.技术中心高级专家人数：指全职在技术中心工作、获得国家、省、部和计划单列市等政府部门认定的有突出贡献的专家或者享受国家、省、部和计划单列市专项津贴的专家的人员数。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21.技术中心博士人数：指全职在技术中心工作、获得博士学位的人员数。在站的博士后可以作为博士进行统计。</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22.来技术中心从事开发工作的外部专家人数：指来技术中心从事研究、技术开发工作的具有较高科技开发能力的企业外的专家累计人月。最小统计单位为：</w:t>
      </w:r>
      <w:r>
        <w:rPr>
          <w:rFonts w:hint="eastAsia" w:ascii="方正仿宋_GBK" w:eastAsia="方正仿宋_GBK"/>
          <w:kern w:val="0"/>
          <w:sz w:val="32"/>
          <w:szCs w:val="32"/>
        </w:rPr>
        <w:t> </w:t>
      </w:r>
      <w:r>
        <w:rPr>
          <w:rFonts w:hint="eastAsia" w:ascii="方正仿宋_GBK" w:hAnsi="仿宋" w:eastAsia="方正仿宋_GBK"/>
          <w:kern w:val="0"/>
          <w:sz w:val="32"/>
          <w:szCs w:val="32"/>
        </w:rPr>
        <w:t>0.5人月。</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23.企业全部研发项目数：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24.基础研究和应用研究项目数：指企业全部研发项目中主要以科学原理的探索与发现、技术原理的研究为目标的项目数。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25.对外合作项目数：指企业与高等学校、科研院所及其他企业联合开展的科技项目数。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26.当年完成新产品新技术新工艺开发项目数：指企业完成（结题）的新产品开发项目数、新技术项目数、新工艺开发项目数之和。</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27.企业拥有的全部有效发明专利数：指企业作为专利权人拥有专利权属、经国内外专利机构授权且在有效期内的全部发明专利件数。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28.当年被受理的专利申请数：指企业报告年度内向专利行政部门提出专利申请并被受理的专利件数。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29.被受理的发明专利申请数：指企业报告年度内向专利行政部门提出发明专利申请并被受理的专利件数。</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30.最近三年主持和参加制定的国际、国家、行业标准（工法）数：指企业在报告年度、报告年度前一年、报告年度前二年主持或参与制定，目前仍有效执行的国际、国家、行业标准（工法）的数量。</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31.企业获得国家级（重庆市）质量品牌奖项数：指企业拥有的国家工商行政管理总局（重庆市工商行政管理局或重庆市质量技术监督局）评定的中国驰名商标数（重庆市著名商标或重庆市名牌产品），国家工业和信息化部工业质量标杆企业、品牌培育示范企业，建筑行业中国建筑工程鲁班奖（国家优质工程奖）、詹天佑奖：仅指名称完全符合的奖项，不包括任何其他奖项类型。</w:t>
      </w:r>
    </w:p>
    <w:p>
      <w:pPr>
        <w:widowControl/>
        <w:spacing w:line="580" w:lineRule="exact"/>
        <w:ind w:firstLine="640" w:firstLineChars="200"/>
        <w:rPr>
          <w:rFonts w:hint="eastAsia" w:ascii="方正仿宋_GBK" w:hAnsi="仿宋" w:eastAsia="方正仿宋_GBK"/>
          <w:kern w:val="0"/>
          <w:sz w:val="32"/>
          <w:szCs w:val="32"/>
        </w:rPr>
      </w:pPr>
      <w:r>
        <w:rPr>
          <w:rFonts w:hint="eastAsia" w:ascii="方正仿宋_GBK" w:hAnsi="仿宋" w:eastAsia="方正仿宋_GBK"/>
          <w:kern w:val="0"/>
          <w:sz w:val="32"/>
          <w:szCs w:val="32"/>
        </w:rPr>
        <w:t>32.获国家（重庆市）自然科学、技术发明、科技进步奖项目数：指企业获得国家（重庆市）自然科学奖、国家技术发明奖和科技进步奖的项目总数。</w:t>
      </w:r>
    </w:p>
    <w:p>
      <w:pPr>
        <w:widowControl/>
        <w:spacing w:line="580" w:lineRule="exact"/>
        <w:jc w:val="center"/>
        <w:rPr>
          <w:rFonts w:ascii="楷体" w:hAnsi="楷体" w:eastAsia="楷体"/>
          <w:kern w:val="0"/>
          <w:sz w:val="28"/>
          <w:szCs w:val="28"/>
        </w:rPr>
      </w:pPr>
      <w:r>
        <w:rPr>
          <w:rFonts w:hint="eastAsia" w:ascii="楷体" w:hAnsi="楷体" w:eastAsia="楷体"/>
          <w:kern w:val="0"/>
          <w:sz w:val="28"/>
          <w:szCs w:val="28"/>
        </w:rPr>
        <w:t>评价表相关附表（表</w:t>
      </w:r>
      <w:r>
        <w:rPr>
          <w:rFonts w:ascii="楷体" w:hAnsi="楷体" w:eastAsia="楷体"/>
          <w:kern w:val="0"/>
          <w:sz w:val="28"/>
          <w:szCs w:val="28"/>
        </w:rPr>
        <w:t>1-</w:t>
      </w:r>
      <w:r>
        <w:rPr>
          <w:rFonts w:hint="eastAsia" w:ascii="楷体" w:hAnsi="楷体" w:eastAsia="楷体"/>
          <w:kern w:val="0"/>
          <w:sz w:val="28"/>
          <w:szCs w:val="28"/>
        </w:rPr>
        <w:t>表</w:t>
      </w:r>
      <w:r>
        <w:rPr>
          <w:rFonts w:ascii="楷体" w:hAnsi="楷体" w:eastAsia="楷体"/>
          <w:kern w:val="0"/>
          <w:sz w:val="28"/>
          <w:szCs w:val="28"/>
        </w:rPr>
        <w:t>8</w:t>
      </w:r>
      <w:r>
        <w:rPr>
          <w:rFonts w:hint="eastAsia" w:ascii="楷体" w:hAnsi="楷体" w:eastAsia="楷体"/>
          <w:kern w:val="0"/>
          <w:sz w:val="28"/>
          <w:szCs w:val="28"/>
        </w:rPr>
        <w:t>）</w:t>
      </w:r>
    </w:p>
    <w:tbl>
      <w:tblPr>
        <w:tblStyle w:val="12"/>
        <w:tblW w:w="9249" w:type="dxa"/>
        <w:jc w:val="center"/>
        <w:tblInd w:w="258" w:type="dxa"/>
        <w:tblLayout w:type="fixed"/>
        <w:tblCellMar>
          <w:top w:w="0" w:type="dxa"/>
          <w:left w:w="108" w:type="dxa"/>
          <w:bottom w:w="0" w:type="dxa"/>
          <w:right w:w="108" w:type="dxa"/>
        </w:tblCellMar>
      </w:tblPr>
      <w:tblGrid>
        <w:gridCol w:w="822"/>
        <w:gridCol w:w="1060"/>
        <w:gridCol w:w="1080"/>
        <w:gridCol w:w="1420"/>
        <w:gridCol w:w="1080"/>
        <w:gridCol w:w="1080"/>
        <w:gridCol w:w="1080"/>
        <w:gridCol w:w="869"/>
        <w:gridCol w:w="758"/>
      </w:tblGrid>
      <w:tr>
        <w:tblPrEx>
          <w:tblLayout w:type="fixed"/>
          <w:tblCellMar>
            <w:top w:w="0" w:type="dxa"/>
            <w:left w:w="108" w:type="dxa"/>
            <w:bottom w:w="0" w:type="dxa"/>
            <w:right w:w="108" w:type="dxa"/>
          </w:tblCellMar>
        </w:tblPrEx>
        <w:trPr>
          <w:trHeight w:val="431" w:hRule="atLeast"/>
          <w:jc w:val="center"/>
        </w:trPr>
        <w:tc>
          <w:tcPr>
            <w:tcW w:w="9249" w:type="dxa"/>
            <w:gridSpan w:val="9"/>
            <w:tcBorders>
              <w:top w:val="nil"/>
              <w:left w:val="nil"/>
              <w:bottom w:val="single" w:color="auto" w:sz="4" w:space="0"/>
              <w:right w:val="nil"/>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表</w:t>
            </w:r>
            <w:r>
              <w:rPr>
                <w:rFonts w:ascii="黑体" w:hAnsi="黑体" w:eastAsia="黑体" w:cs="宋体"/>
                <w:kern w:val="0"/>
                <w:sz w:val="28"/>
                <w:szCs w:val="28"/>
              </w:rPr>
              <w:t>1</w:t>
            </w:r>
            <w:r>
              <w:rPr>
                <w:rFonts w:hint="eastAsia" w:ascii="黑体" w:hAnsi="黑体" w:eastAsia="黑体" w:cs="宋体"/>
                <w:kern w:val="0"/>
                <w:sz w:val="28"/>
                <w:szCs w:val="28"/>
              </w:rPr>
              <w:t>：技术中心高级专家和博士信息表</w:t>
            </w:r>
          </w:p>
        </w:tc>
      </w:tr>
      <w:tr>
        <w:tblPrEx>
          <w:tblLayout w:type="fixed"/>
          <w:tblCellMar>
            <w:top w:w="0" w:type="dxa"/>
            <w:left w:w="108" w:type="dxa"/>
            <w:bottom w:w="0" w:type="dxa"/>
            <w:right w:w="108" w:type="dxa"/>
          </w:tblCellMar>
        </w:tblPrEx>
        <w:trPr>
          <w:trHeight w:val="526" w:hRule="atLeast"/>
          <w:jc w:val="center"/>
        </w:trPr>
        <w:tc>
          <w:tcPr>
            <w:tcW w:w="822"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106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姓名</w:t>
            </w:r>
          </w:p>
        </w:tc>
        <w:tc>
          <w:tcPr>
            <w:tcW w:w="108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出生</w:t>
            </w:r>
          </w:p>
          <w:p>
            <w:pPr>
              <w:widowControl/>
              <w:jc w:val="center"/>
              <w:rPr>
                <w:rFonts w:ascii="黑体" w:hAnsi="黑体" w:eastAsia="黑体" w:cs="宋体"/>
                <w:kern w:val="0"/>
                <w:sz w:val="24"/>
              </w:rPr>
            </w:pPr>
            <w:r>
              <w:rPr>
                <w:rFonts w:hint="eastAsia" w:ascii="黑体" w:hAnsi="黑体" w:eastAsia="黑体" w:cs="宋体"/>
                <w:kern w:val="0"/>
                <w:sz w:val="24"/>
              </w:rPr>
              <w:t>年月</w:t>
            </w:r>
          </w:p>
        </w:tc>
        <w:tc>
          <w:tcPr>
            <w:tcW w:w="14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所在部门</w:t>
            </w:r>
          </w:p>
        </w:tc>
        <w:tc>
          <w:tcPr>
            <w:tcW w:w="108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职称</w:t>
            </w:r>
          </w:p>
          <w:p>
            <w:pPr>
              <w:widowControl/>
              <w:jc w:val="center"/>
              <w:rPr>
                <w:rFonts w:ascii="黑体" w:hAnsi="黑体" w:eastAsia="黑体" w:cs="宋体"/>
                <w:kern w:val="0"/>
                <w:sz w:val="24"/>
              </w:rPr>
            </w:pPr>
            <w:r>
              <w:rPr>
                <w:rFonts w:hint="eastAsia" w:ascii="黑体" w:hAnsi="黑体" w:eastAsia="黑体" w:cs="宋体"/>
                <w:kern w:val="0"/>
                <w:sz w:val="24"/>
              </w:rPr>
              <w:t>职务</w:t>
            </w:r>
          </w:p>
        </w:tc>
        <w:tc>
          <w:tcPr>
            <w:tcW w:w="108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技术</w:t>
            </w:r>
          </w:p>
          <w:p>
            <w:pPr>
              <w:widowControl/>
              <w:jc w:val="center"/>
              <w:rPr>
                <w:rFonts w:ascii="黑体" w:hAnsi="黑体" w:eastAsia="黑体" w:cs="宋体"/>
                <w:kern w:val="0"/>
                <w:sz w:val="24"/>
              </w:rPr>
            </w:pPr>
            <w:r>
              <w:rPr>
                <w:rFonts w:hint="eastAsia" w:ascii="黑体" w:hAnsi="黑体" w:eastAsia="黑体" w:cs="宋体"/>
                <w:kern w:val="0"/>
                <w:sz w:val="24"/>
              </w:rPr>
              <w:t>领域</w:t>
            </w:r>
          </w:p>
        </w:tc>
        <w:tc>
          <w:tcPr>
            <w:tcW w:w="108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学历</w:t>
            </w:r>
          </w:p>
        </w:tc>
        <w:tc>
          <w:tcPr>
            <w:tcW w:w="869"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专家</w:t>
            </w:r>
          </w:p>
          <w:p>
            <w:pPr>
              <w:widowControl/>
              <w:jc w:val="center"/>
              <w:rPr>
                <w:rFonts w:ascii="黑体" w:hAnsi="黑体" w:eastAsia="黑体" w:cs="宋体"/>
                <w:kern w:val="0"/>
                <w:sz w:val="24"/>
              </w:rPr>
            </w:pPr>
            <w:r>
              <w:rPr>
                <w:rFonts w:hint="eastAsia" w:ascii="黑体" w:hAnsi="黑体" w:eastAsia="黑体" w:cs="宋体"/>
                <w:kern w:val="0"/>
                <w:sz w:val="24"/>
              </w:rPr>
              <w:t>类型</w:t>
            </w:r>
          </w:p>
        </w:tc>
        <w:tc>
          <w:tcPr>
            <w:tcW w:w="758"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联系电话</w:t>
            </w:r>
          </w:p>
        </w:tc>
      </w:tr>
      <w:tr>
        <w:tblPrEx>
          <w:tblLayout w:type="fixed"/>
          <w:tblCellMar>
            <w:top w:w="0" w:type="dxa"/>
            <w:left w:w="108" w:type="dxa"/>
            <w:bottom w:w="0" w:type="dxa"/>
            <w:right w:w="108" w:type="dxa"/>
          </w:tblCellMar>
        </w:tblPrEx>
        <w:trPr>
          <w:trHeight w:val="366" w:hRule="atLeast"/>
          <w:jc w:val="center"/>
        </w:trPr>
        <w:tc>
          <w:tcPr>
            <w:tcW w:w="822"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5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340" w:hRule="atLeast"/>
          <w:jc w:val="center"/>
        </w:trPr>
        <w:tc>
          <w:tcPr>
            <w:tcW w:w="822"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5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340" w:hRule="atLeast"/>
          <w:jc w:val="center"/>
        </w:trPr>
        <w:tc>
          <w:tcPr>
            <w:tcW w:w="822"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5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340" w:hRule="atLeast"/>
          <w:jc w:val="center"/>
        </w:trPr>
        <w:tc>
          <w:tcPr>
            <w:tcW w:w="822"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10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6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75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2525" w:hRule="atLeast"/>
          <w:jc w:val="center"/>
        </w:trPr>
        <w:tc>
          <w:tcPr>
            <w:tcW w:w="9249"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“出生年月”为</w:t>
            </w:r>
            <w:r>
              <w:rPr>
                <w:kern w:val="0"/>
                <w:sz w:val="22"/>
              </w:rPr>
              <w:t>6</w:t>
            </w:r>
            <w:r>
              <w:rPr>
                <w:rFonts w:hint="eastAsia" w:ascii="Courier New" w:hAnsi="Courier New" w:cs="Courier New"/>
                <w:kern w:val="0"/>
                <w:sz w:val="22"/>
              </w:rPr>
              <w:t>位编码，其中前</w:t>
            </w:r>
            <w:r>
              <w:rPr>
                <w:kern w:val="0"/>
                <w:sz w:val="22"/>
              </w:rPr>
              <w:t>4</w:t>
            </w:r>
            <w:r>
              <w:rPr>
                <w:rFonts w:hint="eastAsia" w:ascii="Courier New" w:hAnsi="Courier New" w:cs="Courier New"/>
                <w:kern w:val="0"/>
                <w:sz w:val="22"/>
              </w:rPr>
              <w:t>位为年份，后</w:t>
            </w:r>
            <w:r>
              <w:rPr>
                <w:kern w:val="0"/>
                <w:sz w:val="22"/>
              </w:rPr>
              <w:t>2</w:t>
            </w:r>
            <w:r>
              <w:rPr>
                <w:rFonts w:hint="eastAsia" w:ascii="Courier New" w:hAnsi="Courier New" w:cs="Courier New"/>
                <w:kern w:val="0"/>
                <w:sz w:val="22"/>
              </w:rPr>
              <w:t>位为月份（</w:t>
            </w:r>
            <w:r>
              <w:rPr>
                <w:kern w:val="0"/>
                <w:sz w:val="22"/>
              </w:rPr>
              <w:t>1</w:t>
            </w:r>
            <w:r>
              <w:rPr>
                <w:rFonts w:hint="eastAsia" w:ascii="Courier New" w:hAnsi="Courier New" w:cs="Courier New"/>
                <w:kern w:val="0"/>
                <w:sz w:val="22"/>
              </w:rPr>
              <w:t>月至</w:t>
            </w:r>
            <w:r>
              <w:rPr>
                <w:kern w:val="0"/>
                <w:sz w:val="22"/>
              </w:rPr>
              <w:t>9</w:t>
            </w:r>
            <w:r>
              <w:rPr>
                <w:rFonts w:hint="eastAsia" w:ascii="Courier New" w:hAnsi="Courier New" w:cs="Courier New"/>
                <w:kern w:val="0"/>
                <w:sz w:val="22"/>
              </w:rPr>
              <w:t>月必须前补</w:t>
            </w:r>
            <w:r>
              <w:rPr>
                <w:kern w:val="0"/>
                <w:sz w:val="22"/>
              </w:rPr>
              <w:t>0</w:t>
            </w:r>
            <w:r>
              <w:rPr>
                <w:rFonts w:hint="eastAsia" w:ascii="Courier New" w:hAnsi="Courier New" w:cs="Courier New"/>
                <w:kern w:val="0"/>
                <w:sz w:val="22"/>
              </w:rPr>
              <w:t>）。</w:t>
            </w:r>
            <w:r>
              <w:rPr>
                <w:rFonts w:ascii="Courier New" w:hAnsi="Courier New" w:cs="Courier New"/>
                <w:kern w:val="0"/>
                <w:sz w:val="22"/>
              </w:rPr>
              <w:br w:type="textWrapping"/>
            </w:r>
            <w:r>
              <w:rPr>
                <w:kern w:val="0"/>
                <w:sz w:val="22"/>
              </w:rPr>
              <w:t xml:space="preserve">2. </w:t>
            </w:r>
            <w:r>
              <w:rPr>
                <w:rFonts w:hint="eastAsia"/>
                <w:kern w:val="0"/>
                <w:sz w:val="22"/>
              </w:rPr>
              <w:t>“</w:t>
            </w:r>
            <w:r>
              <w:rPr>
                <w:rFonts w:hint="eastAsia" w:ascii="Courier New" w:hAnsi="Courier New" w:cs="Courier New"/>
                <w:kern w:val="0"/>
                <w:sz w:val="22"/>
              </w:rPr>
              <w:t>所在部门</w:t>
            </w:r>
            <w:r>
              <w:rPr>
                <w:rFonts w:hint="eastAsia"/>
                <w:kern w:val="0"/>
                <w:sz w:val="22"/>
              </w:rPr>
              <w:t>”</w:t>
            </w:r>
            <w:r>
              <w:rPr>
                <w:rFonts w:hint="eastAsia" w:ascii="Courier New" w:hAnsi="Courier New" w:cs="Courier New"/>
                <w:kern w:val="0"/>
                <w:sz w:val="22"/>
              </w:rPr>
              <w:t>指企业技术中心下属部门或分支机构名称。</w:t>
            </w:r>
            <w:r>
              <w:rPr>
                <w:rFonts w:ascii="Courier New" w:hAnsi="Courier New" w:cs="Courier New"/>
                <w:kern w:val="0"/>
                <w:sz w:val="22"/>
              </w:rPr>
              <w:br w:type="textWrapping"/>
            </w:r>
            <w:r>
              <w:rPr>
                <w:kern w:val="0"/>
                <w:sz w:val="22"/>
              </w:rPr>
              <w:t xml:space="preserve">3. </w:t>
            </w:r>
            <w:r>
              <w:rPr>
                <w:rFonts w:hint="eastAsia"/>
                <w:kern w:val="0"/>
                <w:sz w:val="22"/>
              </w:rPr>
              <w:t>“</w:t>
            </w:r>
            <w:r>
              <w:rPr>
                <w:rFonts w:hint="eastAsia" w:ascii="Courier New" w:hAnsi="Courier New" w:cs="Courier New"/>
                <w:kern w:val="0"/>
                <w:sz w:val="22"/>
              </w:rPr>
              <w:t>专家类型</w:t>
            </w:r>
            <w:r>
              <w:rPr>
                <w:rFonts w:hint="eastAsia"/>
                <w:kern w:val="0"/>
                <w:sz w:val="22"/>
              </w:rPr>
              <w:t>”</w:t>
            </w:r>
            <w:r>
              <w:rPr>
                <w:rFonts w:hint="eastAsia" w:ascii="Courier New" w:hAnsi="Courier New" w:cs="Courier New"/>
                <w:kern w:val="0"/>
                <w:sz w:val="22"/>
              </w:rPr>
              <w:t>应按相应的分类代码填写，具体的分类及代码是：</w:t>
            </w:r>
            <w:r>
              <w:rPr>
                <w:kern w:val="0"/>
                <w:sz w:val="22"/>
              </w:rPr>
              <w:t xml:space="preserve">1. </w:t>
            </w:r>
            <w:r>
              <w:rPr>
                <w:rFonts w:hint="eastAsia" w:ascii="Courier New" w:hAnsi="Courier New" w:cs="Courier New"/>
                <w:kern w:val="0"/>
                <w:sz w:val="22"/>
              </w:rPr>
              <w:t>国家有突出贡献的专家；</w:t>
            </w:r>
            <w:r>
              <w:rPr>
                <w:kern w:val="0"/>
                <w:sz w:val="22"/>
              </w:rPr>
              <w:t xml:space="preserve">2. </w:t>
            </w:r>
            <w:r>
              <w:rPr>
                <w:rFonts w:hint="eastAsia" w:ascii="Courier New" w:hAnsi="Courier New" w:cs="Courier New"/>
                <w:kern w:val="0"/>
                <w:sz w:val="22"/>
              </w:rPr>
              <w:t>国家专项津贴获得者；</w:t>
            </w:r>
            <w:r>
              <w:rPr>
                <w:kern w:val="0"/>
                <w:sz w:val="22"/>
              </w:rPr>
              <w:t xml:space="preserve">3. </w:t>
            </w:r>
            <w:r>
              <w:rPr>
                <w:rFonts w:hint="eastAsia" w:ascii="Courier New" w:hAnsi="Courier New" w:cs="Courier New"/>
                <w:kern w:val="0"/>
                <w:sz w:val="22"/>
              </w:rPr>
              <w:t>省部有突出贡献的专家；</w:t>
            </w:r>
            <w:r>
              <w:rPr>
                <w:kern w:val="0"/>
                <w:sz w:val="22"/>
              </w:rPr>
              <w:t xml:space="preserve">4. </w:t>
            </w:r>
            <w:r>
              <w:rPr>
                <w:rFonts w:hint="eastAsia" w:ascii="Courier New" w:hAnsi="Courier New" w:cs="Courier New"/>
                <w:kern w:val="0"/>
                <w:sz w:val="22"/>
              </w:rPr>
              <w:t>省部专项津贴获得者；</w:t>
            </w:r>
            <w:r>
              <w:rPr>
                <w:kern w:val="0"/>
                <w:sz w:val="22"/>
              </w:rPr>
              <w:t xml:space="preserve">5. </w:t>
            </w:r>
            <w:r>
              <w:rPr>
                <w:rFonts w:hint="eastAsia" w:ascii="Courier New" w:hAnsi="Courier New" w:cs="Courier New"/>
                <w:kern w:val="0"/>
                <w:sz w:val="22"/>
              </w:rPr>
              <w:t>博士；</w:t>
            </w:r>
            <w:r>
              <w:rPr>
                <w:kern w:val="0"/>
                <w:sz w:val="22"/>
              </w:rPr>
              <w:t xml:space="preserve">6 </w:t>
            </w:r>
            <w:r>
              <w:rPr>
                <w:rFonts w:hint="eastAsia" w:ascii="Courier New" w:hAnsi="Courier New" w:cs="Courier New"/>
                <w:kern w:val="0"/>
                <w:sz w:val="22"/>
              </w:rPr>
              <w:t>在站博士后；</w:t>
            </w:r>
            <w:r>
              <w:rPr>
                <w:kern w:val="0"/>
                <w:sz w:val="22"/>
              </w:rPr>
              <w:t xml:space="preserve">7. </w:t>
            </w:r>
            <w:r>
              <w:rPr>
                <w:rFonts w:hint="eastAsia" w:ascii="Courier New" w:hAnsi="Courier New" w:cs="Courier New"/>
                <w:kern w:val="0"/>
                <w:sz w:val="22"/>
              </w:rPr>
              <w:t>其他类型专家（需具体说明）。</w:t>
            </w:r>
            <w:r>
              <w:rPr>
                <w:rFonts w:ascii="Courier New" w:hAnsi="Courier New" w:cs="Courier New"/>
                <w:kern w:val="0"/>
                <w:sz w:val="22"/>
              </w:rPr>
              <w:br w:type="textWrapping"/>
            </w:r>
            <w:r>
              <w:rPr>
                <w:kern w:val="0"/>
                <w:sz w:val="22"/>
              </w:rPr>
              <w:t xml:space="preserve">4.  </w:t>
            </w:r>
            <w:r>
              <w:rPr>
                <w:rFonts w:hint="eastAsia" w:ascii="Courier New" w:hAnsi="Courier New" w:cs="Courier New"/>
                <w:kern w:val="0"/>
                <w:sz w:val="22"/>
              </w:rPr>
              <w:t>联系电话应为专家本人常用电话，以便于评价组与专家联系核实。</w:t>
            </w:r>
          </w:p>
        </w:tc>
      </w:tr>
    </w:tbl>
    <w:p/>
    <w:tbl>
      <w:tblPr>
        <w:tblStyle w:val="12"/>
        <w:tblW w:w="9938" w:type="dxa"/>
        <w:jc w:val="center"/>
        <w:tblInd w:w="662" w:type="dxa"/>
        <w:tblLayout w:type="fixed"/>
        <w:tblCellMar>
          <w:top w:w="0" w:type="dxa"/>
          <w:left w:w="108" w:type="dxa"/>
          <w:bottom w:w="0" w:type="dxa"/>
          <w:right w:w="108" w:type="dxa"/>
        </w:tblCellMar>
      </w:tblPr>
      <w:tblGrid>
        <w:gridCol w:w="435"/>
        <w:gridCol w:w="60"/>
        <w:gridCol w:w="780"/>
        <w:gridCol w:w="885"/>
        <w:gridCol w:w="1418"/>
        <w:gridCol w:w="415"/>
        <w:gridCol w:w="665"/>
        <w:gridCol w:w="878"/>
        <w:gridCol w:w="642"/>
        <w:gridCol w:w="1000"/>
        <w:gridCol w:w="267"/>
        <w:gridCol w:w="953"/>
        <w:gridCol w:w="367"/>
        <w:gridCol w:w="929"/>
        <w:gridCol w:w="120"/>
        <w:gridCol w:w="124"/>
      </w:tblGrid>
      <w:tr>
        <w:tblPrEx>
          <w:tblLayout w:type="fixed"/>
          <w:tblCellMar>
            <w:top w:w="0" w:type="dxa"/>
            <w:left w:w="108" w:type="dxa"/>
            <w:bottom w:w="0" w:type="dxa"/>
            <w:right w:w="108" w:type="dxa"/>
          </w:tblCellMar>
        </w:tblPrEx>
        <w:trPr>
          <w:gridAfter w:val="2"/>
          <w:wAfter w:w="244" w:type="dxa"/>
          <w:trHeight w:val="855" w:hRule="atLeast"/>
          <w:jc w:val="center"/>
        </w:trPr>
        <w:tc>
          <w:tcPr>
            <w:tcW w:w="9694" w:type="dxa"/>
            <w:gridSpan w:val="14"/>
            <w:tcBorders>
              <w:top w:val="nil"/>
              <w:left w:val="nil"/>
              <w:bottom w:val="single" w:color="auto" w:sz="4" w:space="0"/>
              <w:right w:val="nil"/>
            </w:tcBorders>
            <w:vAlign w:val="center"/>
          </w:tcPr>
          <w:p>
            <w:pPr>
              <w:widowControl/>
              <w:jc w:val="center"/>
              <w:rPr>
                <w:rFonts w:ascii="黑体" w:hAnsi="黑体" w:eastAsia="黑体" w:cs="宋体"/>
                <w:kern w:val="0"/>
                <w:sz w:val="28"/>
                <w:szCs w:val="28"/>
              </w:rPr>
            </w:pPr>
            <w:r>
              <w:rPr>
                <w:rFonts w:hint="eastAsia" w:ascii="黑体" w:hAnsi="黑体" w:eastAsia="黑体" w:cs="宋体"/>
                <w:kern w:val="0"/>
                <w:sz w:val="28"/>
                <w:szCs w:val="28"/>
              </w:rPr>
              <w:t>表</w:t>
            </w:r>
            <w:r>
              <w:rPr>
                <w:rFonts w:ascii="黑体" w:hAnsi="黑体" w:eastAsia="黑体" w:cs="宋体"/>
                <w:kern w:val="0"/>
                <w:sz w:val="28"/>
                <w:szCs w:val="28"/>
              </w:rPr>
              <w:t>2</w:t>
            </w:r>
            <w:r>
              <w:rPr>
                <w:rFonts w:hint="eastAsia" w:ascii="黑体" w:hAnsi="黑体" w:eastAsia="黑体" w:cs="宋体"/>
                <w:kern w:val="0"/>
                <w:sz w:val="28"/>
                <w:szCs w:val="28"/>
              </w:rPr>
              <w:t>：技术中心外部专家信息表</w:t>
            </w:r>
          </w:p>
        </w:tc>
      </w:tr>
      <w:tr>
        <w:tblPrEx>
          <w:tblLayout w:type="fixed"/>
          <w:tblCellMar>
            <w:top w:w="0" w:type="dxa"/>
            <w:left w:w="108" w:type="dxa"/>
            <w:bottom w:w="0" w:type="dxa"/>
            <w:right w:w="108" w:type="dxa"/>
          </w:tblCellMar>
        </w:tblPrEx>
        <w:trPr>
          <w:gridAfter w:val="2"/>
          <w:wAfter w:w="244" w:type="dxa"/>
          <w:trHeight w:val="600" w:hRule="atLeast"/>
          <w:jc w:val="center"/>
        </w:trPr>
        <w:tc>
          <w:tcPr>
            <w:tcW w:w="495"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序号</w:t>
            </w:r>
          </w:p>
        </w:tc>
        <w:tc>
          <w:tcPr>
            <w:tcW w:w="780" w:type="dxa"/>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姓名</w:t>
            </w:r>
          </w:p>
        </w:tc>
        <w:tc>
          <w:tcPr>
            <w:tcW w:w="885" w:type="dxa"/>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出生年月</w:t>
            </w:r>
          </w:p>
        </w:tc>
        <w:tc>
          <w:tcPr>
            <w:tcW w:w="1418" w:type="dxa"/>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工作单位</w:t>
            </w:r>
          </w:p>
        </w:tc>
        <w:tc>
          <w:tcPr>
            <w:tcW w:w="1080" w:type="dxa"/>
            <w:gridSpan w:val="2"/>
            <w:tcBorders>
              <w:top w:val="nil"/>
              <w:left w:val="nil"/>
              <w:bottom w:val="single" w:color="auto" w:sz="4" w:space="0"/>
              <w:right w:val="single" w:color="auto" w:sz="4" w:space="0"/>
            </w:tcBorders>
            <w:vAlign w:val="center"/>
          </w:tcPr>
          <w:p>
            <w:pPr>
              <w:widowControl/>
              <w:jc w:val="center"/>
              <w:rPr>
                <w:rFonts w:ascii="黑体" w:hAnsi="黑体" w:eastAsia="黑体"/>
                <w:kern w:val="0"/>
                <w:sz w:val="24"/>
              </w:rPr>
            </w:pPr>
            <w:r>
              <w:rPr>
                <w:rFonts w:hint="eastAsia" w:ascii="黑体" w:hAnsi="黑体" w:eastAsia="黑体"/>
                <w:kern w:val="0"/>
                <w:sz w:val="24"/>
              </w:rPr>
              <w:t>职称</w:t>
            </w:r>
          </w:p>
          <w:p>
            <w:pPr>
              <w:widowControl/>
              <w:jc w:val="center"/>
              <w:rPr>
                <w:kern w:val="0"/>
                <w:sz w:val="24"/>
              </w:rPr>
            </w:pPr>
            <w:r>
              <w:rPr>
                <w:rFonts w:hint="eastAsia" w:ascii="黑体" w:hAnsi="黑体" w:eastAsia="黑体"/>
                <w:kern w:val="0"/>
                <w:sz w:val="24"/>
              </w:rPr>
              <w:t>职务</w:t>
            </w:r>
          </w:p>
        </w:tc>
        <w:tc>
          <w:tcPr>
            <w:tcW w:w="1520" w:type="dxa"/>
            <w:gridSpan w:val="2"/>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技术领域</w:t>
            </w:r>
          </w:p>
        </w:tc>
        <w:tc>
          <w:tcPr>
            <w:tcW w:w="1000" w:type="dxa"/>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学历</w:t>
            </w:r>
          </w:p>
        </w:tc>
        <w:tc>
          <w:tcPr>
            <w:tcW w:w="1220" w:type="dxa"/>
            <w:gridSpan w:val="2"/>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工作时间（人月）</w:t>
            </w:r>
          </w:p>
        </w:tc>
        <w:tc>
          <w:tcPr>
            <w:tcW w:w="1296" w:type="dxa"/>
            <w:gridSpan w:val="2"/>
            <w:tcBorders>
              <w:top w:val="nil"/>
              <w:left w:val="nil"/>
              <w:bottom w:val="single" w:color="auto" w:sz="4" w:space="0"/>
              <w:right w:val="single" w:color="auto" w:sz="4" w:space="0"/>
            </w:tcBorders>
            <w:vAlign w:val="center"/>
          </w:tcPr>
          <w:p>
            <w:pPr>
              <w:widowControl/>
              <w:jc w:val="center"/>
              <w:rPr>
                <w:kern w:val="0"/>
                <w:sz w:val="24"/>
              </w:rPr>
            </w:pPr>
            <w:r>
              <w:rPr>
                <w:rFonts w:hint="eastAsia" w:ascii="黑体" w:hAnsi="黑体" w:eastAsia="黑体"/>
                <w:kern w:val="0"/>
                <w:sz w:val="24"/>
              </w:rPr>
              <w:t>联系电话</w:t>
            </w:r>
          </w:p>
        </w:tc>
      </w:tr>
      <w:tr>
        <w:tblPrEx>
          <w:tblLayout w:type="fixed"/>
          <w:tblCellMar>
            <w:top w:w="0" w:type="dxa"/>
            <w:left w:w="108" w:type="dxa"/>
            <w:bottom w:w="0" w:type="dxa"/>
            <w:right w:w="108" w:type="dxa"/>
          </w:tblCellMar>
        </w:tblPrEx>
        <w:trPr>
          <w:gridAfter w:val="2"/>
          <w:wAfter w:w="244" w:type="dxa"/>
          <w:trHeight w:val="315" w:hRule="atLeast"/>
          <w:jc w:val="center"/>
        </w:trPr>
        <w:tc>
          <w:tcPr>
            <w:tcW w:w="495"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7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8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2"/>
          <w:wAfter w:w="244" w:type="dxa"/>
          <w:trHeight w:val="315" w:hRule="atLeast"/>
          <w:jc w:val="center"/>
        </w:trPr>
        <w:tc>
          <w:tcPr>
            <w:tcW w:w="495"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7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8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2"/>
          <w:wAfter w:w="244" w:type="dxa"/>
          <w:trHeight w:val="315" w:hRule="atLeast"/>
          <w:jc w:val="center"/>
        </w:trPr>
        <w:tc>
          <w:tcPr>
            <w:tcW w:w="495"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7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8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2"/>
          <w:wAfter w:w="244" w:type="dxa"/>
          <w:trHeight w:val="315" w:hRule="atLeast"/>
          <w:jc w:val="center"/>
        </w:trPr>
        <w:tc>
          <w:tcPr>
            <w:tcW w:w="495"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7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88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96"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2"/>
          <w:wAfter w:w="244" w:type="dxa"/>
          <w:trHeight w:val="402" w:hRule="atLeast"/>
          <w:jc w:val="center"/>
        </w:trPr>
        <w:tc>
          <w:tcPr>
            <w:tcW w:w="7178" w:type="dxa"/>
            <w:gridSpan w:val="10"/>
            <w:tcBorders>
              <w:top w:val="single" w:color="auto" w:sz="4" w:space="0"/>
              <w:left w:val="single" w:color="auto" w:sz="4" w:space="0"/>
              <w:bottom w:val="single" w:color="auto" w:sz="4" w:space="0"/>
              <w:right w:val="single" w:color="auto" w:sz="4" w:space="0"/>
            </w:tcBorders>
            <w:vAlign w:val="center"/>
          </w:tcPr>
          <w:p>
            <w:pPr>
              <w:widowControl/>
              <w:rPr>
                <w:kern w:val="0"/>
                <w:sz w:val="24"/>
              </w:rPr>
            </w:pPr>
            <w:r>
              <w:rPr>
                <w:rFonts w:hint="eastAsia" w:ascii="仿宋_GB2312" w:eastAsia="仿宋_GB2312"/>
                <w:kern w:val="0"/>
                <w:sz w:val="24"/>
              </w:rPr>
              <w:t>外部专家来企业工作时间合计（人月）</w:t>
            </w:r>
          </w:p>
        </w:tc>
        <w:tc>
          <w:tcPr>
            <w:tcW w:w="2516" w:type="dxa"/>
            <w:gridSpan w:val="4"/>
            <w:tcBorders>
              <w:top w:val="single" w:color="auto" w:sz="4" w:space="0"/>
              <w:left w:val="nil"/>
              <w:bottom w:val="single" w:color="auto" w:sz="4" w:space="0"/>
              <w:right w:val="single" w:color="auto" w:sz="4" w:space="0"/>
            </w:tcBorders>
            <w:vAlign w:val="center"/>
          </w:tcPr>
          <w:p>
            <w:pPr>
              <w:widowControl/>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1967" w:hRule="atLeast"/>
          <w:jc w:val="center"/>
        </w:trPr>
        <w:tc>
          <w:tcPr>
            <w:tcW w:w="9938" w:type="dxa"/>
            <w:gridSpan w:val="16"/>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“出生年月”为</w:t>
            </w:r>
            <w:r>
              <w:rPr>
                <w:kern w:val="0"/>
                <w:sz w:val="22"/>
              </w:rPr>
              <w:t>6</w:t>
            </w:r>
            <w:r>
              <w:rPr>
                <w:rFonts w:hint="eastAsia" w:ascii="Courier New" w:hAnsi="Courier New" w:cs="Courier New"/>
                <w:kern w:val="0"/>
                <w:sz w:val="22"/>
              </w:rPr>
              <w:t>位编码，其中前</w:t>
            </w:r>
            <w:r>
              <w:rPr>
                <w:kern w:val="0"/>
                <w:sz w:val="22"/>
              </w:rPr>
              <w:t>4</w:t>
            </w:r>
            <w:r>
              <w:rPr>
                <w:rFonts w:hint="eastAsia" w:ascii="Courier New" w:hAnsi="Courier New" w:cs="Courier New"/>
                <w:kern w:val="0"/>
                <w:sz w:val="22"/>
              </w:rPr>
              <w:t>位为年份，后</w:t>
            </w:r>
            <w:r>
              <w:rPr>
                <w:kern w:val="0"/>
                <w:sz w:val="22"/>
              </w:rPr>
              <w:t>2</w:t>
            </w:r>
            <w:r>
              <w:rPr>
                <w:rFonts w:hint="eastAsia" w:ascii="Courier New" w:hAnsi="Courier New" w:cs="Courier New"/>
                <w:kern w:val="0"/>
                <w:sz w:val="22"/>
              </w:rPr>
              <w:t>位为月份（</w:t>
            </w:r>
            <w:r>
              <w:rPr>
                <w:kern w:val="0"/>
                <w:sz w:val="22"/>
              </w:rPr>
              <w:t>1</w:t>
            </w:r>
            <w:r>
              <w:rPr>
                <w:rFonts w:hint="eastAsia" w:ascii="Courier New" w:hAnsi="Courier New" w:cs="Courier New"/>
                <w:kern w:val="0"/>
                <w:sz w:val="22"/>
              </w:rPr>
              <w:t>月至</w:t>
            </w:r>
            <w:r>
              <w:rPr>
                <w:kern w:val="0"/>
                <w:sz w:val="22"/>
              </w:rPr>
              <w:t>9</w:t>
            </w:r>
            <w:r>
              <w:rPr>
                <w:rFonts w:hint="eastAsia" w:ascii="Courier New" w:hAnsi="Courier New" w:cs="Courier New"/>
                <w:kern w:val="0"/>
                <w:sz w:val="22"/>
              </w:rPr>
              <w:t>月必须前补</w:t>
            </w:r>
            <w:r>
              <w:rPr>
                <w:kern w:val="0"/>
                <w:sz w:val="22"/>
              </w:rPr>
              <w:t>0</w:t>
            </w:r>
            <w:r>
              <w:rPr>
                <w:rFonts w:hint="eastAsia" w:ascii="Courier New" w:hAnsi="Courier New" w:cs="Courier New"/>
                <w:kern w:val="0"/>
                <w:sz w:val="22"/>
              </w:rPr>
              <w:t>）。</w:t>
            </w:r>
            <w:r>
              <w:rPr>
                <w:rFonts w:ascii="Courier New" w:hAnsi="Courier New" w:cs="Courier New"/>
                <w:kern w:val="0"/>
                <w:sz w:val="22"/>
              </w:rPr>
              <w:br w:type="textWrapping"/>
            </w:r>
            <w:r>
              <w:rPr>
                <w:kern w:val="0"/>
                <w:sz w:val="22"/>
              </w:rPr>
              <w:t xml:space="preserve">2. </w:t>
            </w:r>
            <w:r>
              <w:rPr>
                <w:rFonts w:hint="eastAsia"/>
                <w:kern w:val="0"/>
                <w:sz w:val="22"/>
              </w:rPr>
              <w:t>“</w:t>
            </w:r>
            <w:r>
              <w:rPr>
                <w:rFonts w:hint="eastAsia" w:ascii="Courier New" w:hAnsi="Courier New" w:cs="Courier New"/>
                <w:kern w:val="0"/>
                <w:sz w:val="22"/>
              </w:rPr>
              <w:t>工作单位</w:t>
            </w:r>
            <w:r>
              <w:rPr>
                <w:rFonts w:hint="eastAsia"/>
                <w:kern w:val="0"/>
                <w:sz w:val="22"/>
              </w:rPr>
              <w:t>”</w:t>
            </w:r>
            <w:r>
              <w:rPr>
                <w:rFonts w:hint="eastAsia" w:ascii="Courier New" w:hAnsi="Courier New" w:cs="Courier New"/>
                <w:kern w:val="0"/>
                <w:sz w:val="22"/>
              </w:rPr>
              <w:t>指外部专家所属原工作单位名称。</w:t>
            </w:r>
            <w:r>
              <w:rPr>
                <w:rFonts w:ascii="Courier New" w:hAnsi="Courier New" w:cs="Courier New"/>
                <w:kern w:val="0"/>
                <w:sz w:val="22"/>
              </w:rPr>
              <w:br w:type="textWrapping"/>
            </w:r>
            <w:r>
              <w:rPr>
                <w:kern w:val="0"/>
                <w:sz w:val="22"/>
              </w:rPr>
              <w:t xml:space="preserve">3. </w:t>
            </w:r>
            <w:r>
              <w:rPr>
                <w:rFonts w:hint="eastAsia"/>
                <w:kern w:val="0"/>
                <w:sz w:val="22"/>
              </w:rPr>
              <w:t>“</w:t>
            </w:r>
            <w:r>
              <w:rPr>
                <w:rFonts w:hint="eastAsia" w:ascii="Courier New" w:hAnsi="Courier New" w:cs="Courier New"/>
                <w:kern w:val="0"/>
                <w:sz w:val="22"/>
              </w:rPr>
              <w:t>工作时间</w:t>
            </w:r>
            <w:r>
              <w:rPr>
                <w:rFonts w:hint="eastAsia"/>
                <w:kern w:val="0"/>
                <w:sz w:val="22"/>
              </w:rPr>
              <w:t>”</w:t>
            </w:r>
            <w:r>
              <w:rPr>
                <w:rFonts w:hint="eastAsia" w:ascii="Courier New" w:hAnsi="Courier New" w:cs="Courier New"/>
                <w:kern w:val="0"/>
                <w:sz w:val="22"/>
              </w:rPr>
              <w:t>指外部专家在技术中心开展技术创新相关研究咨询工作的时间合计，最小统计单位为</w:t>
            </w:r>
            <w:r>
              <w:rPr>
                <w:rFonts w:hint="eastAsia"/>
                <w:kern w:val="0"/>
                <w:sz w:val="22"/>
              </w:rPr>
              <w:t>“</w:t>
            </w:r>
            <w:r>
              <w:rPr>
                <w:kern w:val="0"/>
                <w:sz w:val="22"/>
              </w:rPr>
              <w:t>0.5</w:t>
            </w:r>
            <w:r>
              <w:rPr>
                <w:rFonts w:hint="eastAsia" w:ascii="Courier New" w:hAnsi="Courier New" w:cs="Courier New"/>
                <w:kern w:val="0"/>
                <w:sz w:val="22"/>
              </w:rPr>
              <w:t>人月</w:t>
            </w:r>
            <w:r>
              <w:rPr>
                <w:rFonts w:hint="eastAsia"/>
                <w:kern w:val="0"/>
                <w:sz w:val="22"/>
              </w:rPr>
              <w:t>”</w:t>
            </w:r>
            <w:r>
              <w:rPr>
                <w:rFonts w:hint="eastAsia" w:ascii="Courier New" w:hAnsi="Courier New" w:cs="Courier New"/>
                <w:kern w:val="0"/>
                <w:sz w:val="22"/>
              </w:rPr>
              <w:t>。</w:t>
            </w:r>
            <w:r>
              <w:rPr>
                <w:rFonts w:ascii="Courier New" w:hAnsi="Courier New" w:cs="Courier New"/>
                <w:kern w:val="0"/>
                <w:sz w:val="22"/>
              </w:rPr>
              <w:br w:type="textWrapping"/>
            </w:r>
            <w:r>
              <w:rPr>
                <w:kern w:val="0"/>
                <w:sz w:val="22"/>
              </w:rPr>
              <w:t xml:space="preserve">4. </w:t>
            </w:r>
            <w:r>
              <w:rPr>
                <w:rFonts w:hint="eastAsia" w:ascii="Courier New" w:hAnsi="Courier New" w:cs="Courier New"/>
                <w:kern w:val="0"/>
                <w:sz w:val="22"/>
              </w:rPr>
              <w:t>联系电话应为专家本人常用电话，以便于评价组与专家联系核实。</w:t>
            </w:r>
          </w:p>
        </w:tc>
      </w:tr>
      <w:tr>
        <w:tblPrEx>
          <w:tblLayout w:type="fixed"/>
          <w:tblCellMar>
            <w:top w:w="0" w:type="dxa"/>
            <w:left w:w="108" w:type="dxa"/>
            <w:bottom w:w="0" w:type="dxa"/>
            <w:right w:w="108" w:type="dxa"/>
          </w:tblCellMar>
        </w:tblPrEx>
        <w:trPr>
          <w:trHeight w:val="870" w:hRule="atLeast"/>
          <w:jc w:val="center"/>
        </w:trPr>
        <w:tc>
          <w:tcPr>
            <w:tcW w:w="9938" w:type="dxa"/>
            <w:gridSpan w:val="16"/>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3</w:t>
            </w:r>
            <w:r>
              <w:rPr>
                <w:rFonts w:hint="eastAsia" w:ascii="黑体" w:hAnsi="黑体" w:eastAsia="黑体"/>
                <w:kern w:val="0"/>
                <w:sz w:val="28"/>
                <w:szCs w:val="28"/>
              </w:rPr>
              <w:t>：企业有效发明专利信息表</w:t>
            </w:r>
          </w:p>
        </w:tc>
      </w:tr>
      <w:tr>
        <w:tblPrEx>
          <w:tblLayout w:type="fixed"/>
          <w:tblCellMar>
            <w:top w:w="0" w:type="dxa"/>
            <w:left w:w="108" w:type="dxa"/>
            <w:bottom w:w="0" w:type="dxa"/>
            <w:right w:w="108" w:type="dxa"/>
          </w:tblCellMar>
        </w:tblPrEx>
        <w:trPr>
          <w:gridAfter w:val="1"/>
          <w:wAfter w:w="124" w:type="dxa"/>
          <w:trHeight w:val="285" w:hRule="atLeast"/>
          <w:jc w:val="center"/>
        </w:trPr>
        <w:tc>
          <w:tcPr>
            <w:tcW w:w="435"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3558" w:type="dxa"/>
            <w:gridSpan w:val="5"/>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专利名称</w:t>
            </w:r>
          </w:p>
        </w:tc>
        <w:tc>
          <w:tcPr>
            <w:tcW w:w="1543"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授权国别</w:t>
            </w:r>
          </w:p>
        </w:tc>
        <w:tc>
          <w:tcPr>
            <w:tcW w:w="1909" w:type="dxa"/>
            <w:gridSpan w:val="3"/>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专利号</w:t>
            </w:r>
          </w:p>
        </w:tc>
        <w:tc>
          <w:tcPr>
            <w:tcW w:w="132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专利权人</w:t>
            </w:r>
          </w:p>
        </w:tc>
        <w:tc>
          <w:tcPr>
            <w:tcW w:w="1049"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授权</w:t>
            </w:r>
          </w:p>
          <w:p>
            <w:pPr>
              <w:widowControl/>
              <w:jc w:val="center"/>
              <w:rPr>
                <w:rFonts w:ascii="黑体" w:hAnsi="黑体" w:eastAsia="黑体" w:cs="宋体"/>
                <w:kern w:val="0"/>
                <w:sz w:val="24"/>
              </w:rPr>
            </w:pPr>
            <w:r>
              <w:rPr>
                <w:rFonts w:hint="eastAsia" w:ascii="黑体" w:hAnsi="黑体" w:eastAsia="黑体" w:cs="宋体"/>
                <w:kern w:val="0"/>
                <w:sz w:val="24"/>
              </w:rPr>
              <w:t>公告日</w:t>
            </w:r>
          </w:p>
        </w:tc>
      </w:tr>
      <w:tr>
        <w:tblPrEx>
          <w:tblLayout w:type="fixed"/>
          <w:tblCellMar>
            <w:top w:w="0" w:type="dxa"/>
            <w:left w:w="108" w:type="dxa"/>
            <w:bottom w:w="0" w:type="dxa"/>
            <w:right w:w="108" w:type="dxa"/>
          </w:tblCellMar>
        </w:tblPrEx>
        <w:trPr>
          <w:gridAfter w:val="1"/>
          <w:wAfter w:w="124" w:type="dxa"/>
          <w:trHeight w:val="315" w:hRule="atLeast"/>
          <w:jc w:val="center"/>
        </w:trPr>
        <w:tc>
          <w:tcPr>
            <w:tcW w:w="43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3558"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09"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49"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1"/>
          <w:wAfter w:w="124" w:type="dxa"/>
          <w:trHeight w:val="315" w:hRule="atLeast"/>
          <w:jc w:val="center"/>
        </w:trPr>
        <w:tc>
          <w:tcPr>
            <w:tcW w:w="43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3558"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09"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49"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1"/>
          <w:wAfter w:w="124" w:type="dxa"/>
          <w:trHeight w:val="315" w:hRule="atLeast"/>
          <w:jc w:val="center"/>
        </w:trPr>
        <w:tc>
          <w:tcPr>
            <w:tcW w:w="43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3558"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09"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49"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1"/>
          <w:wAfter w:w="124" w:type="dxa"/>
          <w:trHeight w:val="315" w:hRule="atLeast"/>
          <w:jc w:val="center"/>
        </w:trPr>
        <w:tc>
          <w:tcPr>
            <w:tcW w:w="43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3558"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909"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049"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1"/>
          <w:wAfter w:w="124" w:type="dxa"/>
          <w:trHeight w:val="1882" w:hRule="atLeast"/>
          <w:jc w:val="center"/>
        </w:trPr>
        <w:tc>
          <w:tcPr>
            <w:tcW w:w="9814" w:type="dxa"/>
            <w:gridSpan w:val="15"/>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该表只填写有效</w:t>
            </w:r>
            <w:r>
              <w:rPr>
                <w:rFonts w:hint="eastAsia"/>
                <w:kern w:val="0"/>
                <w:sz w:val="22"/>
              </w:rPr>
              <w:t>“</w:t>
            </w:r>
            <w:r>
              <w:rPr>
                <w:rFonts w:hint="eastAsia" w:ascii="Courier New" w:hAnsi="Courier New" w:cs="Courier New"/>
                <w:kern w:val="0"/>
                <w:sz w:val="22"/>
              </w:rPr>
              <w:t>发明专利</w:t>
            </w:r>
            <w:r>
              <w:rPr>
                <w:rFonts w:hint="eastAsia"/>
                <w:kern w:val="0"/>
                <w:sz w:val="22"/>
              </w:rPr>
              <w:t>”</w:t>
            </w:r>
            <w:r>
              <w:rPr>
                <w:rFonts w:hint="eastAsia" w:ascii="Courier New" w:hAnsi="Courier New" w:cs="Courier New"/>
                <w:kern w:val="0"/>
                <w:sz w:val="22"/>
              </w:rPr>
              <w:t>，已经无效的专利和报告年度之后获得授权的专利不得列入。</w:t>
            </w:r>
            <w:r>
              <w:rPr>
                <w:rFonts w:ascii="Courier New" w:hAnsi="Courier New" w:cs="Courier New"/>
                <w:kern w:val="0"/>
                <w:sz w:val="22"/>
              </w:rPr>
              <w:br w:type="textWrapping"/>
            </w:r>
            <w:r>
              <w:rPr>
                <w:kern w:val="0"/>
                <w:sz w:val="22"/>
              </w:rPr>
              <w:t xml:space="preserve">2. </w:t>
            </w:r>
            <w:r>
              <w:rPr>
                <w:rFonts w:hint="eastAsia" w:ascii="Courier New" w:hAnsi="Courier New" w:cs="Courier New"/>
                <w:kern w:val="0"/>
                <w:sz w:val="22"/>
              </w:rPr>
              <w:t>所有填列专利信息请按照专利号顺序依次排列。</w:t>
            </w:r>
            <w:r>
              <w:rPr>
                <w:rFonts w:ascii="Courier New" w:hAnsi="Courier New" w:cs="Courier New"/>
                <w:kern w:val="0"/>
                <w:sz w:val="22"/>
              </w:rPr>
              <w:br w:type="textWrapping"/>
            </w:r>
            <w:r>
              <w:rPr>
                <w:kern w:val="0"/>
                <w:sz w:val="22"/>
              </w:rPr>
              <w:t xml:space="preserve">3. </w:t>
            </w:r>
            <w:r>
              <w:rPr>
                <w:rFonts w:hint="eastAsia" w:ascii="Courier New" w:hAnsi="Courier New" w:cs="Courier New"/>
                <w:kern w:val="0"/>
                <w:sz w:val="22"/>
              </w:rPr>
              <w:t>该表所填写信息需与《发明专利证书》内容一致。</w:t>
            </w:r>
            <w:r>
              <w:rPr>
                <w:rFonts w:ascii="Courier New" w:hAnsi="Courier New" w:cs="Courier New"/>
                <w:kern w:val="0"/>
                <w:sz w:val="22"/>
              </w:rPr>
              <w:br w:type="textWrapping"/>
            </w:r>
            <w:r>
              <w:rPr>
                <w:kern w:val="0"/>
                <w:sz w:val="22"/>
              </w:rPr>
              <w:t xml:space="preserve">4. </w:t>
            </w:r>
            <w:r>
              <w:rPr>
                <w:rFonts w:hint="eastAsia"/>
                <w:kern w:val="0"/>
                <w:sz w:val="22"/>
              </w:rPr>
              <w:t>“</w:t>
            </w:r>
            <w:r>
              <w:rPr>
                <w:rFonts w:hint="eastAsia" w:ascii="Courier New" w:hAnsi="Courier New" w:cs="Courier New"/>
                <w:kern w:val="0"/>
                <w:sz w:val="22"/>
              </w:rPr>
              <w:t>专利权人</w:t>
            </w:r>
            <w:r>
              <w:rPr>
                <w:rFonts w:hint="eastAsia"/>
                <w:kern w:val="0"/>
                <w:sz w:val="22"/>
              </w:rPr>
              <w:t>”</w:t>
            </w:r>
            <w:r>
              <w:rPr>
                <w:rFonts w:hint="eastAsia" w:ascii="Courier New" w:hAnsi="Courier New" w:cs="Courier New"/>
                <w:kern w:val="0"/>
                <w:sz w:val="22"/>
              </w:rPr>
              <w:t>应为技术中心所在企业或其下属企业。</w:t>
            </w:r>
          </w:p>
        </w:tc>
      </w:tr>
    </w:tbl>
    <w:p/>
    <w:p/>
    <w:tbl>
      <w:tblPr>
        <w:tblStyle w:val="12"/>
        <w:tblW w:w="9155" w:type="dxa"/>
        <w:jc w:val="center"/>
        <w:tblInd w:w="266" w:type="dxa"/>
        <w:tblLayout w:type="fixed"/>
        <w:tblCellMar>
          <w:top w:w="0" w:type="dxa"/>
          <w:left w:w="108" w:type="dxa"/>
          <w:bottom w:w="0" w:type="dxa"/>
          <w:right w:w="108" w:type="dxa"/>
        </w:tblCellMar>
      </w:tblPr>
      <w:tblGrid>
        <w:gridCol w:w="295"/>
        <w:gridCol w:w="519"/>
        <w:gridCol w:w="2549"/>
        <w:gridCol w:w="611"/>
        <w:gridCol w:w="331"/>
        <w:gridCol w:w="829"/>
        <w:gridCol w:w="113"/>
        <w:gridCol w:w="1247"/>
        <w:gridCol w:w="486"/>
        <w:gridCol w:w="694"/>
        <w:gridCol w:w="776"/>
        <w:gridCol w:w="630"/>
        <w:gridCol w:w="70"/>
        <w:gridCol w:w="5"/>
      </w:tblGrid>
      <w:tr>
        <w:tblPrEx>
          <w:tblLayout w:type="fixed"/>
          <w:tblCellMar>
            <w:top w:w="0" w:type="dxa"/>
            <w:left w:w="108" w:type="dxa"/>
            <w:bottom w:w="0" w:type="dxa"/>
            <w:right w:w="108" w:type="dxa"/>
          </w:tblCellMar>
        </w:tblPrEx>
        <w:trPr>
          <w:trHeight w:val="926" w:hRule="atLeast"/>
          <w:jc w:val="center"/>
        </w:trPr>
        <w:tc>
          <w:tcPr>
            <w:tcW w:w="9155" w:type="dxa"/>
            <w:gridSpan w:val="14"/>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4</w:t>
            </w:r>
            <w:r>
              <w:rPr>
                <w:rFonts w:hint="eastAsia" w:ascii="黑体" w:hAnsi="黑体" w:eastAsia="黑体"/>
                <w:kern w:val="0"/>
                <w:sz w:val="28"/>
                <w:szCs w:val="28"/>
              </w:rPr>
              <w:t>：企业当年被受理的专利申请信息表</w:t>
            </w:r>
          </w:p>
        </w:tc>
      </w:tr>
      <w:tr>
        <w:tblPrEx>
          <w:tblLayout w:type="fixed"/>
          <w:tblCellMar>
            <w:top w:w="0" w:type="dxa"/>
            <w:left w:w="108" w:type="dxa"/>
            <w:bottom w:w="0" w:type="dxa"/>
            <w:right w:w="108" w:type="dxa"/>
          </w:tblCellMar>
        </w:tblPrEx>
        <w:trPr>
          <w:trHeight w:val="718" w:hRule="atLeast"/>
          <w:jc w:val="center"/>
        </w:trPr>
        <w:tc>
          <w:tcPr>
            <w:tcW w:w="295"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3068"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专利名称</w:t>
            </w:r>
          </w:p>
        </w:tc>
        <w:tc>
          <w:tcPr>
            <w:tcW w:w="942"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专利</w:t>
            </w:r>
          </w:p>
          <w:p>
            <w:pPr>
              <w:widowControl/>
              <w:jc w:val="center"/>
              <w:rPr>
                <w:rFonts w:ascii="黑体" w:hAnsi="黑体" w:eastAsia="黑体" w:cs="宋体"/>
                <w:kern w:val="0"/>
                <w:sz w:val="24"/>
              </w:rPr>
            </w:pPr>
            <w:r>
              <w:rPr>
                <w:rFonts w:hint="eastAsia" w:ascii="黑体" w:hAnsi="黑体" w:eastAsia="黑体" w:cs="宋体"/>
                <w:kern w:val="0"/>
                <w:sz w:val="24"/>
              </w:rPr>
              <w:t>类型</w:t>
            </w:r>
          </w:p>
        </w:tc>
        <w:tc>
          <w:tcPr>
            <w:tcW w:w="942"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申请</w:t>
            </w:r>
          </w:p>
          <w:p>
            <w:pPr>
              <w:widowControl/>
              <w:jc w:val="center"/>
              <w:rPr>
                <w:rFonts w:ascii="黑体" w:hAnsi="黑体" w:eastAsia="黑体" w:cs="宋体"/>
                <w:kern w:val="0"/>
                <w:sz w:val="24"/>
              </w:rPr>
            </w:pPr>
            <w:r>
              <w:rPr>
                <w:rFonts w:hint="eastAsia" w:ascii="黑体" w:hAnsi="黑体" w:eastAsia="黑体" w:cs="宋体"/>
                <w:kern w:val="0"/>
                <w:sz w:val="24"/>
              </w:rPr>
              <w:t>国别</w:t>
            </w:r>
          </w:p>
        </w:tc>
        <w:tc>
          <w:tcPr>
            <w:tcW w:w="1733"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申请号</w:t>
            </w:r>
          </w:p>
        </w:tc>
        <w:tc>
          <w:tcPr>
            <w:tcW w:w="147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申请日期</w:t>
            </w:r>
          </w:p>
        </w:tc>
        <w:tc>
          <w:tcPr>
            <w:tcW w:w="705" w:type="dxa"/>
            <w:gridSpan w:val="3"/>
            <w:tcBorders>
              <w:top w:val="nil"/>
              <w:left w:val="nil"/>
              <w:bottom w:val="nil"/>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申请人</w:t>
            </w:r>
          </w:p>
        </w:tc>
      </w:tr>
      <w:tr>
        <w:tblPrEx>
          <w:tblLayout w:type="fixed"/>
          <w:tblCellMar>
            <w:top w:w="0" w:type="dxa"/>
            <w:left w:w="108" w:type="dxa"/>
            <w:bottom w:w="0" w:type="dxa"/>
            <w:right w:w="108" w:type="dxa"/>
          </w:tblCellMar>
        </w:tblPrEx>
        <w:trPr>
          <w:trHeight w:val="649" w:hRule="atLeast"/>
          <w:jc w:val="center"/>
        </w:trPr>
        <w:tc>
          <w:tcPr>
            <w:tcW w:w="29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3068"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733"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47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705" w:type="dxa"/>
            <w:gridSpan w:val="3"/>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700" w:hRule="atLeast"/>
          <w:jc w:val="center"/>
        </w:trPr>
        <w:tc>
          <w:tcPr>
            <w:tcW w:w="29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3068"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733"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47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705"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708" w:hRule="atLeast"/>
          <w:jc w:val="center"/>
        </w:trPr>
        <w:tc>
          <w:tcPr>
            <w:tcW w:w="29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3068"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733"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47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705"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690" w:hRule="atLeast"/>
          <w:jc w:val="center"/>
        </w:trPr>
        <w:tc>
          <w:tcPr>
            <w:tcW w:w="295"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3068"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942"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733"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47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705" w:type="dxa"/>
            <w:gridSpan w:val="3"/>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2"/>
          <w:wAfter w:w="75" w:type="dxa"/>
          <w:trHeight w:val="2539" w:hRule="atLeast"/>
          <w:jc w:val="center"/>
        </w:trPr>
        <w:tc>
          <w:tcPr>
            <w:tcW w:w="9080" w:type="dxa"/>
            <w:gridSpan w:val="12"/>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该表所填写信息应与《专利申请受理通知书》内容一致。</w:t>
            </w:r>
            <w:r>
              <w:rPr>
                <w:rFonts w:ascii="Courier New" w:hAnsi="Courier New" w:cs="Courier New"/>
                <w:kern w:val="0"/>
                <w:sz w:val="22"/>
              </w:rPr>
              <w:br w:type="textWrapping"/>
            </w:r>
            <w:r>
              <w:rPr>
                <w:kern w:val="0"/>
                <w:sz w:val="22"/>
              </w:rPr>
              <w:t xml:space="preserve">2. </w:t>
            </w:r>
            <w:r>
              <w:rPr>
                <w:rFonts w:hint="eastAsia" w:ascii="Courier New" w:hAnsi="Courier New" w:cs="Courier New"/>
                <w:kern w:val="0"/>
                <w:sz w:val="22"/>
              </w:rPr>
              <w:t>报告年度之外申请受理的专利不得列入。</w:t>
            </w:r>
            <w:r>
              <w:rPr>
                <w:kern w:val="0"/>
                <w:sz w:val="22"/>
              </w:rPr>
              <w:br w:type="textWrapping"/>
            </w:r>
            <w:r>
              <w:rPr>
                <w:kern w:val="0"/>
                <w:sz w:val="22"/>
              </w:rPr>
              <w:t xml:space="preserve">3. </w:t>
            </w:r>
            <w:r>
              <w:rPr>
                <w:rFonts w:hint="eastAsia" w:ascii="Courier New" w:hAnsi="Courier New" w:cs="Courier New"/>
                <w:kern w:val="0"/>
                <w:sz w:val="22"/>
              </w:rPr>
              <w:t>专利类型应按相应的分类代码填写，具体的分类及代码是：</w:t>
            </w:r>
            <w:r>
              <w:rPr>
                <w:kern w:val="0"/>
                <w:sz w:val="22"/>
              </w:rPr>
              <w:t xml:space="preserve">1. </w:t>
            </w:r>
            <w:r>
              <w:rPr>
                <w:rFonts w:hint="eastAsia" w:ascii="Courier New" w:hAnsi="Courier New" w:cs="Courier New"/>
                <w:kern w:val="0"/>
                <w:sz w:val="22"/>
              </w:rPr>
              <w:t>发明；</w:t>
            </w:r>
            <w:r>
              <w:rPr>
                <w:kern w:val="0"/>
                <w:sz w:val="22"/>
              </w:rPr>
              <w:t xml:space="preserve">2. </w:t>
            </w:r>
            <w:r>
              <w:rPr>
                <w:rFonts w:hint="eastAsia" w:ascii="Courier New" w:hAnsi="Courier New" w:cs="Courier New"/>
                <w:kern w:val="0"/>
                <w:sz w:val="22"/>
              </w:rPr>
              <w:t>实用新型；</w:t>
            </w:r>
            <w:r>
              <w:rPr>
                <w:kern w:val="0"/>
                <w:sz w:val="22"/>
              </w:rPr>
              <w:t xml:space="preserve">3. </w:t>
            </w:r>
            <w:r>
              <w:rPr>
                <w:rFonts w:hint="eastAsia" w:ascii="Courier New" w:hAnsi="Courier New" w:cs="Courier New"/>
                <w:kern w:val="0"/>
                <w:sz w:val="22"/>
              </w:rPr>
              <w:t>外观设计，并按照三种类型依次排列。</w:t>
            </w:r>
            <w:r>
              <w:rPr>
                <w:rFonts w:ascii="Courier New" w:hAnsi="Courier New" w:cs="Courier New"/>
                <w:kern w:val="0"/>
                <w:sz w:val="22"/>
              </w:rPr>
              <w:br w:type="textWrapping"/>
            </w:r>
            <w:r>
              <w:rPr>
                <w:kern w:val="0"/>
                <w:sz w:val="22"/>
              </w:rPr>
              <w:t xml:space="preserve">4. </w:t>
            </w:r>
            <w:r>
              <w:rPr>
                <w:rFonts w:hint="eastAsia" w:ascii="Courier New" w:hAnsi="Courier New" w:cs="Courier New"/>
                <w:kern w:val="0"/>
                <w:sz w:val="22"/>
              </w:rPr>
              <w:t>申请日期为</w:t>
            </w:r>
            <w:r>
              <w:rPr>
                <w:kern w:val="0"/>
                <w:sz w:val="22"/>
              </w:rPr>
              <w:t>8</w:t>
            </w:r>
            <w:r>
              <w:rPr>
                <w:rFonts w:hint="eastAsia" w:ascii="Courier New" w:hAnsi="Courier New" w:cs="Courier New"/>
                <w:kern w:val="0"/>
                <w:sz w:val="22"/>
              </w:rPr>
              <w:t>位编码，其中前</w:t>
            </w:r>
            <w:r>
              <w:rPr>
                <w:kern w:val="0"/>
                <w:sz w:val="22"/>
              </w:rPr>
              <w:t>4</w:t>
            </w:r>
            <w:r>
              <w:rPr>
                <w:rFonts w:hint="eastAsia" w:ascii="Courier New" w:hAnsi="Courier New" w:cs="Courier New"/>
                <w:kern w:val="0"/>
                <w:sz w:val="22"/>
              </w:rPr>
              <w:t>位为年份，</w:t>
            </w:r>
            <w:r>
              <w:rPr>
                <w:kern w:val="0"/>
                <w:sz w:val="22"/>
              </w:rPr>
              <w:t>5-6</w:t>
            </w:r>
            <w:r>
              <w:rPr>
                <w:rFonts w:hint="eastAsia" w:ascii="Courier New" w:hAnsi="Courier New" w:cs="Courier New"/>
                <w:kern w:val="0"/>
                <w:sz w:val="22"/>
              </w:rPr>
              <w:t>位为月份（</w:t>
            </w:r>
            <w:r>
              <w:rPr>
                <w:kern w:val="0"/>
                <w:sz w:val="22"/>
              </w:rPr>
              <w:t>1</w:t>
            </w:r>
            <w:r>
              <w:rPr>
                <w:rFonts w:hint="eastAsia" w:ascii="Courier New" w:hAnsi="Courier New" w:cs="Courier New"/>
                <w:kern w:val="0"/>
                <w:sz w:val="22"/>
              </w:rPr>
              <w:t>月至</w:t>
            </w:r>
            <w:r>
              <w:rPr>
                <w:kern w:val="0"/>
                <w:sz w:val="22"/>
              </w:rPr>
              <w:t>9</w:t>
            </w:r>
            <w:r>
              <w:rPr>
                <w:rFonts w:hint="eastAsia" w:ascii="Courier New" w:hAnsi="Courier New" w:cs="Courier New"/>
                <w:kern w:val="0"/>
                <w:sz w:val="22"/>
              </w:rPr>
              <w:t>月必须前补</w:t>
            </w:r>
            <w:r>
              <w:rPr>
                <w:kern w:val="0"/>
                <w:sz w:val="22"/>
              </w:rPr>
              <w:t>0</w:t>
            </w:r>
            <w:r>
              <w:rPr>
                <w:rFonts w:hint="eastAsia" w:ascii="Courier New" w:hAnsi="Courier New" w:cs="Courier New"/>
                <w:kern w:val="0"/>
                <w:sz w:val="22"/>
              </w:rPr>
              <w:t>），后</w:t>
            </w:r>
            <w:r>
              <w:rPr>
                <w:kern w:val="0"/>
                <w:sz w:val="22"/>
              </w:rPr>
              <w:t>2</w:t>
            </w:r>
            <w:r>
              <w:rPr>
                <w:rFonts w:hint="eastAsia" w:ascii="Courier New" w:hAnsi="Courier New" w:cs="Courier New"/>
                <w:kern w:val="0"/>
                <w:sz w:val="22"/>
              </w:rPr>
              <w:t>位为日期（</w:t>
            </w:r>
            <w:r>
              <w:rPr>
                <w:kern w:val="0"/>
                <w:sz w:val="22"/>
              </w:rPr>
              <w:t>1</w:t>
            </w:r>
            <w:r>
              <w:rPr>
                <w:rFonts w:hint="eastAsia" w:ascii="Courier New" w:hAnsi="Courier New" w:cs="Courier New"/>
                <w:kern w:val="0"/>
                <w:sz w:val="22"/>
              </w:rPr>
              <w:t>日至</w:t>
            </w:r>
            <w:r>
              <w:rPr>
                <w:kern w:val="0"/>
                <w:sz w:val="22"/>
              </w:rPr>
              <w:t>9</w:t>
            </w:r>
            <w:r>
              <w:rPr>
                <w:rFonts w:hint="eastAsia" w:ascii="Courier New" w:hAnsi="Courier New" w:cs="Courier New"/>
                <w:kern w:val="0"/>
                <w:sz w:val="22"/>
              </w:rPr>
              <w:t>日必须前补</w:t>
            </w:r>
            <w:r>
              <w:rPr>
                <w:kern w:val="0"/>
                <w:sz w:val="22"/>
              </w:rPr>
              <w:t>0</w:t>
            </w:r>
            <w:r>
              <w:rPr>
                <w:rFonts w:hint="eastAsia" w:ascii="Courier New" w:hAnsi="Courier New" w:cs="Courier New"/>
                <w:kern w:val="0"/>
                <w:sz w:val="22"/>
              </w:rPr>
              <w:t>）。</w:t>
            </w:r>
          </w:p>
        </w:tc>
      </w:tr>
      <w:tr>
        <w:tblPrEx>
          <w:tblLayout w:type="fixed"/>
          <w:tblCellMar>
            <w:top w:w="0" w:type="dxa"/>
            <w:left w:w="108" w:type="dxa"/>
            <w:bottom w:w="0" w:type="dxa"/>
            <w:right w:w="108" w:type="dxa"/>
          </w:tblCellMar>
        </w:tblPrEx>
        <w:trPr>
          <w:gridAfter w:val="1"/>
          <w:wAfter w:w="5" w:type="dxa"/>
          <w:trHeight w:val="840" w:hRule="atLeast"/>
          <w:jc w:val="center"/>
        </w:trPr>
        <w:tc>
          <w:tcPr>
            <w:tcW w:w="9150" w:type="dxa"/>
            <w:gridSpan w:val="13"/>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5</w:t>
            </w:r>
            <w:r>
              <w:rPr>
                <w:rFonts w:hint="eastAsia" w:ascii="黑体" w:hAnsi="黑体" w:eastAsia="黑体"/>
                <w:kern w:val="0"/>
                <w:sz w:val="28"/>
                <w:szCs w:val="28"/>
              </w:rPr>
              <w:t>：最近三年主持和参加制定的标准信息表</w:t>
            </w:r>
          </w:p>
        </w:tc>
      </w:tr>
      <w:tr>
        <w:tblPrEx>
          <w:tblLayout w:type="fixed"/>
          <w:tblCellMar>
            <w:top w:w="0" w:type="dxa"/>
            <w:left w:w="108" w:type="dxa"/>
            <w:bottom w:w="0" w:type="dxa"/>
            <w:right w:w="108" w:type="dxa"/>
          </w:tblCellMar>
        </w:tblPrEx>
        <w:trPr>
          <w:gridAfter w:val="1"/>
          <w:wAfter w:w="5" w:type="dxa"/>
          <w:trHeight w:val="570" w:hRule="atLeast"/>
          <w:jc w:val="center"/>
        </w:trPr>
        <w:tc>
          <w:tcPr>
            <w:tcW w:w="814" w:type="dxa"/>
            <w:gridSpan w:val="2"/>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316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名称</w:t>
            </w:r>
          </w:p>
        </w:tc>
        <w:tc>
          <w:tcPr>
            <w:tcW w:w="116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标准</w:t>
            </w:r>
          </w:p>
          <w:p>
            <w:pPr>
              <w:widowControl/>
              <w:jc w:val="center"/>
              <w:rPr>
                <w:rFonts w:ascii="黑体" w:hAnsi="黑体" w:eastAsia="黑体" w:cs="宋体"/>
                <w:kern w:val="0"/>
                <w:sz w:val="24"/>
              </w:rPr>
            </w:pPr>
            <w:r>
              <w:rPr>
                <w:rFonts w:hint="eastAsia" w:ascii="黑体" w:hAnsi="黑体" w:eastAsia="黑体" w:cs="宋体"/>
                <w:kern w:val="0"/>
                <w:sz w:val="24"/>
              </w:rPr>
              <w:t>类型</w:t>
            </w:r>
          </w:p>
        </w:tc>
        <w:tc>
          <w:tcPr>
            <w:tcW w:w="136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标准号</w:t>
            </w:r>
          </w:p>
        </w:tc>
        <w:tc>
          <w:tcPr>
            <w:tcW w:w="118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主持或</w:t>
            </w:r>
          </w:p>
          <w:p>
            <w:pPr>
              <w:widowControl/>
              <w:jc w:val="center"/>
              <w:rPr>
                <w:rFonts w:ascii="黑体" w:hAnsi="黑体" w:eastAsia="黑体" w:cs="宋体"/>
                <w:kern w:val="0"/>
                <w:sz w:val="24"/>
              </w:rPr>
            </w:pPr>
            <w:r>
              <w:rPr>
                <w:rFonts w:hint="eastAsia" w:ascii="黑体" w:hAnsi="黑体" w:eastAsia="黑体" w:cs="宋体"/>
                <w:kern w:val="0"/>
                <w:sz w:val="24"/>
              </w:rPr>
              <w:t>参加</w:t>
            </w:r>
          </w:p>
        </w:tc>
        <w:tc>
          <w:tcPr>
            <w:tcW w:w="1476" w:type="dxa"/>
            <w:gridSpan w:val="3"/>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颁布日期</w:t>
            </w:r>
          </w:p>
        </w:tc>
      </w:tr>
      <w:tr>
        <w:tblPrEx>
          <w:tblLayout w:type="fixed"/>
          <w:tblCellMar>
            <w:top w:w="0" w:type="dxa"/>
            <w:left w:w="108" w:type="dxa"/>
            <w:bottom w:w="0" w:type="dxa"/>
            <w:right w:w="108" w:type="dxa"/>
          </w:tblCellMar>
        </w:tblPrEx>
        <w:trPr>
          <w:gridAfter w:val="1"/>
          <w:wAfter w:w="5" w:type="dxa"/>
          <w:trHeight w:val="402" w:hRule="atLeast"/>
          <w:jc w:val="center"/>
        </w:trPr>
        <w:tc>
          <w:tcPr>
            <w:tcW w:w="814"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3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76"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1"/>
          <w:wAfter w:w="5" w:type="dxa"/>
          <w:trHeight w:val="402" w:hRule="atLeast"/>
          <w:jc w:val="center"/>
        </w:trPr>
        <w:tc>
          <w:tcPr>
            <w:tcW w:w="814"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3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76"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1"/>
          <w:wAfter w:w="5" w:type="dxa"/>
          <w:trHeight w:val="402" w:hRule="atLeast"/>
          <w:jc w:val="center"/>
        </w:trPr>
        <w:tc>
          <w:tcPr>
            <w:tcW w:w="814"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3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76"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1"/>
          <w:wAfter w:w="5" w:type="dxa"/>
          <w:trHeight w:val="402" w:hRule="atLeast"/>
          <w:jc w:val="center"/>
        </w:trPr>
        <w:tc>
          <w:tcPr>
            <w:tcW w:w="814" w:type="dxa"/>
            <w:gridSpan w:val="2"/>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3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76"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1"/>
          <w:wAfter w:w="5" w:type="dxa"/>
          <w:trHeight w:val="2292" w:hRule="atLeast"/>
          <w:jc w:val="center"/>
        </w:trPr>
        <w:tc>
          <w:tcPr>
            <w:tcW w:w="9150"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最近三年指报告年度、报告年度前一年度、报告年度前二年度。</w:t>
            </w:r>
            <w:r>
              <w:rPr>
                <w:rFonts w:ascii="Courier New" w:hAnsi="Courier New" w:cs="Courier New"/>
                <w:kern w:val="0"/>
                <w:sz w:val="22"/>
              </w:rPr>
              <w:br w:type="textWrapping"/>
            </w:r>
            <w:r>
              <w:rPr>
                <w:kern w:val="0"/>
                <w:sz w:val="22"/>
              </w:rPr>
              <w:t xml:space="preserve">2. </w:t>
            </w:r>
            <w:r>
              <w:rPr>
                <w:rFonts w:hint="eastAsia" w:ascii="Courier New" w:hAnsi="Courier New" w:cs="Courier New"/>
                <w:kern w:val="0"/>
                <w:sz w:val="22"/>
              </w:rPr>
              <w:t>所填标准应为现行有效标准。</w:t>
            </w:r>
            <w:r>
              <w:rPr>
                <w:rFonts w:ascii="Courier New" w:hAnsi="Courier New" w:cs="Courier New"/>
                <w:kern w:val="0"/>
                <w:sz w:val="22"/>
              </w:rPr>
              <w:br w:type="textWrapping"/>
            </w:r>
            <w:r>
              <w:rPr>
                <w:kern w:val="0"/>
                <w:sz w:val="22"/>
              </w:rPr>
              <w:t xml:space="preserve">3. </w:t>
            </w:r>
            <w:r>
              <w:rPr>
                <w:rFonts w:hint="eastAsia" w:ascii="Courier New" w:hAnsi="Courier New" w:cs="Courier New"/>
                <w:kern w:val="0"/>
                <w:sz w:val="22"/>
              </w:rPr>
              <w:t>标准类型应按相应的分类代码填写，具体的分类及代码是：</w:t>
            </w:r>
            <w:r>
              <w:rPr>
                <w:kern w:val="0"/>
                <w:sz w:val="22"/>
              </w:rPr>
              <w:t xml:space="preserve">1. </w:t>
            </w:r>
            <w:r>
              <w:rPr>
                <w:rFonts w:hint="eastAsia" w:ascii="Courier New" w:hAnsi="Courier New" w:cs="Courier New"/>
                <w:kern w:val="0"/>
                <w:sz w:val="22"/>
              </w:rPr>
              <w:t>国际；</w:t>
            </w:r>
            <w:r>
              <w:rPr>
                <w:kern w:val="0"/>
                <w:sz w:val="22"/>
              </w:rPr>
              <w:t xml:space="preserve">2. </w:t>
            </w:r>
            <w:r>
              <w:rPr>
                <w:rFonts w:hint="eastAsia" w:ascii="Courier New" w:hAnsi="Courier New" w:cs="Courier New"/>
                <w:kern w:val="0"/>
                <w:sz w:val="22"/>
              </w:rPr>
              <w:t>国家；</w:t>
            </w:r>
            <w:r>
              <w:rPr>
                <w:kern w:val="0"/>
                <w:sz w:val="22"/>
              </w:rPr>
              <w:t xml:space="preserve">3. </w:t>
            </w:r>
            <w:r>
              <w:rPr>
                <w:rFonts w:hint="eastAsia" w:ascii="Courier New" w:hAnsi="Courier New" w:cs="Courier New"/>
                <w:kern w:val="0"/>
                <w:sz w:val="22"/>
              </w:rPr>
              <w:t>行业。</w:t>
            </w:r>
            <w:r>
              <w:rPr>
                <w:rFonts w:ascii="Courier New" w:hAnsi="Courier New" w:cs="Courier New"/>
                <w:kern w:val="0"/>
                <w:sz w:val="22"/>
              </w:rPr>
              <w:br w:type="textWrapping"/>
            </w:r>
            <w:r>
              <w:rPr>
                <w:kern w:val="0"/>
                <w:sz w:val="22"/>
              </w:rPr>
              <w:t xml:space="preserve">4. </w:t>
            </w:r>
            <w:r>
              <w:rPr>
                <w:rFonts w:hint="eastAsia" w:ascii="Courier New" w:hAnsi="Courier New" w:cs="Courier New"/>
                <w:kern w:val="0"/>
                <w:sz w:val="22"/>
              </w:rPr>
              <w:t>颁布日期为</w:t>
            </w:r>
            <w:r>
              <w:rPr>
                <w:kern w:val="0"/>
                <w:sz w:val="22"/>
              </w:rPr>
              <w:t>8</w:t>
            </w:r>
            <w:r>
              <w:rPr>
                <w:rFonts w:hint="eastAsia" w:ascii="Courier New" w:hAnsi="Courier New" w:cs="Courier New"/>
                <w:kern w:val="0"/>
                <w:sz w:val="22"/>
              </w:rPr>
              <w:t>位编码，其中前</w:t>
            </w:r>
            <w:r>
              <w:rPr>
                <w:kern w:val="0"/>
                <w:sz w:val="22"/>
              </w:rPr>
              <w:t>4</w:t>
            </w:r>
            <w:r>
              <w:rPr>
                <w:rFonts w:hint="eastAsia" w:ascii="Courier New" w:hAnsi="Courier New" w:cs="Courier New"/>
                <w:kern w:val="0"/>
                <w:sz w:val="22"/>
              </w:rPr>
              <w:t>位为年份，</w:t>
            </w:r>
            <w:r>
              <w:rPr>
                <w:kern w:val="0"/>
                <w:sz w:val="22"/>
              </w:rPr>
              <w:t>5-6</w:t>
            </w:r>
            <w:r>
              <w:rPr>
                <w:rFonts w:hint="eastAsia" w:ascii="Courier New" w:hAnsi="Courier New" w:cs="Courier New"/>
                <w:kern w:val="0"/>
                <w:sz w:val="22"/>
              </w:rPr>
              <w:t>位为月份（</w:t>
            </w:r>
            <w:r>
              <w:rPr>
                <w:kern w:val="0"/>
                <w:sz w:val="22"/>
              </w:rPr>
              <w:t>1</w:t>
            </w:r>
            <w:r>
              <w:rPr>
                <w:rFonts w:hint="eastAsia" w:ascii="Courier New" w:hAnsi="Courier New" w:cs="Courier New"/>
                <w:kern w:val="0"/>
                <w:sz w:val="22"/>
              </w:rPr>
              <w:t>月至</w:t>
            </w:r>
            <w:r>
              <w:rPr>
                <w:kern w:val="0"/>
                <w:sz w:val="22"/>
              </w:rPr>
              <w:t>9</w:t>
            </w:r>
            <w:r>
              <w:rPr>
                <w:rFonts w:hint="eastAsia" w:ascii="Courier New" w:hAnsi="Courier New" w:cs="Courier New"/>
                <w:kern w:val="0"/>
                <w:sz w:val="22"/>
              </w:rPr>
              <w:t>月必须前补</w:t>
            </w:r>
            <w:r>
              <w:rPr>
                <w:kern w:val="0"/>
                <w:sz w:val="22"/>
              </w:rPr>
              <w:t>0</w:t>
            </w:r>
            <w:r>
              <w:rPr>
                <w:rFonts w:hint="eastAsia" w:ascii="Courier New" w:hAnsi="Courier New" w:cs="Courier New"/>
                <w:kern w:val="0"/>
                <w:sz w:val="22"/>
              </w:rPr>
              <w:t>），后</w:t>
            </w:r>
            <w:r>
              <w:rPr>
                <w:kern w:val="0"/>
                <w:sz w:val="22"/>
              </w:rPr>
              <w:t>2</w:t>
            </w:r>
            <w:r>
              <w:rPr>
                <w:rFonts w:hint="eastAsia" w:ascii="Courier New" w:hAnsi="Courier New" w:cs="Courier New"/>
                <w:kern w:val="0"/>
                <w:sz w:val="22"/>
              </w:rPr>
              <w:t>位为日期（</w:t>
            </w:r>
            <w:r>
              <w:rPr>
                <w:kern w:val="0"/>
                <w:sz w:val="22"/>
              </w:rPr>
              <w:t>1</w:t>
            </w:r>
            <w:r>
              <w:rPr>
                <w:rFonts w:hint="eastAsia" w:ascii="Courier New" w:hAnsi="Courier New" w:cs="Courier New"/>
                <w:kern w:val="0"/>
                <w:sz w:val="22"/>
              </w:rPr>
              <w:t>日至</w:t>
            </w:r>
            <w:r>
              <w:rPr>
                <w:kern w:val="0"/>
                <w:sz w:val="22"/>
              </w:rPr>
              <w:t>9</w:t>
            </w:r>
            <w:r>
              <w:rPr>
                <w:rFonts w:hint="eastAsia" w:ascii="Courier New" w:hAnsi="Courier New" w:cs="Courier New"/>
                <w:kern w:val="0"/>
                <w:sz w:val="22"/>
              </w:rPr>
              <w:t>日必须前补</w:t>
            </w:r>
            <w:r>
              <w:rPr>
                <w:kern w:val="0"/>
                <w:sz w:val="22"/>
              </w:rPr>
              <w:t>0</w:t>
            </w:r>
            <w:r>
              <w:rPr>
                <w:rFonts w:hint="eastAsia" w:ascii="Courier New" w:hAnsi="Courier New" w:cs="Courier New"/>
                <w:kern w:val="0"/>
                <w:sz w:val="22"/>
              </w:rPr>
              <w:t>）。</w:t>
            </w:r>
          </w:p>
        </w:tc>
      </w:tr>
    </w:tbl>
    <w:p/>
    <w:p/>
    <w:tbl>
      <w:tblPr>
        <w:tblStyle w:val="12"/>
        <w:tblW w:w="9596" w:type="dxa"/>
        <w:jc w:val="center"/>
        <w:tblInd w:w="652" w:type="dxa"/>
        <w:tblLayout w:type="fixed"/>
        <w:tblCellMar>
          <w:top w:w="0" w:type="dxa"/>
          <w:left w:w="108" w:type="dxa"/>
          <w:bottom w:w="0" w:type="dxa"/>
          <w:right w:w="108" w:type="dxa"/>
        </w:tblCellMar>
      </w:tblPr>
      <w:tblGrid>
        <w:gridCol w:w="428"/>
        <w:gridCol w:w="2820"/>
        <w:gridCol w:w="1060"/>
        <w:gridCol w:w="260"/>
        <w:gridCol w:w="680"/>
        <w:gridCol w:w="580"/>
        <w:gridCol w:w="900"/>
        <w:gridCol w:w="640"/>
        <w:gridCol w:w="580"/>
        <w:gridCol w:w="1300"/>
        <w:gridCol w:w="317"/>
        <w:gridCol w:w="31"/>
      </w:tblGrid>
      <w:tr>
        <w:tblPrEx>
          <w:tblLayout w:type="fixed"/>
          <w:tblCellMar>
            <w:top w:w="0" w:type="dxa"/>
            <w:left w:w="108" w:type="dxa"/>
            <w:bottom w:w="0" w:type="dxa"/>
            <w:right w:w="108" w:type="dxa"/>
          </w:tblCellMar>
        </w:tblPrEx>
        <w:trPr>
          <w:trHeight w:val="945" w:hRule="atLeast"/>
          <w:jc w:val="center"/>
        </w:trPr>
        <w:tc>
          <w:tcPr>
            <w:tcW w:w="9596" w:type="dxa"/>
            <w:gridSpan w:val="12"/>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6</w:t>
            </w:r>
            <w:r>
              <w:rPr>
                <w:rFonts w:hint="eastAsia" w:ascii="黑体" w:hAnsi="黑体" w:eastAsia="黑体"/>
                <w:kern w:val="0"/>
                <w:sz w:val="28"/>
                <w:szCs w:val="28"/>
              </w:rPr>
              <w:t>：国家级</w:t>
            </w:r>
            <w:r>
              <w:rPr>
                <w:kern w:val="0"/>
                <w:sz w:val="28"/>
                <w:szCs w:val="28"/>
              </w:rPr>
              <w:t>(</w:t>
            </w:r>
            <w:r>
              <w:rPr>
                <w:rFonts w:hint="eastAsia" w:ascii="黑体" w:hAnsi="黑体" w:eastAsia="黑体"/>
                <w:kern w:val="0"/>
                <w:sz w:val="28"/>
                <w:szCs w:val="28"/>
              </w:rPr>
              <w:t>省级</w:t>
            </w:r>
            <w:r>
              <w:rPr>
                <w:kern w:val="0"/>
                <w:sz w:val="28"/>
                <w:szCs w:val="28"/>
              </w:rPr>
              <w:t>)</w:t>
            </w:r>
            <w:r>
              <w:rPr>
                <w:rFonts w:hint="eastAsia" w:ascii="黑体" w:hAnsi="黑体" w:eastAsia="黑体"/>
                <w:kern w:val="0"/>
                <w:sz w:val="28"/>
                <w:szCs w:val="28"/>
              </w:rPr>
              <w:t>研发平台信息表</w:t>
            </w:r>
          </w:p>
        </w:tc>
      </w:tr>
      <w:tr>
        <w:tblPrEx>
          <w:tblLayout w:type="fixed"/>
          <w:tblCellMar>
            <w:top w:w="0" w:type="dxa"/>
            <w:left w:w="108" w:type="dxa"/>
            <w:bottom w:w="0" w:type="dxa"/>
            <w:right w:w="108" w:type="dxa"/>
          </w:tblCellMar>
        </w:tblPrEx>
        <w:trPr>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388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名称</w:t>
            </w:r>
          </w:p>
        </w:tc>
        <w:tc>
          <w:tcPr>
            <w:tcW w:w="94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级别</w:t>
            </w:r>
          </w:p>
        </w:tc>
        <w:tc>
          <w:tcPr>
            <w:tcW w:w="148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主管部门</w:t>
            </w:r>
          </w:p>
        </w:tc>
        <w:tc>
          <w:tcPr>
            <w:tcW w:w="122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平台类型</w:t>
            </w:r>
          </w:p>
        </w:tc>
        <w:tc>
          <w:tcPr>
            <w:tcW w:w="1648" w:type="dxa"/>
            <w:gridSpan w:val="3"/>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批复文号</w:t>
            </w:r>
          </w:p>
        </w:tc>
      </w:tr>
      <w:tr>
        <w:tblPrEx>
          <w:tblLayout w:type="fixed"/>
          <w:tblCellMar>
            <w:top w:w="0" w:type="dxa"/>
            <w:left w:w="108" w:type="dxa"/>
            <w:bottom w:w="0" w:type="dxa"/>
            <w:right w:w="108" w:type="dxa"/>
          </w:tblCellMar>
        </w:tblPrEx>
        <w:trPr>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38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4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38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4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38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4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38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94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8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64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gridAfter w:val="1"/>
          <w:wAfter w:w="31" w:type="dxa"/>
          <w:trHeight w:val="2865" w:hRule="atLeast"/>
          <w:jc w:val="center"/>
        </w:trPr>
        <w:tc>
          <w:tcPr>
            <w:tcW w:w="9565" w:type="dxa"/>
            <w:gridSpan w:val="11"/>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技术中心所在企业或其下属企业需为研发平台的依托法人单位，企业作为参建单位的不得列入。</w:t>
            </w:r>
            <w:r>
              <w:rPr>
                <w:rFonts w:ascii="Courier New" w:hAnsi="Courier New" w:cs="Courier New"/>
                <w:kern w:val="0"/>
                <w:sz w:val="22"/>
              </w:rPr>
              <w:br w:type="textWrapping"/>
            </w:r>
            <w:r>
              <w:rPr>
                <w:kern w:val="0"/>
                <w:sz w:val="22"/>
              </w:rPr>
              <w:t xml:space="preserve">2. </w:t>
            </w:r>
            <w:r>
              <w:rPr>
                <w:rFonts w:hint="eastAsia"/>
                <w:kern w:val="0"/>
                <w:sz w:val="22"/>
              </w:rPr>
              <w:t>“</w:t>
            </w:r>
            <w:r>
              <w:rPr>
                <w:rFonts w:hint="eastAsia" w:ascii="Courier New" w:hAnsi="Courier New" w:cs="Courier New"/>
                <w:kern w:val="0"/>
                <w:sz w:val="22"/>
              </w:rPr>
              <w:t>名称</w:t>
            </w:r>
            <w:r>
              <w:rPr>
                <w:rFonts w:hint="eastAsia"/>
                <w:kern w:val="0"/>
                <w:sz w:val="22"/>
              </w:rPr>
              <w:t>”</w:t>
            </w:r>
            <w:r>
              <w:rPr>
                <w:rFonts w:hint="eastAsia" w:ascii="Courier New" w:hAnsi="Courier New" w:cs="Courier New"/>
                <w:kern w:val="0"/>
                <w:sz w:val="22"/>
              </w:rPr>
              <w:t>、“批复文号”应与有关政府部门批复文件一致。</w:t>
            </w:r>
            <w:r>
              <w:rPr>
                <w:rFonts w:ascii="Courier New" w:hAnsi="Courier New" w:cs="Courier New"/>
                <w:kern w:val="0"/>
                <w:sz w:val="22"/>
              </w:rPr>
              <w:br w:type="textWrapping"/>
            </w:r>
            <w:r>
              <w:rPr>
                <w:kern w:val="0"/>
                <w:sz w:val="22"/>
              </w:rPr>
              <w:t xml:space="preserve">3. </w:t>
            </w:r>
            <w:r>
              <w:rPr>
                <w:rFonts w:hint="eastAsia"/>
                <w:kern w:val="0"/>
                <w:sz w:val="22"/>
              </w:rPr>
              <w:t>“</w:t>
            </w:r>
            <w:r>
              <w:rPr>
                <w:rFonts w:hint="eastAsia" w:ascii="Courier New" w:hAnsi="Courier New" w:cs="Courier New"/>
                <w:kern w:val="0"/>
                <w:sz w:val="22"/>
              </w:rPr>
              <w:t>级别</w:t>
            </w:r>
            <w:r>
              <w:rPr>
                <w:rFonts w:hint="eastAsia"/>
                <w:kern w:val="0"/>
                <w:sz w:val="22"/>
              </w:rPr>
              <w:t>”</w:t>
            </w:r>
            <w:r>
              <w:rPr>
                <w:rFonts w:hint="eastAsia" w:ascii="Courier New" w:hAnsi="Courier New" w:cs="Courier New"/>
                <w:kern w:val="0"/>
                <w:sz w:val="22"/>
              </w:rPr>
              <w:t>应按相应的分类代码填写，具体的分类及代码是：</w:t>
            </w:r>
            <w:r>
              <w:rPr>
                <w:kern w:val="0"/>
                <w:sz w:val="22"/>
              </w:rPr>
              <w:t xml:space="preserve">1. </w:t>
            </w:r>
            <w:r>
              <w:rPr>
                <w:rFonts w:hint="eastAsia" w:ascii="Courier New" w:hAnsi="Courier New" w:cs="Courier New"/>
                <w:kern w:val="0"/>
                <w:sz w:val="22"/>
              </w:rPr>
              <w:t>国家级；</w:t>
            </w:r>
            <w:r>
              <w:rPr>
                <w:kern w:val="0"/>
                <w:sz w:val="22"/>
              </w:rPr>
              <w:t xml:space="preserve">2. </w:t>
            </w:r>
            <w:r>
              <w:rPr>
                <w:rFonts w:hint="eastAsia" w:ascii="Courier New" w:hAnsi="Courier New" w:cs="Courier New"/>
                <w:kern w:val="0"/>
                <w:sz w:val="22"/>
              </w:rPr>
              <w:t>省（区、市）级。</w:t>
            </w:r>
            <w:r>
              <w:rPr>
                <w:rFonts w:ascii="Courier New" w:hAnsi="Courier New" w:cs="Courier New"/>
                <w:kern w:val="0"/>
                <w:sz w:val="22"/>
              </w:rPr>
              <w:br w:type="textWrapping"/>
            </w:r>
            <w:r>
              <w:rPr>
                <w:kern w:val="0"/>
                <w:sz w:val="22"/>
              </w:rPr>
              <w:t xml:space="preserve">4. </w:t>
            </w:r>
            <w:r>
              <w:rPr>
                <w:rFonts w:hint="eastAsia"/>
                <w:kern w:val="0"/>
                <w:sz w:val="22"/>
              </w:rPr>
              <w:t>“</w:t>
            </w:r>
            <w:r>
              <w:rPr>
                <w:rFonts w:hint="eastAsia" w:ascii="Courier New" w:hAnsi="Courier New" w:cs="Courier New"/>
                <w:kern w:val="0"/>
                <w:sz w:val="22"/>
              </w:rPr>
              <w:t>主管部门</w:t>
            </w:r>
            <w:r>
              <w:rPr>
                <w:rFonts w:hint="eastAsia"/>
                <w:kern w:val="0"/>
                <w:sz w:val="22"/>
              </w:rPr>
              <w:t>”</w:t>
            </w:r>
            <w:r>
              <w:rPr>
                <w:rFonts w:hint="eastAsia" w:ascii="Courier New" w:hAnsi="Courier New" w:cs="Courier New"/>
                <w:kern w:val="0"/>
                <w:sz w:val="22"/>
              </w:rPr>
              <w:t>填写平台的国家（或省、区、市）主管政府部门名称。</w:t>
            </w:r>
            <w:r>
              <w:rPr>
                <w:rFonts w:ascii="Courier New" w:hAnsi="Courier New" w:cs="Courier New"/>
                <w:kern w:val="0"/>
                <w:sz w:val="22"/>
              </w:rPr>
              <w:br w:type="textWrapping"/>
            </w:r>
            <w:r>
              <w:rPr>
                <w:kern w:val="0"/>
                <w:sz w:val="22"/>
              </w:rPr>
              <w:t xml:space="preserve">5. </w:t>
            </w:r>
            <w:r>
              <w:rPr>
                <w:rFonts w:hint="eastAsia" w:ascii="Courier New" w:hAnsi="Courier New" w:cs="Courier New"/>
                <w:kern w:val="0"/>
                <w:sz w:val="22"/>
              </w:rPr>
              <w:t>平台类型应按相应的分类代码填写，具体的分类及代码是：</w:t>
            </w:r>
            <w:r>
              <w:rPr>
                <w:kern w:val="0"/>
                <w:sz w:val="22"/>
              </w:rPr>
              <w:t xml:space="preserve">1. </w:t>
            </w:r>
            <w:r>
              <w:rPr>
                <w:rFonts w:hint="eastAsia" w:ascii="Courier New" w:hAnsi="Courier New" w:cs="Courier New"/>
                <w:kern w:val="0"/>
                <w:sz w:val="22"/>
              </w:rPr>
              <w:t>工程实验室；</w:t>
            </w:r>
            <w:r>
              <w:rPr>
                <w:kern w:val="0"/>
                <w:sz w:val="22"/>
              </w:rPr>
              <w:t xml:space="preserve">2. </w:t>
            </w:r>
            <w:r>
              <w:rPr>
                <w:rFonts w:hint="eastAsia" w:ascii="Courier New" w:hAnsi="Courier New" w:cs="Courier New"/>
                <w:kern w:val="0"/>
                <w:sz w:val="22"/>
              </w:rPr>
              <w:t>工程研究中心；</w:t>
            </w:r>
            <w:r>
              <w:rPr>
                <w:kern w:val="0"/>
                <w:sz w:val="22"/>
              </w:rPr>
              <w:t xml:space="preserve">3. </w:t>
            </w:r>
            <w:r>
              <w:rPr>
                <w:rFonts w:hint="eastAsia" w:ascii="Courier New" w:hAnsi="Courier New" w:cs="Courier New"/>
                <w:kern w:val="0"/>
                <w:sz w:val="22"/>
              </w:rPr>
              <w:t>工程技术研究中心；</w:t>
            </w:r>
            <w:r>
              <w:rPr>
                <w:kern w:val="0"/>
                <w:sz w:val="22"/>
              </w:rPr>
              <w:t xml:space="preserve">4. </w:t>
            </w:r>
            <w:r>
              <w:rPr>
                <w:rFonts w:hint="eastAsia" w:ascii="Courier New" w:hAnsi="Courier New" w:cs="Courier New"/>
                <w:kern w:val="0"/>
                <w:sz w:val="22"/>
              </w:rPr>
              <w:t>重点实验室；</w:t>
            </w:r>
            <w:r>
              <w:rPr>
                <w:kern w:val="0"/>
                <w:sz w:val="22"/>
              </w:rPr>
              <w:t xml:space="preserve">5. </w:t>
            </w:r>
            <w:r>
              <w:rPr>
                <w:rFonts w:hint="eastAsia" w:ascii="Courier New" w:hAnsi="Courier New" w:cs="Courier New"/>
                <w:kern w:val="0"/>
                <w:sz w:val="22"/>
              </w:rPr>
              <w:t>国家地方联合工程实验室；</w:t>
            </w:r>
            <w:r>
              <w:rPr>
                <w:kern w:val="0"/>
                <w:sz w:val="22"/>
              </w:rPr>
              <w:t xml:space="preserve">6. </w:t>
            </w:r>
            <w:r>
              <w:rPr>
                <w:rFonts w:hint="eastAsia" w:ascii="Courier New" w:hAnsi="Courier New" w:cs="Courier New"/>
                <w:kern w:val="0"/>
                <w:sz w:val="22"/>
              </w:rPr>
              <w:t>国家地方联合工程研究中心；</w:t>
            </w:r>
            <w:r>
              <w:rPr>
                <w:kern w:val="0"/>
                <w:sz w:val="22"/>
              </w:rPr>
              <w:t xml:space="preserve">7. </w:t>
            </w:r>
            <w:r>
              <w:rPr>
                <w:rFonts w:hint="eastAsia" w:ascii="Courier New" w:hAnsi="Courier New" w:cs="Courier New"/>
                <w:kern w:val="0"/>
                <w:sz w:val="22"/>
              </w:rPr>
              <w:t>其他（需具体说明）。</w:t>
            </w:r>
          </w:p>
        </w:tc>
      </w:tr>
      <w:tr>
        <w:tblPrEx>
          <w:tblLayout w:type="fixed"/>
          <w:tblCellMar>
            <w:top w:w="0" w:type="dxa"/>
            <w:left w:w="108" w:type="dxa"/>
            <w:bottom w:w="0" w:type="dxa"/>
            <w:right w:w="108" w:type="dxa"/>
          </w:tblCellMar>
        </w:tblPrEx>
        <w:trPr>
          <w:gridAfter w:val="2"/>
          <w:wAfter w:w="348" w:type="dxa"/>
          <w:trHeight w:val="1005" w:hRule="atLeast"/>
          <w:jc w:val="center"/>
        </w:trPr>
        <w:tc>
          <w:tcPr>
            <w:tcW w:w="9248" w:type="dxa"/>
            <w:gridSpan w:val="10"/>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7</w:t>
            </w:r>
            <w:r>
              <w:rPr>
                <w:rFonts w:hint="eastAsia" w:ascii="黑体" w:hAnsi="黑体" w:eastAsia="黑体"/>
                <w:kern w:val="0"/>
                <w:sz w:val="28"/>
                <w:szCs w:val="28"/>
              </w:rPr>
              <w:t>：国家（国际组织）认证实验室和检测机构信息表</w:t>
            </w:r>
          </w:p>
        </w:tc>
      </w:tr>
      <w:tr>
        <w:tblPrEx>
          <w:tblLayout w:type="fixed"/>
          <w:tblCellMar>
            <w:top w:w="0" w:type="dxa"/>
            <w:left w:w="108" w:type="dxa"/>
            <w:bottom w:w="0" w:type="dxa"/>
            <w:right w:w="108" w:type="dxa"/>
          </w:tblCellMar>
        </w:tblPrEx>
        <w:trPr>
          <w:gridAfter w:val="2"/>
          <w:wAfter w:w="348" w:type="dxa"/>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282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名称</w:t>
            </w:r>
          </w:p>
        </w:tc>
        <w:tc>
          <w:tcPr>
            <w:tcW w:w="132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类型</w:t>
            </w:r>
          </w:p>
        </w:tc>
        <w:tc>
          <w:tcPr>
            <w:tcW w:w="126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发证机关</w:t>
            </w:r>
          </w:p>
        </w:tc>
        <w:tc>
          <w:tcPr>
            <w:tcW w:w="154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证书号</w:t>
            </w:r>
          </w:p>
        </w:tc>
        <w:tc>
          <w:tcPr>
            <w:tcW w:w="1880"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有效期</w:t>
            </w:r>
          </w:p>
        </w:tc>
      </w:tr>
      <w:tr>
        <w:tblPrEx>
          <w:tblLayout w:type="fixed"/>
          <w:tblCellMar>
            <w:top w:w="0" w:type="dxa"/>
            <w:left w:w="108" w:type="dxa"/>
            <w:bottom w:w="0" w:type="dxa"/>
            <w:right w:w="108" w:type="dxa"/>
          </w:tblCellMar>
        </w:tblPrEx>
        <w:trPr>
          <w:gridAfter w:val="2"/>
          <w:wAfter w:w="348" w:type="dxa"/>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2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88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2"/>
          <w:wAfter w:w="348" w:type="dxa"/>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2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88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2"/>
          <w:wAfter w:w="348" w:type="dxa"/>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2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88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2"/>
          <w:wAfter w:w="348" w:type="dxa"/>
          <w:trHeight w:val="402" w:hRule="atLeast"/>
          <w:jc w:val="center"/>
        </w:trPr>
        <w:tc>
          <w:tcPr>
            <w:tcW w:w="428"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282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32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54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880"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2"/>
          <w:wAfter w:w="348" w:type="dxa"/>
          <w:trHeight w:val="2695" w:hRule="atLeast"/>
          <w:jc w:val="center"/>
        </w:trPr>
        <w:tc>
          <w:tcPr>
            <w:tcW w:w="9248" w:type="dxa"/>
            <w:gridSpan w:val="10"/>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本表所填信息应与认证认可证书相关信息一致。</w:t>
            </w:r>
            <w:r>
              <w:rPr>
                <w:rFonts w:ascii="Courier New" w:hAnsi="Courier New" w:cs="Courier New"/>
                <w:kern w:val="0"/>
                <w:sz w:val="22"/>
              </w:rPr>
              <w:br w:type="textWrapping"/>
            </w:r>
            <w:r>
              <w:rPr>
                <w:kern w:val="0"/>
                <w:sz w:val="22"/>
              </w:rPr>
              <w:t xml:space="preserve">2. </w:t>
            </w:r>
            <w:r>
              <w:rPr>
                <w:rFonts w:hint="eastAsia" w:ascii="Courier New" w:hAnsi="Courier New" w:cs="Courier New"/>
                <w:kern w:val="0"/>
                <w:sz w:val="22"/>
              </w:rPr>
              <w:t>类型指认证认可类型，应按相应的分类代码填写，具体的分类及代码是：</w:t>
            </w:r>
            <w:r>
              <w:rPr>
                <w:kern w:val="0"/>
                <w:sz w:val="22"/>
              </w:rPr>
              <w:t>1. CNAS</w:t>
            </w:r>
            <w:r>
              <w:rPr>
                <w:rFonts w:hint="eastAsia" w:ascii="Courier New" w:hAnsi="Courier New" w:cs="Courier New"/>
                <w:kern w:val="0"/>
                <w:sz w:val="22"/>
              </w:rPr>
              <w:t>；</w:t>
            </w:r>
            <w:r>
              <w:rPr>
                <w:kern w:val="0"/>
                <w:sz w:val="22"/>
              </w:rPr>
              <w:t>2. CMA</w:t>
            </w:r>
            <w:r>
              <w:rPr>
                <w:rFonts w:hint="eastAsia" w:ascii="Courier New" w:hAnsi="Courier New" w:cs="Courier New"/>
                <w:kern w:val="0"/>
                <w:sz w:val="22"/>
              </w:rPr>
              <w:t>；</w:t>
            </w:r>
            <w:r>
              <w:rPr>
                <w:kern w:val="0"/>
                <w:sz w:val="22"/>
              </w:rPr>
              <w:t>3. CAL</w:t>
            </w:r>
            <w:r>
              <w:rPr>
                <w:rFonts w:hint="eastAsia" w:ascii="Courier New" w:hAnsi="Courier New" w:cs="Courier New"/>
                <w:kern w:val="0"/>
                <w:sz w:val="22"/>
              </w:rPr>
              <w:t>；</w:t>
            </w:r>
            <w:r>
              <w:rPr>
                <w:kern w:val="0"/>
                <w:sz w:val="22"/>
              </w:rPr>
              <w:t xml:space="preserve">4. </w:t>
            </w:r>
            <w:r>
              <w:rPr>
                <w:rFonts w:hint="eastAsia" w:ascii="Courier New" w:hAnsi="Courier New" w:cs="Courier New"/>
                <w:kern w:val="0"/>
                <w:sz w:val="22"/>
              </w:rPr>
              <w:t>其他（需具体说明）。</w:t>
            </w:r>
            <w:r>
              <w:rPr>
                <w:rFonts w:ascii="Courier New" w:hAnsi="Courier New" w:cs="Courier New"/>
                <w:kern w:val="0"/>
                <w:sz w:val="22"/>
              </w:rPr>
              <w:br w:type="textWrapping"/>
            </w:r>
            <w:r>
              <w:rPr>
                <w:kern w:val="0"/>
                <w:sz w:val="22"/>
              </w:rPr>
              <w:t xml:space="preserve">3. </w:t>
            </w:r>
            <w:r>
              <w:rPr>
                <w:rFonts w:hint="eastAsia" w:ascii="Courier New" w:hAnsi="Courier New" w:cs="Courier New"/>
                <w:kern w:val="0"/>
                <w:sz w:val="22"/>
              </w:rPr>
              <w:t>认证机关应按相应的分类代码填写，具体的分类及代码是：</w:t>
            </w:r>
            <w:r>
              <w:rPr>
                <w:kern w:val="0"/>
                <w:sz w:val="22"/>
              </w:rPr>
              <w:t xml:space="preserve">1. </w:t>
            </w:r>
            <w:r>
              <w:rPr>
                <w:rFonts w:hint="eastAsia" w:ascii="Courier New" w:hAnsi="Courier New" w:cs="Courier New"/>
                <w:kern w:val="0"/>
                <w:sz w:val="22"/>
              </w:rPr>
              <w:t>中国合格评定国家认可委员会（</w:t>
            </w:r>
            <w:r>
              <w:rPr>
                <w:kern w:val="0"/>
                <w:sz w:val="22"/>
              </w:rPr>
              <w:t>CNAS</w:t>
            </w:r>
            <w:r>
              <w:rPr>
                <w:rFonts w:hint="eastAsia" w:ascii="Courier New" w:hAnsi="Courier New" w:cs="Courier New"/>
                <w:kern w:val="0"/>
                <w:sz w:val="22"/>
              </w:rPr>
              <w:t>）；</w:t>
            </w:r>
            <w:r>
              <w:rPr>
                <w:kern w:val="0"/>
                <w:sz w:val="22"/>
              </w:rPr>
              <w:t xml:space="preserve">2. </w:t>
            </w:r>
            <w:r>
              <w:rPr>
                <w:rFonts w:hint="eastAsia" w:ascii="Courier New" w:hAnsi="Courier New" w:cs="Courier New"/>
                <w:kern w:val="0"/>
                <w:sz w:val="22"/>
              </w:rPr>
              <w:t>国家认证认可监督管理委员会（</w:t>
            </w:r>
            <w:r>
              <w:rPr>
                <w:kern w:val="0"/>
                <w:sz w:val="22"/>
              </w:rPr>
              <w:t>CNCA</w:t>
            </w:r>
            <w:r>
              <w:rPr>
                <w:rFonts w:hint="eastAsia" w:ascii="Courier New" w:hAnsi="Courier New" w:cs="Courier New"/>
                <w:kern w:val="0"/>
                <w:sz w:val="22"/>
              </w:rPr>
              <w:t>）；</w:t>
            </w:r>
            <w:r>
              <w:rPr>
                <w:kern w:val="0"/>
                <w:sz w:val="22"/>
              </w:rPr>
              <w:t xml:space="preserve">3. </w:t>
            </w:r>
            <w:r>
              <w:rPr>
                <w:rFonts w:hint="eastAsia" w:ascii="Courier New" w:hAnsi="Courier New" w:cs="Courier New"/>
                <w:kern w:val="0"/>
                <w:sz w:val="22"/>
              </w:rPr>
              <w:t>其他国家（国际组织）认证认可机构（需具体说明）。</w:t>
            </w:r>
            <w:r>
              <w:rPr>
                <w:rFonts w:ascii="Courier New" w:hAnsi="Courier New" w:cs="Courier New"/>
                <w:kern w:val="0"/>
                <w:sz w:val="22"/>
              </w:rPr>
              <w:br w:type="textWrapping"/>
            </w:r>
            <w:r>
              <w:rPr>
                <w:kern w:val="0"/>
                <w:sz w:val="22"/>
              </w:rPr>
              <w:t xml:space="preserve">4. </w:t>
            </w:r>
            <w:r>
              <w:rPr>
                <w:rFonts w:hint="eastAsia" w:ascii="Courier New" w:hAnsi="Courier New" w:cs="Courier New"/>
                <w:kern w:val="0"/>
                <w:sz w:val="22"/>
              </w:rPr>
              <w:t>有效期为</w:t>
            </w:r>
            <w:r>
              <w:rPr>
                <w:kern w:val="0"/>
                <w:sz w:val="22"/>
              </w:rPr>
              <w:t>6</w:t>
            </w:r>
            <w:r>
              <w:rPr>
                <w:rFonts w:hint="eastAsia" w:ascii="Courier New" w:hAnsi="Courier New" w:cs="Courier New"/>
                <w:kern w:val="0"/>
                <w:sz w:val="22"/>
              </w:rPr>
              <w:t>位编码，其中前</w:t>
            </w:r>
            <w:r>
              <w:rPr>
                <w:kern w:val="0"/>
                <w:sz w:val="22"/>
              </w:rPr>
              <w:t>4</w:t>
            </w:r>
            <w:r>
              <w:rPr>
                <w:rFonts w:hint="eastAsia" w:ascii="Courier New" w:hAnsi="Courier New" w:cs="Courier New"/>
                <w:kern w:val="0"/>
                <w:sz w:val="22"/>
              </w:rPr>
              <w:t>位为年份，后</w:t>
            </w:r>
            <w:r>
              <w:rPr>
                <w:kern w:val="0"/>
                <w:sz w:val="22"/>
              </w:rPr>
              <w:t>2</w:t>
            </w:r>
            <w:r>
              <w:rPr>
                <w:rFonts w:hint="eastAsia" w:ascii="Courier New" w:hAnsi="Courier New" w:cs="Courier New"/>
                <w:kern w:val="0"/>
                <w:sz w:val="22"/>
              </w:rPr>
              <w:t>位为月份（</w:t>
            </w:r>
            <w:r>
              <w:rPr>
                <w:kern w:val="0"/>
                <w:sz w:val="22"/>
              </w:rPr>
              <w:t>1</w:t>
            </w:r>
            <w:r>
              <w:rPr>
                <w:rFonts w:hint="eastAsia" w:ascii="Courier New" w:hAnsi="Courier New" w:cs="Courier New"/>
                <w:kern w:val="0"/>
                <w:sz w:val="22"/>
              </w:rPr>
              <w:t>月至</w:t>
            </w:r>
            <w:r>
              <w:rPr>
                <w:kern w:val="0"/>
                <w:sz w:val="22"/>
              </w:rPr>
              <w:t>9</w:t>
            </w:r>
            <w:r>
              <w:rPr>
                <w:rFonts w:hint="eastAsia" w:ascii="Courier New" w:hAnsi="Courier New" w:cs="Courier New"/>
                <w:kern w:val="0"/>
                <w:sz w:val="22"/>
              </w:rPr>
              <w:t>月必须前补</w:t>
            </w:r>
            <w:r>
              <w:rPr>
                <w:kern w:val="0"/>
                <w:sz w:val="22"/>
              </w:rPr>
              <w:t>0</w:t>
            </w:r>
            <w:r>
              <w:rPr>
                <w:rFonts w:hint="eastAsia" w:ascii="Courier New" w:hAnsi="Courier New" w:cs="Courier New"/>
                <w:kern w:val="0"/>
                <w:sz w:val="22"/>
              </w:rPr>
              <w:t>），填写格式为“</w:t>
            </w:r>
            <w:r>
              <w:rPr>
                <w:kern w:val="0"/>
                <w:sz w:val="22"/>
              </w:rPr>
              <w:t>201410-201810</w:t>
            </w:r>
            <w:r>
              <w:rPr>
                <w:rFonts w:hint="eastAsia" w:ascii="Courier New" w:hAnsi="Courier New" w:cs="Courier New"/>
                <w:kern w:val="0"/>
                <w:sz w:val="22"/>
              </w:rPr>
              <w:t>”</w:t>
            </w:r>
          </w:p>
        </w:tc>
      </w:tr>
    </w:tbl>
    <w:p/>
    <w:tbl>
      <w:tblPr>
        <w:tblStyle w:val="12"/>
        <w:tblW w:w="9600" w:type="dxa"/>
        <w:jc w:val="center"/>
        <w:tblInd w:w="0" w:type="dxa"/>
        <w:tblLayout w:type="fixed"/>
        <w:tblCellMar>
          <w:top w:w="0" w:type="dxa"/>
          <w:left w:w="108" w:type="dxa"/>
          <w:bottom w:w="0" w:type="dxa"/>
          <w:right w:w="108" w:type="dxa"/>
        </w:tblCellMar>
      </w:tblPr>
      <w:tblGrid>
        <w:gridCol w:w="860"/>
        <w:gridCol w:w="3460"/>
        <w:gridCol w:w="1180"/>
        <w:gridCol w:w="1200"/>
        <w:gridCol w:w="1714"/>
        <w:gridCol w:w="1125"/>
        <w:gridCol w:w="61"/>
      </w:tblGrid>
      <w:tr>
        <w:tblPrEx>
          <w:tblLayout w:type="fixed"/>
          <w:tblCellMar>
            <w:top w:w="0" w:type="dxa"/>
            <w:left w:w="108" w:type="dxa"/>
            <w:bottom w:w="0" w:type="dxa"/>
            <w:right w:w="108" w:type="dxa"/>
          </w:tblCellMar>
        </w:tblPrEx>
        <w:trPr>
          <w:trHeight w:val="720" w:hRule="atLeast"/>
          <w:jc w:val="center"/>
        </w:trPr>
        <w:tc>
          <w:tcPr>
            <w:tcW w:w="9600" w:type="dxa"/>
            <w:gridSpan w:val="7"/>
            <w:tcBorders>
              <w:top w:val="nil"/>
              <w:left w:val="nil"/>
              <w:bottom w:val="single" w:color="auto" w:sz="4" w:space="0"/>
              <w:right w:val="nil"/>
            </w:tcBorders>
            <w:vAlign w:val="center"/>
          </w:tcPr>
          <w:p>
            <w:pPr>
              <w:widowControl/>
              <w:jc w:val="center"/>
              <w:rPr>
                <w:kern w:val="0"/>
                <w:sz w:val="28"/>
                <w:szCs w:val="28"/>
              </w:rPr>
            </w:pPr>
            <w:r>
              <w:rPr>
                <w:rFonts w:hint="eastAsia" w:ascii="黑体" w:hAnsi="黑体" w:eastAsia="黑体"/>
                <w:kern w:val="0"/>
                <w:sz w:val="28"/>
                <w:szCs w:val="28"/>
              </w:rPr>
              <w:t>表</w:t>
            </w:r>
            <w:r>
              <w:rPr>
                <w:kern w:val="0"/>
                <w:sz w:val="28"/>
                <w:szCs w:val="28"/>
              </w:rPr>
              <w:t>8</w:t>
            </w:r>
            <w:r>
              <w:rPr>
                <w:rFonts w:hint="eastAsia" w:ascii="黑体" w:hAnsi="黑体" w:eastAsia="黑体"/>
                <w:kern w:val="0"/>
                <w:sz w:val="28"/>
                <w:szCs w:val="28"/>
              </w:rPr>
              <w:t>：获国家自然科学、技术发明、科技进步奖项目信息表</w:t>
            </w:r>
          </w:p>
        </w:tc>
      </w:tr>
      <w:tr>
        <w:tblPrEx>
          <w:tblLayout w:type="fixed"/>
          <w:tblCellMar>
            <w:top w:w="0" w:type="dxa"/>
            <w:left w:w="108" w:type="dxa"/>
            <w:bottom w:w="0" w:type="dxa"/>
            <w:right w:w="108" w:type="dxa"/>
          </w:tblCellMar>
        </w:tblPrEx>
        <w:trPr>
          <w:trHeight w:val="359" w:hRule="atLeast"/>
          <w:jc w:val="center"/>
        </w:trPr>
        <w:tc>
          <w:tcPr>
            <w:tcW w:w="860"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序号</w:t>
            </w:r>
          </w:p>
        </w:tc>
        <w:tc>
          <w:tcPr>
            <w:tcW w:w="346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项目名称</w:t>
            </w:r>
          </w:p>
        </w:tc>
        <w:tc>
          <w:tcPr>
            <w:tcW w:w="118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奖励类型</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奖励等级</w:t>
            </w:r>
          </w:p>
        </w:tc>
        <w:tc>
          <w:tcPr>
            <w:tcW w:w="1714" w:type="dxa"/>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证书号</w:t>
            </w:r>
          </w:p>
        </w:tc>
        <w:tc>
          <w:tcPr>
            <w:tcW w:w="1186"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宋体"/>
                <w:kern w:val="0"/>
                <w:sz w:val="24"/>
              </w:rPr>
            </w:pPr>
            <w:r>
              <w:rPr>
                <w:rFonts w:hint="eastAsia" w:ascii="黑体" w:hAnsi="黑体" w:eastAsia="黑体" w:cs="宋体"/>
                <w:kern w:val="0"/>
                <w:sz w:val="24"/>
              </w:rPr>
              <w:t>获奖者</w:t>
            </w:r>
          </w:p>
        </w:tc>
      </w:tr>
      <w:tr>
        <w:tblPrEx>
          <w:tblLayout w:type="fixed"/>
          <w:tblCellMar>
            <w:top w:w="0" w:type="dxa"/>
            <w:left w:w="108" w:type="dxa"/>
            <w:bottom w:w="0" w:type="dxa"/>
            <w:right w:w="108" w:type="dxa"/>
          </w:tblCellMar>
        </w:tblPrEx>
        <w:trPr>
          <w:trHeight w:val="315" w:hRule="atLeast"/>
          <w:jc w:val="center"/>
        </w:trPr>
        <w:tc>
          <w:tcPr>
            <w:tcW w:w="86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1</w:t>
            </w:r>
          </w:p>
        </w:tc>
        <w:tc>
          <w:tcPr>
            <w:tcW w:w="34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14"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186"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315" w:hRule="atLeast"/>
          <w:jc w:val="center"/>
        </w:trPr>
        <w:tc>
          <w:tcPr>
            <w:tcW w:w="86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2</w:t>
            </w:r>
          </w:p>
        </w:tc>
        <w:tc>
          <w:tcPr>
            <w:tcW w:w="34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14"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186"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315" w:hRule="atLeast"/>
          <w:jc w:val="center"/>
        </w:trPr>
        <w:tc>
          <w:tcPr>
            <w:tcW w:w="86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w:t>
            </w:r>
          </w:p>
        </w:tc>
        <w:tc>
          <w:tcPr>
            <w:tcW w:w="34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14"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186"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trHeight w:val="315" w:hRule="atLeast"/>
          <w:jc w:val="center"/>
        </w:trPr>
        <w:tc>
          <w:tcPr>
            <w:tcW w:w="86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kern w:val="0"/>
                <w:sz w:val="24"/>
              </w:rPr>
              <w:t>n</w:t>
            </w:r>
          </w:p>
        </w:tc>
        <w:tc>
          <w:tcPr>
            <w:tcW w:w="34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18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20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14"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c>
          <w:tcPr>
            <w:tcW w:w="1186" w:type="dxa"/>
            <w:gridSpan w:val="2"/>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w:t>
            </w:r>
          </w:p>
        </w:tc>
      </w:tr>
      <w:tr>
        <w:tblPrEx>
          <w:tblLayout w:type="fixed"/>
          <w:tblCellMar>
            <w:top w:w="0" w:type="dxa"/>
            <w:left w:w="108" w:type="dxa"/>
            <w:bottom w:w="0" w:type="dxa"/>
            <w:right w:w="108" w:type="dxa"/>
          </w:tblCellMar>
        </w:tblPrEx>
        <w:trPr>
          <w:gridAfter w:val="1"/>
          <w:wAfter w:w="61" w:type="dxa"/>
          <w:trHeight w:val="3012" w:hRule="atLeast"/>
          <w:jc w:val="center"/>
        </w:trPr>
        <w:tc>
          <w:tcPr>
            <w:tcW w:w="9539"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kern w:val="0"/>
                <w:sz w:val="22"/>
              </w:rPr>
            </w:pPr>
            <w:r>
              <w:rPr>
                <w:rFonts w:hint="eastAsia" w:ascii="Courier New" w:hAnsi="Courier New" w:cs="Courier New"/>
                <w:kern w:val="0"/>
                <w:sz w:val="22"/>
              </w:rPr>
              <w:t>填写说明：</w:t>
            </w:r>
            <w:r>
              <w:rPr>
                <w:rFonts w:ascii="Courier New" w:hAnsi="Courier New" w:cs="Courier New"/>
                <w:kern w:val="0"/>
                <w:sz w:val="22"/>
              </w:rPr>
              <w:br w:type="textWrapping"/>
            </w:r>
            <w:r>
              <w:rPr>
                <w:kern w:val="0"/>
                <w:sz w:val="22"/>
              </w:rPr>
              <w:t xml:space="preserve">1. </w:t>
            </w:r>
            <w:r>
              <w:rPr>
                <w:rFonts w:hint="eastAsia" w:ascii="Courier New" w:hAnsi="Courier New" w:cs="Courier New"/>
                <w:kern w:val="0"/>
                <w:sz w:val="22"/>
              </w:rPr>
              <w:t>本表所填信息应与获奖证书相关内容一致。</w:t>
            </w:r>
            <w:r>
              <w:rPr>
                <w:rFonts w:ascii="Courier New" w:hAnsi="Courier New" w:cs="Courier New"/>
                <w:kern w:val="0"/>
                <w:sz w:val="22"/>
              </w:rPr>
              <w:br w:type="textWrapping"/>
            </w:r>
            <w:r>
              <w:rPr>
                <w:kern w:val="0"/>
                <w:sz w:val="22"/>
              </w:rPr>
              <w:t xml:space="preserve">2. </w:t>
            </w:r>
            <w:r>
              <w:rPr>
                <w:rFonts w:hint="eastAsia" w:ascii="Courier New" w:hAnsi="Courier New" w:cs="Courier New"/>
                <w:kern w:val="0"/>
                <w:sz w:val="22"/>
              </w:rPr>
              <w:t>获奖项目填报的时间范围为报告年度、报告年度前一年度。</w:t>
            </w:r>
            <w:r>
              <w:rPr>
                <w:rFonts w:ascii="Courier New" w:hAnsi="Courier New" w:cs="Courier New"/>
                <w:kern w:val="0"/>
                <w:sz w:val="22"/>
              </w:rPr>
              <w:br w:type="textWrapping"/>
            </w:r>
            <w:r>
              <w:rPr>
                <w:kern w:val="0"/>
                <w:sz w:val="22"/>
              </w:rPr>
              <w:t>3.</w:t>
            </w:r>
            <w:r>
              <w:rPr>
                <w:rFonts w:hint="eastAsia"/>
                <w:kern w:val="0"/>
                <w:sz w:val="22"/>
              </w:rPr>
              <w:t>“</w:t>
            </w:r>
            <w:r>
              <w:rPr>
                <w:rFonts w:hint="eastAsia" w:ascii="Courier New" w:hAnsi="Courier New" w:cs="Courier New"/>
                <w:kern w:val="0"/>
                <w:sz w:val="22"/>
              </w:rPr>
              <w:t>奖励类型</w:t>
            </w:r>
            <w:r>
              <w:rPr>
                <w:rFonts w:hint="eastAsia"/>
                <w:kern w:val="0"/>
                <w:sz w:val="22"/>
              </w:rPr>
              <w:t>”</w:t>
            </w:r>
            <w:r>
              <w:rPr>
                <w:rFonts w:hint="eastAsia" w:ascii="Courier New" w:hAnsi="Courier New" w:cs="Courier New"/>
                <w:kern w:val="0"/>
                <w:sz w:val="22"/>
              </w:rPr>
              <w:t>应按相应的分类代码填写，具体的分类及代码是：</w:t>
            </w:r>
            <w:r>
              <w:rPr>
                <w:kern w:val="0"/>
                <w:sz w:val="22"/>
              </w:rPr>
              <w:t xml:space="preserve">1. </w:t>
            </w:r>
            <w:r>
              <w:rPr>
                <w:rFonts w:hint="eastAsia" w:ascii="Courier New" w:hAnsi="Courier New" w:cs="Courier New"/>
                <w:kern w:val="0"/>
                <w:sz w:val="22"/>
              </w:rPr>
              <w:t>国家自然科学奖；</w:t>
            </w:r>
            <w:r>
              <w:rPr>
                <w:kern w:val="0"/>
                <w:sz w:val="22"/>
              </w:rPr>
              <w:t xml:space="preserve">2. </w:t>
            </w:r>
            <w:r>
              <w:rPr>
                <w:rFonts w:hint="eastAsia" w:ascii="Courier New" w:hAnsi="Courier New" w:cs="Courier New"/>
                <w:kern w:val="0"/>
                <w:sz w:val="22"/>
              </w:rPr>
              <w:t>国家技术发明奖；</w:t>
            </w:r>
            <w:r>
              <w:rPr>
                <w:kern w:val="0"/>
                <w:sz w:val="22"/>
              </w:rPr>
              <w:t xml:space="preserve">3. </w:t>
            </w:r>
            <w:r>
              <w:rPr>
                <w:rFonts w:hint="eastAsia" w:ascii="Courier New" w:hAnsi="Courier New" w:cs="Courier New"/>
                <w:kern w:val="0"/>
                <w:sz w:val="22"/>
              </w:rPr>
              <w:t>国家科技进步奖。</w:t>
            </w:r>
            <w:r>
              <w:rPr>
                <w:rFonts w:ascii="Courier New" w:hAnsi="Courier New" w:cs="Courier New"/>
                <w:kern w:val="0"/>
                <w:sz w:val="22"/>
              </w:rPr>
              <w:br w:type="textWrapping"/>
            </w:r>
            <w:r>
              <w:rPr>
                <w:kern w:val="0"/>
                <w:sz w:val="22"/>
              </w:rPr>
              <w:t xml:space="preserve">4. </w:t>
            </w:r>
            <w:r>
              <w:rPr>
                <w:rFonts w:hint="eastAsia"/>
                <w:kern w:val="0"/>
                <w:sz w:val="22"/>
              </w:rPr>
              <w:t>“</w:t>
            </w:r>
            <w:r>
              <w:rPr>
                <w:rFonts w:hint="eastAsia" w:ascii="Courier New" w:hAnsi="Courier New" w:cs="Courier New"/>
                <w:kern w:val="0"/>
                <w:sz w:val="22"/>
              </w:rPr>
              <w:t>奖励等级</w:t>
            </w:r>
            <w:r>
              <w:rPr>
                <w:rFonts w:hint="eastAsia"/>
                <w:kern w:val="0"/>
                <w:sz w:val="22"/>
              </w:rPr>
              <w:t>”</w:t>
            </w:r>
            <w:r>
              <w:rPr>
                <w:rFonts w:hint="eastAsia" w:ascii="Courier New" w:hAnsi="Courier New" w:cs="Courier New"/>
                <w:kern w:val="0"/>
                <w:sz w:val="22"/>
              </w:rPr>
              <w:t>应按相应的分类代码填写，具体的分类及代码是：</w:t>
            </w:r>
            <w:r>
              <w:rPr>
                <w:kern w:val="0"/>
                <w:sz w:val="22"/>
              </w:rPr>
              <w:t xml:space="preserve">1. </w:t>
            </w:r>
            <w:r>
              <w:rPr>
                <w:rFonts w:hint="eastAsia" w:ascii="Courier New" w:hAnsi="Courier New" w:cs="Courier New"/>
                <w:kern w:val="0"/>
                <w:sz w:val="22"/>
              </w:rPr>
              <w:t>特等奖；</w:t>
            </w:r>
            <w:r>
              <w:rPr>
                <w:kern w:val="0"/>
                <w:sz w:val="22"/>
              </w:rPr>
              <w:t xml:space="preserve">2. </w:t>
            </w:r>
            <w:r>
              <w:rPr>
                <w:rFonts w:hint="eastAsia" w:ascii="Courier New" w:hAnsi="Courier New" w:cs="Courier New"/>
                <w:kern w:val="0"/>
                <w:sz w:val="22"/>
              </w:rPr>
              <w:t>一等奖；</w:t>
            </w:r>
            <w:r>
              <w:rPr>
                <w:kern w:val="0"/>
                <w:sz w:val="22"/>
              </w:rPr>
              <w:t xml:space="preserve">3. </w:t>
            </w:r>
            <w:r>
              <w:rPr>
                <w:rFonts w:hint="eastAsia" w:ascii="Courier New" w:hAnsi="Courier New" w:cs="Courier New"/>
                <w:kern w:val="0"/>
                <w:sz w:val="22"/>
              </w:rPr>
              <w:t>二等奖。</w:t>
            </w:r>
            <w:r>
              <w:rPr>
                <w:kern w:val="0"/>
                <w:sz w:val="22"/>
              </w:rPr>
              <w:t xml:space="preserve"> </w:t>
            </w:r>
            <w:r>
              <w:rPr>
                <w:kern w:val="0"/>
                <w:sz w:val="22"/>
              </w:rPr>
              <w:br w:type="textWrapping"/>
            </w:r>
            <w:r>
              <w:rPr>
                <w:kern w:val="0"/>
                <w:sz w:val="22"/>
              </w:rPr>
              <w:t xml:space="preserve">5. </w:t>
            </w:r>
            <w:r>
              <w:rPr>
                <w:rFonts w:hint="eastAsia" w:ascii="Courier New" w:hAnsi="Courier New" w:cs="Courier New"/>
                <w:kern w:val="0"/>
                <w:sz w:val="22"/>
              </w:rPr>
              <w:t>获奖者需为技术中心所在企业、下属企业或企业在职职工。获奖者为个人的，需提供个人相关信息及必要证明材料。</w:t>
            </w:r>
          </w:p>
        </w:tc>
      </w:tr>
    </w:tbl>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黑体_GBK" w:hAnsi="楷体" w:eastAsia="方正黑体_GBK" w:cs="宋体"/>
          <w:kern w:val="0"/>
          <w:sz w:val="32"/>
          <w:szCs w:val="32"/>
        </w:rPr>
      </w:pPr>
    </w:p>
    <w:p>
      <w:pPr>
        <w:widowControl/>
        <w:spacing w:line="600" w:lineRule="exact"/>
        <w:jc w:val="left"/>
        <w:rPr>
          <w:rFonts w:hint="eastAsia" w:ascii="方正小标宋_GBK" w:hAnsi="黑体" w:eastAsia="方正小标宋_GBK" w:cs="宋体"/>
          <w:kern w:val="0"/>
          <w:sz w:val="44"/>
          <w:szCs w:val="44"/>
        </w:rPr>
      </w:pPr>
      <w:r>
        <w:rPr>
          <w:rFonts w:hint="eastAsia" w:ascii="方正黑体_GBK" w:hAnsi="楷体" w:eastAsia="方正黑体_GBK" w:cs="宋体"/>
          <w:kern w:val="0"/>
          <w:sz w:val="32"/>
          <w:szCs w:val="32"/>
        </w:rPr>
        <w:t>附件3</w:t>
      </w:r>
    </w:p>
    <w:p>
      <w:pPr>
        <w:widowControl/>
        <w:spacing w:line="600" w:lineRule="exact"/>
        <w:ind w:firstLine="250"/>
        <w:jc w:val="center"/>
        <w:rPr>
          <w:rFonts w:ascii="黑体" w:hAnsi="黑体" w:eastAsia="黑体" w:cs="宋体"/>
          <w:kern w:val="0"/>
          <w:sz w:val="32"/>
          <w:szCs w:val="32"/>
        </w:rPr>
      </w:pPr>
      <w:r>
        <w:rPr>
          <w:rFonts w:hint="eastAsia" w:ascii="方正小标宋_GBK" w:hAnsi="黑体" w:eastAsia="方正小标宋_GBK" w:cs="宋体"/>
          <w:kern w:val="0"/>
          <w:sz w:val="44"/>
          <w:szCs w:val="44"/>
        </w:rPr>
        <w:t>企业技术中心评价指标体系</w:t>
      </w:r>
    </w:p>
    <w:p>
      <w:pPr>
        <w:widowControl/>
        <w:spacing w:line="600" w:lineRule="exact"/>
        <w:ind w:firstLine="250"/>
        <w:jc w:val="left"/>
        <w:rPr>
          <w:kern w:val="0"/>
          <w:szCs w:val="21"/>
        </w:rPr>
      </w:pPr>
      <w:r>
        <w:rPr>
          <w:rFonts w:hint="eastAsia" w:ascii="黑体" w:hAnsi="黑体" w:eastAsia="黑体" w:cs="宋体"/>
          <w:kern w:val="0"/>
          <w:sz w:val="32"/>
          <w:szCs w:val="32"/>
        </w:rPr>
        <w:t>一、评价指标及评价基本要求</w:t>
      </w:r>
    </w:p>
    <w:tbl>
      <w:tblPr>
        <w:tblStyle w:val="12"/>
        <w:tblW w:w="9083" w:type="dxa"/>
        <w:jc w:val="center"/>
        <w:tblInd w:w="0" w:type="dxa"/>
        <w:tblLayout w:type="fixed"/>
        <w:tblCellMar>
          <w:top w:w="0" w:type="dxa"/>
          <w:left w:w="108" w:type="dxa"/>
          <w:bottom w:w="0" w:type="dxa"/>
          <w:right w:w="108" w:type="dxa"/>
        </w:tblCellMar>
      </w:tblPr>
      <w:tblGrid>
        <w:gridCol w:w="698"/>
        <w:gridCol w:w="815"/>
        <w:gridCol w:w="707"/>
        <w:gridCol w:w="3698"/>
        <w:gridCol w:w="1048"/>
        <w:gridCol w:w="936"/>
        <w:gridCol w:w="1181"/>
      </w:tblGrid>
      <w:tr>
        <w:tblPrEx>
          <w:tblLayout w:type="fixed"/>
          <w:tblCellMar>
            <w:top w:w="0" w:type="dxa"/>
            <w:left w:w="108" w:type="dxa"/>
            <w:bottom w:w="0" w:type="dxa"/>
            <w:right w:w="108" w:type="dxa"/>
          </w:tblCellMar>
        </w:tblPrEx>
        <w:trPr>
          <w:trHeight w:val="79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一级</w:t>
            </w:r>
          </w:p>
          <w:p>
            <w:pPr>
              <w:jc w:val="center"/>
              <w:rPr>
                <w:rFonts w:ascii="仿宋" w:hAnsi="仿宋" w:eastAsia="仿宋" w:cs="宋体"/>
                <w:b/>
                <w:bCs/>
                <w:kern w:val="0"/>
                <w:sz w:val="24"/>
              </w:rPr>
            </w:pPr>
            <w:r>
              <w:rPr>
                <w:rFonts w:hint="eastAsia" w:ascii="仿宋" w:hAnsi="仿宋" w:eastAsia="仿宋" w:cs="宋体"/>
                <w:b/>
                <w:bCs/>
                <w:kern w:val="0"/>
                <w:sz w:val="24"/>
              </w:rPr>
              <w:t>指标</w:t>
            </w:r>
          </w:p>
        </w:tc>
        <w:tc>
          <w:tcPr>
            <w:tcW w:w="81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二级</w:t>
            </w:r>
          </w:p>
          <w:p>
            <w:pPr>
              <w:jc w:val="center"/>
              <w:rPr>
                <w:rFonts w:ascii="仿宋" w:hAnsi="仿宋" w:eastAsia="仿宋" w:cs="宋体"/>
                <w:b/>
                <w:bCs/>
                <w:kern w:val="0"/>
                <w:sz w:val="24"/>
              </w:rPr>
            </w:pPr>
            <w:r>
              <w:rPr>
                <w:rFonts w:hint="eastAsia" w:ascii="仿宋" w:hAnsi="仿宋" w:eastAsia="仿宋" w:cs="宋体"/>
                <w:b/>
                <w:bCs/>
                <w:kern w:val="0"/>
                <w:sz w:val="24"/>
              </w:rPr>
              <w:t>指标</w:t>
            </w:r>
          </w:p>
        </w:tc>
        <w:tc>
          <w:tcPr>
            <w:tcW w:w="70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权重</w:t>
            </w:r>
          </w:p>
          <w:p>
            <w:pPr>
              <w:jc w:val="center"/>
              <w:rPr>
                <w:rFonts w:ascii="仿宋" w:hAnsi="仿宋" w:eastAsia="仿宋" w:cs="宋体"/>
                <w:b/>
                <w:bCs/>
                <w:kern w:val="0"/>
                <w:sz w:val="24"/>
              </w:rPr>
            </w:pPr>
            <w:r>
              <w:rPr>
                <w:rFonts w:ascii="仿宋" w:hAnsi="仿宋" w:eastAsia="仿宋" w:cs="宋体"/>
                <w:b/>
                <w:bCs/>
                <w:kern w:val="0"/>
                <w:sz w:val="24"/>
              </w:rPr>
              <w:t>(</w:t>
            </w:r>
            <w:r>
              <w:rPr>
                <w:rFonts w:hint="eastAsia" w:ascii="仿宋" w:hAnsi="仿宋" w:eastAsia="仿宋" w:cs="宋体"/>
                <w:b/>
                <w:bCs/>
                <w:kern w:val="0"/>
                <w:sz w:val="24"/>
              </w:rPr>
              <w:t>分</w:t>
            </w:r>
            <w:r>
              <w:rPr>
                <w:rFonts w:ascii="仿宋" w:hAnsi="仿宋" w:eastAsia="仿宋" w:cs="宋体"/>
                <w:b/>
                <w:bCs/>
                <w:kern w:val="0"/>
                <w:sz w:val="24"/>
              </w:rPr>
              <w:t>)</w:t>
            </w:r>
          </w:p>
        </w:tc>
        <w:tc>
          <w:tcPr>
            <w:tcW w:w="36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三级指标</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权重</w:t>
            </w:r>
          </w:p>
          <w:p>
            <w:pPr>
              <w:jc w:val="center"/>
              <w:rPr>
                <w:rFonts w:ascii="仿宋" w:hAnsi="仿宋" w:eastAsia="仿宋" w:cs="宋体"/>
                <w:b/>
                <w:bCs/>
                <w:kern w:val="0"/>
                <w:sz w:val="24"/>
              </w:rPr>
            </w:pPr>
            <w:r>
              <w:rPr>
                <w:rFonts w:ascii="仿宋" w:hAnsi="仿宋" w:eastAsia="仿宋" w:cs="宋体"/>
                <w:b/>
                <w:bCs/>
                <w:kern w:val="0"/>
                <w:sz w:val="24"/>
              </w:rPr>
              <w:t>(</w:t>
            </w:r>
            <w:r>
              <w:rPr>
                <w:rFonts w:hint="eastAsia" w:ascii="仿宋" w:hAnsi="仿宋" w:eastAsia="仿宋" w:cs="宋体"/>
                <w:b/>
                <w:bCs/>
                <w:kern w:val="0"/>
                <w:sz w:val="24"/>
              </w:rPr>
              <w:t>分</w:t>
            </w:r>
            <w:r>
              <w:rPr>
                <w:rFonts w:ascii="仿宋" w:hAnsi="仿宋" w:eastAsia="仿宋" w:cs="宋体"/>
                <w:b/>
                <w:bCs/>
                <w:kern w:val="0"/>
                <w:sz w:val="24"/>
              </w:rPr>
              <w:t>)</w:t>
            </w:r>
          </w:p>
        </w:tc>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单位</w:t>
            </w:r>
          </w:p>
        </w:tc>
        <w:tc>
          <w:tcPr>
            <w:tcW w:w="1181"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
                <w:bCs/>
                <w:kern w:val="0"/>
                <w:sz w:val="24"/>
              </w:rPr>
            </w:pPr>
            <w:r>
              <w:rPr>
                <w:rFonts w:hint="eastAsia" w:ascii="仿宋" w:hAnsi="仿宋" w:eastAsia="仿宋" w:cs="宋体"/>
                <w:b/>
                <w:bCs/>
                <w:kern w:val="0"/>
                <w:sz w:val="24"/>
              </w:rPr>
              <w:t>基本要求</w:t>
            </w:r>
          </w:p>
        </w:tc>
      </w:tr>
      <w:tr>
        <w:tblPrEx>
          <w:tblLayout w:type="fixed"/>
          <w:tblCellMar>
            <w:top w:w="0" w:type="dxa"/>
            <w:left w:w="108" w:type="dxa"/>
            <w:bottom w:w="0" w:type="dxa"/>
            <w:right w:w="108" w:type="dxa"/>
          </w:tblCellMar>
        </w:tblPrEx>
        <w:trPr>
          <w:trHeight w:val="810"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创新机制</w:t>
            </w: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创新投入机制</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20</w:t>
            </w: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研究与试验发展（</w:t>
            </w:r>
            <w:r>
              <w:rPr>
                <w:rFonts w:ascii="仿宋" w:hAnsi="仿宋" w:eastAsia="仿宋" w:cs="宋体"/>
                <w:kern w:val="0"/>
                <w:sz w:val="24"/>
              </w:rPr>
              <w:t>R&amp;D</w:t>
            </w:r>
            <w:r>
              <w:rPr>
                <w:rFonts w:hint="eastAsia" w:ascii="仿宋" w:hAnsi="仿宋" w:eastAsia="仿宋" w:cs="宋体"/>
                <w:kern w:val="0"/>
                <w:sz w:val="24"/>
              </w:rPr>
              <w:t>）经费支出额占主营业务收入的比重</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17</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分档</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研究与试验发展（</w:t>
            </w:r>
            <w:r>
              <w:rPr>
                <w:rFonts w:ascii="仿宋" w:hAnsi="仿宋" w:eastAsia="仿宋" w:cs="宋体"/>
                <w:kern w:val="0"/>
                <w:sz w:val="24"/>
              </w:rPr>
              <w:t>R&amp;D</w:t>
            </w:r>
            <w:r>
              <w:rPr>
                <w:rFonts w:hint="eastAsia" w:ascii="仿宋" w:hAnsi="仿宋" w:eastAsia="仿宋" w:cs="宋体"/>
                <w:kern w:val="0"/>
                <w:sz w:val="24"/>
              </w:rPr>
              <w:t>）经费支出比上年度增长</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0</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人才激励机制</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中心年人均收入与企业年人均收入之比</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120</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中心人员培训费占中心人员总收入的比重</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创新合作机制</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来中心从事技术开发工作的外部专家数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人月</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仿宋" w:hAnsi="仿宋" w:eastAsia="仿宋" w:cs="宋体"/>
                <w:kern w:val="0"/>
                <w:sz w:val="24"/>
              </w:rPr>
              <w:t>12</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对外合作项目占全部开发项目数的比重</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5</w:t>
            </w:r>
          </w:p>
        </w:tc>
      </w:tr>
      <w:tr>
        <w:tblPrEx>
          <w:tblLayout w:type="fixed"/>
          <w:tblCellMar>
            <w:top w:w="0" w:type="dxa"/>
            <w:left w:w="108" w:type="dxa"/>
            <w:bottom w:w="0" w:type="dxa"/>
            <w:right w:w="108" w:type="dxa"/>
          </w:tblCellMar>
        </w:tblPrEx>
        <w:trPr>
          <w:trHeight w:val="810"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技术人才</w:t>
            </w: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创新队伍建设</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9</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企业研究与试验发展（</w:t>
            </w:r>
            <w:r>
              <w:rPr>
                <w:rFonts w:ascii="仿宋" w:hAnsi="仿宋" w:eastAsia="仿宋" w:cs="宋体"/>
                <w:kern w:val="0"/>
                <w:sz w:val="24"/>
              </w:rPr>
              <w:t>R&amp;D</w:t>
            </w:r>
            <w:r>
              <w:rPr>
                <w:rFonts w:hint="eastAsia" w:ascii="仿宋" w:hAnsi="仿宋" w:eastAsia="仿宋" w:cs="宋体"/>
                <w:kern w:val="0"/>
                <w:sz w:val="24"/>
              </w:rPr>
              <w:t>）人员占职工人数的比重</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7</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技术中心拥有的高级专家及博士人数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人</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571"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创新条件建设</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11</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企业技术开发仪器设备原值</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6</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81"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cs="宋体"/>
                <w:kern w:val="0"/>
                <w:sz w:val="24"/>
              </w:rPr>
              <w:t> </w:t>
            </w:r>
            <w:r>
              <w:rPr>
                <w:rFonts w:hint="eastAsia" w:ascii="仿宋" w:hAnsi="仿宋" w:eastAsia="仿宋" w:cs="宋体"/>
                <w:kern w:val="0"/>
                <w:sz w:val="24"/>
              </w:rPr>
              <w:t>≥</w:t>
            </w:r>
            <w:r>
              <w:rPr>
                <w:rFonts w:ascii="仿宋" w:hAnsi="仿宋" w:eastAsia="仿宋" w:cs="宋体"/>
                <w:kern w:val="0"/>
                <w:sz w:val="24"/>
              </w:rPr>
              <w:t>300</w:t>
            </w:r>
          </w:p>
        </w:tc>
      </w:tr>
      <w:tr>
        <w:tblPrEx>
          <w:tblLayout w:type="fixed"/>
          <w:tblCellMar>
            <w:top w:w="0" w:type="dxa"/>
            <w:left w:w="108" w:type="dxa"/>
            <w:bottom w:w="0" w:type="dxa"/>
            <w:right w:w="108" w:type="dxa"/>
          </w:tblCellMar>
        </w:tblPrEx>
        <w:trPr>
          <w:trHeight w:val="551"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国家级研发平台数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55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省级研发平台数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通过国家或国际组织认证的实验室等研发检测机构数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776"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技术积累储备</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基础研究和应用研究项目数占全部项目数的比重</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cs="宋体"/>
                <w:kern w:val="0"/>
                <w:sz w:val="24"/>
              </w:rPr>
              <w:t> </w:t>
            </w: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10</w:t>
            </w:r>
          </w:p>
        </w:tc>
      </w:tr>
      <w:tr>
        <w:tblPrEx>
          <w:tblLayout w:type="fixed"/>
          <w:tblCellMar>
            <w:top w:w="0" w:type="dxa"/>
            <w:left w:w="108" w:type="dxa"/>
            <w:bottom w:w="0" w:type="dxa"/>
            <w:right w:w="108" w:type="dxa"/>
          </w:tblCellMar>
        </w:tblPrEx>
        <w:trPr>
          <w:trHeight w:val="477"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企业拥有的全部有效发明专利数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4</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2</w:t>
            </w:r>
          </w:p>
        </w:tc>
      </w:tr>
      <w:tr>
        <w:tblPrEx>
          <w:tblLayout w:type="fixed"/>
          <w:tblCellMar>
            <w:top w:w="0" w:type="dxa"/>
            <w:left w:w="108" w:type="dxa"/>
            <w:bottom w:w="0" w:type="dxa"/>
            <w:right w:w="108" w:type="dxa"/>
          </w:tblCellMar>
        </w:tblPrEx>
        <w:trPr>
          <w:trHeight w:val="554"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企业获得国家级质量品牌奖项数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个</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558"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企业获得市级质量品牌奖项数</w:t>
            </w:r>
          </w:p>
        </w:tc>
        <w:tc>
          <w:tcPr>
            <w:tcW w:w="1048"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cs="宋体"/>
                <w:kern w:val="0"/>
                <w:sz w:val="24"/>
              </w:rPr>
              <w:t> </w:t>
            </w:r>
            <w:r>
              <w:rPr>
                <w:rFonts w:ascii="仿宋" w:hAnsi="仿宋" w:eastAsia="仿宋" w:cs="宋体"/>
                <w:kern w:val="0"/>
                <w:sz w:val="24"/>
              </w:rPr>
              <w:t>1</w:t>
            </w:r>
          </w:p>
        </w:tc>
        <w:tc>
          <w:tcPr>
            <w:tcW w:w="93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ascii="宋体" w:cs="宋体"/>
                <w:kern w:val="0"/>
                <w:sz w:val="24"/>
              </w:rPr>
              <w:t>  </w:t>
            </w:r>
            <w:r>
              <w:rPr>
                <w:rFonts w:hint="eastAsia" w:ascii="仿宋" w:hAnsi="仿宋" w:eastAsia="仿宋" w:cs="宋体"/>
                <w:kern w:val="0"/>
                <w:sz w:val="24"/>
              </w:rPr>
              <w:t>个</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产出与</w:t>
            </w:r>
          </w:p>
          <w:p>
            <w:pPr>
              <w:widowControl/>
              <w:jc w:val="center"/>
              <w:rPr>
                <w:rFonts w:ascii="仿宋" w:hAnsi="仿宋" w:eastAsia="仿宋" w:cs="宋体"/>
                <w:kern w:val="0"/>
                <w:sz w:val="24"/>
              </w:rPr>
            </w:pPr>
            <w:r>
              <w:rPr>
                <w:rFonts w:hint="eastAsia" w:ascii="仿宋" w:hAnsi="仿宋" w:eastAsia="仿宋" w:cs="宋体"/>
                <w:kern w:val="0"/>
                <w:sz w:val="24"/>
              </w:rPr>
              <w:t>效益</w:t>
            </w: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技术创新产出</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16</w:t>
            </w: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当年完成的新产品新技术新工艺开发项目数</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5</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宋体"/>
                <w:kern w:val="0"/>
                <w:sz w:val="24"/>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当年受理的专利申请数</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3</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sz w:val="22"/>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ascii="仿宋" w:hAnsi="仿宋" w:eastAsia="仿宋" w:cs="宋体"/>
                <w:kern w:val="0"/>
                <w:sz w:val="24"/>
              </w:rPr>
              <w:t>——</w:t>
            </w:r>
            <w:r>
              <w:rPr>
                <w:rFonts w:hint="eastAsia" w:ascii="仿宋" w:hAnsi="仿宋" w:eastAsia="仿宋" w:cs="宋体"/>
                <w:kern w:val="0"/>
                <w:sz w:val="24"/>
              </w:rPr>
              <w:t>其中当年受理的发明专利申请数</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sz w:val="22"/>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主持和参与制定的国际、国家、行业标准（工法）数</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sz w:val="22"/>
              </w:rPr>
            </w:pPr>
          </w:p>
        </w:tc>
        <w:tc>
          <w:tcPr>
            <w:tcW w:w="8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技术创新效益</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22</w:t>
            </w: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新产品销售收入占主营业务收入的比重</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20</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cs="宋体"/>
                <w:kern w:val="0"/>
                <w:sz w:val="22"/>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新产品销售利润占主营业务收入的比重</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10</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2"/>
              </w:rPr>
            </w:pPr>
          </w:p>
        </w:tc>
        <w:tc>
          <w:tcPr>
            <w:tcW w:w="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自有品牌产品与技术出口创汇（或境外项目营业收入）额</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2</w:t>
            </w:r>
          </w:p>
        </w:tc>
        <w:tc>
          <w:tcPr>
            <w:tcW w:w="9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万美元</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&gt; 0</w:t>
            </w:r>
          </w:p>
        </w:tc>
      </w:tr>
      <w:tr>
        <w:tblPrEx>
          <w:tblLayout w:type="fixed"/>
          <w:tblCellMar>
            <w:top w:w="0" w:type="dxa"/>
            <w:left w:w="108" w:type="dxa"/>
            <w:bottom w:w="0" w:type="dxa"/>
            <w:right w:w="108" w:type="dxa"/>
          </w:tblCellMar>
        </w:tblPrEx>
        <w:trPr>
          <w:trHeight w:val="810" w:hRule="atLeast"/>
          <w:jc w:val="center"/>
        </w:trPr>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加分</w:t>
            </w:r>
          </w:p>
        </w:tc>
        <w:tc>
          <w:tcPr>
            <w:tcW w:w="815"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加分</w:t>
            </w:r>
          </w:p>
        </w:tc>
        <w:tc>
          <w:tcPr>
            <w:tcW w:w="707"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5</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获国家自然科学、技术发明、科技进步奖项目数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获得发明专利授权数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8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获得国家行业协会、市级优秀新产品、科技进步奖等项目数</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2</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项</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1110"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81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70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当年研究与试验发展（</w:t>
            </w:r>
            <w:r>
              <w:rPr>
                <w:rFonts w:ascii="仿宋" w:hAnsi="仿宋" w:eastAsia="仿宋" w:cs="宋体"/>
                <w:kern w:val="0"/>
                <w:sz w:val="24"/>
              </w:rPr>
              <w:t>R&amp;D</w:t>
            </w:r>
            <w:r>
              <w:rPr>
                <w:rFonts w:hint="eastAsia" w:ascii="仿宋" w:hAnsi="仿宋" w:eastAsia="仿宋" w:cs="宋体"/>
                <w:kern w:val="0"/>
                <w:sz w:val="24"/>
              </w:rPr>
              <w:t>）经费支出额占主营业务收入的比重超过</w:t>
            </w:r>
            <w:r>
              <w:rPr>
                <w:rFonts w:ascii="仿宋" w:hAnsi="仿宋" w:eastAsia="仿宋" w:cs="宋体"/>
                <w:kern w:val="0"/>
                <w:sz w:val="24"/>
              </w:rPr>
              <w:t>5%</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1</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5</w:t>
            </w:r>
          </w:p>
        </w:tc>
      </w:tr>
      <w:tr>
        <w:tblPrEx>
          <w:tblLayout w:type="fixed"/>
          <w:tblCellMar>
            <w:top w:w="0" w:type="dxa"/>
            <w:left w:w="108" w:type="dxa"/>
            <w:bottom w:w="0" w:type="dxa"/>
            <w:right w:w="108" w:type="dxa"/>
          </w:tblCellMar>
        </w:tblPrEx>
        <w:trPr>
          <w:trHeight w:val="810" w:hRule="atLeast"/>
          <w:jc w:val="center"/>
        </w:trPr>
        <w:tc>
          <w:tcPr>
            <w:tcW w:w="698"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扣分</w:t>
            </w:r>
          </w:p>
        </w:tc>
        <w:tc>
          <w:tcPr>
            <w:tcW w:w="815"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扣分</w:t>
            </w:r>
          </w:p>
        </w:tc>
        <w:tc>
          <w:tcPr>
            <w:tcW w:w="707"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ascii="仿宋" w:hAnsi="仿宋" w:eastAsia="仿宋" w:cs="宋体"/>
                <w:kern w:val="0"/>
                <w:sz w:val="24"/>
              </w:rPr>
              <w:t>3</w:t>
            </w:r>
          </w:p>
        </w:tc>
        <w:tc>
          <w:tcPr>
            <w:tcW w:w="3698" w:type="dxa"/>
            <w:tcBorders>
              <w:top w:val="nil"/>
              <w:left w:val="nil"/>
              <w:bottom w:val="single" w:color="auto" w:sz="4" w:space="0"/>
              <w:right w:val="single" w:color="auto" w:sz="4" w:space="0"/>
            </w:tcBorders>
            <w:vAlign w:val="center"/>
          </w:tcPr>
          <w:p>
            <w:pPr>
              <w:widowControl/>
              <w:rPr>
                <w:rFonts w:ascii="仿宋" w:hAnsi="仿宋" w:eastAsia="仿宋" w:cs="宋体"/>
                <w:kern w:val="0"/>
                <w:sz w:val="24"/>
              </w:rPr>
            </w:pPr>
            <w:r>
              <w:rPr>
                <w:rFonts w:hint="eastAsia" w:ascii="仿宋" w:hAnsi="仿宋" w:eastAsia="仿宋" w:cs="宋体"/>
                <w:kern w:val="0"/>
                <w:sz w:val="24"/>
              </w:rPr>
              <w:t>企业经营亏损</w:t>
            </w:r>
          </w:p>
        </w:tc>
        <w:tc>
          <w:tcPr>
            <w:tcW w:w="1048"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w:t>
            </w:r>
            <w:r>
              <w:rPr>
                <w:rFonts w:ascii="宋体" w:cs="宋体"/>
                <w:kern w:val="0"/>
                <w:sz w:val="24"/>
              </w:rPr>
              <w:t> </w:t>
            </w:r>
            <w:r>
              <w:rPr>
                <w:rFonts w:ascii="仿宋" w:hAnsi="仿宋" w:eastAsia="仿宋" w:cs="宋体"/>
                <w:kern w:val="0"/>
                <w:sz w:val="24"/>
              </w:rPr>
              <w:t>3</w:t>
            </w:r>
          </w:p>
        </w:tc>
        <w:tc>
          <w:tcPr>
            <w:tcW w:w="936"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万元</w:t>
            </w:r>
          </w:p>
        </w:tc>
        <w:tc>
          <w:tcPr>
            <w:tcW w:w="1181" w:type="dxa"/>
            <w:tcBorders>
              <w:top w:val="nil"/>
              <w:left w:val="nil"/>
              <w:bottom w:val="single" w:color="auto" w:sz="4" w:space="0"/>
              <w:right w:val="single" w:color="auto" w:sz="4" w:space="0"/>
            </w:tcBorders>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r>
    </w:tbl>
    <w:p>
      <w:pPr>
        <w:widowControl/>
        <w:spacing w:line="500" w:lineRule="atLeast"/>
        <w:ind w:firstLine="320"/>
        <w:jc w:val="left"/>
        <w:rPr>
          <w:kern w:val="0"/>
          <w:szCs w:val="21"/>
        </w:rPr>
      </w:pPr>
      <w:r>
        <w:rPr>
          <w:rFonts w:hint="eastAsia" w:ascii="黑体" w:hAnsi="黑体" w:eastAsia="黑体"/>
          <w:kern w:val="0"/>
          <w:sz w:val="32"/>
          <w:szCs w:val="32"/>
        </w:rPr>
        <w:t>二、行业系数</w:t>
      </w:r>
      <w:r>
        <w:rPr>
          <w:rFonts w:hint="eastAsia" w:ascii="仿宋_GB2312" w:eastAsia="仿宋_GB2312"/>
          <w:kern w:val="0"/>
          <w:sz w:val="32"/>
          <w:szCs w:val="32"/>
        </w:rPr>
        <w:t>　　</w:t>
      </w:r>
    </w:p>
    <w:tbl>
      <w:tblPr>
        <w:tblStyle w:val="12"/>
        <w:tblW w:w="9185" w:type="dxa"/>
        <w:jc w:val="center"/>
        <w:tblInd w:w="0" w:type="dxa"/>
        <w:tblLayout w:type="fixed"/>
        <w:tblCellMar>
          <w:top w:w="0" w:type="dxa"/>
          <w:left w:w="108" w:type="dxa"/>
          <w:bottom w:w="0" w:type="dxa"/>
          <w:right w:w="108" w:type="dxa"/>
        </w:tblCellMar>
      </w:tblPr>
      <w:tblGrid>
        <w:gridCol w:w="3135"/>
        <w:gridCol w:w="2432"/>
        <w:gridCol w:w="1809"/>
        <w:gridCol w:w="1809"/>
      </w:tblGrid>
      <w:tr>
        <w:tblPrEx>
          <w:tblLayout w:type="fixed"/>
          <w:tblCellMar>
            <w:top w:w="0" w:type="dxa"/>
            <w:left w:w="108" w:type="dxa"/>
            <w:bottom w:w="0" w:type="dxa"/>
            <w:right w:w="108" w:type="dxa"/>
          </w:tblCellMar>
        </w:tblPrEx>
        <w:trPr>
          <w:trHeight w:val="1254" w:hRule="atLeast"/>
          <w:jc w:val="center"/>
        </w:trPr>
        <w:tc>
          <w:tcPr>
            <w:tcW w:w="3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行业名称</w:t>
            </w:r>
          </w:p>
        </w:tc>
        <w:tc>
          <w:tcPr>
            <w:tcW w:w="243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研究与试验发展经费支出占主营业务收入的比重</w:t>
            </w:r>
          </w:p>
        </w:tc>
        <w:tc>
          <w:tcPr>
            <w:tcW w:w="18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新产品销售收</w:t>
            </w:r>
            <w:r>
              <w:rPr>
                <w:rFonts w:ascii="仿宋" w:hAnsi="仿宋" w:eastAsia="仿宋" w:cs="宋体"/>
                <w:b/>
                <w:kern w:val="0"/>
                <w:sz w:val="24"/>
              </w:rPr>
              <w:br w:type="textWrapping"/>
            </w:r>
            <w:r>
              <w:rPr>
                <w:rFonts w:hint="eastAsia" w:ascii="仿宋" w:hAnsi="仿宋" w:eastAsia="仿宋" w:cs="宋体"/>
                <w:b/>
                <w:kern w:val="0"/>
                <w:sz w:val="24"/>
              </w:rPr>
              <w:t>入占主营业务</w:t>
            </w:r>
            <w:r>
              <w:rPr>
                <w:rFonts w:ascii="仿宋" w:hAnsi="仿宋" w:eastAsia="仿宋" w:cs="宋体"/>
                <w:b/>
                <w:kern w:val="0"/>
                <w:sz w:val="24"/>
              </w:rPr>
              <w:br w:type="textWrapping"/>
            </w:r>
            <w:r>
              <w:rPr>
                <w:rFonts w:hint="eastAsia" w:ascii="仿宋" w:hAnsi="仿宋" w:eastAsia="仿宋" w:cs="宋体"/>
                <w:b/>
                <w:kern w:val="0"/>
                <w:sz w:val="24"/>
              </w:rPr>
              <w:t>收入的比重</w:t>
            </w:r>
          </w:p>
        </w:tc>
        <w:tc>
          <w:tcPr>
            <w:tcW w:w="18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kern w:val="0"/>
                <w:sz w:val="24"/>
              </w:rPr>
            </w:pPr>
            <w:r>
              <w:rPr>
                <w:rFonts w:hint="eastAsia" w:ascii="仿宋" w:hAnsi="仿宋" w:eastAsia="仿宋" w:cs="宋体"/>
                <w:b/>
                <w:kern w:val="0"/>
                <w:sz w:val="24"/>
              </w:rPr>
              <w:t>新产品销售利</w:t>
            </w:r>
            <w:r>
              <w:rPr>
                <w:rFonts w:ascii="仿宋" w:hAnsi="仿宋" w:eastAsia="仿宋" w:cs="宋体"/>
                <w:b/>
                <w:kern w:val="0"/>
                <w:sz w:val="24"/>
              </w:rPr>
              <w:br w:type="textWrapping"/>
            </w:r>
            <w:r>
              <w:rPr>
                <w:rFonts w:hint="eastAsia" w:ascii="仿宋" w:hAnsi="仿宋" w:eastAsia="仿宋" w:cs="宋体"/>
                <w:b/>
                <w:kern w:val="0"/>
                <w:sz w:val="24"/>
              </w:rPr>
              <w:t>润占利润总额</w:t>
            </w:r>
            <w:r>
              <w:rPr>
                <w:rFonts w:ascii="仿宋" w:hAnsi="仿宋" w:eastAsia="仿宋" w:cs="宋体"/>
                <w:b/>
                <w:kern w:val="0"/>
                <w:sz w:val="24"/>
              </w:rPr>
              <w:br w:type="textWrapping"/>
            </w:r>
            <w:r>
              <w:rPr>
                <w:rFonts w:hint="eastAsia" w:ascii="仿宋" w:hAnsi="仿宋" w:eastAsia="仿宋" w:cs="宋体"/>
                <w:b/>
                <w:kern w:val="0"/>
                <w:sz w:val="24"/>
              </w:rPr>
              <w:t>的比重</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农业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煤炭开采和洗选业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石油和天然气开采业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有色金属矿采选业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农副食品加工业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食品制造业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酒、饮料和精制茶制造业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烟草制品业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纺织业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纺织服装、服饰业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626"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皮革、毛皮、羽毛及其制品和制鞋业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626"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木材加工和木、竹、藤、棕、草制品业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家具制造业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造纸和纸制品业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印刷和记录媒介复制业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r>
      <w:tr>
        <w:tblPrEx>
          <w:tblLayout w:type="fixed"/>
          <w:tblCellMar>
            <w:top w:w="0" w:type="dxa"/>
            <w:left w:w="108" w:type="dxa"/>
            <w:bottom w:w="0" w:type="dxa"/>
            <w:right w:w="108" w:type="dxa"/>
          </w:tblCellMar>
        </w:tblPrEx>
        <w:trPr>
          <w:trHeight w:val="626"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文教、工美、体育和娱乐用品制造业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石油加工、炼焦和核燃料加工业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化学原料和化学制品制造业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医药制造业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化学纤维制造业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橡胶和塑料制品业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非金属矿物制品业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黑色金属冶炼和压延加工业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有色金属冶炼和压延加工业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金属制品业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通用设备制造业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专用设备制造业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汽车制造业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626"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铁路、船舶、航空航天和其他运输设备制造业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57"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电气机械和器材制造业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940" w:hRule="atLeast"/>
          <w:jc w:val="center"/>
        </w:trPr>
        <w:tc>
          <w:tcPr>
            <w:tcW w:w="3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ascii="仿宋" w:hAnsi="仿宋" w:eastAsia="仿宋" w:cs="宋体"/>
                <w:kern w:val="0"/>
                <w:sz w:val="24"/>
              </w:rPr>
              <w:br w:type="textWrapping"/>
            </w:r>
            <w:r>
              <w:rPr>
                <w:rFonts w:hint="eastAsia" w:ascii="仿宋" w:hAnsi="仿宋" w:eastAsia="仿宋" w:cs="宋体"/>
                <w:kern w:val="0"/>
                <w:sz w:val="24"/>
              </w:rPr>
              <w:t>计算机、通信和其他电子设备制造业</w:t>
            </w:r>
          </w:p>
        </w:tc>
        <w:tc>
          <w:tcPr>
            <w:tcW w:w="243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r>
      <w:tr>
        <w:tblPrEx>
          <w:tblLayout w:type="fixed"/>
          <w:tblCellMar>
            <w:top w:w="0" w:type="dxa"/>
            <w:left w:w="108" w:type="dxa"/>
            <w:bottom w:w="0" w:type="dxa"/>
            <w:right w:w="108" w:type="dxa"/>
          </w:tblCellMar>
        </w:tblPrEx>
        <w:trPr>
          <w:trHeight w:val="314" w:hRule="atLeast"/>
          <w:jc w:val="center"/>
        </w:trPr>
        <w:tc>
          <w:tcPr>
            <w:tcW w:w="31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仪器仪表制造业</w:t>
            </w:r>
          </w:p>
        </w:tc>
        <w:tc>
          <w:tcPr>
            <w:tcW w:w="243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c>
          <w:tcPr>
            <w:tcW w:w="18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0.8</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电力、热力生产和供应业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3</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房屋建筑业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土木工程建筑业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建筑安装业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2</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软件和信息技术服务业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0.6</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专业技术服务业</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r>
        <w:tblPrEx>
          <w:tblLayout w:type="fixed"/>
          <w:tblCellMar>
            <w:top w:w="0" w:type="dxa"/>
            <w:left w:w="108" w:type="dxa"/>
            <w:bottom w:w="0" w:type="dxa"/>
            <w:right w:w="108" w:type="dxa"/>
          </w:tblCellMar>
        </w:tblPrEx>
        <w:trPr>
          <w:trHeight w:val="314" w:hRule="atLeast"/>
          <w:jc w:val="center"/>
        </w:trPr>
        <w:tc>
          <w:tcPr>
            <w:tcW w:w="3135" w:type="dxa"/>
            <w:tcBorders>
              <w:top w:val="nil"/>
              <w:left w:val="single" w:color="auto" w:sz="4" w:space="0"/>
              <w:bottom w:val="single" w:color="auto" w:sz="4" w:space="0"/>
              <w:right w:val="single" w:color="auto" w:sz="4" w:space="0"/>
            </w:tcBorders>
            <w:vAlign w:val="center"/>
          </w:tcPr>
          <w:p>
            <w:pPr>
              <w:widowControl/>
              <w:spacing w:line="300" w:lineRule="exact"/>
              <w:rPr>
                <w:rFonts w:ascii="仿宋" w:hAnsi="仿宋" w:eastAsia="仿宋" w:cs="宋体"/>
                <w:kern w:val="0"/>
                <w:sz w:val="24"/>
              </w:rPr>
            </w:pPr>
            <w:r>
              <w:rPr>
                <w:rFonts w:hint="eastAsia" w:ascii="仿宋" w:hAnsi="仿宋" w:eastAsia="仿宋" w:cs="宋体"/>
                <w:kern w:val="0"/>
                <w:sz w:val="24"/>
              </w:rPr>
              <w:t>其他</w:t>
            </w:r>
          </w:p>
        </w:tc>
        <w:tc>
          <w:tcPr>
            <w:tcW w:w="2432"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1.5</w:t>
            </w:r>
          </w:p>
        </w:tc>
        <w:tc>
          <w:tcPr>
            <w:tcW w:w="1809" w:type="dxa"/>
            <w:tcBorders>
              <w:top w:val="nil"/>
              <w:left w:val="nil"/>
              <w:bottom w:val="single" w:color="auto" w:sz="4" w:space="0"/>
              <w:right w:val="single" w:color="auto" w:sz="4" w:space="0"/>
            </w:tcBorders>
            <w:vAlign w:val="center"/>
          </w:tcPr>
          <w:p>
            <w:pPr>
              <w:widowControl/>
              <w:spacing w:line="300" w:lineRule="exact"/>
              <w:jc w:val="center"/>
              <w:rPr>
                <w:rFonts w:ascii="仿宋" w:hAnsi="仿宋" w:eastAsia="仿宋" w:cs="宋体"/>
                <w:kern w:val="0"/>
                <w:sz w:val="24"/>
              </w:rPr>
            </w:pPr>
            <w:r>
              <w:rPr>
                <w:rFonts w:ascii="仿宋" w:hAnsi="仿宋" w:eastAsia="仿宋" w:cs="宋体"/>
                <w:kern w:val="0"/>
                <w:sz w:val="24"/>
              </w:rPr>
              <w:t>1</w:t>
            </w:r>
          </w:p>
        </w:tc>
      </w:tr>
    </w:tbl>
    <w:p>
      <w:pPr>
        <w:widowControl/>
        <w:spacing w:line="500" w:lineRule="atLeast"/>
        <w:ind w:firstLine="614"/>
        <w:jc w:val="left"/>
        <w:rPr>
          <w:kern w:val="0"/>
          <w:szCs w:val="21"/>
        </w:rPr>
      </w:pPr>
      <w:r>
        <w:rPr>
          <w:rFonts w:hint="eastAsia" w:ascii="仿宋_GB2312" w:eastAsia="仿宋_GB2312"/>
          <w:kern w:val="0"/>
          <w:sz w:val="32"/>
          <w:szCs w:val="32"/>
        </w:rPr>
        <w:t>有关说明：</w:t>
      </w:r>
    </w:p>
    <w:p>
      <w:pPr>
        <w:autoSpaceDE w:val="0"/>
        <w:autoSpaceDN w:val="0"/>
        <w:adjustRightInd w:val="0"/>
        <w:ind w:firstLine="640" w:firstLineChars="200"/>
        <w:jc w:val="left"/>
        <w:rPr>
          <w:rFonts w:ascii="仿宋" w:hAnsi="仿宋" w:eastAsia="仿宋" w:cs="仿宋_GB2312"/>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、考虑到不同规模企业在研发投入强度上存在显著差异，对“企业研究与试验发展（</w:t>
      </w:r>
      <w:r>
        <w:rPr>
          <w:rFonts w:ascii="仿宋" w:hAnsi="仿宋" w:eastAsia="仿宋" w:cs="仿宋_GB2312"/>
          <w:kern w:val="0"/>
          <w:sz w:val="32"/>
          <w:szCs w:val="32"/>
        </w:rPr>
        <w:t>R&amp;D</w:t>
      </w:r>
      <w:r>
        <w:rPr>
          <w:rFonts w:hint="eastAsia" w:ascii="仿宋" w:hAnsi="仿宋" w:eastAsia="仿宋" w:cs="仿宋_GB2312"/>
          <w:kern w:val="0"/>
          <w:sz w:val="32"/>
          <w:szCs w:val="32"/>
        </w:rPr>
        <w:t>）经费支出额占主营业务收入的比重”这一指标的基本要求按照企业规模划分为</w:t>
      </w:r>
      <w:r>
        <w:rPr>
          <w:rFonts w:ascii="仿宋" w:hAnsi="仿宋" w:eastAsia="仿宋" w:cs="TimesNewRomanPSMT"/>
          <w:kern w:val="0"/>
          <w:sz w:val="32"/>
          <w:szCs w:val="32"/>
        </w:rPr>
        <w:t xml:space="preserve">4 </w:t>
      </w:r>
      <w:r>
        <w:rPr>
          <w:rFonts w:hint="eastAsia" w:ascii="仿宋" w:hAnsi="仿宋" w:eastAsia="仿宋" w:cs="仿宋_GB2312"/>
          <w:kern w:val="0"/>
          <w:sz w:val="32"/>
          <w:szCs w:val="32"/>
        </w:rPr>
        <w:t>档：主营业务收入</w:t>
      </w:r>
      <w:r>
        <w:rPr>
          <w:rFonts w:ascii="仿宋" w:hAnsi="仿宋" w:eastAsia="仿宋" w:cs="TimesNewRomanPSMT"/>
          <w:kern w:val="0"/>
          <w:sz w:val="32"/>
          <w:szCs w:val="32"/>
        </w:rPr>
        <w:t xml:space="preserve">30 </w:t>
      </w:r>
      <w:r>
        <w:rPr>
          <w:rFonts w:hint="eastAsia" w:ascii="仿宋" w:hAnsi="仿宋" w:eastAsia="仿宋" w:cs="仿宋_GB2312"/>
          <w:kern w:val="0"/>
          <w:sz w:val="32"/>
          <w:szCs w:val="32"/>
        </w:rPr>
        <w:t>亿元及以上的企业为</w:t>
      </w:r>
      <w:r>
        <w:rPr>
          <w:rFonts w:ascii="仿宋" w:hAnsi="仿宋" w:eastAsia="仿宋" w:cs="TimesNewRomanPSMT"/>
          <w:kern w:val="0"/>
          <w:sz w:val="32"/>
          <w:szCs w:val="32"/>
        </w:rPr>
        <w:t>1.5%</w:t>
      </w:r>
      <w:r>
        <w:rPr>
          <w:rFonts w:hint="eastAsia" w:ascii="仿宋" w:hAnsi="仿宋" w:eastAsia="仿宋" w:cs="仿宋_GB2312"/>
          <w:kern w:val="0"/>
          <w:sz w:val="32"/>
          <w:szCs w:val="32"/>
        </w:rPr>
        <w:t>，主营业务收入</w:t>
      </w:r>
      <w:r>
        <w:rPr>
          <w:rFonts w:ascii="仿宋" w:hAnsi="仿宋" w:eastAsia="仿宋" w:cs="TimesNewRomanPSMT"/>
          <w:kern w:val="0"/>
          <w:sz w:val="32"/>
          <w:szCs w:val="32"/>
        </w:rPr>
        <w:t>5</w:t>
      </w:r>
      <w:r>
        <w:rPr>
          <w:rFonts w:hint="eastAsia" w:ascii="仿宋" w:hAnsi="仿宋" w:eastAsia="仿宋" w:cs="仿宋_GB2312"/>
          <w:kern w:val="0"/>
          <w:sz w:val="32"/>
          <w:szCs w:val="32"/>
        </w:rPr>
        <w:t>～</w:t>
      </w:r>
      <w:r>
        <w:rPr>
          <w:rFonts w:ascii="仿宋" w:hAnsi="仿宋" w:eastAsia="仿宋" w:cs="TimesNewRomanPSMT"/>
          <w:kern w:val="0"/>
          <w:sz w:val="32"/>
          <w:szCs w:val="32"/>
        </w:rPr>
        <w:t>30</w:t>
      </w:r>
      <w:r>
        <w:rPr>
          <w:rFonts w:hint="eastAsia" w:ascii="仿宋" w:hAnsi="仿宋" w:eastAsia="仿宋" w:cs="仿宋_GB2312"/>
          <w:kern w:val="0"/>
          <w:sz w:val="32"/>
          <w:szCs w:val="32"/>
        </w:rPr>
        <w:t>亿元（含</w:t>
      </w:r>
      <w:r>
        <w:rPr>
          <w:rFonts w:ascii="仿宋" w:hAnsi="仿宋" w:eastAsia="仿宋" w:cs="TimesNewRomanPSMT"/>
          <w:kern w:val="0"/>
          <w:sz w:val="32"/>
          <w:szCs w:val="32"/>
        </w:rPr>
        <w:t>5</w:t>
      </w:r>
      <w:r>
        <w:rPr>
          <w:rFonts w:hint="eastAsia" w:ascii="仿宋" w:hAnsi="仿宋" w:eastAsia="仿宋" w:cs="仿宋_GB2312"/>
          <w:kern w:val="0"/>
          <w:sz w:val="32"/>
          <w:szCs w:val="32"/>
        </w:rPr>
        <w:t>亿元）的企业为</w:t>
      </w:r>
      <w:r>
        <w:rPr>
          <w:rFonts w:ascii="仿宋" w:hAnsi="仿宋" w:eastAsia="仿宋" w:cs="TimesNewRomanPSMT"/>
          <w:kern w:val="0"/>
          <w:sz w:val="32"/>
          <w:szCs w:val="32"/>
        </w:rPr>
        <w:t>2.0%</w:t>
      </w:r>
      <w:r>
        <w:rPr>
          <w:rFonts w:hint="eastAsia" w:ascii="仿宋" w:hAnsi="仿宋" w:eastAsia="仿宋" w:cs="仿宋_GB2312"/>
          <w:kern w:val="0"/>
          <w:sz w:val="32"/>
          <w:szCs w:val="32"/>
        </w:rPr>
        <w:t>，主营业务收入</w:t>
      </w:r>
      <w:r>
        <w:rPr>
          <w:rFonts w:ascii="仿宋" w:hAnsi="仿宋" w:eastAsia="仿宋" w:cs="仿宋_GB2312"/>
          <w:kern w:val="0"/>
          <w:sz w:val="32"/>
          <w:szCs w:val="32"/>
        </w:rPr>
        <w:t>1</w:t>
      </w:r>
      <w:r>
        <w:rPr>
          <w:rFonts w:hint="eastAsia" w:ascii="仿宋" w:hAnsi="仿宋" w:eastAsia="仿宋" w:cs="仿宋_GB2312"/>
          <w:kern w:val="0"/>
          <w:sz w:val="32"/>
          <w:szCs w:val="32"/>
        </w:rPr>
        <w:t>～</w:t>
      </w:r>
      <w:r>
        <w:rPr>
          <w:rFonts w:ascii="仿宋" w:hAnsi="仿宋" w:eastAsia="仿宋" w:cs="TimesNewRomanPSMT"/>
          <w:kern w:val="0"/>
          <w:sz w:val="32"/>
          <w:szCs w:val="32"/>
        </w:rPr>
        <w:t>5</w:t>
      </w:r>
      <w:r>
        <w:rPr>
          <w:rFonts w:hint="eastAsia" w:ascii="仿宋" w:hAnsi="仿宋" w:eastAsia="仿宋" w:cs="仿宋_GB2312"/>
          <w:kern w:val="0"/>
          <w:sz w:val="32"/>
          <w:szCs w:val="32"/>
        </w:rPr>
        <w:t>亿元（含</w:t>
      </w:r>
      <w:r>
        <w:rPr>
          <w:rFonts w:ascii="仿宋" w:hAnsi="仿宋" w:eastAsia="仿宋" w:cs="仿宋_GB2312"/>
          <w:kern w:val="0"/>
          <w:sz w:val="32"/>
          <w:szCs w:val="32"/>
        </w:rPr>
        <w:t>1</w:t>
      </w:r>
      <w:r>
        <w:rPr>
          <w:rFonts w:hint="eastAsia" w:ascii="仿宋" w:hAnsi="仿宋" w:eastAsia="仿宋" w:cs="仿宋_GB2312"/>
          <w:kern w:val="0"/>
          <w:sz w:val="32"/>
          <w:szCs w:val="32"/>
        </w:rPr>
        <w:t>亿元）的企业为</w:t>
      </w:r>
      <w:r>
        <w:rPr>
          <w:rFonts w:ascii="仿宋" w:hAnsi="仿宋" w:eastAsia="仿宋" w:cs="TimesNewRomanPSMT"/>
          <w:kern w:val="0"/>
          <w:sz w:val="32"/>
          <w:szCs w:val="32"/>
        </w:rPr>
        <w:t>2.5%</w:t>
      </w:r>
      <w:r>
        <w:rPr>
          <w:rFonts w:hint="eastAsia" w:ascii="仿宋" w:hAnsi="仿宋" w:eastAsia="仿宋" w:cs="TimesNewRomanPSMT"/>
          <w:kern w:val="0"/>
          <w:sz w:val="32"/>
          <w:szCs w:val="32"/>
        </w:rPr>
        <w:t>，</w:t>
      </w:r>
      <w:r>
        <w:rPr>
          <w:rFonts w:hint="eastAsia" w:ascii="仿宋" w:hAnsi="仿宋" w:eastAsia="仿宋" w:cs="仿宋_GB2312"/>
          <w:kern w:val="0"/>
          <w:sz w:val="32"/>
          <w:szCs w:val="32"/>
        </w:rPr>
        <w:t>主营业务收入</w:t>
      </w:r>
      <w:r>
        <w:rPr>
          <w:rFonts w:ascii="仿宋" w:hAnsi="仿宋" w:eastAsia="仿宋" w:cs="TimesNewRomanPSMT"/>
          <w:kern w:val="0"/>
          <w:sz w:val="32"/>
          <w:szCs w:val="32"/>
        </w:rPr>
        <w:t>1</w:t>
      </w:r>
      <w:r>
        <w:rPr>
          <w:rFonts w:hint="eastAsia" w:ascii="仿宋" w:hAnsi="仿宋" w:eastAsia="仿宋" w:cs="仿宋_GB2312"/>
          <w:kern w:val="0"/>
          <w:sz w:val="32"/>
          <w:szCs w:val="32"/>
        </w:rPr>
        <w:t>亿元以下的企业为</w:t>
      </w:r>
      <w:r>
        <w:rPr>
          <w:rFonts w:ascii="仿宋" w:hAnsi="仿宋" w:eastAsia="仿宋" w:cs="TimesNewRomanPSMT"/>
          <w:kern w:val="0"/>
          <w:sz w:val="32"/>
          <w:szCs w:val="32"/>
        </w:rPr>
        <w:t>3.0%</w:t>
      </w:r>
      <w:r>
        <w:rPr>
          <w:rFonts w:hint="eastAsia" w:ascii="仿宋" w:hAnsi="仿宋" w:eastAsia="仿宋" w:cs="仿宋_GB2312"/>
          <w:kern w:val="0"/>
          <w:sz w:val="32"/>
          <w:szCs w:val="32"/>
        </w:rPr>
        <w:t>。</w:t>
      </w:r>
    </w:p>
    <w:p>
      <w:pPr>
        <w:widowControl/>
        <w:spacing w:line="500" w:lineRule="atLeast"/>
        <w:ind w:firstLine="614"/>
        <w:jc w:val="left"/>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由于不同行业在研发投入与产出方面存在较大差异，技术中心评估时，对不同行业企业“企业研究与试验发展（</w:t>
      </w:r>
      <w:r>
        <w:rPr>
          <w:rFonts w:ascii="仿宋" w:hAnsi="仿宋" w:eastAsia="仿宋"/>
          <w:kern w:val="0"/>
          <w:sz w:val="32"/>
          <w:szCs w:val="32"/>
        </w:rPr>
        <w:t>R&amp;D</w:t>
      </w:r>
      <w:r>
        <w:rPr>
          <w:rFonts w:hint="eastAsia" w:ascii="仿宋" w:hAnsi="仿宋" w:eastAsia="仿宋"/>
          <w:kern w:val="0"/>
          <w:sz w:val="32"/>
          <w:szCs w:val="32"/>
        </w:rPr>
        <w:t>）经费支出额占主营业务收入的比重”、“新产品销售收入占主营业务收入的比重”、“新产品销售利润占利润总额的比重”三个指标引入行业系数加以调节。</w:t>
      </w:r>
    </w:p>
    <w:p>
      <w:pPr>
        <w:widowControl/>
        <w:spacing w:line="500" w:lineRule="atLeast"/>
        <w:ind w:firstLine="614"/>
        <w:jc w:val="left"/>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．行业系数只作为评估机构评价时使用，企业填报时无需考虑行业系数，按实际数据填报。评价时，根据企业填报的实际数据计算得出上述指标的比重，再乘以行业系数，得出指标的评价值。</w:t>
      </w:r>
    </w:p>
    <w:p>
      <w:pPr>
        <w:widowControl/>
        <w:spacing w:line="500" w:lineRule="atLeast"/>
        <w:ind w:firstLine="614"/>
        <w:jc w:val="left"/>
        <w:rPr>
          <w:rFonts w:ascii="仿宋" w:hAnsi="仿宋" w:eastAsia="仿宋"/>
          <w:kern w:val="0"/>
          <w:sz w:val="32"/>
          <w:szCs w:val="32"/>
        </w:rPr>
      </w:pPr>
      <w:r>
        <w:rPr>
          <w:rFonts w:ascii="仿宋" w:hAnsi="仿宋" w:eastAsia="仿宋"/>
          <w:kern w:val="0"/>
          <w:sz w:val="32"/>
          <w:szCs w:val="32"/>
        </w:rPr>
        <w:t>4</w:t>
      </w:r>
      <w:r>
        <w:rPr>
          <w:rFonts w:hint="eastAsia" w:ascii="仿宋" w:hAnsi="仿宋" w:eastAsia="仿宋"/>
          <w:kern w:val="0"/>
          <w:sz w:val="32"/>
          <w:szCs w:val="32"/>
        </w:rPr>
        <w:t>．行业系数表中的“其他”行业包括“交通运输、仓储和邮政业”、“文化、体育和娱乐业”等行业。</w:t>
      </w:r>
    </w:p>
    <w:p>
      <w:pPr>
        <w:widowControl/>
        <w:spacing w:line="500" w:lineRule="atLeast"/>
        <w:ind w:firstLine="614"/>
        <w:jc w:val="left"/>
        <w:rPr>
          <w:rFonts w:ascii="仿宋_GB2312" w:eastAsia="仿宋_GB2312"/>
          <w:kern w:val="0"/>
          <w:sz w:val="32"/>
          <w:szCs w:val="32"/>
        </w:rPr>
      </w:pPr>
      <w:r>
        <w:rPr>
          <w:rFonts w:hint="eastAsia" w:ascii="黑体" w:hAnsi="黑体" w:eastAsia="黑体"/>
          <w:kern w:val="0"/>
          <w:sz w:val="32"/>
          <w:szCs w:val="32"/>
        </w:rPr>
        <w:t>三、指标体系的完善</w:t>
      </w:r>
    </w:p>
    <w:p>
      <w:pPr>
        <w:widowControl/>
        <w:spacing w:line="500" w:lineRule="atLeast"/>
        <w:ind w:firstLine="611"/>
        <w:jc w:val="left"/>
        <w:rPr>
          <w:rFonts w:ascii="仿宋" w:hAnsi="仿宋" w:eastAsia="仿宋"/>
          <w:kern w:val="0"/>
          <w:szCs w:val="21"/>
        </w:rPr>
      </w:pPr>
      <w:r>
        <w:rPr>
          <w:rFonts w:hint="eastAsia" w:ascii="仿宋" w:hAnsi="仿宋" w:eastAsia="仿宋"/>
          <w:kern w:val="0"/>
          <w:sz w:val="32"/>
          <w:szCs w:val="32"/>
        </w:rPr>
        <w:t>市经济信息委会同市财政局、市国税局、市地税局、重庆海关将根据各行业技术创新的实际状况和政府的宏观政策导向对评价指标、行业系数等适时进行必要的调整。</w:t>
      </w:r>
    </w:p>
    <w:p>
      <w:pPr>
        <w:widowControl/>
        <w:spacing w:line="500" w:lineRule="atLeast"/>
        <w:ind w:firstLine="611"/>
        <w:jc w:val="left"/>
        <w:rPr>
          <w:kern w:val="0"/>
          <w:szCs w:val="21"/>
        </w:rPr>
      </w:pPr>
      <w:r>
        <w:rPr>
          <w:rFonts w:hint="eastAsia" w:ascii="黑体" w:hAnsi="黑体" w:eastAsia="黑体"/>
          <w:kern w:val="0"/>
          <w:sz w:val="32"/>
          <w:szCs w:val="32"/>
        </w:rPr>
        <w:t>四、限定性指标的最低标准</w:t>
      </w:r>
    </w:p>
    <w:p>
      <w:pPr>
        <w:widowControl/>
        <w:spacing w:line="500" w:lineRule="atLeast"/>
        <w:ind w:firstLine="611"/>
        <w:jc w:val="left"/>
        <w:rPr>
          <w:rFonts w:ascii="仿宋" w:hAnsi="仿宋" w:eastAsia="仿宋"/>
          <w:kern w:val="0"/>
          <w:sz w:val="32"/>
          <w:szCs w:val="32"/>
        </w:rPr>
      </w:pPr>
      <w:r>
        <w:rPr>
          <w:rFonts w:ascii="仿宋" w:hAnsi="仿宋" w:eastAsia="仿宋"/>
          <w:kern w:val="0"/>
          <w:sz w:val="32"/>
          <w:szCs w:val="32"/>
        </w:rPr>
        <w:t>1.</w:t>
      </w:r>
      <w:r>
        <w:rPr>
          <w:rFonts w:hint="eastAsia" w:ascii="仿宋" w:hAnsi="仿宋" w:eastAsia="仿宋"/>
          <w:kern w:val="0"/>
          <w:sz w:val="32"/>
          <w:szCs w:val="32"/>
        </w:rPr>
        <w:t>企业</w:t>
      </w:r>
      <w:r>
        <w:rPr>
          <w:rFonts w:hint="eastAsia" w:ascii="仿宋" w:hAnsi="仿宋" w:eastAsia="仿宋" w:cs="仿宋_GB2312"/>
          <w:kern w:val="0"/>
          <w:sz w:val="32"/>
          <w:szCs w:val="32"/>
        </w:rPr>
        <w:t>研究与试验发展（</w:t>
      </w:r>
      <w:r>
        <w:rPr>
          <w:rFonts w:ascii="仿宋" w:hAnsi="仿宋" w:eastAsia="仿宋" w:cs="仿宋_GB2312"/>
          <w:kern w:val="0"/>
          <w:sz w:val="32"/>
          <w:szCs w:val="32"/>
        </w:rPr>
        <w:t>R&amp;D</w:t>
      </w:r>
      <w:r>
        <w:rPr>
          <w:rFonts w:hint="eastAsia" w:ascii="仿宋" w:hAnsi="仿宋" w:eastAsia="仿宋" w:cs="仿宋_GB2312"/>
          <w:kern w:val="0"/>
          <w:sz w:val="32"/>
          <w:szCs w:val="32"/>
        </w:rPr>
        <w:t>）经费支出额</w:t>
      </w:r>
      <w:r>
        <w:rPr>
          <w:rFonts w:hint="eastAsia" w:ascii="仿宋" w:hAnsi="仿宋" w:eastAsia="仿宋"/>
          <w:kern w:val="0"/>
          <w:sz w:val="32"/>
          <w:szCs w:val="32"/>
        </w:rPr>
        <w:t>不低于</w:t>
      </w:r>
      <w:r>
        <w:rPr>
          <w:rFonts w:ascii="仿宋" w:hAnsi="仿宋" w:eastAsia="仿宋"/>
          <w:kern w:val="0"/>
          <w:sz w:val="32"/>
          <w:szCs w:val="32"/>
        </w:rPr>
        <w:t>150</w:t>
      </w:r>
      <w:r>
        <w:rPr>
          <w:rFonts w:hint="eastAsia" w:ascii="仿宋" w:hAnsi="仿宋" w:eastAsia="仿宋"/>
          <w:kern w:val="0"/>
          <w:sz w:val="32"/>
          <w:szCs w:val="32"/>
        </w:rPr>
        <w:t>万元。</w:t>
      </w:r>
    </w:p>
    <w:p>
      <w:pPr>
        <w:widowControl/>
        <w:spacing w:line="500" w:lineRule="atLeast"/>
        <w:ind w:firstLine="611"/>
        <w:jc w:val="left"/>
        <w:rPr>
          <w:rFonts w:ascii="仿宋" w:hAnsi="仿宋" w:eastAsia="仿宋" w:cs="仿宋_GB2312"/>
          <w:kern w:val="0"/>
          <w:sz w:val="32"/>
          <w:szCs w:val="32"/>
        </w:rPr>
      </w:pPr>
      <w:r>
        <w:rPr>
          <w:rFonts w:ascii="仿宋" w:hAnsi="仿宋" w:eastAsia="仿宋"/>
          <w:kern w:val="0"/>
          <w:sz w:val="32"/>
          <w:szCs w:val="32"/>
        </w:rPr>
        <w:t>2.</w:t>
      </w:r>
      <w:r>
        <w:rPr>
          <w:rFonts w:hint="eastAsia" w:ascii="仿宋" w:hAnsi="仿宋" w:eastAsia="仿宋"/>
          <w:kern w:val="0"/>
          <w:sz w:val="32"/>
          <w:szCs w:val="32"/>
        </w:rPr>
        <w:t>企业专职研究与</w:t>
      </w:r>
      <w:r>
        <w:rPr>
          <w:rFonts w:hint="eastAsia" w:ascii="仿宋" w:hAnsi="仿宋" w:eastAsia="仿宋" w:cs="仿宋_GB2312"/>
          <w:kern w:val="0"/>
          <w:sz w:val="32"/>
          <w:szCs w:val="32"/>
        </w:rPr>
        <w:t>试验发展人员数不低于</w:t>
      </w:r>
      <w:r>
        <w:rPr>
          <w:rFonts w:ascii="仿宋" w:hAnsi="仿宋" w:eastAsia="仿宋" w:cs="仿宋_GB2312"/>
          <w:kern w:val="0"/>
          <w:sz w:val="32"/>
          <w:szCs w:val="32"/>
        </w:rPr>
        <w:t>30</w:t>
      </w:r>
      <w:r>
        <w:rPr>
          <w:rFonts w:hint="eastAsia" w:ascii="仿宋" w:hAnsi="仿宋" w:eastAsia="仿宋" w:cs="仿宋_GB2312"/>
          <w:kern w:val="0"/>
          <w:sz w:val="32"/>
          <w:szCs w:val="32"/>
        </w:rPr>
        <w:t>人（建筑、物流、现代服务业、现代农业等行业企业可放宽到</w:t>
      </w:r>
      <w:r>
        <w:rPr>
          <w:rFonts w:ascii="仿宋" w:hAnsi="仿宋" w:eastAsia="仿宋" w:cs="仿宋_GB2312"/>
          <w:kern w:val="0"/>
          <w:sz w:val="32"/>
          <w:szCs w:val="32"/>
        </w:rPr>
        <w:t>15</w:t>
      </w:r>
      <w:r>
        <w:rPr>
          <w:rFonts w:hint="eastAsia" w:ascii="仿宋" w:hAnsi="仿宋" w:eastAsia="仿宋" w:cs="仿宋_GB2312"/>
          <w:kern w:val="0"/>
          <w:sz w:val="32"/>
          <w:szCs w:val="32"/>
        </w:rPr>
        <w:t>人）。</w:t>
      </w:r>
    </w:p>
    <w:p>
      <w:pPr>
        <w:widowControl/>
        <w:spacing w:line="500" w:lineRule="atLeast"/>
        <w:ind w:firstLine="611"/>
        <w:jc w:val="left"/>
        <w:rPr>
          <w:rFonts w:ascii="仿宋" w:hAnsi="仿宋" w:eastAsia="仿宋" w:cs="仿宋_GB2312"/>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企业技术开发仪器设备原值不低于</w:t>
      </w:r>
      <w:r>
        <w:rPr>
          <w:rFonts w:ascii="仿宋" w:hAnsi="仿宋" w:eastAsia="仿宋" w:cs="仿宋_GB2312"/>
          <w:kern w:val="0"/>
          <w:sz w:val="32"/>
          <w:szCs w:val="32"/>
        </w:rPr>
        <w:t>300</w:t>
      </w:r>
      <w:r>
        <w:rPr>
          <w:rFonts w:hint="eastAsia" w:ascii="仿宋" w:hAnsi="仿宋" w:eastAsia="仿宋" w:cs="仿宋_GB2312"/>
          <w:kern w:val="0"/>
          <w:sz w:val="32"/>
          <w:szCs w:val="32"/>
        </w:rPr>
        <w:t>万元（软件、物流、现代服务业、现代农业等行业企业可放宽到</w:t>
      </w:r>
      <w:r>
        <w:rPr>
          <w:rFonts w:ascii="仿宋" w:hAnsi="仿宋" w:eastAsia="仿宋" w:cs="仿宋_GB2312"/>
          <w:kern w:val="0"/>
          <w:sz w:val="32"/>
          <w:szCs w:val="32"/>
        </w:rPr>
        <w:t>150</w:t>
      </w:r>
      <w:r>
        <w:rPr>
          <w:rFonts w:hint="eastAsia" w:ascii="仿宋" w:hAnsi="仿宋" w:eastAsia="仿宋" w:cs="仿宋_GB2312"/>
          <w:kern w:val="0"/>
          <w:sz w:val="32"/>
          <w:szCs w:val="32"/>
        </w:rPr>
        <w:t>万元）。</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eastAsia" w:ascii="仿宋" w:hAnsi="仿宋" w:eastAsia="仿宋" w:cs="仿宋_GB2312"/>
          <w:kern w:val="0"/>
          <w:sz w:val="32"/>
          <w:szCs w:val="32"/>
          <w:lang w:eastAsia="zh-CN"/>
        </w:rPr>
      </w:pPr>
      <w:r>
        <w:rPr>
          <w:rFonts w:ascii="仿宋" w:hAnsi="仿宋" w:eastAsia="仿宋" w:cs="仿宋_GB2312"/>
          <w:kern w:val="0"/>
          <w:sz w:val="32"/>
          <w:szCs w:val="32"/>
        </w:rPr>
        <w:t>4.</w:t>
      </w:r>
      <w:r>
        <w:rPr>
          <w:rFonts w:hint="eastAsia" w:ascii="仿宋" w:hAnsi="仿宋" w:eastAsia="仿宋" w:cs="仿宋_GB2312"/>
          <w:kern w:val="0"/>
          <w:sz w:val="32"/>
          <w:szCs w:val="32"/>
        </w:rPr>
        <w:t>建筑企业具有一级及以上资质，注册资本金</w:t>
      </w:r>
      <w:r>
        <w:rPr>
          <w:rFonts w:ascii="仿宋" w:hAnsi="仿宋" w:eastAsia="仿宋" w:cs="仿宋_GB2312"/>
          <w:kern w:val="0"/>
          <w:sz w:val="32"/>
          <w:szCs w:val="32"/>
        </w:rPr>
        <w:t>5000</w:t>
      </w:r>
      <w:r>
        <w:rPr>
          <w:rFonts w:hint="eastAsia" w:ascii="仿宋" w:hAnsi="仿宋" w:eastAsia="仿宋" w:cs="仿宋_GB2312"/>
          <w:kern w:val="0"/>
          <w:sz w:val="32"/>
          <w:szCs w:val="32"/>
        </w:rPr>
        <w:t>万元以上、净资产</w:t>
      </w:r>
      <w:r>
        <w:rPr>
          <w:rFonts w:ascii="仿宋" w:hAnsi="仿宋" w:eastAsia="仿宋" w:cs="仿宋_GB2312"/>
          <w:kern w:val="0"/>
          <w:sz w:val="32"/>
          <w:szCs w:val="32"/>
        </w:rPr>
        <w:t>6000</w:t>
      </w:r>
      <w:r>
        <w:rPr>
          <w:rFonts w:hint="eastAsia" w:ascii="仿宋" w:hAnsi="仿宋" w:eastAsia="仿宋" w:cs="仿宋_GB2312"/>
          <w:kern w:val="0"/>
          <w:sz w:val="32"/>
          <w:szCs w:val="32"/>
        </w:rPr>
        <w:t>万元以上，营业税在</w:t>
      </w:r>
      <w:r>
        <w:rPr>
          <w:rFonts w:ascii="仿宋" w:hAnsi="仿宋" w:eastAsia="仿宋" w:cs="仿宋_GB2312"/>
          <w:kern w:val="0"/>
          <w:sz w:val="32"/>
          <w:szCs w:val="32"/>
        </w:rPr>
        <w:t>3000</w:t>
      </w:r>
      <w:r>
        <w:rPr>
          <w:rFonts w:hint="eastAsia" w:ascii="仿宋" w:hAnsi="仿宋" w:eastAsia="仿宋" w:cs="仿宋_GB2312"/>
          <w:kern w:val="0"/>
          <w:sz w:val="32"/>
          <w:szCs w:val="32"/>
        </w:rPr>
        <w:t>万元以上；上年度没有由于技术原因发生重大质量事故、较大生产安全事故或二起以上（含二起）一般生产安全事故</w:t>
      </w:r>
      <w:r>
        <w:rPr>
          <w:rFonts w:hint="eastAsia" w:ascii="仿宋" w:hAnsi="仿宋" w:eastAsia="仿宋" w:cs="仿宋_GB2312"/>
          <w:kern w:val="0"/>
          <w:sz w:val="32"/>
          <w:szCs w:val="32"/>
          <w:lang w:eastAsia="zh-CN"/>
        </w:rPr>
        <w:t>。</w:t>
      </w: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p>
    <w:p>
      <w:pPr>
        <w:pStyle w:val="8"/>
        <w:spacing w:before="0" w:beforeAutospacing="0" w:after="0" w:afterAutospacing="0"/>
        <w:rPr>
          <w:rStyle w:val="10"/>
          <w:rFonts w:hint="eastAsia" w:ascii="方正黑体_GBK" w:hAnsi="楷体" w:eastAsia="方正黑体_GBK"/>
          <w:b w:val="0"/>
          <w:spacing w:val="-8"/>
          <w:kern w:val="2"/>
          <w:sz w:val="32"/>
          <w:szCs w:val="32"/>
        </w:rPr>
      </w:pPr>
      <w:bookmarkStart w:id="0" w:name="_GoBack"/>
      <w:bookmarkEnd w:id="0"/>
      <w:r>
        <w:rPr>
          <w:rStyle w:val="10"/>
          <w:rFonts w:hint="eastAsia" w:ascii="方正黑体_GBK" w:hAnsi="楷体" w:eastAsia="方正黑体_GBK"/>
          <w:b w:val="0"/>
          <w:spacing w:val="-8"/>
          <w:kern w:val="2"/>
          <w:sz w:val="32"/>
          <w:szCs w:val="32"/>
        </w:rPr>
        <w:t>附件4</w:t>
      </w:r>
    </w:p>
    <w:p>
      <w:pPr>
        <w:pStyle w:val="8"/>
        <w:spacing w:before="0" w:beforeAutospacing="0" w:after="0" w:afterAutospacing="0"/>
        <w:rPr>
          <w:rStyle w:val="10"/>
          <w:rFonts w:ascii="楷体" w:hAnsi="楷体" w:eastAsia="楷体"/>
          <w:b w:val="0"/>
          <w:spacing w:val="-8"/>
          <w:kern w:val="2"/>
          <w:sz w:val="28"/>
          <w:szCs w:val="28"/>
        </w:rPr>
      </w:pPr>
    </w:p>
    <w:p>
      <w:pPr>
        <w:pStyle w:val="8"/>
        <w:spacing w:before="0" w:beforeAutospacing="0" w:after="0" w:afterAutospacing="0" w:line="580" w:lineRule="exact"/>
        <w:jc w:val="center"/>
        <w:rPr>
          <w:rFonts w:ascii="方正小标宋_GBK" w:hAnsi="仿宋" w:eastAsia="方正小标宋_GBK"/>
          <w:spacing w:val="-8"/>
          <w:kern w:val="2"/>
          <w:sz w:val="44"/>
          <w:szCs w:val="44"/>
        </w:rPr>
      </w:pPr>
      <w:r>
        <w:rPr>
          <w:rStyle w:val="10"/>
          <w:rFonts w:hint="eastAsia" w:ascii="方正小标宋_GBK" w:hAnsi="仿宋" w:eastAsia="方正小标宋_GBK"/>
          <w:b w:val="0"/>
          <w:spacing w:val="-8"/>
          <w:kern w:val="2"/>
          <w:sz w:val="44"/>
          <w:szCs w:val="44"/>
        </w:rPr>
        <w:t>《重庆市企业技术中心年度工作总结》提纲</w:t>
      </w:r>
    </w:p>
    <w:p>
      <w:pPr>
        <w:pStyle w:val="8"/>
        <w:spacing w:before="0" w:beforeAutospacing="0" w:after="0" w:afterAutospacing="0" w:line="580" w:lineRule="exact"/>
        <w:ind w:firstLine="640" w:firstLineChars="200"/>
        <w:jc w:val="both"/>
        <w:rPr>
          <w:rFonts w:ascii="仿宋" w:hAnsi="仿宋" w:eastAsia="仿宋"/>
          <w:kern w:val="2"/>
          <w:sz w:val="32"/>
          <w:szCs w:val="32"/>
        </w:rPr>
      </w:pPr>
      <w:r>
        <w:rPr>
          <w:rFonts w:ascii="仿宋" w:hAnsi="??" w:eastAsia="仿宋"/>
          <w:kern w:val="2"/>
          <w:sz w:val="32"/>
          <w:szCs w:val="32"/>
        </w:rPr>
        <w:t> </w:t>
      </w:r>
    </w:p>
    <w:p>
      <w:pPr>
        <w:pStyle w:val="8"/>
        <w:spacing w:before="0" w:beforeAutospacing="0" w:after="0" w:afterAutospacing="0" w:line="580" w:lineRule="exact"/>
        <w:ind w:firstLine="640" w:firstLineChars="200"/>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已认定的重庆市企业技术中心需在评价年度提交工作总结，以全面总结报告年度和报告年度前一年度企业技术创新与技术中心工作情况（评价数据表只填写报告年度数据）。主要包括如下内容（总字数控制在3000字以内）：</w:t>
      </w:r>
    </w:p>
    <w:p>
      <w:pPr>
        <w:pStyle w:val="8"/>
        <w:spacing w:before="0" w:beforeAutospacing="0" w:after="0" w:afterAutospacing="0" w:line="580" w:lineRule="exact"/>
        <w:ind w:firstLine="640" w:firstLineChars="200"/>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1.企业技术创新体系建设情况，包括企业技术创新体系基本情况、技术中心组织建设（内部组织设置与调整、下属企业组织设置、与外部单位共建组织及运行情况等）、技术中心创新机制建设（技术带头人培养、人才激励机制、知识产权保护、技术创新投入制度及执行情况等）、合作创新情况（产学研之间、企业之间及国际合作情况）、企业技术创新基础设施建设（研究试验设施、检测设施、信息化设施）、</w:t>
      </w:r>
      <w:r>
        <w:rPr>
          <w:rFonts w:hint="eastAsia" w:ascii="方正仿宋_GBK" w:hAnsi="仿宋" w:eastAsia="方正仿宋_GBK"/>
          <w:color w:val="000000"/>
          <w:kern w:val="2"/>
          <w:sz w:val="32"/>
          <w:szCs w:val="32"/>
        </w:rPr>
        <w:t>创新环境与文化氛围的形成，以及在提高技术管理水平方面的工作及成效</w:t>
      </w:r>
      <w:r>
        <w:rPr>
          <w:rFonts w:hint="eastAsia" w:ascii="方正仿宋_GBK" w:hAnsi="仿宋" w:eastAsia="方正仿宋_GBK"/>
          <w:kern w:val="2"/>
          <w:sz w:val="32"/>
          <w:szCs w:val="32"/>
        </w:rPr>
        <w:t>。</w:t>
      </w:r>
    </w:p>
    <w:p>
      <w:pPr>
        <w:pStyle w:val="8"/>
        <w:spacing w:before="0" w:beforeAutospacing="0" w:after="0" w:afterAutospacing="0" w:line="580" w:lineRule="exact"/>
        <w:ind w:firstLine="640" w:firstLineChars="200"/>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2.企业技术创新活动开展情况，包括重点创新项目的组织实施情况、关键核心技术和产品开发情况、资源综合利用、节能降耗、清洁生产等创新情况。</w:t>
      </w:r>
    </w:p>
    <w:p>
      <w:pPr>
        <w:pStyle w:val="8"/>
        <w:spacing w:before="0" w:beforeAutospacing="0" w:after="0" w:afterAutospacing="0" w:line="580" w:lineRule="exact"/>
        <w:ind w:firstLine="640" w:firstLineChars="200"/>
        <w:jc w:val="both"/>
        <w:rPr>
          <w:rFonts w:hint="eastAsia" w:ascii="方正仿宋_GBK" w:hAnsi="仿宋" w:eastAsia="方正仿宋_GBK"/>
          <w:kern w:val="2"/>
          <w:sz w:val="32"/>
          <w:szCs w:val="32"/>
        </w:rPr>
      </w:pPr>
      <w:r>
        <w:rPr>
          <w:rFonts w:hint="eastAsia" w:ascii="方正仿宋_GBK" w:hAnsi="仿宋" w:eastAsia="方正仿宋_GBK"/>
          <w:kern w:val="2"/>
          <w:sz w:val="32"/>
          <w:szCs w:val="32"/>
        </w:rPr>
        <w:t>3.企业技术中心取得的主要创新成果，形成的核心技术及自主知识产权情况，重点介绍相关技术成果对企业核心产品研发、核心竞争力提升的支撑作用，以及取得的经济和社会效益。</w:t>
      </w:r>
    </w:p>
    <w:p>
      <w:pPr>
        <w:keepNext w:val="0"/>
        <w:keepLines w:val="0"/>
        <w:pageBreakBefore w:val="0"/>
        <w:tabs>
          <w:tab w:val="left" w:pos="3735"/>
        </w:tabs>
        <w:kinsoku/>
        <w:overflowPunct/>
        <w:topLinePunct w:val="0"/>
        <w:autoSpaceDE/>
        <w:autoSpaceDN/>
        <w:bidi w:val="0"/>
        <w:spacing w:beforeAutospacing="0" w:afterAutospacing="0" w:line="600" w:lineRule="exact"/>
        <w:ind w:left="0" w:leftChars="0" w:right="0" w:rightChars="0"/>
        <w:jc w:val="left"/>
        <w:textAlignment w:val="auto"/>
        <w:outlineLvl w:val="9"/>
        <w:rPr>
          <w:rFonts w:hint="default" w:ascii="仿宋" w:hAnsi="仿宋" w:eastAsia="仿宋" w:cs="仿宋_GB2312"/>
          <w:kern w:val="0"/>
          <w:sz w:val="32"/>
          <w:szCs w:val="32"/>
          <w:lang w:eastAsia="zh-CN"/>
        </w:rPr>
      </w:pPr>
      <w:r>
        <w:rPr>
          <w:rFonts w:hint="eastAsia" w:ascii="方正仿宋_GBK" w:hAnsi="仿宋" w:eastAsia="方正仿宋_GBK"/>
          <w:kern w:val="2"/>
          <w:sz w:val="32"/>
          <w:szCs w:val="32"/>
        </w:rPr>
        <w:t>4.其他有特色的工作情况</w:t>
      </w:r>
      <w:r>
        <w:rPr>
          <w:rFonts w:hint="eastAsia" w:ascii="方正仿宋_GBK" w:hAnsi="仿宋" w:eastAsia="方正仿宋_GBK"/>
          <w:color w:val="000000"/>
          <w:kern w:val="2"/>
          <w:sz w:val="32"/>
          <w:szCs w:val="32"/>
        </w:rPr>
        <w:t>（包括推动行业与地区科技进步方面所做的工作及成效等）</w:t>
      </w:r>
      <w:r>
        <w:rPr>
          <w:rFonts w:hint="eastAsia" w:ascii="方正仿宋_GBK" w:hAnsi="仿宋" w:eastAsia="方正仿宋_GBK"/>
          <w:kern w:val="2"/>
          <w:sz w:val="32"/>
          <w:szCs w:val="32"/>
        </w:rPr>
        <w:t>。</w:t>
      </w:r>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A75F5"/>
    <w:rsid w:val="019E71BD"/>
    <w:rsid w:val="01E93D58"/>
    <w:rsid w:val="04A102B1"/>
    <w:rsid w:val="04B679C3"/>
    <w:rsid w:val="05F07036"/>
    <w:rsid w:val="06E00104"/>
    <w:rsid w:val="074A75F5"/>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597EEA"/>
    <w:rsid w:val="6AD9688B"/>
    <w:rsid w:val="6B68303F"/>
    <w:rsid w:val="6D0E3F22"/>
    <w:rsid w:val="744E4660"/>
    <w:rsid w:val="753355A2"/>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Body Text"/>
    <w:basedOn w:val="1"/>
    <w:uiPriority w:val="0"/>
    <w:rPr>
      <w:rFonts w:eastAsia="仿宋_GB2312"/>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uiPriority w:val="0"/>
    <w:rPr>
      <w:rFonts w:cs="Times New Roman"/>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1"/>
    <w:basedOn w:val="1"/>
    <w:semiHidden/>
    <w:uiPriority w:val="0"/>
    <w:pPr>
      <w:widowControl/>
      <w:spacing w:before="100" w:beforeAutospacing="1" w:after="100" w:afterAutospacing="1"/>
      <w:jc w:val="left"/>
    </w:pPr>
    <w:rPr>
      <w:rFonts w:ascii="宋体" w:hAnsi="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4</Pages>
  <Words>1105</Words>
  <Characters>1160</Characters>
  <Lines>1</Lines>
  <Paragraphs>1</Paragraphs>
  <ScaleCrop>false</ScaleCrop>
  <LinksUpToDate>false</LinksUpToDate>
  <CharactersWithSpaces>1204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2022-06-09T08:24:00Z</dcterms:created>
  <dc:creator>熊雪芹</dc:creator>
  <cp:lastModifiedBy>熊雪芹</cp:lastModifiedBy>
  <dcterms:modified xsi:type="dcterms:W3CDTF">2022-06-13T09:38:02Z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