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C8B48">
      <w:pPr>
        <w:pStyle w:val="2"/>
        <w:rPr>
          <w:rFonts w:ascii="宋体" w:hAnsi="宋体" w:eastAsia="宋体" w:cs="宋体"/>
          <w:color w:val="auto"/>
          <w:highlight w:val="none"/>
        </w:rPr>
      </w:pPr>
    </w:p>
    <w:p w14:paraId="1F57B71E">
      <w:pPr>
        <w:rPr>
          <w:rFonts w:ascii="宋体" w:hAnsi="宋体" w:cs="宋体"/>
          <w:color w:val="auto"/>
          <w:highlight w:val="none"/>
        </w:rPr>
      </w:pPr>
    </w:p>
    <w:p w14:paraId="085F1751">
      <w:pPr>
        <w:pStyle w:val="2"/>
        <w:rPr>
          <w:rFonts w:ascii="宋体" w:hAnsi="宋体" w:eastAsia="宋体" w:cs="宋体"/>
          <w:color w:val="auto"/>
          <w:highlight w:val="none"/>
        </w:rPr>
      </w:pPr>
    </w:p>
    <w:p w14:paraId="248F12AD">
      <w:pPr>
        <w:rPr>
          <w:rFonts w:ascii="宋体" w:hAnsi="宋体" w:cs="宋体"/>
          <w:color w:val="auto"/>
          <w:highlight w:val="none"/>
        </w:rPr>
      </w:pPr>
    </w:p>
    <w:p w14:paraId="5631AC2F">
      <w:pPr>
        <w:jc w:val="center"/>
        <w:rPr>
          <w:rFonts w:ascii="宋体" w:hAnsi="宋体" w:cs="宋体"/>
          <w:color w:val="auto"/>
          <w:highlight w:val="none"/>
        </w:rPr>
      </w:pPr>
    </w:p>
    <w:p w14:paraId="68D8BAC1">
      <w:pPr>
        <w:jc w:val="center"/>
        <w:outlineLvl w:val="0"/>
        <w:rPr>
          <w:rFonts w:ascii="宋体" w:hAnsi="宋体" w:cs="宋体"/>
          <w:color w:val="auto"/>
          <w:sz w:val="44"/>
          <w:szCs w:val="44"/>
          <w:highlight w:val="none"/>
        </w:rPr>
      </w:pPr>
    </w:p>
    <w:p w14:paraId="3D76DAA6">
      <w:pPr>
        <w:spacing w:line="1600" w:lineRule="exact"/>
        <w:jc w:val="center"/>
        <w:outlineLvl w:val="0"/>
        <w:rPr>
          <w:rFonts w:ascii="宋体" w:hAnsi="宋体" w:cs="宋体"/>
          <w:color w:val="auto"/>
          <w:sz w:val="112"/>
          <w:szCs w:val="112"/>
          <w:highlight w:val="none"/>
        </w:rPr>
      </w:pPr>
      <w:r>
        <w:rPr>
          <w:rFonts w:hint="eastAsia" w:ascii="宋体" w:hAnsi="宋体" w:cs="宋体"/>
          <w:color w:val="auto"/>
          <w:sz w:val="112"/>
          <w:szCs w:val="112"/>
          <w:highlight w:val="none"/>
        </w:rPr>
        <w:t>竞争性磋商文件</w:t>
      </w:r>
    </w:p>
    <w:p w14:paraId="58CB519E">
      <w:pPr>
        <w:spacing w:line="700" w:lineRule="exact"/>
        <w:jc w:val="center"/>
        <w:rPr>
          <w:rFonts w:ascii="宋体" w:hAnsi="宋体" w:cs="宋体"/>
          <w:color w:val="auto"/>
          <w:sz w:val="32"/>
          <w:highlight w:val="none"/>
        </w:rPr>
      </w:pPr>
    </w:p>
    <w:p w14:paraId="4B928AF5">
      <w:pPr>
        <w:spacing w:line="700" w:lineRule="exact"/>
        <w:rPr>
          <w:rFonts w:ascii="宋体" w:hAnsi="宋体" w:cs="宋体"/>
          <w:color w:val="auto"/>
          <w:sz w:val="32"/>
          <w:highlight w:val="none"/>
        </w:rPr>
      </w:pPr>
    </w:p>
    <w:p w14:paraId="57781D1A">
      <w:pPr>
        <w:spacing w:line="700" w:lineRule="exact"/>
        <w:jc w:val="center"/>
        <w:rPr>
          <w:rFonts w:ascii="宋体" w:hAnsi="宋体" w:cs="宋体"/>
          <w:color w:val="auto"/>
          <w:sz w:val="32"/>
          <w:highlight w:val="none"/>
        </w:rPr>
      </w:pPr>
    </w:p>
    <w:p w14:paraId="71BE80EA">
      <w:pPr>
        <w:spacing w:line="800" w:lineRule="exact"/>
        <w:ind w:firstLine="1200" w:firstLineChars="400"/>
        <w:outlineLvl w:val="0"/>
        <w:rPr>
          <w:rFonts w:hint="eastAsia" w:ascii="宋体" w:hAnsi="宋体" w:eastAsia="宋体" w:cs="宋体"/>
          <w:color w:val="auto"/>
          <w:sz w:val="30"/>
          <w:szCs w:val="30"/>
          <w:highlight w:val="none"/>
        </w:rPr>
      </w:pPr>
      <w:r>
        <w:rPr>
          <w:rFonts w:hint="eastAsia" w:ascii="宋体" w:hAnsi="宋体" w:cs="宋体"/>
          <w:color w:val="auto"/>
          <w:sz w:val="30"/>
          <w:szCs w:val="30"/>
          <w:highlight w:val="none"/>
        </w:rPr>
        <w:t xml:space="preserve">项   </w:t>
      </w:r>
      <w:r>
        <w:rPr>
          <w:rFonts w:hint="eastAsia" w:ascii="宋体" w:hAnsi="宋体" w:eastAsia="宋体" w:cs="宋体"/>
          <w:color w:val="auto"/>
          <w:sz w:val="30"/>
          <w:szCs w:val="30"/>
          <w:highlight w:val="none"/>
        </w:rPr>
        <w:t>目   号：PG-WXDZ2025-016</w:t>
      </w:r>
    </w:p>
    <w:p w14:paraId="4E49E3C2">
      <w:pPr>
        <w:spacing w:line="800" w:lineRule="exact"/>
        <w:ind w:left="3234" w:leftChars="540" w:hanging="2100" w:hangingChars="700"/>
        <w:outlineLvl w:val="0"/>
        <w:rPr>
          <w:rFonts w:ascii="宋体" w:hAnsi="宋体" w:cs="宋体"/>
          <w:color w:val="auto"/>
          <w:sz w:val="30"/>
          <w:szCs w:val="30"/>
          <w:highlight w:val="none"/>
        </w:rPr>
      </w:pPr>
      <w:r>
        <w:rPr>
          <w:rFonts w:hint="eastAsia" w:ascii="宋体" w:hAnsi="宋体" w:cs="宋体"/>
          <w:color w:val="auto"/>
          <w:sz w:val="30"/>
          <w:szCs w:val="30"/>
          <w:highlight w:val="none"/>
        </w:rPr>
        <w:t>磋商项目名称：2025年无线电管理一体化平台质保及运维</w:t>
      </w:r>
    </w:p>
    <w:p w14:paraId="5A00967F">
      <w:pPr>
        <w:spacing w:line="600" w:lineRule="exact"/>
        <w:rPr>
          <w:rFonts w:ascii="宋体" w:hAnsi="宋体" w:cs="宋体"/>
          <w:color w:val="auto"/>
          <w:sz w:val="30"/>
          <w:szCs w:val="30"/>
          <w:highlight w:val="none"/>
        </w:rPr>
      </w:pPr>
    </w:p>
    <w:p w14:paraId="45C08E5F">
      <w:pPr>
        <w:pStyle w:val="2"/>
        <w:spacing w:line="600" w:lineRule="exact"/>
        <w:rPr>
          <w:rFonts w:ascii="宋体" w:hAnsi="宋体" w:eastAsia="宋体" w:cs="宋体"/>
          <w:b/>
          <w:color w:val="auto"/>
          <w:sz w:val="30"/>
          <w:szCs w:val="30"/>
          <w:highlight w:val="none"/>
        </w:rPr>
      </w:pPr>
    </w:p>
    <w:p w14:paraId="058834D5">
      <w:pPr>
        <w:spacing w:line="800" w:lineRule="exact"/>
        <w:ind w:firstLine="1200" w:firstLineChars="400"/>
        <w:outlineLvl w:val="0"/>
        <w:rPr>
          <w:rFonts w:ascii="宋体" w:hAnsi="宋体" w:cs="宋体"/>
          <w:color w:val="auto"/>
          <w:sz w:val="30"/>
          <w:szCs w:val="30"/>
          <w:highlight w:val="none"/>
        </w:rPr>
      </w:pPr>
      <w:r>
        <w:rPr>
          <w:rFonts w:hint="eastAsia" w:ascii="宋体" w:hAnsi="宋体" w:cs="宋体"/>
          <w:color w:val="auto"/>
          <w:sz w:val="30"/>
          <w:szCs w:val="30"/>
          <w:highlight w:val="none"/>
        </w:rPr>
        <w:t xml:space="preserve">采   购   人：重庆市无线电监测站 </w:t>
      </w:r>
    </w:p>
    <w:p w14:paraId="119371ED">
      <w:pPr>
        <w:spacing w:line="800" w:lineRule="exact"/>
        <w:ind w:firstLine="1200" w:firstLineChars="400"/>
        <w:outlineLvl w:val="0"/>
        <w:rPr>
          <w:rFonts w:ascii="宋体" w:hAnsi="宋体" w:cs="宋体"/>
          <w:color w:val="auto"/>
          <w:sz w:val="32"/>
          <w:szCs w:val="32"/>
          <w:highlight w:val="none"/>
        </w:rPr>
      </w:pPr>
      <w:r>
        <w:rPr>
          <w:rFonts w:hint="eastAsia" w:ascii="宋体" w:hAnsi="宋体" w:cs="宋体"/>
          <w:color w:val="auto"/>
          <w:sz w:val="30"/>
          <w:szCs w:val="30"/>
          <w:highlight w:val="none"/>
        </w:rPr>
        <w:t>采购代理机构：攀钢集团工科工程咨询有限公司</w:t>
      </w:r>
    </w:p>
    <w:p w14:paraId="091C58FA">
      <w:pPr>
        <w:spacing w:line="800" w:lineRule="exact"/>
        <w:jc w:val="center"/>
        <w:outlineLvl w:val="0"/>
        <w:rPr>
          <w:rFonts w:ascii="宋体" w:hAnsi="宋体" w:cs="宋体"/>
          <w:color w:val="auto"/>
          <w:sz w:val="32"/>
          <w:szCs w:val="32"/>
          <w:highlight w:val="none"/>
        </w:rPr>
      </w:pPr>
    </w:p>
    <w:p w14:paraId="21805EAA">
      <w:pPr>
        <w:pStyle w:val="15"/>
        <w:keepNext w:val="0"/>
        <w:keepLines w:val="0"/>
        <w:widowControl/>
        <w:suppressLineNumbers w:val="0"/>
        <w:spacing w:before="0" w:beforeAutospacing="0" w:after="0" w:afterAutospacing="0"/>
        <w:ind w:left="0" w:right="0" w:firstLine="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eastAsia="zh-CN"/>
        </w:rPr>
        <w:t>五</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十</w:t>
      </w:r>
      <w:r>
        <w:rPr>
          <w:rFonts w:hint="eastAsia" w:ascii="宋体" w:hAnsi="宋体" w:cs="宋体"/>
          <w:color w:val="auto"/>
          <w:sz w:val="32"/>
          <w:szCs w:val="32"/>
          <w:highlight w:val="none"/>
        </w:rPr>
        <w:t>月</w:t>
      </w:r>
    </w:p>
    <w:p w14:paraId="2F9CF34C">
      <w:pPr>
        <w:pageBreakBefore/>
        <w:spacing w:line="480" w:lineRule="exact"/>
        <w:jc w:val="center"/>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1CD6BFBF">
      <w:pPr>
        <w:pStyle w:val="2"/>
        <w:rPr>
          <w:rFonts w:ascii="宋体" w:hAnsi="宋体" w:eastAsia="宋体" w:cs="宋体"/>
          <w:color w:val="auto"/>
          <w:highlight w:val="none"/>
        </w:rPr>
      </w:pPr>
    </w:p>
    <w:p w14:paraId="77C8A70E">
      <w:pPr>
        <w:pStyle w:val="14"/>
        <w:tabs>
          <w:tab w:val="right" w:leader="dot" w:pos="9525"/>
        </w:tabs>
        <w:rPr>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fldChar w:fldCharType="begin"/>
      </w:r>
      <w:r>
        <w:rPr>
          <w:rFonts w:hint="eastAsia" w:ascii="宋体" w:hAnsi="宋体" w:cs="宋体"/>
          <w:sz w:val="30"/>
          <w:szCs w:val="30"/>
          <w:highlight w:val="none"/>
        </w:rPr>
        <w:instrText xml:space="preserve"> HYPERLINK \l _Toc9398 </w:instrText>
      </w:r>
      <w:r>
        <w:rPr>
          <w:rFonts w:hint="eastAsia" w:ascii="宋体" w:hAnsi="宋体" w:cs="宋体"/>
          <w:sz w:val="30"/>
          <w:szCs w:val="30"/>
          <w:highlight w:val="none"/>
        </w:rPr>
        <w:fldChar w:fldCharType="separate"/>
      </w:r>
      <w:r>
        <w:rPr>
          <w:rFonts w:hint="eastAsia" w:ascii="宋体" w:hAnsi="宋体" w:eastAsia="宋体" w:cs="宋体"/>
          <w:sz w:val="30"/>
          <w:szCs w:val="30"/>
          <w:highlight w:val="none"/>
        </w:rPr>
        <w:t>第一篇  采购邀请书</w:t>
      </w:r>
      <w:r>
        <w:rPr>
          <w:sz w:val="30"/>
          <w:szCs w:val="30"/>
          <w:highlight w:val="none"/>
        </w:rPr>
        <w:tab/>
      </w:r>
      <w:r>
        <w:rPr>
          <w:sz w:val="30"/>
          <w:szCs w:val="30"/>
          <w:highlight w:val="none"/>
        </w:rPr>
        <w:fldChar w:fldCharType="begin"/>
      </w:r>
      <w:r>
        <w:rPr>
          <w:sz w:val="30"/>
          <w:szCs w:val="30"/>
          <w:highlight w:val="none"/>
        </w:rPr>
        <w:instrText xml:space="preserve"> PAGEREF _Toc9398 \h </w:instrText>
      </w:r>
      <w:r>
        <w:rPr>
          <w:sz w:val="30"/>
          <w:szCs w:val="30"/>
          <w:highlight w:val="none"/>
        </w:rPr>
        <w:fldChar w:fldCharType="separate"/>
      </w:r>
      <w:r>
        <w:rPr>
          <w:sz w:val="30"/>
          <w:szCs w:val="30"/>
          <w:highlight w:val="none"/>
        </w:rPr>
        <w:t>- 1 -</w:t>
      </w:r>
      <w:r>
        <w:rPr>
          <w:sz w:val="30"/>
          <w:szCs w:val="30"/>
          <w:highlight w:val="none"/>
        </w:rPr>
        <w:fldChar w:fldCharType="end"/>
      </w:r>
      <w:r>
        <w:rPr>
          <w:rFonts w:hint="eastAsia" w:ascii="宋体" w:hAnsi="宋体" w:cs="宋体"/>
          <w:color w:val="auto"/>
          <w:sz w:val="30"/>
          <w:szCs w:val="30"/>
          <w:highlight w:val="none"/>
        </w:rPr>
        <w:fldChar w:fldCharType="end"/>
      </w:r>
    </w:p>
    <w:p w14:paraId="4B787DF6">
      <w:pPr>
        <w:pStyle w:val="9"/>
        <w:tabs>
          <w:tab w:val="right" w:leader="dot" w:pos="9525"/>
        </w:tabs>
        <w:rPr>
          <w:sz w:val="30"/>
          <w:szCs w:val="30"/>
          <w:highlight w:val="none"/>
        </w:rPr>
      </w:pPr>
    </w:p>
    <w:p w14:paraId="59066238">
      <w:pPr>
        <w:pStyle w:val="14"/>
        <w:tabs>
          <w:tab w:val="right" w:leader="dot" w:pos="9525"/>
        </w:tabs>
        <w:rPr>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sz w:val="30"/>
          <w:szCs w:val="30"/>
          <w:highlight w:val="none"/>
        </w:rPr>
        <w:instrText xml:space="preserve"> HYPERLINK \l _Toc15115 </w:instrText>
      </w:r>
      <w:r>
        <w:rPr>
          <w:rFonts w:hint="eastAsia" w:ascii="宋体" w:hAnsi="宋体" w:cs="宋体"/>
          <w:sz w:val="30"/>
          <w:szCs w:val="30"/>
          <w:highlight w:val="none"/>
        </w:rPr>
        <w:fldChar w:fldCharType="separate"/>
      </w:r>
      <w:r>
        <w:rPr>
          <w:rFonts w:hint="eastAsia" w:ascii="宋体" w:hAnsi="宋体" w:eastAsia="宋体" w:cs="宋体"/>
          <w:sz w:val="30"/>
          <w:szCs w:val="30"/>
          <w:highlight w:val="none"/>
        </w:rPr>
        <w:t>第二篇  项目技术需求</w:t>
      </w:r>
      <w:r>
        <w:rPr>
          <w:sz w:val="30"/>
          <w:szCs w:val="30"/>
          <w:highlight w:val="none"/>
        </w:rPr>
        <w:tab/>
      </w:r>
      <w:r>
        <w:rPr>
          <w:sz w:val="30"/>
          <w:szCs w:val="30"/>
          <w:highlight w:val="none"/>
        </w:rPr>
        <w:fldChar w:fldCharType="begin"/>
      </w:r>
      <w:r>
        <w:rPr>
          <w:sz w:val="30"/>
          <w:szCs w:val="30"/>
          <w:highlight w:val="none"/>
        </w:rPr>
        <w:instrText xml:space="preserve"> PAGEREF _Toc15115 \h </w:instrText>
      </w:r>
      <w:r>
        <w:rPr>
          <w:sz w:val="30"/>
          <w:szCs w:val="30"/>
          <w:highlight w:val="none"/>
        </w:rPr>
        <w:fldChar w:fldCharType="separate"/>
      </w:r>
      <w:r>
        <w:rPr>
          <w:sz w:val="30"/>
          <w:szCs w:val="30"/>
          <w:highlight w:val="none"/>
        </w:rPr>
        <w:t>- 4 -</w:t>
      </w:r>
      <w:r>
        <w:rPr>
          <w:sz w:val="30"/>
          <w:szCs w:val="30"/>
          <w:highlight w:val="none"/>
        </w:rPr>
        <w:fldChar w:fldCharType="end"/>
      </w:r>
      <w:r>
        <w:rPr>
          <w:rFonts w:hint="eastAsia" w:ascii="宋体" w:hAnsi="宋体" w:cs="宋体"/>
          <w:color w:val="auto"/>
          <w:sz w:val="30"/>
          <w:szCs w:val="30"/>
          <w:highlight w:val="none"/>
        </w:rPr>
        <w:fldChar w:fldCharType="end"/>
      </w:r>
    </w:p>
    <w:p w14:paraId="18615CDC">
      <w:pPr>
        <w:pStyle w:val="9"/>
        <w:tabs>
          <w:tab w:val="right" w:leader="dot" w:pos="9525"/>
        </w:tabs>
        <w:rPr>
          <w:sz w:val="30"/>
          <w:szCs w:val="30"/>
          <w:highlight w:val="none"/>
        </w:rPr>
      </w:pPr>
    </w:p>
    <w:p w14:paraId="49ADB926">
      <w:pPr>
        <w:pStyle w:val="14"/>
        <w:tabs>
          <w:tab w:val="right" w:leader="dot" w:pos="9525"/>
        </w:tabs>
        <w:rPr>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sz w:val="30"/>
          <w:szCs w:val="30"/>
          <w:highlight w:val="none"/>
        </w:rPr>
        <w:instrText xml:space="preserve"> HYPERLINK \l _Toc13822 </w:instrText>
      </w:r>
      <w:r>
        <w:rPr>
          <w:rFonts w:hint="eastAsia" w:ascii="宋体" w:hAnsi="宋体" w:cs="宋体"/>
          <w:sz w:val="30"/>
          <w:szCs w:val="30"/>
          <w:highlight w:val="none"/>
        </w:rPr>
        <w:fldChar w:fldCharType="separate"/>
      </w:r>
      <w:r>
        <w:rPr>
          <w:rFonts w:hint="eastAsia" w:ascii="宋体" w:hAnsi="宋体" w:eastAsia="宋体" w:cs="宋体"/>
          <w:sz w:val="30"/>
          <w:szCs w:val="30"/>
          <w:highlight w:val="none"/>
        </w:rPr>
        <w:t>第三篇  项目商务需求</w:t>
      </w:r>
      <w:r>
        <w:rPr>
          <w:sz w:val="30"/>
          <w:szCs w:val="30"/>
          <w:highlight w:val="none"/>
        </w:rPr>
        <w:tab/>
      </w:r>
      <w:r>
        <w:rPr>
          <w:sz w:val="30"/>
          <w:szCs w:val="30"/>
          <w:highlight w:val="none"/>
        </w:rPr>
        <w:fldChar w:fldCharType="begin"/>
      </w:r>
      <w:r>
        <w:rPr>
          <w:sz w:val="30"/>
          <w:szCs w:val="30"/>
          <w:highlight w:val="none"/>
        </w:rPr>
        <w:instrText xml:space="preserve"> PAGEREF _Toc13822 \h </w:instrText>
      </w:r>
      <w:r>
        <w:rPr>
          <w:sz w:val="30"/>
          <w:szCs w:val="30"/>
          <w:highlight w:val="none"/>
        </w:rPr>
        <w:fldChar w:fldCharType="separate"/>
      </w:r>
      <w:r>
        <w:rPr>
          <w:sz w:val="30"/>
          <w:szCs w:val="30"/>
          <w:highlight w:val="none"/>
        </w:rPr>
        <w:t>- 8 -</w:t>
      </w:r>
      <w:r>
        <w:rPr>
          <w:sz w:val="30"/>
          <w:szCs w:val="30"/>
          <w:highlight w:val="none"/>
        </w:rPr>
        <w:fldChar w:fldCharType="end"/>
      </w:r>
      <w:r>
        <w:rPr>
          <w:rFonts w:hint="eastAsia" w:ascii="宋体" w:hAnsi="宋体" w:cs="宋体"/>
          <w:color w:val="auto"/>
          <w:sz w:val="30"/>
          <w:szCs w:val="30"/>
          <w:highlight w:val="none"/>
        </w:rPr>
        <w:fldChar w:fldCharType="end"/>
      </w:r>
    </w:p>
    <w:p w14:paraId="425C50F4">
      <w:pPr>
        <w:pStyle w:val="9"/>
        <w:tabs>
          <w:tab w:val="right" w:leader="dot" w:pos="9525"/>
        </w:tabs>
        <w:rPr>
          <w:sz w:val="30"/>
          <w:szCs w:val="30"/>
          <w:highlight w:val="none"/>
        </w:rPr>
      </w:pPr>
    </w:p>
    <w:p w14:paraId="7FC5A74E">
      <w:pPr>
        <w:pStyle w:val="14"/>
        <w:tabs>
          <w:tab w:val="right" w:leader="dot" w:pos="9525"/>
        </w:tabs>
        <w:rPr>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sz w:val="30"/>
          <w:szCs w:val="30"/>
          <w:highlight w:val="none"/>
        </w:rPr>
        <w:instrText xml:space="preserve"> HYPERLINK \l _Toc23391 </w:instrText>
      </w:r>
      <w:r>
        <w:rPr>
          <w:rFonts w:hint="eastAsia" w:ascii="宋体" w:hAnsi="宋体" w:cs="宋体"/>
          <w:sz w:val="30"/>
          <w:szCs w:val="30"/>
          <w:highlight w:val="none"/>
        </w:rPr>
        <w:fldChar w:fldCharType="separate"/>
      </w:r>
      <w:r>
        <w:rPr>
          <w:rFonts w:hint="eastAsia" w:ascii="宋体" w:hAnsi="宋体" w:eastAsia="宋体" w:cs="宋体"/>
          <w:sz w:val="30"/>
          <w:szCs w:val="30"/>
          <w:highlight w:val="none"/>
        </w:rPr>
        <w:t>第四篇  磋商程序及方法、评审标准、无效响应和采购终止</w:t>
      </w:r>
      <w:r>
        <w:rPr>
          <w:sz w:val="30"/>
          <w:szCs w:val="30"/>
          <w:highlight w:val="none"/>
        </w:rPr>
        <w:tab/>
      </w:r>
      <w:r>
        <w:rPr>
          <w:sz w:val="30"/>
          <w:szCs w:val="30"/>
          <w:highlight w:val="none"/>
        </w:rPr>
        <w:fldChar w:fldCharType="begin"/>
      </w:r>
      <w:r>
        <w:rPr>
          <w:sz w:val="30"/>
          <w:szCs w:val="30"/>
          <w:highlight w:val="none"/>
        </w:rPr>
        <w:instrText xml:space="preserve"> PAGEREF _Toc23391 \h </w:instrText>
      </w:r>
      <w:r>
        <w:rPr>
          <w:sz w:val="30"/>
          <w:szCs w:val="30"/>
          <w:highlight w:val="none"/>
        </w:rPr>
        <w:fldChar w:fldCharType="separate"/>
      </w:r>
      <w:r>
        <w:rPr>
          <w:sz w:val="30"/>
          <w:szCs w:val="30"/>
          <w:highlight w:val="none"/>
        </w:rPr>
        <w:t>- 10 -</w:t>
      </w:r>
      <w:r>
        <w:rPr>
          <w:sz w:val="30"/>
          <w:szCs w:val="30"/>
          <w:highlight w:val="none"/>
        </w:rPr>
        <w:fldChar w:fldCharType="end"/>
      </w:r>
      <w:r>
        <w:rPr>
          <w:rFonts w:hint="eastAsia" w:ascii="宋体" w:hAnsi="宋体" w:cs="宋体"/>
          <w:color w:val="auto"/>
          <w:sz w:val="30"/>
          <w:szCs w:val="30"/>
          <w:highlight w:val="none"/>
        </w:rPr>
        <w:fldChar w:fldCharType="end"/>
      </w:r>
    </w:p>
    <w:p w14:paraId="35D89F53">
      <w:pPr>
        <w:pStyle w:val="9"/>
        <w:tabs>
          <w:tab w:val="right" w:leader="dot" w:pos="9525"/>
        </w:tabs>
        <w:rPr>
          <w:sz w:val="30"/>
          <w:szCs w:val="30"/>
          <w:highlight w:val="none"/>
        </w:rPr>
      </w:pPr>
    </w:p>
    <w:p w14:paraId="25A44C83">
      <w:pPr>
        <w:pStyle w:val="14"/>
        <w:tabs>
          <w:tab w:val="right" w:leader="dot" w:pos="9525"/>
        </w:tabs>
        <w:rPr>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sz w:val="30"/>
          <w:szCs w:val="30"/>
          <w:highlight w:val="none"/>
        </w:rPr>
        <w:instrText xml:space="preserve"> HYPERLINK \l _Toc4940 </w:instrText>
      </w:r>
      <w:r>
        <w:rPr>
          <w:rFonts w:hint="eastAsia" w:ascii="宋体" w:hAnsi="宋体" w:cs="宋体"/>
          <w:sz w:val="30"/>
          <w:szCs w:val="30"/>
          <w:highlight w:val="none"/>
        </w:rPr>
        <w:fldChar w:fldCharType="separate"/>
      </w:r>
      <w:r>
        <w:rPr>
          <w:rFonts w:hint="eastAsia" w:ascii="宋体" w:hAnsi="宋体" w:eastAsia="宋体" w:cs="宋体"/>
          <w:sz w:val="30"/>
          <w:szCs w:val="30"/>
          <w:highlight w:val="none"/>
        </w:rPr>
        <w:t>第五篇  供应商须知</w:t>
      </w:r>
      <w:r>
        <w:rPr>
          <w:sz w:val="30"/>
          <w:szCs w:val="30"/>
          <w:highlight w:val="none"/>
        </w:rPr>
        <w:tab/>
      </w:r>
      <w:r>
        <w:rPr>
          <w:sz w:val="30"/>
          <w:szCs w:val="30"/>
          <w:highlight w:val="none"/>
        </w:rPr>
        <w:fldChar w:fldCharType="begin"/>
      </w:r>
      <w:r>
        <w:rPr>
          <w:sz w:val="30"/>
          <w:szCs w:val="30"/>
          <w:highlight w:val="none"/>
        </w:rPr>
        <w:instrText xml:space="preserve"> PAGEREF _Toc4940 \h </w:instrText>
      </w:r>
      <w:r>
        <w:rPr>
          <w:sz w:val="30"/>
          <w:szCs w:val="30"/>
          <w:highlight w:val="none"/>
        </w:rPr>
        <w:fldChar w:fldCharType="separate"/>
      </w:r>
      <w:r>
        <w:rPr>
          <w:sz w:val="30"/>
          <w:szCs w:val="30"/>
          <w:highlight w:val="none"/>
        </w:rPr>
        <w:t>- 16 -</w:t>
      </w:r>
      <w:r>
        <w:rPr>
          <w:sz w:val="30"/>
          <w:szCs w:val="30"/>
          <w:highlight w:val="none"/>
        </w:rPr>
        <w:fldChar w:fldCharType="end"/>
      </w:r>
      <w:r>
        <w:rPr>
          <w:rFonts w:hint="eastAsia" w:ascii="宋体" w:hAnsi="宋体" w:cs="宋体"/>
          <w:color w:val="auto"/>
          <w:sz w:val="30"/>
          <w:szCs w:val="30"/>
          <w:highlight w:val="none"/>
        </w:rPr>
        <w:fldChar w:fldCharType="end"/>
      </w:r>
    </w:p>
    <w:p w14:paraId="20697200">
      <w:pPr>
        <w:pStyle w:val="9"/>
        <w:tabs>
          <w:tab w:val="right" w:leader="dot" w:pos="9525"/>
        </w:tabs>
        <w:rPr>
          <w:sz w:val="30"/>
          <w:szCs w:val="30"/>
          <w:highlight w:val="none"/>
        </w:rPr>
      </w:pPr>
    </w:p>
    <w:p w14:paraId="12806051">
      <w:pPr>
        <w:pStyle w:val="14"/>
        <w:tabs>
          <w:tab w:val="right" w:leader="dot" w:pos="9525"/>
        </w:tabs>
        <w:rPr>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sz w:val="30"/>
          <w:szCs w:val="30"/>
          <w:highlight w:val="none"/>
        </w:rPr>
        <w:instrText xml:space="preserve"> HYPERLINK \l _Toc27464 </w:instrText>
      </w:r>
      <w:r>
        <w:rPr>
          <w:rFonts w:hint="eastAsia" w:ascii="宋体" w:hAnsi="宋体" w:cs="宋体"/>
          <w:sz w:val="30"/>
          <w:szCs w:val="30"/>
          <w:highlight w:val="none"/>
        </w:rPr>
        <w:fldChar w:fldCharType="separate"/>
      </w:r>
      <w:r>
        <w:rPr>
          <w:rFonts w:hint="eastAsia" w:ascii="宋体" w:hAnsi="宋体" w:eastAsia="宋体" w:cs="宋体"/>
          <w:sz w:val="30"/>
          <w:szCs w:val="30"/>
          <w:highlight w:val="none"/>
        </w:rPr>
        <w:t>第六篇  合同草案条款</w:t>
      </w:r>
      <w:r>
        <w:rPr>
          <w:sz w:val="30"/>
          <w:szCs w:val="30"/>
          <w:highlight w:val="none"/>
        </w:rPr>
        <w:tab/>
      </w:r>
      <w:r>
        <w:rPr>
          <w:sz w:val="30"/>
          <w:szCs w:val="30"/>
          <w:highlight w:val="none"/>
        </w:rPr>
        <w:fldChar w:fldCharType="begin"/>
      </w:r>
      <w:r>
        <w:rPr>
          <w:sz w:val="30"/>
          <w:szCs w:val="30"/>
          <w:highlight w:val="none"/>
        </w:rPr>
        <w:instrText xml:space="preserve"> PAGEREF _Toc27464 \h </w:instrText>
      </w:r>
      <w:r>
        <w:rPr>
          <w:sz w:val="30"/>
          <w:szCs w:val="30"/>
          <w:highlight w:val="none"/>
        </w:rPr>
        <w:fldChar w:fldCharType="separate"/>
      </w:r>
      <w:r>
        <w:rPr>
          <w:sz w:val="30"/>
          <w:szCs w:val="30"/>
          <w:highlight w:val="none"/>
        </w:rPr>
        <w:t>- 21 -</w:t>
      </w:r>
      <w:r>
        <w:rPr>
          <w:sz w:val="30"/>
          <w:szCs w:val="30"/>
          <w:highlight w:val="none"/>
        </w:rPr>
        <w:fldChar w:fldCharType="end"/>
      </w:r>
      <w:r>
        <w:rPr>
          <w:rFonts w:hint="eastAsia" w:ascii="宋体" w:hAnsi="宋体" w:cs="宋体"/>
          <w:color w:val="auto"/>
          <w:sz w:val="30"/>
          <w:szCs w:val="30"/>
          <w:highlight w:val="none"/>
        </w:rPr>
        <w:fldChar w:fldCharType="end"/>
      </w:r>
    </w:p>
    <w:p w14:paraId="5FEDE030">
      <w:pPr>
        <w:pStyle w:val="9"/>
        <w:tabs>
          <w:tab w:val="right" w:leader="dot" w:pos="9525"/>
        </w:tabs>
        <w:rPr>
          <w:sz w:val="30"/>
          <w:szCs w:val="30"/>
          <w:highlight w:val="none"/>
        </w:rPr>
      </w:pPr>
    </w:p>
    <w:p w14:paraId="55C53618">
      <w:pPr>
        <w:pStyle w:val="14"/>
        <w:tabs>
          <w:tab w:val="right" w:leader="dot" w:pos="9525"/>
        </w:tabs>
        <w:rPr>
          <w:highlight w:val="none"/>
        </w:rPr>
      </w:pPr>
      <w:r>
        <w:rPr>
          <w:rFonts w:hint="eastAsia" w:ascii="宋体" w:hAnsi="宋体" w:cs="宋体"/>
          <w:color w:val="auto"/>
          <w:sz w:val="30"/>
          <w:szCs w:val="30"/>
          <w:highlight w:val="none"/>
        </w:rPr>
        <w:fldChar w:fldCharType="begin"/>
      </w:r>
      <w:r>
        <w:rPr>
          <w:rFonts w:hint="eastAsia" w:ascii="宋体" w:hAnsi="宋体" w:cs="宋体"/>
          <w:sz w:val="30"/>
          <w:szCs w:val="30"/>
          <w:highlight w:val="none"/>
        </w:rPr>
        <w:instrText xml:space="preserve"> HYPERLINK \l _Toc25506 </w:instrText>
      </w:r>
      <w:r>
        <w:rPr>
          <w:rFonts w:hint="eastAsia" w:ascii="宋体" w:hAnsi="宋体" w:cs="宋体"/>
          <w:sz w:val="30"/>
          <w:szCs w:val="30"/>
          <w:highlight w:val="none"/>
        </w:rPr>
        <w:fldChar w:fldCharType="separate"/>
      </w:r>
      <w:r>
        <w:rPr>
          <w:rFonts w:hint="eastAsia" w:ascii="宋体" w:hAnsi="宋体" w:eastAsia="宋体" w:cs="宋体"/>
          <w:sz w:val="30"/>
          <w:szCs w:val="30"/>
          <w:highlight w:val="none"/>
        </w:rPr>
        <w:t>第七篇  响应文件编制要求</w:t>
      </w:r>
      <w:r>
        <w:rPr>
          <w:sz w:val="30"/>
          <w:szCs w:val="30"/>
          <w:highlight w:val="none"/>
        </w:rPr>
        <w:tab/>
      </w:r>
      <w:r>
        <w:rPr>
          <w:sz w:val="30"/>
          <w:szCs w:val="30"/>
          <w:highlight w:val="none"/>
        </w:rPr>
        <w:fldChar w:fldCharType="begin"/>
      </w:r>
      <w:r>
        <w:rPr>
          <w:sz w:val="30"/>
          <w:szCs w:val="30"/>
          <w:highlight w:val="none"/>
        </w:rPr>
        <w:instrText xml:space="preserve"> PAGEREF _Toc25506 \h </w:instrText>
      </w:r>
      <w:r>
        <w:rPr>
          <w:sz w:val="30"/>
          <w:szCs w:val="30"/>
          <w:highlight w:val="none"/>
        </w:rPr>
        <w:fldChar w:fldCharType="separate"/>
      </w:r>
      <w:r>
        <w:rPr>
          <w:sz w:val="30"/>
          <w:szCs w:val="30"/>
          <w:highlight w:val="none"/>
        </w:rPr>
        <w:t>- 23 -</w:t>
      </w:r>
      <w:r>
        <w:rPr>
          <w:sz w:val="30"/>
          <w:szCs w:val="30"/>
          <w:highlight w:val="none"/>
        </w:rPr>
        <w:fldChar w:fldCharType="end"/>
      </w:r>
      <w:r>
        <w:rPr>
          <w:rFonts w:hint="eastAsia" w:ascii="宋体" w:hAnsi="宋体" w:cs="宋体"/>
          <w:color w:val="auto"/>
          <w:sz w:val="30"/>
          <w:szCs w:val="30"/>
          <w:highlight w:val="none"/>
        </w:rPr>
        <w:fldChar w:fldCharType="end"/>
      </w:r>
    </w:p>
    <w:p w14:paraId="38C861B8">
      <w:pPr>
        <w:pStyle w:val="14"/>
        <w:tabs>
          <w:tab w:val="right" w:leader="dot" w:pos="9525"/>
        </w:tabs>
        <w:rPr>
          <w:highlight w:val="none"/>
        </w:rPr>
      </w:pPr>
    </w:p>
    <w:p w14:paraId="5159FB45">
      <w:pPr>
        <w:pStyle w:val="14"/>
        <w:tabs>
          <w:tab w:val="right" w:leader="dot" w:pos="9402"/>
        </w:tabs>
        <w:spacing w:line="700" w:lineRule="exact"/>
        <w:ind w:left="560"/>
        <w:jc w:val="center"/>
        <w:rPr>
          <w:rFonts w:ascii="宋体" w:hAnsi="宋体" w:cs="宋体"/>
          <w:color w:val="auto"/>
          <w:sz w:val="24"/>
          <w:szCs w:val="24"/>
          <w:highlight w:val="none"/>
        </w:rPr>
        <w:sectPr>
          <w:headerReference r:id="rId4" w:type="first"/>
          <w:footerReference r:id="rId6"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5"/>
        </w:sectPr>
      </w:pPr>
      <w:r>
        <w:rPr>
          <w:rFonts w:hint="eastAsia" w:ascii="宋体" w:hAnsi="宋体" w:cs="宋体"/>
          <w:color w:val="auto"/>
          <w:sz w:val="30"/>
          <w:szCs w:val="30"/>
          <w:highlight w:val="none"/>
        </w:rPr>
        <w:fldChar w:fldCharType="end"/>
      </w:r>
    </w:p>
    <w:p w14:paraId="6EC6934C">
      <w:pPr>
        <w:pStyle w:val="4"/>
        <w:spacing w:line="360" w:lineRule="auto"/>
        <w:jc w:val="center"/>
        <w:rPr>
          <w:rFonts w:ascii="宋体" w:hAnsi="宋体" w:eastAsia="宋体" w:cs="宋体"/>
          <w:b w:val="0"/>
          <w:color w:val="auto"/>
          <w:szCs w:val="30"/>
          <w:highlight w:val="none"/>
        </w:rPr>
      </w:pPr>
      <w:bookmarkStart w:id="0" w:name="_Toc12621"/>
      <w:bookmarkStart w:id="1" w:name="_Toc10875"/>
      <w:bookmarkStart w:id="2" w:name="_Toc11641050"/>
      <w:bookmarkStart w:id="3" w:name="_Toc9398"/>
      <w:bookmarkStart w:id="4" w:name="_Toc1936"/>
      <w:bookmarkStart w:id="5" w:name="_Toc12789052"/>
      <w:bookmarkStart w:id="6" w:name="_Toc20130529"/>
      <w:r>
        <w:rPr>
          <w:rFonts w:hint="eastAsia" w:ascii="宋体" w:hAnsi="宋体" w:eastAsia="宋体" w:cs="宋体"/>
          <w:b w:val="0"/>
          <w:color w:val="auto"/>
          <w:sz w:val="36"/>
          <w:szCs w:val="30"/>
          <w:highlight w:val="none"/>
        </w:rPr>
        <w:t>第一篇  采购邀请书</w:t>
      </w:r>
      <w:bookmarkEnd w:id="0"/>
      <w:bookmarkEnd w:id="1"/>
      <w:bookmarkEnd w:id="2"/>
      <w:bookmarkEnd w:id="3"/>
      <w:bookmarkEnd w:id="4"/>
      <w:bookmarkEnd w:id="5"/>
      <w:bookmarkEnd w:id="6"/>
    </w:p>
    <w:p w14:paraId="424A70A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攀钢集团工科工程咨询有限公司</w:t>
      </w:r>
      <w:r>
        <w:rPr>
          <w:rFonts w:hint="eastAsia" w:ascii="宋体" w:hAnsi="宋体" w:cs="宋体"/>
          <w:color w:val="auto"/>
          <w:sz w:val="24"/>
          <w:szCs w:val="24"/>
          <w:highlight w:val="none"/>
        </w:rPr>
        <w:t>接受</w:t>
      </w:r>
      <w:r>
        <w:rPr>
          <w:rFonts w:hint="eastAsia" w:ascii="宋体" w:hAnsi="宋体" w:cs="宋体"/>
          <w:color w:val="auto"/>
          <w:sz w:val="24"/>
          <w:szCs w:val="24"/>
          <w:highlight w:val="none"/>
          <w:u w:val="single"/>
        </w:rPr>
        <w:t>重庆市无线电监测站</w:t>
      </w:r>
      <w:r>
        <w:rPr>
          <w:rFonts w:hint="eastAsia" w:ascii="宋体" w:hAnsi="宋体" w:cs="宋体"/>
          <w:color w:val="auto"/>
          <w:sz w:val="24"/>
          <w:szCs w:val="24"/>
          <w:highlight w:val="none"/>
        </w:rPr>
        <w:t>的委托，对</w:t>
      </w:r>
      <w:r>
        <w:rPr>
          <w:rFonts w:hint="eastAsia" w:ascii="宋体" w:hAnsi="宋体" w:cs="宋体"/>
          <w:color w:val="auto"/>
          <w:sz w:val="24"/>
          <w:szCs w:val="24"/>
          <w:highlight w:val="none"/>
          <w:u w:val="single"/>
        </w:rPr>
        <w:t>2025年无线电管理一体化平台质保及运维</w:t>
      </w:r>
      <w:r>
        <w:rPr>
          <w:rFonts w:hint="eastAsia" w:ascii="宋体" w:hAnsi="宋体" w:cs="宋体"/>
          <w:color w:val="auto"/>
          <w:sz w:val="24"/>
          <w:szCs w:val="24"/>
          <w:highlight w:val="none"/>
        </w:rPr>
        <w:t>进行竞争性磋商采购。欢迎有资格的供应商前来参与磋商。</w:t>
      </w:r>
    </w:p>
    <w:p w14:paraId="078DA734">
      <w:pPr>
        <w:pStyle w:val="5"/>
        <w:spacing w:before="0" w:after="0" w:line="500" w:lineRule="exact"/>
        <w:ind w:firstLine="482" w:firstLineChars="200"/>
        <w:rPr>
          <w:rFonts w:ascii="宋体" w:hAnsi="宋体" w:cs="宋体"/>
          <w:color w:val="auto"/>
          <w:sz w:val="24"/>
          <w:szCs w:val="24"/>
          <w:highlight w:val="none"/>
        </w:rPr>
      </w:pPr>
      <w:bookmarkStart w:id="7" w:name="_Toc313893526"/>
      <w:bookmarkStart w:id="8" w:name="_Toc30800"/>
      <w:bookmarkStart w:id="9" w:name="_Toc20130530"/>
      <w:bookmarkStart w:id="10" w:name="_Toc3426"/>
      <w:bookmarkStart w:id="11" w:name="_Toc317775175"/>
      <w:bookmarkStart w:id="12" w:name="_Toc4527"/>
      <w:bookmarkStart w:id="13" w:name="_Toc5377"/>
      <w:r>
        <w:rPr>
          <w:rFonts w:hint="eastAsia" w:ascii="宋体" w:hAnsi="宋体" w:cs="宋体"/>
          <w:color w:val="auto"/>
          <w:sz w:val="24"/>
          <w:szCs w:val="24"/>
          <w:highlight w:val="none"/>
        </w:rPr>
        <w:t>一、竞争性磋商内容</w:t>
      </w:r>
      <w:bookmarkEnd w:id="7"/>
      <w:bookmarkEnd w:id="8"/>
      <w:bookmarkEnd w:id="9"/>
      <w:bookmarkEnd w:id="10"/>
      <w:bookmarkEnd w:id="11"/>
      <w:bookmarkEnd w:id="12"/>
      <w:bookmarkEnd w:id="13"/>
    </w:p>
    <w:tbl>
      <w:tblPr>
        <w:tblStyle w:val="16"/>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177"/>
        <w:gridCol w:w="1315"/>
        <w:gridCol w:w="1777"/>
        <w:gridCol w:w="2361"/>
      </w:tblGrid>
      <w:tr w14:paraId="4B29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828" w:type="dxa"/>
            <w:tcBorders>
              <w:top w:val="single" w:color="auto" w:sz="4" w:space="0"/>
              <w:left w:val="single" w:color="auto" w:sz="4" w:space="0"/>
              <w:right w:val="single" w:color="auto" w:sz="4" w:space="0"/>
            </w:tcBorders>
            <w:vAlign w:val="center"/>
          </w:tcPr>
          <w:p w14:paraId="50F96A71">
            <w:pPr>
              <w:widowControl/>
              <w:jc w:val="center"/>
              <w:rPr>
                <w:rFonts w:hint="eastAsia" w:ascii="宋体" w:hAnsi="宋体" w:cs="宋体"/>
                <w:b/>
                <w:bCs/>
                <w:color w:val="auto"/>
                <w:kern w:val="2"/>
                <w:sz w:val="21"/>
                <w:szCs w:val="21"/>
                <w:highlight w:val="none"/>
                <w:u w:val="none"/>
              </w:rPr>
            </w:pPr>
            <w:r>
              <w:rPr>
                <w:rFonts w:hint="eastAsia" w:ascii="宋体" w:hAnsi="宋体" w:cs="宋体"/>
                <w:b/>
                <w:bCs/>
                <w:color w:val="auto"/>
                <w:kern w:val="2"/>
                <w:sz w:val="21"/>
                <w:szCs w:val="21"/>
                <w:highlight w:val="none"/>
                <w:u w:val="none"/>
              </w:rPr>
              <w:t>项目名称</w:t>
            </w:r>
          </w:p>
        </w:tc>
        <w:tc>
          <w:tcPr>
            <w:tcW w:w="1177" w:type="dxa"/>
            <w:tcBorders>
              <w:top w:val="single" w:color="auto" w:sz="4" w:space="0"/>
              <w:left w:val="single" w:color="auto" w:sz="4" w:space="0"/>
              <w:right w:val="single" w:color="auto" w:sz="4" w:space="0"/>
            </w:tcBorders>
            <w:vAlign w:val="center"/>
          </w:tcPr>
          <w:p w14:paraId="1B48907A">
            <w:pPr>
              <w:widowControl/>
              <w:jc w:val="center"/>
              <w:rPr>
                <w:rFonts w:hint="eastAsia" w:ascii="宋体" w:hAnsi="宋体" w:cs="宋体"/>
                <w:b/>
                <w:bCs/>
                <w:color w:val="auto"/>
                <w:kern w:val="2"/>
                <w:sz w:val="21"/>
                <w:szCs w:val="21"/>
                <w:highlight w:val="none"/>
                <w:u w:val="none"/>
              </w:rPr>
            </w:pPr>
            <w:r>
              <w:rPr>
                <w:rFonts w:hint="eastAsia" w:ascii="宋体" w:hAnsi="宋体" w:cs="宋体"/>
                <w:b/>
                <w:bCs/>
                <w:color w:val="auto"/>
                <w:kern w:val="2"/>
                <w:sz w:val="21"/>
                <w:szCs w:val="21"/>
                <w:highlight w:val="none"/>
                <w:u w:val="none"/>
              </w:rPr>
              <w:t>最高限价</w:t>
            </w:r>
          </w:p>
          <w:p w14:paraId="73994CD5">
            <w:pPr>
              <w:widowControl/>
              <w:jc w:val="center"/>
              <w:rPr>
                <w:rFonts w:hint="eastAsia" w:ascii="宋体" w:hAnsi="宋体" w:cs="宋体"/>
                <w:b/>
                <w:bCs/>
                <w:color w:val="auto"/>
                <w:kern w:val="2"/>
                <w:sz w:val="21"/>
                <w:szCs w:val="21"/>
                <w:highlight w:val="none"/>
                <w:u w:val="none"/>
              </w:rPr>
            </w:pPr>
            <w:r>
              <w:rPr>
                <w:rFonts w:hint="eastAsia" w:ascii="宋体" w:hAnsi="宋体" w:cs="宋体"/>
                <w:b/>
                <w:bCs/>
                <w:color w:val="auto"/>
                <w:kern w:val="2"/>
                <w:sz w:val="21"/>
                <w:szCs w:val="21"/>
                <w:highlight w:val="none"/>
                <w:u w:val="none"/>
              </w:rPr>
              <w:t>（万元）</w:t>
            </w:r>
          </w:p>
        </w:tc>
        <w:tc>
          <w:tcPr>
            <w:tcW w:w="1315" w:type="dxa"/>
            <w:tcBorders>
              <w:top w:val="single" w:color="auto" w:sz="4" w:space="0"/>
              <w:left w:val="single" w:color="auto" w:sz="4" w:space="0"/>
              <w:right w:val="single" w:color="auto" w:sz="4" w:space="0"/>
            </w:tcBorders>
            <w:vAlign w:val="center"/>
          </w:tcPr>
          <w:p w14:paraId="3C174E59">
            <w:pPr>
              <w:widowControl/>
              <w:jc w:val="center"/>
              <w:rPr>
                <w:rFonts w:hint="eastAsia" w:ascii="宋体" w:hAnsi="宋体" w:cs="宋体"/>
                <w:b/>
                <w:bCs/>
                <w:color w:val="auto"/>
                <w:kern w:val="2"/>
                <w:sz w:val="21"/>
                <w:szCs w:val="21"/>
                <w:highlight w:val="none"/>
                <w:u w:val="none"/>
              </w:rPr>
            </w:pPr>
            <w:r>
              <w:rPr>
                <w:rFonts w:hint="eastAsia" w:ascii="宋体" w:hAnsi="宋体" w:cs="宋体"/>
                <w:b/>
                <w:bCs/>
                <w:color w:val="auto"/>
                <w:kern w:val="2"/>
                <w:sz w:val="21"/>
                <w:szCs w:val="21"/>
                <w:highlight w:val="none"/>
                <w:u w:val="none"/>
              </w:rPr>
              <w:t>磋商保证金</w:t>
            </w:r>
          </w:p>
          <w:p w14:paraId="789E55A4">
            <w:pPr>
              <w:widowControl/>
              <w:jc w:val="center"/>
              <w:rPr>
                <w:rFonts w:hint="eastAsia" w:ascii="宋体" w:hAnsi="宋体" w:cs="宋体"/>
                <w:b/>
                <w:bCs/>
                <w:color w:val="auto"/>
                <w:kern w:val="2"/>
                <w:sz w:val="21"/>
                <w:szCs w:val="21"/>
                <w:highlight w:val="none"/>
                <w:u w:val="none"/>
              </w:rPr>
            </w:pPr>
            <w:r>
              <w:rPr>
                <w:rFonts w:hint="eastAsia" w:ascii="宋体" w:hAnsi="宋体" w:cs="宋体"/>
                <w:b/>
                <w:bCs/>
                <w:color w:val="auto"/>
                <w:kern w:val="2"/>
                <w:sz w:val="21"/>
                <w:szCs w:val="21"/>
                <w:highlight w:val="none"/>
                <w:u w:val="none"/>
              </w:rPr>
              <w:t>（万元）</w:t>
            </w:r>
          </w:p>
        </w:tc>
        <w:tc>
          <w:tcPr>
            <w:tcW w:w="1777" w:type="dxa"/>
            <w:tcBorders>
              <w:top w:val="single" w:color="auto" w:sz="4" w:space="0"/>
              <w:left w:val="single" w:color="auto" w:sz="4" w:space="0"/>
              <w:right w:val="single" w:color="auto" w:sz="4" w:space="0"/>
            </w:tcBorders>
            <w:vAlign w:val="center"/>
          </w:tcPr>
          <w:p w14:paraId="6A50738C">
            <w:pPr>
              <w:widowControl/>
              <w:jc w:val="center"/>
              <w:rPr>
                <w:rFonts w:hint="eastAsia" w:ascii="宋体" w:hAnsi="宋体" w:cs="宋体"/>
                <w:b/>
                <w:bCs/>
                <w:color w:val="auto"/>
                <w:kern w:val="2"/>
                <w:sz w:val="21"/>
                <w:szCs w:val="21"/>
                <w:highlight w:val="none"/>
                <w:u w:val="none"/>
              </w:rPr>
            </w:pPr>
            <w:r>
              <w:rPr>
                <w:rFonts w:hint="eastAsia" w:ascii="宋体" w:hAnsi="宋体" w:cs="宋体"/>
                <w:b/>
                <w:bCs/>
                <w:color w:val="auto"/>
                <w:kern w:val="2"/>
                <w:sz w:val="21"/>
                <w:szCs w:val="21"/>
                <w:highlight w:val="none"/>
                <w:u w:val="none"/>
              </w:rPr>
              <w:t>成交供应商数量（名）</w:t>
            </w:r>
          </w:p>
        </w:tc>
        <w:tc>
          <w:tcPr>
            <w:tcW w:w="2361" w:type="dxa"/>
            <w:tcBorders>
              <w:top w:val="single" w:color="auto" w:sz="4" w:space="0"/>
              <w:left w:val="single" w:color="auto" w:sz="4" w:space="0"/>
              <w:right w:val="single" w:color="auto" w:sz="4" w:space="0"/>
            </w:tcBorders>
            <w:vAlign w:val="center"/>
          </w:tcPr>
          <w:p w14:paraId="4EDDBC0F">
            <w:pPr>
              <w:widowControl/>
              <w:jc w:val="center"/>
              <w:rPr>
                <w:rFonts w:hint="eastAsia" w:ascii="宋体" w:hAnsi="宋体" w:cs="宋体"/>
                <w:b/>
                <w:bCs/>
                <w:color w:val="auto"/>
                <w:kern w:val="2"/>
                <w:sz w:val="21"/>
                <w:szCs w:val="21"/>
                <w:highlight w:val="none"/>
                <w:u w:val="none"/>
              </w:rPr>
            </w:pPr>
            <w:r>
              <w:rPr>
                <w:rFonts w:hint="eastAsia" w:ascii="宋体" w:hAnsi="宋体" w:cs="宋体"/>
                <w:b/>
                <w:bCs/>
                <w:color w:val="auto"/>
                <w:kern w:val="2"/>
                <w:sz w:val="21"/>
                <w:szCs w:val="21"/>
                <w:highlight w:val="none"/>
                <w:u w:val="none"/>
              </w:rPr>
              <w:t>采购标的对应的中小企业划分标准所属行业</w:t>
            </w:r>
          </w:p>
        </w:tc>
      </w:tr>
      <w:tr w14:paraId="3AB0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828" w:type="dxa"/>
            <w:tcBorders>
              <w:top w:val="single" w:color="auto" w:sz="4" w:space="0"/>
              <w:left w:val="single" w:color="auto" w:sz="4" w:space="0"/>
              <w:right w:val="single" w:color="auto" w:sz="4" w:space="0"/>
            </w:tcBorders>
            <w:vAlign w:val="center"/>
          </w:tcPr>
          <w:p w14:paraId="1AA5EDD0">
            <w:pPr>
              <w:widowControl/>
              <w:jc w:val="center"/>
              <w:rPr>
                <w:rFonts w:hint="eastAsia" w:ascii="宋体" w:hAnsi="宋体" w:cs="宋体"/>
                <w:color w:val="auto"/>
                <w:kern w:val="2"/>
                <w:sz w:val="21"/>
                <w:szCs w:val="21"/>
                <w:highlight w:val="none"/>
                <w:u w:val="none"/>
              </w:rPr>
            </w:pPr>
            <w:bookmarkStart w:id="14" w:name="_Hlk344477914"/>
            <w:r>
              <w:rPr>
                <w:rFonts w:hint="default" w:ascii="宋体" w:hAnsi="宋体" w:cs="宋体"/>
                <w:color w:val="auto"/>
                <w:kern w:val="2"/>
                <w:sz w:val="21"/>
                <w:szCs w:val="21"/>
                <w:highlight w:val="none"/>
                <w:u w:val="none"/>
                <w:lang w:val="en-US" w:eastAsia="zh-CN"/>
              </w:rPr>
              <w:t>2025年无线电管理一体化平台质保及运维</w:t>
            </w:r>
          </w:p>
        </w:tc>
        <w:tc>
          <w:tcPr>
            <w:tcW w:w="1177" w:type="dxa"/>
            <w:tcBorders>
              <w:top w:val="single" w:color="auto" w:sz="4" w:space="0"/>
              <w:left w:val="single" w:color="auto" w:sz="4" w:space="0"/>
              <w:right w:val="single" w:color="auto" w:sz="4" w:space="0"/>
            </w:tcBorders>
            <w:vAlign w:val="center"/>
          </w:tcPr>
          <w:p w14:paraId="36B76046">
            <w:pPr>
              <w:widowControl/>
              <w:jc w:val="center"/>
              <w:rPr>
                <w:rFonts w:hint="default" w:ascii="宋体" w:hAnsi="宋体" w:cs="宋体" w:eastAsiaTheme="minorEastAsia"/>
                <w:color w:val="auto"/>
                <w:kern w:val="2"/>
                <w:sz w:val="21"/>
                <w:szCs w:val="21"/>
                <w:highlight w:val="none"/>
                <w:u w:val="none"/>
                <w:lang w:val="en-US" w:eastAsia="zh-CN"/>
              </w:rPr>
            </w:pPr>
            <w:r>
              <w:rPr>
                <w:rFonts w:hint="eastAsia" w:ascii="宋体" w:hAnsi="宋体" w:cs="宋体"/>
                <w:color w:val="auto"/>
                <w:kern w:val="2"/>
                <w:sz w:val="21"/>
                <w:szCs w:val="21"/>
                <w:highlight w:val="none"/>
                <w:u w:val="none"/>
                <w:lang w:val="en-US" w:eastAsia="zh-CN"/>
              </w:rPr>
              <w:t>27</w:t>
            </w:r>
          </w:p>
        </w:tc>
        <w:tc>
          <w:tcPr>
            <w:tcW w:w="1315" w:type="dxa"/>
            <w:tcBorders>
              <w:top w:val="single" w:color="auto" w:sz="4" w:space="0"/>
              <w:left w:val="single" w:color="auto" w:sz="4" w:space="0"/>
              <w:right w:val="single" w:color="auto" w:sz="4" w:space="0"/>
            </w:tcBorders>
            <w:vAlign w:val="center"/>
          </w:tcPr>
          <w:p w14:paraId="5D79F6E6">
            <w:pPr>
              <w:widowControl/>
              <w:jc w:val="center"/>
              <w:rPr>
                <w:rFonts w:hint="eastAsia" w:ascii="宋体" w:hAnsi="宋体" w:eastAsia="宋体" w:cs="宋体"/>
                <w:color w:val="auto"/>
                <w:kern w:val="2"/>
                <w:sz w:val="21"/>
                <w:szCs w:val="21"/>
                <w:highlight w:val="none"/>
                <w:u w:val="none"/>
                <w:lang w:val="en-US" w:eastAsia="zh-CN"/>
              </w:rPr>
            </w:pPr>
            <w:r>
              <w:rPr>
                <w:rFonts w:hint="eastAsia" w:ascii="宋体" w:hAnsi="宋体" w:cs="宋体"/>
                <w:color w:val="auto"/>
                <w:kern w:val="2"/>
                <w:sz w:val="21"/>
                <w:szCs w:val="21"/>
                <w:highlight w:val="none"/>
                <w:u w:val="none"/>
                <w:lang w:val="en-US" w:eastAsia="zh-CN"/>
              </w:rPr>
              <w:t xml:space="preserve">0.5 </w:t>
            </w:r>
          </w:p>
        </w:tc>
        <w:tc>
          <w:tcPr>
            <w:tcW w:w="1777" w:type="dxa"/>
            <w:tcBorders>
              <w:top w:val="single" w:color="auto" w:sz="4" w:space="0"/>
              <w:left w:val="single" w:color="auto" w:sz="4" w:space="0"/>
              <w:right w:val="single" w:color="auto" w:sz="4" w:space="0"/>
            </w:tcBorders>
            <w:vAlign w:val="center"/>
          </w:tcPr>
          <w:p w14:paraId="48493CD8">
            <w:pPr>
              <w:widowControl/>
              <w:jc w:val="center"/>
              <w:rPr>
                <w:rFonts w:hint="eastAsia" w:ascii="宋体" w:hAnsi="宋体" w:cs="宋体"/>
                <w:color w:val="auto"/>
                <w:kern w:val="2"/>
                <w:sz w:val="21"/>
                <w:szCs w:val="21"/>
                <w:highlight w:val="none"/>
                <w:u w:val="none"/>
              </w:rPr>
            </w:pPr>
            <w:r>
              <w:rPr>
                <w:rFonts w:hint="eastAsia" w:ascii="宋体" w:hAnsi="宋体" w:cs="宋体"/>
                <w:color w:val="auto"/>
                <w:kern w:val="2"/>
                <w:sz w:val="21"/>
                <w:szCs w:val="21"/>
                <w:highlight w:val="none"/>
                <w:u w:val="none"/>
              </w:rPr>
              <w:t>1</w:t>
            </w:r>
          </w:p>
        </w:tc>
        <w:tc>
          <w:tcPr>
            <w:tcW w:w="2361" w:type="dxa"/>
            <w:tcBorders>
              <w:top w:val="single" w:color="auto" w:sz="4" w:space="0"/>
              <w:left w:val="single" w:color="auto" w:sz="4" w:space="0"/>
              <w:right w:val="single" w:color="auto" w:sz="4" w:space="0"/>
            </w:tcBorders>
            <w:vAlign w:val="center"/>
          </w:tcPr>
          <w:p w14:paraId="00BD4D4D">
            <w:pPr>
              <w:widowControl/>
              <w:jc w:val="center"/>
              <w:rPr>
                <w:rFonts w:hint="eastAsia" w:ascii="宋体" w:hAnsi="宋体" w:cs="宋体"/>
                <w:color w:val="auto"/>
                <w:kern w:val="2"/>
                <w:sz w:val="21"/>
                <w:szCs w:val="21"/>
                <w:highlight w:val="none"/>
                <w:u w:val="none"/>
              </w:rPr>
            </w:pPr>
            <w:r>
              <w:rPr>
                <w:rFonts w:hint="eastAsia" w:ascii="宋体" w:hAnsi="宋体" w:cs="宋体"/>
                <w:color w:val="auto"/>
                <w:kern w:val="2"/>
                <w:sz w:val="21"/>
                <w:szCs w:val="21"/>
                <w:highlight w:val="none"/>
                <w:u w:val="none"/>
              </w:rPr>
              <w:t>其他未列明行业</w:t>
            </w:r>
          </w:p>
        </w:tc>
      </w:tr>
      <w:bookmarkEnd w:id="14"/>
    </w:tbl>
    <w:p w14:paraId="78D90E22">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cs="宋体"/>
          <w:color w:val="auto"/>
          <w:sz w:val="24"/>
          <w:szCs w:val="24"/>
          <w:highlight w:val="none"/>
        </w:rPr>
      </w:pPr>
      <w:bookmarkStart w:id="15" w:name="_Toc20130531"/>
      <w:bookmarkStart w:id="16" w:name="_Toc3391"/>
      <w:bookmarkStart w:id="17" w:name="_Toc17541"/>
      <w:bookmarkStart w:id="18" w:name="_Toc9720"/>
      <w:bookmarkStart w:id="19" w:name="_Toc23899"/>
      <w:bookmarkStart w:id="20" w:name="_Toc373860293"/>
      <w:bookmarkStart w:id="21" w:name="_Toc317775178"/>
      <w:r>
        <w:rPr>
          <w:rFonts w:hint="eastAsia" w:ascii="宋体" w:hAnsi="宋体" w:cs="宋体"/>
          <w:color w:val="auto"/>
          <w:sz w:val="24"/>
          <w:szCs w:val="24"/>
          <w:highlight w:val="none"/>
        </w:rPr>
        <w:t>二、资金来源</w:t>
      </w:r>
      <w:bookmarkEnd w:id="15"/>
      <w:bookmarkEnd w:id="16"/>
      <w:bookmarkEnd w:id="17"/>
      <w:bookmarkEnd w:id="18"/>
      <w:bookmarkEnd w:id="19"/>
    </w:p>
    <w:p w14:paraId="18440228">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预算资金，预算金额为</w:t>
      </w:r>
      <w:r>
        <w:rPr>
          <w:rFonts w:hint="eastAsia" w:ascii="宋体" w:hAnsi="宋体" w:cs="宋体"/>
          <w:color w:val="auto"/>
          <w:sz w:val="24"/>
          <w:szCs w:val="24"/>
          <w:highlight w:val="none"/>
          <w:lang w:val="en-US" w:eastAsia="zh-CN"/>
        </w:rPr>
        <w:t xml:space="preserve"> 27</w:t>
      </w:r>
      <w:r>
        <w:rPr>
          <w:rFonts w:hint="eastAsia" w:ascii="宋体" w:hAnsi="宋体" w:cs="宋体"/>
          <w:color w:val="auto"/>
          <w:sz w:val="24"/>
          <w:szCs w:val="24"/>
          <w:highlight w:val="none"/>
        </w:rPr>
        <w:t>万元。</w:t>
      </w:r>
    </w:p>
    <w:p w14:paraId="106C2896">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cs="宋体"/>
          <w:color w:val="auto"/>
          <w:sz w:val="24"/>
          <w:szCs w:val="24"/>
          <w:highlight w:val="none"/>
        </w:rPr>
      </w:pPr>
      <w:bookmarkStart w:id="22" w:name="_Toc23067"/>
      <w:bookmarkStart w:id="23" w:name="_Toc20130532"/>
      <w:bookmarkStart w:id="24" w:name="_Toc17834"/>
      <w:bookmarkStart w:id="25" w:name="_Toc6920"/>
      <w:bookmarkStart w:id="26" w:name="_Toc22742"/>
      <w:r>
        <w:rPr>
          <w:rFonts w:hint="eastAsia" w:ascii="宋体" w:hAnsi="宋体" w:cs="宋体"/>
          <w:color w:val="auto"/>
          <w:sz w:val="24"/>
          <w:szCs w:val="24"/>
          <w:highlight w:val="none"/>
        </w:rPr>
        <w:t>三、供应商资格条件</w:t>
      </w:r>
      <w:bookmarkEnd w:id="22"/>
      <w:bookmarkEnd w:id="23"/>
      <w:bookmarkEnd w:id="24"/>
      <w:bookmarkEnd w:id="25"/>
      <w:bookmarkEnd w:id="26"/>
    </w:p>
    <w:p w14:paraId="6D36F5A7">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709DE565">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14:paraId="04A6DE0D">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（三）本项目的特定资格要求：无</w:t>
      </w:r>
    </w:p>
    <w:p w14:paraId="666D4CDB">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cs="宋体"/>
          <w:color w:val="auto"/>
          <w:sz w:val="24"/>
          <w:szCs w:val="24"/>
          <w:highlight w:val="none"/>
        </w:rPr>
      </w:pPr>
      <w:bookmarkStart w:id="27" w:name="_Toc27154"/>
      <w:bookmarkStart w:id="28" w:name="_Toc32055"/>
      <w:bookmarkStart w:id="29" w:name="_Toc20130533"/>
      <w:bookmarkStart w:id="30" w:name="_Toc2198"/>
      <w:bookmarkStart w:id="31" w:name="_Toc20717"/>
      <w:r>
        <w:rPr>
          <w:rFonts w:hint="eastAsia" w:ascii="宋体" w:hAnsi="宋体" w:cs="宋体"/>
          <w:color w:val="auto"/>
          <w:sz w:val="24"/>
          <w:szCs w:val="24"/>
          <w:highlight w:val="none"/>
        </w:rPr>
        <w:t>四、磋商有关说明</w:t>
      </w:r>
      <w:bookmarkEnd w:id="20"/>
      <w:bookmarkEnd w:id="27"/>
      <w:bookmarkEnd w:id="28"/>
      <w:bookmarkEnd w:id="29"/>
      <w:bookmarkEnd w:id="30"/>
      <w:bookmarkEnd w:id="31"/>
    </w:p>
    <w:p w14:paraId="3F79ADC1">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（一）凡有意参加磋商的供应商，请到“重庆市经济和信息化委员会网”（https://jjxxw.cq.gov.cn/）下载本项目磋商文件以及图纸、澄清等开标前公布的所有项目资料，无论供应商领取或下载与否，均视为已知晓所有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内容。</w:t>
      </w:r>
    </w:p>
    <w:p w14:paraId="2FEDAAD2">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（二）竞争性磋商公告期限：自采购公告发布之日起三个工作日。</w:t>
      </w:r>
    </w:p>
    <w:p w14:paraId="4E9E8355">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（三）竞争性磋商文件发售期限： </w:t>
      </w:r>
    </w:p>
    <w:p w14:paraId="5C9CE368">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1.竞争性磋商文件发售期：</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22 </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10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29 </w:t>
      </w:r>
      <w:r>
        <w:rPr>
          <w:rFonts w:hint="eastAsia" w:ascii="宋体" w:hAnsi="宋体" w:cs="宋体"/>
          <w:color w:val="auto"/>
          <w:sz w:val="24"/>
          <w:szCs w:val="24"/>
          <w:highlight w:val="none"/>
        </w:rPr>
        <w:t>日。</w:t>
      </w:r>
    </w:p>
    <w:p w14:paraId="7798AAF1">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2.报名方式：供应商在</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10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29  </w:t>
      </w:r>
      <w:r>
        <w:rPr>
          <w:rFonts w:hint="eastAsia" w:ascii="宋体" w:hAnsi="宋体" w:cs="宋体"/>
          <w:color w:val="auto"/>
          <w:sz w:val="24"/>
          <w:szCs w:val="24"/>
          <w:highlight w:val="none"/>
        </w:rPr>
        <w:t>日17:00时前将《磋商文件发售登记表》（加盖供应商公章）扫描后发送至电子邮箱</w:t>
      </w:r>
      <w:r>
        <w:rPr>
          <w:rFonts w:hint="eastAsia" w:ascii="宋体" w:hAnsi="宋体" w:eastAsia="宋体" w:cs="宋体"/>
          <w:b w:val="0"/>
          <w:bCs w:val="0"/>
          <w:color w:val="auto"/>
          <w:sz w:val="24"/>
          <w:szCs w:val="24"/>
          <w:highlight w:val="none"/>
          <w:vertAlign w:val="baseline"/>
          <w:lang w:val="en-US" w:eastAsia="zh-CN"/>
        </w:rPr>
        <w:t>1585192715@qq.com</w:t>
      </w:r>
      <w:r>
        <w:rPr>
          <w:rFonts w:hint="eastAsia" w:ascii="宋体" w:hAnsi="宋体" w:cs="宋体"/>
          <w:color w:val="auto"/>
          <w:sz w:val="24"/>
          <w:szCs w:val="24"/>
          <w:highlight w:val="none"/>
        </w:rPr>
        <w:t>，视为具备报名资格，否则视为无效。</w:t>
      </w:r>
    </w:p>
    <w:p w14:paraId="3E21DA93">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3.竞争性磋商文件售价：人民币300元/包（售后不退）。</w:t>
      </w:r>
    </w:p>
    <w:p w14:paraId="5A55C1FA">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4.磋商文件费缴纳方式：</w:t>
      </w:r>
      <w:r>
        <w:rPr>
          <w:rFonts w:hint="eastAsia" w:ascii="宋体" w:hAnsi="宋体" w:cs="宋体"/>
          <w:sz w:val="24"/>
          <w:szCs w:val="24"/>
          <w:highlight w:val="none"/>
        </w:rPr>
        <w:t>报名时缴纳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缴纳截止时间同报名截止时间</w:t>
      </w:r>
      <w:r>
        <w:rPr>
          <w:rFonts w:hint="eastAsia" w:ascii="宋体" w:hAnsi="宋体" w:cs="宋体"/>
          <w:color w:val="auto"/>
          <w:sz w:val="24"/>
          <w:szCs w:val="24"/>
          <w:highlight w:val="none"/>
        </w:rPr>
        <w:t>。</w:t>
      </w:r>
    </w:p>
    <w:p w14:paraId="1EDF8C74">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（四）供应商须满足以下三种要件，其响应文件才被接受：</w:t>
      </w:r>
    </w:p>
    <w:p w14:paraId="43331FA4">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1.完成报名并按时缴纳了报名费；</w:t>
      </w:r>
    </w:p>
    <w:p w14:paraId="2694897C">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2.按时递交了响应文件；</w:t>
      </w:r>
    </w:p>
    <w:p w14:paraId="2CAD0D94">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3.按时签到。</w:t>
      </w:r>
    </w:p>
    <w:p w14:paraId="67232C0C">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（五）递交响应文件地点：攀钢集团工科工程咨询有限公司会议室（重庆市渝北区</w:t>
      </w:r>
      <w:r>
        <w:rPr>
          <w:rFonts w:hint="eastAsia" w:ascii="宋体" w:hAnsi="宋体" w:cs="宋体"/>
          <w:color w:val="auto"/>
          <w:sz w:val="24"/>
          <w:szCs w:val="24"/>
          <w:highlight w:val="none"/>
          <w:lang w:val="en-US" w:eastAsia="zh-CN"/>
        </w:rPr>
        <w:t>力帆时代2栋9-2</w:t>
      </w:r>
      <w:r>
        <w:rPr>
          <w:rFonts w:hint="eastAsia" w:ascii="宋体" w:hAnsi="宋体" w:cs="宋体"/>
          <w:color w:val="auto"/>
          <w:sz w:val="24"/>
          <w:szCs w:val="24"/>
          <w:highlight w:val="none"/>
        </w:rPr>
        <w:t>）</w:t>
      </w:r>
    </w:p>
    <w:p w14:paraId="647CD954">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（六）响应文件递交截止时间：</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11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rPr>
        <w:t>日北京时间1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p>
    <w:p w14:paraId="77A1864C">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（七）磋商开始时间：</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11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rPr>
        <w:t>日北京时间1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p>
    <w:p w14:paraId="58768685">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cs="宋体"/>
          <w:color w:val="auto"/>
          <w:sz w:val="24"/>
          <w:szCs w:val="24"/>
          <w:highlight w:val="none"/>
        </w:rPr>
      </w:pPr>
      <w:bookmarkStart w:id="32" w:name="_Toc26505"/>
      <w:bookmarkStart w:id="33" w:name="_Toc4905"/>
      <w:bookmarkStart w:id="34" w:name="_Toc20130534"/>
      <w:bookmarkStart w:id="35" w:name="_Toc32288"/>
      <w:bookmarkStart w:id="36" w:name="_Toc19921"/>
      <w:bookmarkStart w:id="37" w:name="_Toc373860294"/>
      <w:r>
        <w:rPr>
          <w:rFonts w:hint="eastAsia" w:ascii="宋体" w:hAnsi="宋体" w:cs="宋体"/>
          <w:color w:val="auto"/>
          <w:sz w:val="24"/>
          <w:szCs w:val="24"/>
          <w:highlight w:val="none"/>
        </w:rPr>
        <w:t>五、磋商保证金</w:t>
      </w:r>
      <w:bookmarkEnd w:id="32"/>
      <w:bookmarkEnd w:id="33"/>
      <w:bookmarkEnd w:id="34"/>
      <w:bookmarkEnd w:id="35"/>
      <w:bookmarkEnd w:id="36"/>
      <w:bookmarkEnd w:id="37"/>
    </w:p>
    <w:p w14:paraId="71A65B27">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bookmarkStart w:id="38" w:name="_Toc530038692"/>
      <w:bookmarkStart w:id="39" w:name="_Toc20130535"/>
      <w:r>
        <w:rPr>
          <w:rFonts w:hint="eastAsia" w:ascii="宋体" w:hAnsi="宋体" w:cs="宋体"/>
          <w:color w:val="auto"/>
          <w:sz w:val="24"/>
          <w:szCs w:val="24"/>
          <w:highlight w:val="none"/>
        </w:rPr>
        <w:t>（一）磋商保证金递交</w:t>
      </w:r>
    </w:p>
    <w:p w14:paraId="48956073">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供应商须按本项目规定的磋商保证金金额进行缴纳（保证金金额详见本篇，一、竞争性磋商内容），由供应商从其单位账户将磋商保证金汇至以下账户，磋商保证金的到账截止时间为</w:t>
      </w:r>
      <w:r>
        <w:rPr>
          <w:rFonts w:hint="eastAsia" w:ascii="宋体" w:hAnsi="宋体" w:cs="宋体"/>
          <w:color w:val="auto"/>
          <w:sz w:val="24"/>
          <w:szCs w:val="24"/>
          <w:highlight w:val="none"/>
          <w:lang w:val="en-US" w:eastAsia="zh-CN"/>
        </w:rPr>
        <w:t>开标当</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:00。缴纳保证金时付款凭证备注栏必须备注项目名称（可简写）。</w:t>
      </w:r>
    </w:p>
    <w:p w14:paraId="675D7B09">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磋商保证金账户：</w:t>
      </w:r>
    </w:p>
    <w:p w14:paraId="0D3D65A2">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户  名：攀钢集团工科工程咨询有限公司重庆分公司</w:t>
      </w:r>
    </w:p>
    <w:p w14:paraId="4B5BD554">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开户行：中国农业银行重庆巴南马王坪支行 </w:t>
      </w:r>
    </w:p>
    <w:p w14:paraId="05FB053D">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账  号：31101201040002679</w:t>
      </w:r>
    </w:p>
    <w:p w14:paraId="250A5E72">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5A2DE6E8">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1.非成交供应商的保证金，在成交通知书发放后，由采购代理机构在五个工作日内按来款渠道直接退还。</w:t>
      </w:r>
    </w:p>
    <w:p w14:paraId="6A504016">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2.成交供应商的投标保证金，在成交供应商与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签订合同后，由采购代理机构在五个工作日内按资金来款渠道直接退还。</w:t>
      </w:r>
    </w:p>
    <w:p w14:paraId="6244C829">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cs="宋体"/>
          <w:color w:val="auto"/>
          <w:sz w:val="24"/>
          <w:szCs w:val="24"/>
          <w:highlight w:val="none"/>
        </w:rPr>
      </w:pPr>
      <w:bookmarkStart w:id="40" w:name="_Toc12301"/>
      <w:bookmarkStart w:id="41" w:name="_Toc29715"/>
      <w:bookmarkStart w:id="42" w:name="_Toc13715"/>
      <w:bookmarkStart w:id="43" w:name="_Toc23602"/>
      <w:r>
        <w:rPr>
          <w:rFonts w:hint="eastAsia" w:ascii="宋体" w:hAnsi="宋体" w:cs="宋体"/>
          <w:color w:val="auto"/>
          <w:sz w:val="24"/>
          <w:szCs w:val="24"/>
          <w:highlight w:val="none"/>
        </w:rPr>
        <w:t>六、采购项目需落实的政府采购政策</w:t>
      </w:r>
      <w:bookmarkEnd w:id="38"/>
      <w:bookmarkEnd w:id="39"/>
      <w:bookmarkEnd w:id="40"/>
      <w:bookmarkEnd w:id="41"/>
      <w:bookmarkEnd w:id="42"/>
      <w:bookmarkEnd w:id="43"/>
    </w:p>
    <w:p w14:paraId="530C0A80">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FB1F07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（二）按照财政部、工业和信息化部关于印发《政府采购促进中小企业发展管理办法》的通知（财库〔2020〕46号）的规定，落实促进中小企业发展政策。</w:t>
      </w:r>
    </w:p>
    <w:p w14:paraId="50C14124">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（三）按照《财政部、司法部关于政府采购支持监狱企业发展有关问题的通知》（财库〔2014〕68号）的规定，落实支持监狱企业发展政策。</w:t>
      </w:r>
    </w:p>
    <w:p w14:paraId="2EDE9DEF">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（四）按照《三部门联合发布关于促进残疾人就业政府采购政策的通知》（财库〔2017〕 141号）的规定，落实支持残疾人福利性单位发展政策。</w:t>
      </w:r>
    </w:p>
    <w:p w14:paraId="36C89E04">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cs="宋体"/>
          <w:color w:val="auto"/>
          <w:sz w:val="24"/>
          <w:szCs w:val="24"/>
          <w:highlight w:val="none"/>
        </w:rPr>
      </w:pPr>
      <w:bookmarkStart w:id="44" w:name="_Toc3830"/>
      <w:bookmarkStart w:id="45" w:name="_Toc16054"/>
      <w:bookmarkStart w:id="46" w:name="_Toc13915"/>
      <w:bookmarkStart w:id="47" w:name="_Toc20130536"/>
      <w:bookmarkStart w:id="48" w:name="_Toc26503"/>
      <w:r>
        <w:rPr>
          <w:rFonts w:hint="eastAsia" w:ascii="宋体" w:hAnsi="宋体" w:cs="宋体"/>
          <w:color w:val="auto"/>
          <w:sz w:val="24"/>
          <w:szCs w:val="24"/>
          <w:highlight w:val="none"/>
        </w:rPr>
        <w:t>七、</w:t>
      </w:r>
      <w:bookmarkEnd w:id="21"/>
      <w:r>
        <w:rPr>
          <w:rFonts w:hint="eastAsia" w:ascii="宋体" w:hAnsi="宋体" w:cs="宋体"/>
          <w:color w:val="auto"/>
          <w:sz w:val="24"/>
          <w:szCs w:val="24"/>
          <w:highlight w:val="none"/>
        </w:rPr>
        <w:t>其它有关规定</w:t>
      </w:r>
      <w:bookmarkEnd w:id="44"/>
      <w:bookmarkEnd w:id="45"/>
      <w:bookmarkEnd w:id="46"/>
      <w:bookmarkEnd w:id="47"/>
      <w:bookmarkEnd w:id="48"/>
    </w:p>
    <w:p w14:paraId="13032595">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1B6D429F">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518CE2C">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重庆市经济和信息化委员会网”（https://jjxxw.cq.gov.cn/）上发布，请各供应商注意下载或到采购代理机构处领取；无论供应商下载或领取与否，均视同供应商已知晓本项目澄清文件（如果有）的内容。</w:t>
      </w:r>
    </w:p>
    <w:p w14:paraId="6487B140">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3B1CC02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0EC7A89B">
      <w:pPr>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（六）本项目不接受联合体参与磋商，否则按无效处理。</w:t>
      </w:r>
    </w:p>
    <w:p w14:paraId="43B79AE7">
      <w:pPr>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（七）本项目</w:t>
      </w:r>
      <w:r>
        <w:rPr>
          <w:rFonts w:hint="eastAsia" w:ascii="宋体" w:hAnsi="宋体" w:cs="宋体"/>
          <w:b/>
          <w:bCs/>
          <w:color w:val="auto"/>
          <w:sz w:val="24"/>
          <w:szCs w:val="24"/>
          <w:highlight w:val="none"/>
          <w:lang w:val="en-US" w:eastAsia="zh-CN"/>
        </w:rPr>
        <w:t>不允许分包，</w:t>
      </w:r>
      <w:r>
        <w:rPr>
          <w:rFonts w:hint="eastAsia" w:ascii="宋体" w:hAnsi="宋体" w:cs="宋体"/>
          <w:b/>
          <w:bCs/>
          <w:color w:val="auto"/>
          <w:sz w:val="24"/>
          <w:szCs w:val="24"/>
          <w:highlight w:val="none"/>
        </w:rPr>
        <w:t>否则按无效处理。</w:t>
      </w:r>
    </w:p>
    <w:p w14:paraId="5ECA0657">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6FD8A92">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cs="宋体"/>
          <w:color w:val="auto"/>
          <w:sz w:val="24"/>
          <w:szCs w:val="24"/>
          <w:highlight w:val="none"/>
        </w:rPr>
      </w:pPr>
      <w:bookmarkStart w:id="49" w:name="_Toc11230"/>
      <w:bookmarkStart w:id="50" w:name="_Toc932"/>
      <w:bookmarkStart w:id="51" w:name="_Toc27593"/>
      <w:bookmarkStart w:id="52" w:name="_Toc20130537"/>
      <w:bookmarkStart w:id="53" w:name="_Toc5055"/>
      <w:r>
        <w:rPr>
          <w:rFonts w:hint="eastAsia" w:ascii="宋体" w:hAnsi="宋体" w:cs="宋体"/>
          <w:color w:val="auto"/>
          <w:sz w:val="24"/>
          <w:szCs w:val="24"/>
          <w:highlight w:val="none"/>
        </w:rPr>
        <w:t>八、联系方式</w:t>
      </w:r>
      <w:bookmarkEnd w:id="49"/>
      <w:bookmarkEnd w:id="50"/>
      <w:bookmarkEnd w:id="51"/>
      <w:bookmarkEnd w:id="52"/>
      <w:bookmarkEnd w:id="53"/>
    </w:p>
    <w:p w14:paraId="5BF69F49">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：重庆市无线电监测站</w:t>
      </w:r>
    </w:p>
    <w:p w14:paraId="38E3F48C">
      <w:pPr>
        <w:pageBreakBefore w:val="0"/>
        <w:widowControl w:val="0"/>
        <w:kinsoku/>
        <w:wordWrap/>
        <w:overflowPunct/>
        <w:topLinePunct w:val="0"/>
        <w:autoSpaceDE/>
        <w:autoSpaceDN/>
        <w:bidi w:val="0"/>
        <w:adjustRightInd/>
        <w:snapToGrid w:val="0"/>
        <w:spacing w:line="500" w:lineRule="exact"/>
        <w:ind w:firstLine="1200" w:firstLineChars="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联系人：罗老师 </w:t>
      </w:r>
    </w:p>
    <w:p w14:paraId="63E82252">
      <w:pPr>
        <w:pageBreakBefore w:val="0"/>
        <w:widowControl w:val="0"/>
        <w:kinsoku/>
        <w:wordWrap/>
        <w:overflowPunct/>
        <w:topLinePunct w:val="0"/>
        <w:autoSpaceDE/>
        <w:autoSpaceDN/>
        <w:bidi w:val="0"/>
        <w:adjustRightInd/>
        <w:snapToGrid w:val="0"/>
        <w:spacing w:line="500" w:lineRule="exact"/>
        <w:ind w:firstLine="1200" w:firstLineChars="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  话：023-67710873</w:t>
      </w:r>
    </w:p>
    <w:p w14:paraId="06E96FB2">
      <w:pPr>
        <w:pageBreakBefore w:val="0"/>
        <w:widowControl w:val="0"/>
        <w:kinsoku/>
        <w:wordWrap/>
        <w:overflowPunct/>
        <w:topLinePunct w:val="0"/>
        <w:autoSpaceDE/>
        <w:autoSpaceDN/>
        <w:bidi w:val="0"/>
        <w:adjustRightInd/>
        <w:snapToGrid w:val="0"/>
        <w:spacing w:line="500" w:lineRule="exact"/>
        <w:ind w:firstLine="1200" w:firstLineChars="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  址：重庆市江北区兴隆路26号数码大厦16楼</w:t>
      </w:r>
    </w:p>
    <w:p w14:paraId="509FADED">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（二）采购代理机构：攀钢集团工科工程咨询有限公司</w:t>
      </w:r>
    </w:p>
    <w:p w14:paraId="074C7333">
      <w:pPr>
        <w:pageBreakBefore w:val="0"/>
        <w:widowControl w:val="0"/>
        <w:kinsoku/>
        <w:wordWrap/>
        <w:overflowPunct/>
        <w:topLinePunct w:val="0"/>
        <w:autoSpaceDE/>
        <w:autoSpaceDN/>
        <w:bidi w:val="0"/>
        <w:adjustRightInd/>
        <w:snapToGrid w:val="0"/>
        <w:spacing w:line="500" w:lineRule="exact"/>
        <w:ind w:firstLine="1200" w:firstLineChars="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曾</w:t>
      </w:r>
      <w:r>
        <w:rPr>
          <w:rFonts w:hint="eastAsia" w:ascii="宋体" w:hAnsi="宋体" w:cs="宋体"/>
          <w:color w:val="auto"/>
          <w:sz w:val="24"/>
          <w:szCs w:val="24"/>
          <w:highlight w:val="none"/>
        </w:rPr>
        <w:t xml:space="preserve">老师 </w:t>
      </w:r>
    </w:p>
    <w:p w14:paraId="475B75BC">
      <w:pPr>
        <w:pageBreakBefore w:val="0"/>
        <w:widowControl w:val="0"/>
        <w:kinsoku/>
        <w:wordWrap/>
        <w:overflowPunct/>
        <w:topLinePunct w:val="0"/>
        <w:autoSpaceDE/>
        <w:autoSpaceDN/>
        <w:bidi w:val="0"/>
        <w:adjustRightInd/>
        <w:snapToGrid w:val="0"/>
        <w:spacing w:line="500" w:lineRule="exact"/>
        <w:ind w:firstLine="1200" w:firstLineChars="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eastAsia="宋体" w:cs="宋体"/>
          <w:b w:val="0"/>
          <w:bCs w:val="0"/>
          <w:color w:val="auto"/>
          <w:sz w:val="24"/>
          <w:szCs w:val="24"/>
          <w:highlight w:val="none"/>
          <w:vertAlign w:val="baseline"/>
          <w:lang w:val="en-US" w:eastAsia="zh-CN"/>
        </w:rPr>
        <w:t>18323356014</w:t>
      </w:r>
    </w:p>
    <w:p w14:paraId="53343A8C">
      <w:pPr>
        <w:pageBreakBefore w:val="0"/>
        <w:widowControl w:val="0"/>
        <w:kinsoku/>
        <w:wordWrap/>
        <w:overflowPunct/>
        <w:topLinePunct w:val="0"/>
        <w:autoSpaceDE/>
        <w:autoSpaceDN/>
        <w:bidi w:val="0"/>
        <w:adjustRightInd/>
        <w:snapToGrid w:val="0"/>
        <w:spacing w:line="500" w:lineRule="exact"/>
        <w:ind w:firstLine="1200" w:firstLineChars="500"/>
        <w:textAlignment w:val="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地  址：重庆市渝北区</w:t>
      </w:r>
      <w:r>
        <w:rPr>
          <w:rFonts w:hint="eastAsia" w:ascii="宋体" w:hAnsi="宋体" w:cs="宋体"/>
          <w:color w:val="auto"/>
          <w:sz w:val="24"/>
          <w:szCs w:val="24"/>
          <w:highlight w:val="none"/>
          <w:lang w:val="en-US" w:eastAsia="zh-CN"/>
        </w:rPr>
        <w:t>力帆时代2栋9-2</w:t>
      </w:r>
    </w:p>
    <w:p w14:paraId="1FEBFB76">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ABE9402">
      <w:pPr>
        <w:pStyle w:val="4"/>
        <w:spacing w:before="0" w:after="0" w:line="360" w:lineRule="auto"/>
        <w:ind w:firstLineChars="200"/>
        <w:jc w:val="center"/>
        <w:rPr>
          <w:rFonts w:ascii="宋体" w:hAnsi="宋体" w:cs="宋体"/>
          <w:color w:val="auto"/>
          <w:sz w:val="21"/>
          <w:szCs w:val="21"/>
          <w:highlight w:val="none"/>
        </w:rPr>
      </w:pPr>
      <w:bookmarkStart w:id="54" w:name="_Toc20130538"/>
      <w:bookmarkStart w:id="55" w:name="_Toc7927"/>
      <w:bookmarkStart w:id="56" w:name="_Toc8653"/>
      <w:bookmarkStart w:id="57" w:name="_Toc28438"/>
      <w:bookmarkStart w:id="58" w:name="_Toc15115"/>
      <w:r>
        <w:rPr>
          <w:rFonts w:hint="eastAsia" w:ascii="宋体" w:hAnsi="宋体" w:eastAsia="宋体" w:cs="宋体"/>
          <w:b w:val="0"/>
          <w:color w:val="auto"/>
          <w:sz w:val="36"/>
          <w:szCs w:val="30"/>
          <w:highlight w:val="none"/>
        </w:rPr>
        <w:t>第二篇  项目技术需求</w:t>
      </w:r>
      <w:bookmarkEnd w:id="54"/>
      <w:bookmarkEnd w:id="55"/>
      <w:bookmarkEnd w:id="56"/>
      <w:bookmarkEnd w:id="57"/>
      <w:bookmarkEnd w:id="58"/>
      <w:bookmarkStart w:id="59" w:name="_Toc98855992"/>
      <w:bookmarkStart w:id="60" w:name="_Toc115344005"/>
      <w:bookmarkStart w:id="61" w:name="_Toc51854592"/>
    </w:p>
    <w:bookmarkEnd w:id="59"/>
    <w:bookmarkEnd w:id="60"/>
    <w:bookmarkEnd w:id="61"/>
    <w:p w14:paraId="5DC2B819">
      <w:pPr>
        <w:widowControl w:val="0"/>
        <w:kinsoku/>
        <w:wordWrap/>
        <w:overflowPunct/>
        <w:topLinePunct w:val="0"/>
        <w:autoSpaceDE/>
        <w:autoSpaceDN/>
        <w:bidi w:val="0"/>
        <w:adjustRightInd/>
        <w:snapToGrid w:val="0"/>
        <w:spacing w:line="500" w:lineRule="exact"/>
        <w:ind w:firstLine="0" w:firstLineChars="0"/>
        <w:textAlignment w:val="auto"/>
        <w:rPr>
          <w:rFonts w:ascii="宋体"/>
          <w:b/>
          <w:color w:val="auto"/>
          <w:sz w:val="21"/>
          <w:szCs w:val="21"/>
          <w:highlight w:val="none"/>
        </w:rPr>
      </w:pPr>
      <w:bookmarkStart w:id="62" w:name="_Toc78194437"/>
      <w:bookmarkStart w:id="63" w:name="_Toc441065663"/>
      <w:bookmarkStart w:id="64" w:name="_Toc5006885"/>
      <w:bookmarkStart w:id="65" w:name="_Toc516989213"/>
      <w:bookmarkStart w:id="66" w:name="_Toc6232092"/>
      <w:r>
        <w:rPr>
          <w:rFonts w:hint="eastAsia" w:ascii="宋体"/>
          <w:b/>
          <w:color w:val="auto"/>
          <w:sz w:val="21"/>
          <w:szCs w:val="21"/>
          <w:highlight w:val="none"/>
        </w:rPr>
        <w:t>“※”标注的要求为符合性审查中的实质性要求，响应文件若不满足按</w:t>
      </w:r>
      <w:r>
        <w:rPr>
          <w:rFonts w:hint="eastAsia" w:ascii="宋体"/>
          <w:b/>
          <w:color w:val="auto"/>
          <w:sz w:val="21"/>
          <w:szCs w:val="21"/>
          <w:highlight w:val="none"/>
          <w:lang w:val="en-US" w:eastAsia="zh-CN"/>
        </w:rPr>
        <w:t>否决响应文件</w:t>
      </w:r>
      <w:r>
        <w:rPr>
          <w:rFonts w:hint="eastAsia" w:ascii="宋体"/>
          <w:b/>
          <w:color w:val="auto"/>
          <w:sz w:val="21"/>
          <w:szCs w:val="21"/>
          <w:highlight w:val="none"/>
        </w:rPr>
        <w:t>处理。</w:t>
      </w:r>
    </w:p>
    <w:p w14:paraId="08B8A08C">
      <w:pPr>
        <w:widowControl w:val="0"/>
        <w:kinsoku/>
        <w:wordWrap/>
        <w:overflowPunct/>
        <w:topLinePunct w:val="0"/>
        <w:autoSpaceDE/>
        <w:autoSpaceDN/>
        <w:bidi w:val="0"/>
        <w:adjustRightInd/>
        <w:snapToGrid w:val="0"/>
        <w:spacing w:line="500" w:lineRule="exact"/>
        <w:ind w:firstLine="0" w:firstLineChars="0"/>
        <w:textAlignment w:val="auto"/>
        <w:rPr>
          <w:rFonts w:ascii="宋体"/>
          <w:b/>
          <w:color w:val="auto"/>
          <w:sz w:val="21"/>
          <w:szCs w:val="21"/>
          <w:highlight w:val="none"/>
        </w:rPr>
      </w:pPr>
      <w:r>
        <w:rPr>
          <w:rFonts w:hint="eastAsia" w:ascii="宋体"/>
          <w:b/>
          <w:color w:val="auto"/>
          <w:sz w:val="21"/>
          <w:szCs w:val="21"/>
          <w:highlight w:val="none"/>
        </w:rPr>
        <w:t>“★”标注的要求为重要</w:t>
      </w:r>
      <w:r>
        <w:rPr>
          <w:rFonts w:hint="eastAsia" w:ascii="宋体"/>
          <w:b/>
          <w:color w:val="auto"/>
          <w:sz w:val="21"/>
          <w:szCs w:val="21"/>
          <w:highlight w:val="none"/>
          <w:lang w:val="en-US" w:eastAsia="zh-CN"/>
        </w:rPr>
        <w:t>服务</w:t>
      </w:r>
      <w:r>
        <w:rPr>
          <w:rFonts w:hint="eastAsia" w:ascii="宋体"/>
          <w:b/>
          <w:color w:val="auto"/>
          <w:sz w:val="21"/>
          <w:szCs w:val="21"/>
          <w:highlight w:val="none"/>
        </w:rPr>
        <w:t>需求，若不满足将按照评标因素中相关规定处理。</w:t>
      </w:r>
    </w:p>
    <w:bookmarkEnd w:id="62"/>
    <w:bookmarkEnd w:id="63"/>
    <w:bookmarkEnd w:id="64"/>
    <w:bookmarkEnd w:id="65"/>
    <w:bookmarkEnd w:id="66"/>
    <w:p w14:paraId="7361AF43">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color w:val="auto"/>
          <w:sz w:val="24"/>
          <w:szCs w:val="24"/>
          <w:highlight w:val="none"/>
        </w:rPr>
      </w:pPr>
      <w:bookmarkStart w:id="67" w:name="_Toc21291"/>
      <w:bookmarkStart w:id="68" w:name="_Toc4603"/>
      <w:bookmarkStart w:id="69" w:name="_Toc4619"/>
      <w:bookmarkStart w:id="70" w:name="_Toc4543"/>
      <w:bookmarkStart w:id="71" w:name="_Toc8674"/>
      <w:r>
        <w:rPr>
          <w:rFonts w:hint="eastAsia" w:ascii="宋体"/>
          <w:color w:val="auto"/>
          <w:sz w:val="24"/>
          <w:szCs w:val="24"/>
          <w:highlight w:val="none"/>
        </w:rPr>
        <w:t>一、项目概况</w:t>
      </w:r>
      <w:bookmarkEnd w:id="67"/>
      <w:bookmarkEnd w:id="68"/>
      <w:bookmarkEnd w:id="69"/>
      <w:bookmarkEnd w:id="70"/>
      <w:bookmarkEnd w:id="7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274"/>
        <w:gridCol w:w="1134"/>
        <w:gridCol w:w="1418"/>
      </w:tblGrid>
      <w:tr w14:paraId="2AFC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0" w:type="dxa"/>
            <w:vAlign w:val="center"/>
          </w:tcPr>
          <w:p w14:paraId="04513362">
            <w:pPr>
              <w:snapToGrid w:val="0"/>
              <w:jc w:val="center"/>
              <w:rPr>
                <w:rFonts w:ascii="宋体" w:hAnsi="宋体"/>
                <w:b/>
                <w:sz w:val="24"/>
                <w:szCs w:val="24"/>
                <w:highlight w:val="none"/>
              </w:rPr>
            </w:pPr>
            <w:r>
              <w:rPr>
                <w:rFonts w:hint="eastAsia" w:ascii="宋体" w:hAnsi="宋体"/>
                <w:b/>
                <w:sz w:val="24"/>
                <w:szCs w:val="24"/>
                <w:highlight w:val="none"/>
              </w:rPr>
              <w:t>序号</w:t>
            </w:r>
          </w:p>
        </w:tc>
        <w:tc>
          <w:tcPr>
            <w:tcW w:w="5274" w:type="dxa"/>
            <w:vAlign w:val="center"/>
          </w:tcPr>
          <w:p w14:paraId="7FD68D96">
            <w:pPr>
              <w:snapToGrid w:val="0"/>
              <w:jc w:val="center"/>
              <w:rPr>
                <w:rFonts w:ascii="宋体" w:hAnsi="宋体"/>
                <w:b/>
                <w:sz w:val="24"/>
                <w:szCs w:val="24"/>
                <w:highlight w:val="none"/>
              </w:rPr>
            </w:pPr>
            <w:r>
              <w:rPr>
                <w:rFonts w:hint="eastAsia" w:ascii="宋体" w:hAnsi="宋体"/>
                <w:b/>
                <w:sz w:val="24"/>
                <w:szCs w:val="24"/>
                <w:highlight w:val="none"/>
              </w:rPr>
              <w:t>服务内容</w:t>
            </w:r>
          </w:p>
        </w:tc>
        <w:tc>
          <w:tcPr>
            <w:tcW w:w="1134" w:type="dxa"/>
            <w:vAlign w:val="center"/>
          </w:tcPr>
          <w:p w14:paraId="05F2524B">
            <w:pPr>
              <w:snapToGrid w:val="0"/>
              <w:jc w:val="center"/>
              <w:rPr>
                <w:rFonts w:ascii="宋体" w:hAnsi="宋体"/>
                <w:b/>
                <w:sz w:val="24"/>
                <w:szCs w:val="24"/>
                <w:highlight w:val="none"/>
              </w:rPr>
            </w:pPr>
            <w:r>
              <w:rPr>
                <w:rFonts w:hint="eastAsia" w:ascii="宋体" w:hAnsi="宋体"/>
                <w:b/>
                <w:sz w:val="24"/>
                <w:szCs w:val="24"/>
                <w:highlight w:val="none"/>
              </w:rPr>
              <w:t>单位</w:t>
            </w:r>
          </w:p>
        </w:tc>
        <w:tc>
          <w:tcPr>
            <w:tcW w:w="1418" w:type="dxa"/>
            <w:vAlign w:val="center"/>
          </w:tcPr>
          <w:p w14:paraId="49B3F8A9">
            <w:pPr>
              <w:snapToGrid w:val="0"/>
              <w:jc w:val="center"/>
              <w:rPr>
                <w:rFonts w:ascii="宋体" w:hAnsi="宋体"/>
                <w:b/>
                <w:sz w:val="24"/>
                <w:szCs w:val="24"/>
                <w:highlight w:val="none"/>
              </w:rPr>
            </w:pPr>
            <w:r>
              <w:rPr>
                <w:rFonts w:hint="eastAsia" w:ascii="宋体" w:hAnsi="宋体"/>
                <w:b/>
                <w:sz w:val="24"/>
                <w:szCs w:val="24"/>
                <w:highlight w:val="none"/>
              </w:rPr>
              <w:t>数量</w:t>
            </w:r>
          </w:p>
        </w:tc>
      </w:tr>
      <w:tr w14:paraId="033B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50" w:type="dxa"/>
            <w:vAlign w:val="center"/>
          </w:tcPr>
          <w:p w14:paraId="68E06342">
            <w:pPr>
              <w:snapToGrid w:val="0"/>
              <w:jc w:val="center"/>
              <w:rPr>
                <w:rFonts w:ascii="宋体" w:hAnsi="宋体"/>
                <w:sz w:val="24"/>
                <w:szCs w:val="24"/>
                <w:highlight w:val="none"/>
              </w:rPr>
            </w:pPr>
            <w:r>
              <w:rPr>
                <w:rFonts w:hint="eastAsia" w:ascii="宋体" w:hAnsi="宋体"/>
                <w:sz w:val="24"/>
                <w:szCs w:val="24"/>
                <w:highlight w:val="none"/>
              </w:rPr>
              <w:t>1</w:t>
            </w:r>
          </w:p>
        </w:tc>
        <w:tc>
          <w:tcPr>
            <w:tcW w:w="5274" w:type="dxa"/>
            <w:vAlign w:val="center"/>
          </w:tcPr>
          <w:p w14:paraId="03007175">
            <w:pPr>
              <w:snapToGrid w:val="0"/>
              <w:jc w:val="center"/>
              <w:rPr>
                <w:rFonts w:ascii="宋体" w:hAnsi="宋体"/>
                <w:sz w:val="24"/>
                <w:szCs w:val="24"/>
                <w:highlight w:val="none"/>
              </w:rPr>
            </w:pPr>
            <w:r>
              <w:rPr>
                <w:rFonts w:hint="eastAsia" w:ascii="宋体" w:hAnsi="宋体"/>
                <w:sz w:val="24"/>
                <w:szCs w:val="24"/>
                <w:highlight w:val="none"/>
              </w:rPr>
              <w:t>2025年无线电管理一体化平台质保及运维</w:t>
            </w:r>
          </w:p>
        </w:tc>
        <w:tc>
          <w:tcPr>
            <w:tcW w:w="1134" w:type="dxa"/>
            <w:vAlign w:val="center"/>
          </w:tcPr>
          <w:p w14:paraId="3110A2D1">
            <w:pPr>
              <w:snapToGrid w:val="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项</w:t>
            </w:r>
          </w:p>
        </w:tc>
        <w:tc>
          <w:tcPr>
            <w:tcW w:w="1418" w:type="dxa"/>
            <w:vAlign w:val="center"/>
          </w:tcPr>
          <w:p w14:paraId="60C2D75E">
            <w:pPr>
              <w:snapToGrid w:val="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w:t>
            </w:r>
          </w:p>
        </w:tc>
      </w:tr>
    </w:tbl>
    <w:p w14:paraId="2ACD48FE">
      <w:pPr>
        <w:pStyle w:val="5"/>
        <w:spacing w:before="0" w:after="0" w:line="360" w:lineRule="auto"/>
        <w:ind w:firstLine="482" w:firstLineChars="200"/>
        <w:rPr>
          <w:rFonts w:hint="default" w:ascii="Times New Roman" w:hAnsi="Times New Roman" w:cs="Times New Roman"/>
          <w:sz w:val="24"/>
          <w:szCs w:val="24"/>
          <w:highlight w:val="none"/>
        </w:rPr>
      </w:pPr>
      <w:bookmarkStart w:id="72" w:name="_Toc3886"/>
      <w:bookmarkStart w:id="73" w:name="_Toc19556"/>
      <w:bookmarkStart w:id="74" w:name="_Toc6842"/>
      <w:bookmarkStart w:id="75" w:name="_Toc11676"/>
      <w:bookmarkStart w:id="76" w:name="_Toc4330"/>
      <w:r>
        <w:rPr>
          <w:rFonts w:hint="default" w:ascii="Times New Roman" w:hAnsi="Times New Roman" w:cs="Times New Roman"/>
          <w:sz w:val="24"/>
          <w:szCs w:val="24"/>
          <w:highlight w:val="none"/>
        </w:rPr>
        <w:t>二、采购项目要求</w:t>
      </w:r>
      <w:bookmarkEnd w:id="72"/>
      <w:bookmarkEnd w:id="73"/>
      <w:bookmarkEnd w:id="74"/>
      <w:bookmarkEnd w:id="75"/>
      <w:bookmarkEnd w:id="76"/>
    </w:p>
    <w:p w14:paraId="7C48A6B4">
      <w:pPr>
        <w:snapToGrid w:val="0"/>
        <w:spacing w:line="500" w:lineRule="exact"/>
        <w:ind w:firstLine="482" w:firstLineChars="200"/>
        <w:rPr>
          <w:rFonts w:hint="default" w:ascii="宋体" w:hAnsi="宋体"/>
          <w:b/>
          <w:bCs/>
          <w:sz w:val="24"/>
          <w:szCs w:val="24"/>
          <w:highlight w:val="none"/>
          <w:lang w:val="en-US" w:eastAsia="zh-CN"/>
        </w:rPr>
      </w:pPr>
      <w:r>
        <w:rPr>
          <w:rFonts w:hint="eastAsia" w:ascii="宋体" w:hAnsi="宋体"/>
          <w:b/>
          <w:bCs/>
          <w:sz w:val="24"/>
          <w:szCs w:val="24"/>
          <w:highlight w:val="none"/>
          <w:lang w:val="en-US" w:eastAsia="zh-CN"/>
        </w:rPr>
        <w:t>（一）质保要求</w:t>
      </w:r>
    </w:p>
    <w:p w14:paraId="607846E7">
      <w:pPr>
        <w:pageBreakBefore w:val="0"/>
        <w:widowControl/>
        <w:kinsoku/>
        <w:wordWrap/>
        <w:overflowPunct/>
        <w:topLinePunct w:val="0"/>
        <w:autoSpaceDE/>
        <w:autoSpaceDN/>
        <w:bidi w:val="0"/>
        <w:snapToGrid w:val="0"/>
        <w:spacing w:line="50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sz w:val="24"/>
          <w:szCs w:val="24"/>
          <w:highlight w:val="none"/>
        </w:rPr>
        <w:t>★</w:t>
      </w:r>
      <w:r>
        <w:rPr>
          <w:rFonts w:hint="eastAsia" w:ascii="宋体" w:hAnsi="宋体"/>
          <w:sz w:val="24"/>
          <w:szCs w:val="24"/>
          <w:highlight w:val="none"/>
          <w:lang w:val="en-US" w:eastAsia="zh-CN"/>
        </w:rPr>
        <w:t>1.</w:t>
      </w:r>
      <w:r>
        <w:rPr>
          <w:rFonts w:hint="eastAsia" w:ascii="宋体" w:hAnsi="宋体" w:eastAsia="宋体" w:cs="宋体"/>
          <w:color w:val="auto"/>
          <w:sz w:val="24"/>
          <w:szCs w:val="24"/>
          <w:highlight w:val="none"/>
          <w:lang w:val="en-US" w:eastAsia="zh-CN"/>
        </w:rPr>
        <w:t>本项目质保内容</w:t>
      </w:r>
    </w:p>
    <w:p w14:paraId="7070E43D">
      <w:pPr>
        <w:pageBreakBefore w:val="0"/>
        <w:widowControl/>
        <w:kinsoku/>
        <w:wordWrap/>
        <w:overflowPunct/>
        <w:topLinePunct w:val="0"/>
        <w:autoSpaceDE/>
        <w:autoSpaceDN/>
        <w:bidi w:val="0"/>
        <w:snapToGrid w:val="0"/>
        <w:spacing w:line="50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质保内容为：“无线电管理一体化平台及4A建设”（项目号：19A1932）项目中软硬件设备（不含4A管理系统软硬件）。</w:t>
      </w:r>
    </w:p>
    <w:p w14:paraId="1FD678EF">
      <w:pPr>
        <w:numPr>
          <w:ilvl w:val="0"/>
          <w:numId w:val="0"/>
        </w:numPr>
        <w:snapToGrid w:val="0"/>
        <w:spacing w:line="500" w:lineRule="exact"/>
        <w:ind w:firstLine="482" w:firstLineChars="20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（二）运维服务要求</w:t>
      </w:r>
    </w:p>
    <w:p w14:paraId="03A91F93">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bookmarkStart w:id="77" w:name="_Toc3587"/>
      <w:bookmarkStart w:id="78" w:name="_Toc1620905184"/>
      <w:r>
        <w:rPr>
          <w:rFonts w:hint="eastAsia" w:ascii="宋体" w:hAnsi="宋体" w:eastAsia="宋体" w:cs="宋体"/>
          <w:color w:val="auto"/>
          <w:sz w:val="24"/>
          <w:szCs w:val="24"/>
          <w:highlight w:val="none"/>
          <w:lang w:val="en-US" w:eastAsia="zh-CN"/>
        </w:rPr>
        <w:t>1.故障处理</w:t>
      </w:r>
    </w:p>
    <w:p w14:paraId="0B63E75B">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及时处理一体化平台运行中出现的软件系统故障。当系统出现瘫痪、系统运行中断、性能全面退化或者关键业务数据丢失等故障时，成交供应商应持续提供技术支持服务，直到故障解决。当远程登录无法妥善处理时，应安排人员到采购人现场处理故障。</w:t>
      </w:r>
    </w:p>
    <w:p w14:paraId="08D5362D">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2.数据备份</w:t>
      </w:r>
    </w:p>
    <w:p w14:paraId="2B814E63">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配合采购人开展业务数据备份，以及配合采购人搭建测试环境，对备份数据进行有效性测试。</w:t>
      </w:r>
    </w:p>
    <w:p w14:paraId="74B40E73">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sz w:val="24"/>
          <w:szCs w:val="24"/>
          <w:highlight w:val="none"/>
        </w:rPr>
        <w:t>★</w:t>
      </w:r>
      <w:r>
        <w:rPr>
          <w:rFonts w:hint="eastAsia" w:ascii="宋体" w:hAnsi="宋体" w:eastAsia="宋体" w:cs="宋体"/>
          <w:color w:val="auto"/>
          <w:sz w:val="24"/>
          <w:szCs w:val="24"/>
          <w:highlight w:val="none"/>
          <w:lang w:val="en-US" w:eastAsia="zh-CN"/>
        </w:rPr>
        <w:t>3.平台互联保障</w:t>
      </w:r>
    </w:p>
    <w:p w14:paraId="11AC5EAD">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控平台级互联互通运行状况，发现和解决互联互通过程中的数据问题和软硬件问题。根据国家无线电管理机构相关要求，将采购人一体化平台的系统、服务和平台运行数据上报至国家中心。实现采购人一体化平台与区域中心平台、国家平台的数据交互。</w:t>
      </w:r>
    </w:p>
    <w:p w14:paraId="659999DD">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家无线电管理机构互联互通相关技术规范要求，升级互联互通接口服务，同时按照规范要求的周期和维度处理上报数据。通过监控互联互通接口服务的运行状况，及时发现和解决接口服务调用中出现的问题，确保平台级互联互通的及时性和有效性。定期对平台数据进行互联互通规范符合性巡检，确保平台上传的数据符合规范要求，协助第三方业务应用系统整改问题数据。</w:t>
      </w:r>
    </w:p>
    <w:p w14:paraId="24A9BFBD">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sz w:val="24"/>
          <w:szCs w:val="24"/>
          <w:highlight w:val="none"/>
        </w:rPr>
        <w:t>★</w:t>
      </w:r>
      <w:r>
        <w:rPr>
          <w:rFonts w:hint="eastAsia" w:ascii="宋体" w:hAnsi="宋体" w:eastAsia="宋体" w:cs="宋体"/>
          <w:color w:val="auto"/>
          <w:sz w:val="24"/>
          <w:szCs w:val="24"/>
          <w:highlight w:val="none"/>
          <w:lang w:val="en-US" w:eastAsia="zh-CN"/>
        </w:rPr>
        <w:t>4.应用系统集成支撑</w:t>
      </w:r>
    </w:p>
    <w:p w14:paraId="61F7B3A9">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目前，业务应用系统以及无线电监测站与一体化平台通过企业服务总线集成，完成信息资源请求与响应、服务注册与发布。成交供应商应协助业务应用系统、无线电监测站承建单位完成集成工作，做好规范解读与集成的协调工作。主要工作内容如下：</w:t>
      </w:r>
    </w:p>
    <w:p w14:paraId="7BD8135D">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答疑。针对系统承建单位提出的与集成相关问题进行回复，包括当面解答、电话、邮件等沟通方式。</w:t>
      </w:r>
    </w:p>
    <w:p w14:paraId="619D6EC6">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系统集成方案讨论。业务系统集成工作遇到特殊需求的时候，协同采购人与业务系统承建单位一起展开集成方案讨论，共同制定切实可行的集成方案。</w:t>
      </w:r>
    </w:p>
    <w:p w14:paraId="1D977FA4">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集成问题协助调查。集成调试过程中，协助业务承建单位进行日志、中间处理结果等方面的调查，以便尽快完成问题定位，保障集成工作顺利进行。</w:t>
      </w:r>
    </w:p>
    <w:p w14:paraId="39B8CFB2">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集成结果确认。依据相关集成规范对业务应用系统的集成情况进行确认，确保业务应用系统的集成结果符合各项规范要求。</w:t>
      </w:r>
    </w:p>
    <w:p w14:paraId="40F18604">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5.流程保障</w:t>
      </w:r>
    </w:p>
    <w:p w14:paraId="4A03F5E9">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根据采购人需求，优化调整一体化平台业务流程，保障业务流程顺利运行。</w:t>
      </w:r>
    </w:p>
    <w:p w14:paraId="7A130537">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6.网络漏洞整改</w:t>
      </w:r>
    </w:p>
    <w:p w14:paraId="4AFCC45B">
      <w:pPr>
        <w:pageBreakBefore w:val="0"/>
        <w:widowControl w:val="0"/>
        <w:kinsoku/>
        <w:wordWrap/>
        <w:overflowPunct/>
        <w:topLinePunct w:val="0"/>
        <w:autoSpaceDE/>
        <w:autoSpaceDN/>
        <w:bidi w:val="0"/>
        <w:snapToGrid w:val="0"/>
        <w:spacing w:line="500" w:lineRule="exact"/>
        <w:jc w:val="center"/>
        <w:textAlignment w:val="auto"/>
        <w:rPr>
          <w:rFonts w:ascii="宋体" w:hAnsi="宋体" w:eastAsia="宋体" w:cs="宋体"/>
          <w:b w:val="0"/>
          <w:color w:val="auto"/>
          <w:sz w:val="36"/>
          <w:szCs w:val="30"/>
          <w:highlight w:val="none"/>
        </w:rPr>
      </w:pPr>
      <w:r>
        <w:rPr>
          <w:rFonts w:hint="eastAsia" w:ascii="宋体" w:hAnsi="宋体" w:eastAsia="宋体" w:cs="宋体"/>
          <w:color w:val="auto"/>
          <w:sz w:val="24"/>
          <w:szCs w:val="24"/>
          <w:highlight w:val="none"/>
          <w:lang w:val="en-US" w:eastAsia="zh-CN"/>
        </w:rPr>
        <w:t>若运维服务期内发现任何网络漏洞，成交供应商都应立即进行整改，消除漏洞。</w:t>
      </w:r>
      <w:bookmarkEnd w:id="77"/>
      <w:bookmarkEnd w:id="78"/>
      <w:r>
        <w:rPr>
          <w:rFonts w:hint="default" w:ascii="宋体" w:hAnsi="宋体" w:eastAsia="宋体" w:cs="宋体"/>
          <w:color w:val="auto"/>
          <w:sz w:val="24"/>
          <w:szCs w:val="24"/>
          <w:highlight w:val="none"/>
          <w:lang w:val="en-US" w:eastAsia="zh-CN"/>
        </w:rPr>
        <w:br w:type="page"/>
      </w:r>
      <w:bookmarkStart w:id="79" w:name="_Toc12372"/>
      <w:bookmarkStart w:id="80" w:name="_Toc3183"/>
      <w:bookmarkStart w:id="81" w:name="_Toc13822"/>
      <w:bookmarkStart w:id="82" w:name="_Toc4521"/>
      <w:r>
        <w:rPr>
          <w:rFonts w:hint="eastAsia" w:ascii="宋体" w:hAnsi="宋体" w:eastAsia="宋体" w:cs="宋体"/>
          <w:b w:val="0"/>
          <w:color w:val="auto"/>
          <w:sz w:val="36"/>
          <w:szCs w:val="30"/>
          <w:highlight w:val="none"/>
        </w:rPr>
        <w:t>第三篇  项目商务需求</w:t>
      </w:r>
      <w:bookmarkEnd w:id="79"/>
      <w:bookmarkEnd w:id="80"/>
      <w:bookmarkEnd w:id="81"/>
      <w:bookmarkEnd w:id="82"/>
    </w:p>
    <w:p w14:paraId="4FEA010C">
      <w:pPr>
        <w:spacing w:line="500" w:lineRule="exact"/>
        <w:ind w:firstLine="422" w:firstLineChars="200"/>
        <w:rPr>
          <w:rFonts w:ascii="宋体" w:hAnsi="宋体" w:cs="宋体"/>
          <w:color w:val="auto"/>
          <w:sz w:val="24"/>
          <w:szCs w:val="24"/>
          <w:highlight w:val="none"/>
        </w:rPr>
      </w:pPr>
      <w:bookmarkStart w:id="83" w:name="_Toc344475120"/>
      <w:r>
        <w:rPr>
          <w:rFonts w:hint="eastAsia" w:ascii="宋体" w:hAnsi="宋体" w:cs="宋体"/>
          <w:b/>
          <w:color w:val="auto"/>
          <w:sz w:val="21"/>
          <w:szCs w:val="21"/>
          <w:highlight w:val="none"/>
        </w:rPr>
        <w:t>“※”标注的要求为符合性审查中的实质性要求，响应文件若不满足按无效响应处理。</w:t>
      </w:r>
    </w:p>
    <w:bookmarkEnd w:id="83"/>
    <w:p w14:paraId="17332516">
      <w:pPr>
        <w:pStyle w:val="5"/>
        <w:spacing w:before="0" w:after="0" w:line="500" w:lineRule="exact"/>
        <w:ind w:firstLine="482" w:firstLineChars="200"/>
        <w:rPr>
          <w:rFonts w:ascii="宋体" w:hAnsi="宋体" w:cs="宋体"/>
          <w:color w:val="auto"/>
          <w:sz w:val="24"/>
          <w:szCs w:val="24"/>
          <w:highlight w:val="none"/>
        </w:rPr>
      </w:pPr>
      <w:bookmarkStart w:id="84" w:name="_Toc267320049"/>
      <w:bookmarkStart w:id="85" w:name="_Toc17407344"/>
      <w:bookmarkStart w:id="86" w:name="_Toc20130543"/>
      <w:bookmarkStart w:id="87" w:name="_Toc377042757"/>
      <w:bookmarkStart w:id="88" w:name="_Toc16455"/>
      <w:bookmarkStart w:id="89" w:name="_Toc6218"/>
      <w:bookmarkStart w:id="90" w:name="_Toc19478"/>
      <w:bookmarkStart w:id="91" w:name="_Toc32555"/>
      <w:r>
        <w:rPr>
          <w:rFonts w:hint="eastAsia" w:ascii="宋体" w:hAnsi="宋体" w:cs="宋体"/>
          <w:color w:val="auto"/>
          <w:sz w:val="24"/>
          <w:szCs w:val="24"/>
          <w:highlight w:val="none"/>
        </w:rPr>
        <w:t>※一、服务期、地点、验收方式</w:t>
      </w:r>
      <w:bookmarkEnd w:id="84"/>
      <w:bookmarkEnd w:id="85"/>
      <w:bookmarkEnd w:id="86"/>
      <w:bookmarkEnd w:id="87"/>
      <w:r>
        <w:rPr>
          <w:rFonts w:hint="eastAsia" w:ascii="宋体" w:hAnsi="宋体" w:cs="宋体"/>
          <w:color w:val="auto"/>
          <w:sz w:val="24"/>
          <w:szCs w:val="24"/>
          <w:highlight w:val="none"/>
        </w:rPr>
        <w:t>及标准</w:t>
      </w:r>
      <w:bookmarkEnd w:id="88"/>
      <w:bookmarkEnd w:id="89"/>
      <w:bookmarkEnd w:id="90"/>
      <w:bookmarkEnd w:id="91"/>
    </w:p>
    <w:p w14:paraId="402C7F3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（一）服务期</w:t>
      </w:r>
    </w:p>
    <w:p w14:paraId="5A343755">
      <w:pPr>
        <w:snapToGrid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质保服务期限：</w:t>
      </w:r>
      <w:r>
        <w:rPr>
          <w:rFonts w:hint="eastAsia" w:ascii="宋体" w:hAnsi="宋体" w:cs="宋体"/>
          <w:color w:val="auto"/>
          <w:sz w:val="24"/>
          <w:szCs w:val="24"/>
          <w:highlight w:val="none"/>
        </w:rPr>
        <w:t>2025年12月11日起两年</w:t>
      </w:r>
      <w:r>
        <w:rPr>
          <w:rFonts w:hint="eastAsia" w:ascii="宋体" w:hAnsi="宋体" w:cs="宋体"/>
          <w:color w:val="auto"/>
          <w:sz w:val="24"/>
          <w:szCs w:val="24"/>
          <w:highlight w:val="none"/>
          <w:lang w:eastAsia="zh-CN"/>
        </w:rPr>
        <w:t>。</w:t>
      </w:r>
    </w:p>
    <w:p w14:paraId="701E5F5D">
      <w:pPr>
        <w:snapToGrid w:val="0"/>
        <w:spacing w:line="500" w:lineRule="exact"/>
        <w:ind w:firstLine="480" w:firstLineChars="200"/>
        <w:rPr>
          <w:rFonts w:hint="default"/>
          <w:highlight w:val="none"/>
          <w:lang w:val="en-US" w:eastAsia="zh-CN"/>
        </w:rPr>
      </w:pPr>
      <w:r>
        <w:rPr>
          <w:rFonts w:hint="eastAsia" w:ascii="宋体" w:hAnsi="宋体" w:cs="宋体"/>
          <w:color w:val="auto"/>
          <w:sz w:val="24"/>
          <w:szCs w:val="24"/>
          <w:highlight w:val="none"/>
          <w:lang w:val="en-US" w:eastAsia="zh-CN"/>
        </w:rPr>
        <w:t>运维服务期限：</w:t>
      </w:r>
      <w:r>
        <w:rPr>
          <w:rFonts w:hint="eastAsia" w:ascii="宋体" w:hAnsi="宋体" w:cs="宋体"/>
          <w:color w:val="auto"/>
          <w:sz w:val="24"/>
          <w:szCs w:val="24"/>
          <w:highlight w:val="none"/>
        </w:rPr>
        <w:t>2025年12月11日起两年</w:t>
      </w:r>
      <w:r>
        <w:rPr>
          <w:rFonts w:hint="eastAsia" w:ascii="宋体" w:hAnsi="宋体" w:cs="宋体"/>
          <w:color w:val="auto"/>
          <w:sz w:val="24"/>
          <w:szCs w:val="24"/>
          <w:highlight w:val="none"/>
          <w:lang w:eastAsia="zh-CN"/>
        </w:rPr>
        <w:t>。</w:t>
      </w:r>
    </w:p>
    <w:p w14:paraId="6967DF14">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（二）服务地点</w:t>
      </w:r>
    </w:p>
    <w:p w14:paraId="238CCAC6">
      <w:pPr>
        <w:snapToGrid w:val="0"/>
        <w:spacing w:line="500" w:lineRule="exact"/>
        <w:ind w:firstLine="480" w:firstLineChars="200"/>
        <w:rPr>
          <w:rFonts w:ascii="宋体" w:hAnsi="宋体" w:cs="宋体"/>
          <w:color w:val="auto"/>
          <w:sz w:val="24"/>
          <w:szCs w:val="24"/>
          <w:highlight w:val="none"/>
        </w:rPr>
      </w:pPr>
      <w:bookmarkStart w:id="92" w:name="_Toc377042758"/>
      <w:bookmarkStart w:id="93" w:name="_Toc267320050"/>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同意或指定地点。</w:t>
      </w:r>
    </w:p>
    <w:p w14:paraId="3C7F91B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（三）验收方式及标准</w:t>
      </w:r>
    </w:p>
    <w:p w14:paraId="3FB2D4E3">
      <w:pPr>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1.验收单位：</w:t>
      </w:r>
      <w:r>
        <w:rPr>
          <w:rFonts w:hint="eastAsia" w:ascii="宋体" w:hAnsi="宋体" w:cs="宋体"/>
          <w:color w:val="auto"/>
          <w:sz w:val="24"/>
          <w:szCs w:val="24"/>
          <w:highlight w:val="none"/>
          <w:lang w:eastAsia="zh-CN"/>
        </w:rPr>
        <w:t>采购人</w:t>
      </w:r>
    </w:p>
    <w:p w14:paraId="6FD4218C">
      <w:pPr>
        <w:snapToGrid w:val="0"/>
        <w:spacing w:line="500" w:lineRule="exact"/>
        <w:ind w:firstLine="480" w:firstLineChars="20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2.验收时间：项目服务期结束后采购人组织开展验收。</w:t>
      </w:r>
    </w:p>
    <w:p w14:paraId="3D56B27F">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.验收标准：按照国家及行业相关标准、竞争性磋商文件</w:t>
      </w:r>
      <w:r>
        <w:rPr>
          <w:rFonts w:hint="eastAsia" w:ascii="宋体" w:hAnsi="宋体" w:cs="宋体"/>
          <w:color w:val="auto"/>
          <w:sz w:val="24"/>
          <w:szCs w:val="24"/>
          <w:highlight w:val="none"/>
          <w:lang w:val="en-US" w:eastAsia="zh-CN"/>
        </w:rPr>
        <w:t>要求、响应文件承诺、合同约定</w:t>
      </w:r>
      <w:r>
        <w:rPr>
          <w:rFonts w:hint="eastAsia" w:ascii="宋体" w:hAnsi="宋体" w:cs="宋体"/>
          <w:color w:val="auto"/>
          <w:sz w:val="24"/>
          <w:szCs w:val="24"/>
          <w:highlight w:val="none"/>
        </w:rPr>
        <w:t>对成交供应商的完成情况进行验收。</w:t>
      </w:r>
    </w:p>
    <w:p w14:paraId="5C000956">
      <w:pPr>
        <w:pStyle w:val="5"/>
        <w:spacing w:before="0" w:after="0" w:line="500" w:lineRule="exact"/>
        <w:ind w:firstLine="482" w:firstLineChars="200"/>
        <w:rPr>
          <w:rFonts w:ascii="宋体" w:hAnsi="宋体" w:cs="宋体"/>
          <w:color w:val="auto"/>
          <w:sz w:val="24"/>
          <w:szCs w:val="24"/>
          <w:highlight w:val="none"/>
        </w:rPr>
      </w:pPr>
      <w:bookmarkStart w:id="94" w:name="_Toc21171"/>
      <w:bookmarkStart w:id="95" w:name="_Toc20130544"/>
      <w:bookmarkStart w:id="96" w:name="_Toc19864"/>
      <w:bookmarkStart w:id="97" w:name="_Toc31315"/>
      <w:bookmarkStart w:id="98" w:name="_Toc17407345"/>
      <w:bookmarkStart w:id="99" w:name="_Toc31261"/>
      <w:r>
        <w:rPr>
          <w:rFonts w:hint="eastAsia" w:ascii="宋体" w:hAnsi="宋体" w:cs="宋体"/>
          <w:color w:val="auto"/>
          <w:sz w:val="24"/>
          <w:szCs w:val="24"/>
          <w:highlight w:val="none"/>
        </w:rPr>
        <w:t>※二、报价要求</w:t>
      </w:r>
      <w:bookmarkEnd w:id="92"/>
      <w:bookmarkEnd w:id="94"/>
      <w:bookmarkEnd w:id="95"/>
      <w:bookmarkEnd w:id="96"/>
      <w:bookmarkEnd w:id="97"/>
      <w:bookmarkEnd w:id="98"/>
      <w:bookmarkEnd w:id="99"/>
    </w:p>
    <w:bookmarkEnd w:id="93"/>
    <w:p w14:paraId="4734D0C8">
      <w:pPr>
        <w:numPr>
          <w:ilvl w:val="0"/>
          <w:numId w:val="2"/>
        </w:numPr>
        <w:snapToGrid w:val="0"/>
        <w:spacing w:line="500" w:lineRule="exact"/>
        <w:ind w:firstLine="480" w:firstLineChars="200"/>
        <w:rPr>
          <w:rFonts w:hint="eastAsia" w:ascii="宋体" w:hAnsi="宋体" w:cs="宋体"/>
          <w:color w:val="auto"/>
          <w:sz w:val="24"/>
          <w:szCs w:val="24"/>
          <w:highlight w:val="none"/>
        </w:rPr>
      </w:pPr>
      <w:bookmarkStart w:id="100" w:name="_Toc17407347"/>
      <w:bookmarkStart w:id="101" w:name="_Toc377042760"/>
      <w:bookmarkStart w:id="102" w:name="_Toc267320051"/>
      <w:bookmarkStart w:id="103" w:name="_Toc20130545"/>
      <w:r>
        <w:rPr>
          <w:rFonts w:hint="eastAsia" w:ascii="宋体" w:hAnsi="宋体" w:cs="宋体"/>
          <w:color w:val="auto"/>
          <w:sz w:val="24"/>
          <w:szCs w:val="24"/>
          <w:highlight w:val="none"/>
        </w:rPr>
        <w:t>磋商报价应包括完成本项目所需的全部费用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包括但不限于技术服务费、维护费、人工费、税费等其它与本项目相关的一切费用。因报价估计不足或市场价格波动</w:t>
      </w:r>
      <w:r>
        <w:rPr>
          <w:rFonts w:hint="eastAsia" w:ascii="宋体" w:hAnsi="宋体" w:cs="宋体"/>
          <w:color w:val="auto"/>
          <w:sz w:val="24"/>
          <w:szCs w:val="24"/>
          <w:highlight w:val="none"/>
          <w:lang w:eastAsia="zh-CN"/>
        </w:rPr>
        <w:t>皆</w:t>
      </w:r>
      <w:r>
        <w:rPr>
          <w:rFonts w:hint="eastAsia" w:ascii="宋体" w:hAnsi="宋体" w:cs="宋体"/>
          <w:color w:val="auto"/>
          <w:sz w:val="24"/>
          <w:szCs w:val="24"/>
          <w:highlight w:val="none"/>
        </w:rPr>
        <w:t>由</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自行负责，</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均不承担价差补偿。</w:t>
      </w:r>
    </w:p>
    <w:p w14:paraId="7420943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（二）本项目</w:t>
      </w:r>
      <w:r>
        <w:rPr>
          <w:rFonts w:hint="eastAsia" w:ascii="宋体" w:hAnsi="宋体" w:cs="宋体"/>
          <w:color w:val="auto"/>
          <w:sz w:val="24"/>
          <w:szCs w:val="24"/>
          <w:highlight w:val="none"/>
          <w:lang w:val="en-US" w:eastAsia="zh-CN"/>
        </w:rPr>
        <w:t>采用总价包干，</w:t>
      </w: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 xml:space="preserve"> 27</w:t>
      </w:r>
      <w:r>
        <w:rPr>
          <w:rFonts w:hint="eastAsia" w:ascii="宋体" w:hAnsi="宋体" w:cs="宋体"/>
          <w:color w:val="auto"/>
          <w:sz w:val="24"/>
          <w:szCs w:val="24"/>
          <w:highlight w:val="none"/>
        </w:rPr>
        <w:t>万元，供应商的响应报价不得高于总价最高限价，否则按无效响应处理。</w:t>
      </w:r>
    </w:p>
    <w:p w14:paraId="3197A892">
      <w:pPr>
        <w:pStyle w:val="5"/>
        <w:spacing w:before="0" w:after="0" w:line="500" w:lineRule="exact"/>
        <w:ind w:firstLine="482" w:firstLineChars="200"/>
        <w:rPr>
          <w:rFonts w:ascii="宋体" w:hAnsi="宋体" w:cs="宋体"/>
          <w:color w:val="auto"/>
          <w:sz w:val="24"/>
          <w:szCs w:val="24"/>
          <w:highlight w:val="none"/>
        </w:rPr>
      </w:pPr>
      <w:bookmarkStart w:id="104" w:name="_Toc6881"/>
      <w:bookmarkStart w:id="105" w:name="_Toc31194"/>
      <w:bookmarkStart w:id="106" w:name="_Toc2971"/>
      <w:bookmarkStart w:id="107" w:name="_Toc11"/>
      <w:r>
        <w:rPr>
          <w:rFonts w:hint="eastAsia" w:ascii="宋体" w:hAnsi="宋体" w:cs="宋体"/>
          <w:color w:val="auto"/>
          <w:sz w:val="24"/>
          <w:szCs w:val="24"/>
          <w:highlight w:val="none"/>
        </w:rPr>
        <w:t>※三、付款方式</w:t>
      </w:r>
      <w:bookmarkEnd w:id="100"/>
      <w:bookmarkEnd w:id="101"/>
      <w:bookmarkEnd w:id="102"/>
      <w:bookmarkEnd w:id="103"/>
      <w:bookmarkEnd w:id="104"/>
      <w:bookmarkEnd w:id="105"/>
      <w:bookmarkEnd w:id="106"/>
      <w:bookmarkEnd w:id="107"/>
      <w:r>
        <w:rPr>
          <w:rFonts w:hint="eastAsia" w:ascii="宋体" w:hAnsi="宋体" w:cs="宋体"/>
          <w:color w:val="auto"/>
          <w:sz w:val="24"/>
          <w:szCs w:val="24"/>
          <w:highlight w:val="none"/>
        </w:rPr>
        <w:t xml:space="preserve"> </w:t>
      </w:r>
    </w:p>
    <w:p w14:paraId="22745F3C">
      <w:pPr>
        <w:snapToGrid w:val="0"/>
        <w:spacing w:line="500" w:lineRule="exact"/>
        <w:ind w:firstLine="480" w:firstLineChars="200"/>
        <w:rPr>
          <w:rFonts w:ascii="宋体" w:hAnsi="宋体" w:cs="宋体"/>
          <w:color w:val="auto"/>
          <w:sz w:val="24"/>
          <w:szCs w:val="24"/>
          <w:highlight w:val="none"/>
        </w:rPr>
      </w:pPr>
      <w:bookmarkStart w:id="108" w:name="_Toc267320052"/>
      <w:bookmarkStart w:id="109" w:name="_Toc377042761"/>
      <w:r>
        <w:rPr>
          <w:rFonts w:hint="eastAsia" w:ascii="宋体" w:hAnsi="宋体" w:cs="宋体"/>
          <w:color w:val="auto"/>
          <w:sz w:val="24"/>
          <w:szCs w:val="24"/>
          <w:highlight w:val="none"/>
        </w:rPr>
        <w:t>（一）签订合同前，成交供应商向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指定账户缴纳合同金额</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%的履约保证金</w:t>
      </w:r>
      <w:r>
        <w:rPr>
          <w:rFonts w:hint="eastAsia" w:ascii="宋体" w:hAnsi="宋体" w:cs="宋体"/>
          <w:color w:val="auto"/>
          <w:sz w:val="24"/>
          <w:szCs w:val="24"/>
          <w:highlight w:val="none"/>
          <w:lang w:eastAsia="zh-CN"/>
        </w:rPr>
        <w:t>，</w:t>
      </w:r>
      <w:r>
        <w:rPr>
          <w:rFonts w:hint="eastAsia" w:ascii="宋体" w:hAnsi="宋体" w:eastAsia="宋体" w:cs="Times New Roman"/>
          <w:color w:val="auto"/>
          <w:kern w:val="2"/>
          <w:sz w:val="24"/>
          <w:szCs w:val="24"/>
          <w:highlight w:val="none"/>
        </w:rPr>
        <w:t>以支票、汇票、本票或者金融机构、担保机构出具的保函等非现金形式提交</w:t>
      </w:r>
      <w:r>
        <w:rPr>
          <w:rFonts w:hint="eastAsia" w:ascii="宋体" w:hAnsi="宋体" w:cs="宋体"/>
          <w:color w:val="auto"/>
          <w:sz w:val="24"/>
          <w:szCs w:val="24"/>
          <w:highlight w:val="none"/>
        </w:rPr>
        <w:t>。</w:t>
      </w:r>
    </w:p>
    <w:p w14:paraId="00EFF0DD">
      <w:pPr>
        <w:snapToGrid w:val="0"/>
        <w:spacing w:line="500" w:lineRule="exact"/>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合同签订后</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向成交供应商支付</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合同</w:t>
      </w:r>
      <w:r>
        <w:rPr>
          <w:rFonts w:hint="eastAsia" w:ascii="宋体" w:hAnsi="宋体" w:cs="宋体"/>
          <w:color w:val="auto"/>
          <w:sz w:val="24"/>
          <w:szCs w:val="24"/>
          <w:highlight w:val="none"/>
          <w:lang w:val="en-US" w:eastAsia="zh-CN"/>
        </w:rPr>
        <w:t>金额。成交供应商应提供等额银行保函，保函期限1年。</w:t>
      </w:r>
    </w:p>
    <w:p w14:paraId="4ADD0EE2">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服务期</w:t>
      </w:r>
      <w:r>
        <w:rPr>
          <w:rFonts w:hint="eastAsia" w:ascii="宋体" w:hAnsi="宋体" w:cs="宋体"/>
          <w:color w:val="auto"/>
          <w:sz w:val="24"/>
          <w:szCs w:val="24"/>
          <w:highlight w:val="none"/>
          <w:lang w:val="en-US" w:eastAsia="zh-CN"/>
        </w:rPr>
        <w:t>结束且项目通过验收后</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无息退还</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履约保证金。</w:t>
      </w:r>
    </w:p>
    <w:bookmarkEnd w:id="108"/>
    <w:bookmarkEnd w:id="109"/>
    <w:p w14:paraId="4CD80C83">
      <w:pPr>
        <w:snapToGrid w:val="0"/>
        <w:spacing w:line="500" w:lineRule="exact"/>
        <w:ind w:firstLine="480" w:firstLineChars="200"/>
        <w:outlineLvl w:val="0"/>
        <w:rPr>
          <w:rFonts w:ascii="宋体" w:hAnsi="宋体" w:cs="宋体"/>
          <w:b/>
          <w:bCs/>
          <w:color w:val="auto"/>
          <w:sz w:val="24"/>
          <w:szCs w:val="24"/>
          <w:highlight w:val="none"/>
        </w:rPr>
      </w:pPr>
      <w:bookmarkStart w:id="110" w:name="_Toc5134"/>
      <w:bookmarkStart w:id="111" w:name="_Toc2467"/>
      <w:bookmarkStart w:id="112" w:name="_Toc13551"/>
      <w:bookmarkStart w:id="113" w:name="_Toc31571"/>
      <w:bookmarkStart w:id="114" w:name="_Toc27861"/>
      <w:r>
        <w:rPr>
          <w:rFonts w:hint="eastAsia" w:ascii="Times New Roman" w:hAnsi="Times New Roman" w:cs="Times New Roman"/>
          <w:sz w:val="24"/>
          <w:szCs w:val="24"/>
          <w:highlight w:val="none"/>
          <w:lang w:val="en-US" w:eastAsia="zh-CN"/>
        </w:rPr>
        <w:t>四</w:t>
      </w:r>
      <w:bookmarkEnd w:id="110"/>
      <w:bookmarkEnd w:id="111"/>
      <w:bookmarkEnd w:id="112"/>
      <w:bookmarkEnd w:id="113"/>
      <w:bookmarkEnd w:id="114"/>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知识产权</w:t>
      </w:r>
    </w:p>
    <w:p w14:paraId="54EA278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在中华人民共和国境内使用成交供应商提供的货物及服务时免受第三方提出的侵犯其专利权或其它知识产权的起诉。如果第三方提出侵权指控，成交供应商应承担由此而引起的一切法律责任和费用。</w:t>
      </w:r>
    </w:p>
    <w:p w14:paraId="3E43A2DF">
      <w:pPr>
        <w:snapToGrid w:val="0"/>
        <w:spacing w:line="500" w:lineRule="exact"/>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五</w:t>
      </w:r>
      <w:r>
        <w:rPr>
          <w:rFonts w:hint="eastAsia" w:ascii="宋体" w:hAnsi="宋体" w:cs="宋体"/>
          <w:b/>
          <w:bCs/>
          <w:color w:val="auto"/>
          <w:sz w:val="24"/>
          <w:szCs w:val="24"/>
          <w:highlight w:val="none"/>
        </w:rPr>
        <w:t>、其他</w:t>
      </w:r>
    </w:p>
    <w:p w14:paraId="086A385B">
      <w:pPr>
        <w:snapToGrid w:val="0"/>
        <w:spacing w:line="500" w:lineRule="exact"/>
        <w:ind w:firstLine="480" w:firstLineChars="200"/>
        <w:outlineLvl w:val="0"/>
        <w:rPr>
          <w:rFonts w:hint="eastAsia" w:ascii="宋体" w:hAnsi="宋体" w:cs="宋体"/>
          <w:color w:val="auto"/>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）其他未尽事宜由供需双方在采购合同中详细约定。</w:t>
      </w:r>
      <w:r>
        <w:rPr>
          <w:rFonts w:hint="eastAsia" w:ascii="宋体" w:hAnsi="宋体" w:cs="宋体"/>
          <w:color w:val="auto"/>
          <w:highlight w:val="none"/>
        </w:rPr>
        <w:br w:type="page"/>
      </w:r>
    </w:p>
    <w:p w14:paraId="4DA96506">
      <w:pPr>
        <w:pStyle w:val="4"/>
        <w:snapToGrid/>
        <w:spacing w:before="0" w:after="0" w:line="360" w:lineRule="auto"/>
        <w:jc w:val="left"/>
        <w:outlineLvl w:val="9"/>
        <w:rPr>
          <w:rFonts w:hint="eastAsia" w:ascii="宋体" w:hAnsi="宋体" w:eastAsia="宋体" w:cs="宋体"/>
          <w:b w:val="0"/>
          <w:color w:val="auto"/>
          <w:sz w:val="36"/>
          <w:szCs w:val="30"/>
          <w:highlight w:val="none"/>
        </w:rPr>
      </w:pPr>
      <w:bookmarkStart w:id="115" w:name="_Toc30007"/>
      <w:bookmarkStart w:id="116" w:name="_Toc23391"/>
      <w:r>
        <w:rPr>
          <w:rFonts w:hint="eastAsia" w:ascii="宋体" w:hAnsi="宋体" w:eastAsia="宋体" w:cs="宋体"/>
          <w:b w:val="0"/>
          <w:color w:val="auto"/>
          <w:sz w:val="36"/>
          <w:szCs w:val="30"/>
          <w:highlight w:val="none"/>
        </w:rPr>
        <w:t>第四篇  磋商程序及方法、评审标准、无效响应和采购终止</w:t>
      </w:r>
      <w:bookmarkEnd w:id="115"/>
      <w:bookmarkEnd w:id="116"/>
    </w:p>
    <w:p w14:paraId="2A93C157">
      <w:pPr>
        <w:pStyle w:val="5"/>
        <w:spacing w:before="0" w:after="0" w:line="500" w:lineRule="exact"/>
        <w:ind w:firstLine="482" w:firstLineChars="200"/>
        <w:rPr>
          <w:rFonts w:ascii="宋体" w:hAnsi="宋体" w:cs="宋体"/>
          <w:color w:val="auto"/>
          <w:sz w:val="24"/>
          <w:szCs w:val="24"/>
          <w:highlight w:val="none"/>
        </w:rPr>
      </w:pPr>
      <w:bookmarkStart w:id="117" w:name="_Toc14530"/>
      <w:bookmarkStart w:id="118" w:name="_Toc1886"/>
      <w:bookmarkStart w:id="119" w:name="_Toc10006"/>
      <w:bookmarkStart w:id="120" w:name="_Toc19895"/>
      <w:bookmarkStart w:id="121" w:name="_Toc20130548"/>
      <w:r>
        <w:rPr>
          <w:rFonts w:hint="eastAsia" w:ascii="宋体" w:hAnsi="宋体" w:cs="宋体"/>
          <w:color w:val="auto"/>
          <w:sz w:val="24"/>
          <w:szCs w:val="24"/>
          <w:highlight w:val="none"/>
        </w:rPr>
        <w:t>一、磋商程序及方法</w:t>
      </w:r>
      <w:bookmarkEnd w:id="117"/>
      <w:bookmarkEnd w:id="118"/>
      <w:bookmarkEnd w:id="119"/>
      <w:bookmarkEnd w:id="120"/>
      <w:bookmarkEnd w:id="121"/>
    </w:p>
    <w:p w14:paraId="31870890">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09D8DCC1">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1FE3F83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16"/>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964"/>
        <w:gridCol w:w="5288"/>
      </w:tblGrid>
      <w:tr w14:paraId="58DA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7" w:type="dxa"/>
            <w:tcBorders>
              <w:top w:val="single" w:color="auto" w:sz="4" w:space="0"/>
              <w:left w:val="single" w:color="auto" w:sz="4" w:space="0"/>
              <w:bottom w:val="single" w:color="auto" w:sz="4" w:space="0"/>
              <w:right w:val="single" w:color="auto" w:sz="4" w:space="0"/>
            </w:tcBorders>
            <w:vAlign w:val="center"/>
          </w:tcPr>
          <w:p w14:paraId="49A6822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673" w:type="dxa"/>
            <w:gridSpan w:val="2"/>
            <w:tcBorders>
              <w:top w:val="single" w:color="auto" w:sz="4" w:space="0"/>
              <w:left w:val="single" w:color="auto" w:sz="4" w:space="0"/>
              <w:bottom w:val="single" w:color="auto" w:sz="4" w:space="0"/>
              <w:right w:val="single" w:color="auto" w:sz="4" w:space="0"/>
            </w:tcBorders>
            <w:vAlign w:val="center"/>
          </w:tcPr>
          <w:p w14:paraId="5E72ACA7">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88" w:type="dxa"/>
            <w:tcBorders>
              <w:top w:val="single" w:color="auto" w:sz="4" w:space="0"/>
              <w:left w:val="single" w:color="auto" w:sz="4" w:space="0"/>
              <w:bottom w:val="single" w:color="auto" w:sz="4" w:space="0"/>
              <w:right w:val="single" w:color="auto" w:sz="4" w:space="0"/>
            </w:tcBorders>
            <w:vAlign w:val="center"/>
          </w:tcPr>
          <w:p w14:paraId="581DFE3C">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2F4F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17" w:type="dxa"/>
            <w:vMerge w:val="restart"/>
            <w:vAlign w:val="center"/>
          </w:tcPr>
          <w:p w14:paraId="149980B4">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2D4D8099">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964" w:type="dxa"/>
            <w:vAlign w:val="center"/>
          </w:tcPr>
          <w:p w14:paraId="61234958">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88" w:type="dxa"/>
            <w:vAlign w:val="center"/>
          </w:tcPr>
          <w:p w14:paraId="46780433">
            <w:pPr>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BF93118">
            <w:pPr>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1BCC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Merge w:val="continue"/>
            <w:vAlign w:val="center"/>
          </w:tcPr>
          <w:p w14:paraId="03A14FBE">
            <w:pPr>
              <w:jc w:val="center"/>
              <w:rPr>
                <w:rFonts w:ascii="宋体" w:hAnsi="宋体" w:cs="宋体"/>
                <w:color w:val="auto"/>
                <w:sz w:val="21"/>
                <w:szCs w:val="21"/>
                <w:highlight w:val="none"/>
              </w:rPr>
            </w:pPr>
          </w:p>
        </w:tc>
        <w:tc>
          <w:tcPr>
            <w:tcW w:w="709" w:type="dxa"/>
            <w:vMerge w:val="continue"/>
            <w:vAlign w:val="center"/>
          </w:tcPr>
          <w:p w14:paraId="284C4016">
            <w:pPr>
              <w:rPr>
                <w:rFonts w:ascii="宋体" w:hAnsi="宋体" w:cs="宋体"/>
                <w:color w:val="auto"/>
                <w:sz w:val="21"/>
                <w:szCs w:val="21"/>
                <w:highlight w:val="none"/>
                <w:lang w:val="zh-CN"/>
              </w:rPr>
            </w:pPr>
          </w:p>
        </w:tc>
        <w:tc>
          <w:tcPr>
            <w:tcW w:w="2964" w:type="dxa"/>
            <w:vAlign w:val="center"/>
          </w:tcPr>
          <w:p w14:paraId="7B04F572">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88" w:type="dxa"/>
            <w:vMerge w:val="restart"/>
            <w:vAlign w:val="center"/>
          </w:tcPr>
          <w:p w14:paraId="317F3CAF">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6176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Merge w:val="continue"/>
            <w:vAlign w:val="center"/>
          </w:tcPr>
          <w:p w14:paraId="24C09AEF">
            <w:pPr>
              <w:jc w:val="center"/>
              <w:rPr>
                <w:rFonts w:ascii="宋体" w:hAnsi="宋体" w:cs="宋体"/>
                <w:color w:val="auto"/>
                <w:sz w:val="21"/>
                <w:szCs w:val="21"/>
                <w:highlight w:val="none"/>
              </w:rPr>
            </w:pPr>
          </w:p>
        </w:tc>
        <w:tc>
          <w:tcPr>
            <w:tcW w:w="709" w:type="dxa"/>
            <w:vMerge w:val="continue"/>
            <w:vAlign w:val="center"/>
          </w:tcPr>
          <w:p w14:paraId="62651505">
            <w:pPr>
              <w:rPr>
                <w:rFonts w:ascii="宋体" w:hAnsi="宋体" w:cs="宋体"/>
                <w:color w:val="auto"/>
                <w:sz w:val="21"/>
                <w:szCs w:val="21"/>
                <w:highlight w:val="none"/>
                <w:lang w:val="zh-CN"/>
              </w:rPr>
            </w:pPr>
          </w:p>
        </w:tc>
        <w:tc>
          <w:tcPr>
            <w:tcW w:w="2964" w:type="dxa"/>
            <w:vAlign w:val="center"/>
          </w:tcPr>
          <w:p w14:paraId="0817C529">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88" w:type="dxa"/>
            <w:vMerge w:val="continue"/>
            <w:vAlign w:val="center"/>
          </w:tcPr>
          <w:p w14:paraId="3390B41F">
            <w:pPr>
              <w:rPr>
                <w:rFonts w:ascii="宋体" w:hAnsi="宋体" w:cs="宋体"/>
                <w:color w:val="auto"/>
                <w:sz w:val="21"/>
                <w:szCs w:val="21"/>
                <w:highlight w:val="none"/>
              </w:rPr>
            </w:pPr>
          </w:p>
        </w:tc>
      </w:tr>
      <w:tr w14:paraId="43B6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Merge w:val="continue"/>
            <w:vAlign w:val="center"/>
          </w:tcPr>
          <w:p w14:paraId="42297BB8">
            <w:pPr>
              <w:jc w:val="center"/>
              <w:rPr>
                <w:rFonts w:ascii="宋体" w:hAnsi="宋体" w:cs="宋体"/>
                <w:color w:val="auto"/>
                <w:sz w:val="21"/>
                <w:szCs w:val="21"/>
                <w:highlight w:val="none"/>
              </w:rPr>
            </w:pPr>
          </w:p>
        </w:tc>
        <w:tc>
          <w:tcPr>
            <w:tcW w:w="709" w:type="dxa"/>
            <w:vMerge w:val="continue"/>
            <w:vAlign w:val="center"/>
          </w:tcPr>
          <w:p w14:paraId="0DF29805">
            <w:pPr>
              <w:rPr>
                <w:rFonts w:ascii="宋体" w:hAnsi="宋体" w:cs="宋体"/>
                <w:color w:val="auto"/>
                <w:sz w:val="21"/>
                <w:szCs w:val="21"/>
                <w:highlight w:val="none"/>
                <w:lang w:val="zh-CN"/>
              </w:rPr>
            </w:pPr>
          </w:p>
        </w:tc>
        <w:tc>
          <w:tcPr>
            <w:tcW w:w="2964" w:type="dxa"/>
            <w:vAlign w:val="center"/>
          </w:tcPr>
          <w:p w14:paraId="75770EFA">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88" w:type="dxa"/>
            <w:vMerge w:val="continue"/>
            <w:vAlign w:val="center"/>
          </w:tcPr>
          <w:p w14:paraId="3199E230">
            <w:pPr>
              <w:rPr>
                <w:rFonts w:ascii="宋体" w:hAnsi="宋体" w:cs="宋体"/>
                <w:color w:val="auto"/>
                <w:sz w:val="21"/>
                <w:szCs w:val="21"/>
                <w:highlight w:val="none"/>
              </w:rPr>
            </w:pPr>
          </w:p>
        </w:tc>
      </w:tr>
      <w:tr w14:paraId="627C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17" w:type="dxa"/>
            <w:vMerge w:val="continue"/>
            <w:vAlign w:val="center"/>
          </w:tcPr>
          <w:p w14:paraId="592A10AC">
            <w:pPr>
              <w:jc w:val="center"/>
              <w:rPr>
                <w:rFonts w:ascii="宋体" w:hAnsi="宋体" w:cs="宋体"/>
                <w:color w:val="auto"/>
                <w:sz w:val="21"/>
                <w:szCs w:val="21"/>
                <w:highlight w:val="none"/>
              </w:rPr>
            </w:pPr>
          </w:p>
        </w:tc>
        <w:tc>
          <w:tcPr>
            <w:tcW w:w="709" w:type="dxa"/>
            <w:vMerge w:val="continue"/>
            <w:vAlign w:val="center"/>
          </w:tcPr>
          <w:p w14:paraId="2D4CE2E4">
            <w:pPr>
              <w:rPr>
                <w:rFonts w:ascii="宋体" w:hAnsi="宋体" w:cs="宋体"/>
                <w:color w:val="auto"/>
                <w:sz w:val="21"/>
                <w:szCs w:val="21"/>
                <w:highlight w:val="none"/>
                <w:lang w:val="zh-CN"/>
              </w:rPr>
            </w:pPr>
          </w:p>
        </w:tc>
        <w:tc>
          <w:tcPr>
            <w:tcW w:w="2964" w:type="dxa"/>
            <w:vAlign w:val="center"/>
          </w:tcPr>
          <w:p w14:paraId="7EF05842">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88" w:type="dxa"/>
            <w:vMerge w:val="continue"/>
            <w:vAlign w:val="center"/>
          </w:tcPr>
          <w:p w14:paraId="148977C7">
            <w:pPr>
              <w:rPr>
                <w:rFonts w:ascii="宋体" w:hAnsi="宋体" w:cs="宋体"/>
                <w:b/>
                <w:color w:val="auto"/>
                <w:sz w:val="21"/>
                <w:szCs w:val="21"/>
                <w:highlight w:val="none"/>
              </w:rPr>
            </w:pPr>
          </w:p>
        </w:tc>
      </w:tr>
      <w:tr w14:paraId="0A4E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Merge w:val="continue"/>
            <w:vAlign w:val="center"/>
          </w:tcPr>
          <w:p w14:paraId="58B606E1">
            <w:pPr>
              <w:jc w:val="center"/>
              <w:rPr>
                <w:rFonts w:ascii="宋体" w:hAnsi="宋体" w:cs="宋体"/>
                <w:color w:val="auto"/>
                <w:sz w:val="21"/>
                <w:szCs w:val="21"/>
                <w:highlight w:val="none"/>
              </w:rPr>
            </w:pPr>
          </w:p>
        </w:tc>
        <w:tc>
          <w:tcPr>
            <w:tcW w:w="709" w:type="dxa"/>
            <w:vMerge w:val="continue"/>
            <w:vAlign w:val="center"/>
          </w:tcPr>
          <w:p w14:paraId="73622409">
            <w:pPr>
              <w:rPr>
                <w:rFonts w:ascii="宋体" w:hAnsi="宋体" w:cs="宋体"/>
                <w:color w:val="auto"/>
                <w:sz w:val="21"/>
                <w:szCs w:val="21"/>
                <w:highlight w:val="none"/>
              </w:rPr>
            </w:pPr>
          </w:p>
        </w:tc>
        <w:tc>
          <w:tcPr>
            <w:tcW w:w="2964" w:type="dxa"/>
            <w:vAlign w:val="center"/>
          </w:tcPr>
          <w:p w14:paraId="038B41A1">
            <w:pPr>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88" w:type="dxa"/>
            <w:vAlign w:val="center"/>
          </w:tcPr>
          <w:p w14:paraId="6CBBF501">
            <w:pPr>
              <w:rPr>
                <w:rFonts w:ascii="宋体" w:hAnsi="宋体" w:cs="宋体"/>
                <w:color w:val="auto"/>
                <w:sz w:val="21"/>
                <w:szCs w:val="21"/>
                <w:highlight w:val="none"/>
              </w:rPr>
            </w:pPr>
          </w:p>
        </w:tc>
      </w:tr>
      <w:tr w14:paraId="45B0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Merge w:val="continue"/>
            <w:vAlign w:val="center"/>
          </w:tcPr>
          <w:p w14:paraId="6C1EA1B3">
            <w:pPr>
              <w:jc w:val="center"/>
              <w:rPr>
                <w:rFonts w:ascii="宋体" w:hAnsi="宋体" w:cs="宋体"/>
                <w:color w:val="auto"/>
                <w:sz w:val="21"/>
                <w:szCs w:val="21"/>
                <w:highlight w:val="none"/>
              </w:rPr>
            </w:pPr>
          </w:p>
        </w:tc>
        <w:tc>
          <w:tcPr>
            <w:tcW w:w="709" w:type="dxa"/>
            <w:vMerge w:val="continue"/>
            <w:vAlign w:val="center"/>
          </w:tcPr>
          <w:p w14:paraId="30D3C738">
            <w:pPr>
              <w:rPr>
                <w:rFonts w:ascii="宋体" w:hAnsi="宋体" w:cs="宋体"/>
                <w:color w:val="auto"/>
                <w:sz w:val="21"/>
                <w:szCs w:val="21"/>
                <w:highlight w:val="none"/>
              </w:rPr>
            </w:pPr>
          </w:p>
        </w:tc>
        <w:tc>
          <w:tcPr>
            <w:tcW w:w="2964" w:type="dxa"/>
            <w:vAlign w:val="center"/>
          </w:tcPr>
          <w:p w14:paraId="798074C2">
            <w:pPr>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5288" w:type="dxa"/>
            <w:vAlign w:val="center"/>
          </w:tcPr>
          <w:p w14:paraId="1D3DAD65">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0CC1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7" w:type="dxa"/>
            <w:vAlign w:val="center"/>
          </w:tcPr>
          <w:p w14:paraId="7BFF976A">
            <w:pPr>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673" w:type="dxa"/>
            <w:gridSpan w:val="2"/>
            <w:vAlign w:val="center"/>
          </w:tcPr>
          <w:p w14:paraId="344BA94E">
            <w:pPr>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5288" w:type="dxa"/>
            <w:vAlign w:val="center"/>
          </w:tcPr>
          <w:p w14:paraId="1D53728F">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r w14:paraId="1500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17" w:type="dxa"/>
            <w:vAlign w:val="center"/>
          </w:tcPr>
          <w:p w14:paraId="49B80A2C">
            <w:pPr>
              <w:jc w:val="center"/>
              <w:rPr>
                <w:rFonts w:ascii="宋体" w:hAnsi="宋体" w:cs="宋体"/>
                <w:color w:val="auto"/>
                <w:sz w:val="21"/>
                <w:szCs w:val="21"/>
                <w:highlight w:val="none"/>
              </w:rPr>
            </w:pPr>
            <w:r>
              <w:rPr>
                <w:rFonts w:hint="eastAsia" w:ascii="宋体" w:hAnsi="宋体" w:cs="宋体"/>
                <w:color w:val="auto"/>
                <w:sz w:val="21"/>
                <w:szCs w:val="21"/>
                <w:highlight w:val="none"/>
              </w:rPr>
              <w:t>（三）</w:t>
            </w:r>
          </w:p>
        </w:tc>
        <w:tc>
          <w:tcPr>
            <w:tcW w:w="3673" w:type="dxa"/>
            <w:gridSpan w:val="2"/>
            <w:vAlign w:val="center"/>
          </w:tcPr>
          <w:p w14:paraId="05EDBD5D">
            <w:pPr>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磋商保证金</w:t>
            </w:r>
          </w:p>
        </w:tc>
        <w:tc>
          <w:tcPr>
            <w:tcW w:w="5288" w:type="dxa"/>
            <w:vAlign w:val="center"/>
          </w:tcPr>
          <w:p w14:paraId="59DBC5BA">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按照竞争性磋商文件要求足额交纳项目的磋商保证金。</w:t>
            </w:r>
          </w:p>
        </w:tc>
      </w:tr>
    </w:tbl>
    <w:p w14:paraId="02F60C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7F8C1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0D11570">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69"/>
        <w:gridCol w:w="1990"/>
        <w:gridCol w:w="5206"/>
      </w:tblGrid>
      <w:tr w14:paraId="1541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3" w:type="dxa"/>
            <w:vAlign w:val="center"/>
          </w:tcPr>
          <w:p w14:paraId="384A9DE8">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59" w:type="dxa"/>
            <w:gridSpan w:val="2"/>
            <w:vAlign w:val="center"/>
          </w:tcPr>
          <w:p w14:paraId="763C3E1E">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206" w:type="dxa"/>
            <w:vAlign w:val="center"/>
          </w:tcPr>
          <w:p w14:paraId="1BE4C19E">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0726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3" w:type="dxa"/>
            <w:vMerge w:val="restart"/>
            <w:vAlign w:val="center"/>
          </w:tcPr>
          <w:p w14:paraId="178DE3FF">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9" w:type="dxa"/>
            <w:vMerge w:val="restart"/>
            <w:vAlign w:val="center"/>
          </w:tcPr>
          <w:p w14:paraId="2298261A">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90" w:type="dxa"/>
            <w:vAlign w:val="center"/>
          </w:tcPr>
          <w:p w14:paraId="2ADC715A">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w:t>
            </w:r>
          </w:p>
        </w:tc>
        <w:tc>
          <w:tcPr>
            <w:tcW w:w="5206" w:type="dxa"/>
            <w:vAlign w:val="center"/>
          </w:tcPr>
          <w:p w14:paraId="0487121C">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按竞争性磋商文件“第七篇响应文件编制要求”要求签署或盖章。</w:t>
            </w:r>
          </w:p>
        </w:tc>
      </w:tr>
      <w:tr w14:paraId="6A09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3" w:type="dxa"/>
            <w:vMerge w:val="continue"/>
            <w:vAlign w:val="center"/>
          </w:tcPr>
          <w:p w14:paraId="32F98571">
            <w:pPr>
              <w:spacing w:line="240" w:lineRule="exact"/>
              <w:jc w:val="center"/>
              <w:rPr>
                <w:rFonts w:ascii="宋体" w:hAnsi="宋体" w:cs="宋体"/>
                <w:color w:val="auto"/>
                <w:kern w:val="0"/>
                <w:sz w:val="21"/>
                <w:szCs w:val="21"/>
                <w:highlight w:val="none"/>
              </w:rPr>
            </w:pPr>
          </w:p>
        </w:tc>
        <w:tc>
          <w:tcPr>
            <w:tcW w:w="1569" w:type="dxa"/>
            <w:vMerge w:val="continue"/>
            <w:vAlign w:val="center"/>
          </w:tcPr>
          <w:p w14:paraId="04A202DC">
            <w:pPr>
              <w:spacing w:line="240" w:lineRule="exact"/>
              <w:rPr>
                <w:rFonts w:ascii="宋体" w:hAnsi="宋体" w:cs="宋体"/>
                <w:color w:val="auto"/>
                <w:kern w:val="0"/>
                <w:sz w:val="21"/>
                <w:szCs w:val="21"/>
                <w:highlight w:val="none"/>
              </w:rPr>
            </w:pPr>
          </w:p>
        </w:tc>
        <w:tc>
          <w:tcPr>
            <w:tcW w:w="1990" w:type="dxa"/>
            <w:vAlign w:val="center"/>
          </w:tcPr>
          <w:p w14:paraId="1AABD9C6">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206" w:type="dxa"/>
            <w:vAlign w:val="center"/>
          </w:tcPr>
          <w:p w14:paraId="30027E92">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法定代表人身份证明及授权委托书有效，符合竞争性磋商文件规定的格式，签署或盖章齐全。</w:t>
            </w:r>
          </w:p>
        </w:tc>
      </w:tr>
      <w:tr w14:paraId="42E8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Merge w:val="continue"/>
            <w:vAlign w:val="center"/>
          </w:tcPr>
          <w:p w14:paraId="0ED746D7">
            <w:pPr>
              <w:spacing w:line="240" w:lineRule="exact"/>
              <w:jc w:val="center"/>
              <w:rPr>
                <w:rFonts w:ascii="宋体" w:hAnsi="宋体" w:cs="宋体"/>
                <w:color w:val="auto"/>
                <w:kern w:val="0"/>
                <w:sz w:val="21"/>
                <w:szCs w:val="21"/>
                <w:highlight w:val="none"/>
              </w:rPr>
            </w:pPr>
          </w:p>
        </w:tc>
        <w:tc>
          <w:tcPr>
            <w:tcW w:w="1569" w:type="dxa"/>
            <w:vMerge w:val="continue"/>
            <w:vAlign w:val="center"/>
          </w:tcPr>
          <w:p w14:paraId="0C00B458">
            <w:pPr>
              <w:spacing w:line="240" w:lineRule="exact"/>
              <w:rPr>
                <w:rFonts w:ascii="宋体" w:hAnsi="宋体" w:cs="宋体"/>
                <w:color w:val="auto"/>
                <w:kern w:val="0"/>
                <w:sz w:val="21"/>
                <w:szCs w:val="21"/>
                <w:highlight w:val="none"/>
              </w:rPr>
            </w:pPr>
          </w:p>
        </w:tc>
        <w:tc>
          <w:tcPr>
            <w:tcW w:w="1990" w:type="dxa"/>
            <w:vAlign w:val="center"/>
          </w:tcPr>
          <w:p w14:paraId="1430F445">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磋商方案</w:t>
            </w:r>
          </w:p>
        </w:tc>
        <w:tc>
          <w:tcPr>
            <w:tcW w:w="5206" w:type="dxa"/>
            <w:vAlign w:val="center"/>
          </w:tcPr>
          <w:p w14:paraId="09849472">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只能有一个响应方案。</w:t>
            </w:r>
          </w:p>
        </w:tc>
      </w:tr>
      <w:tr w14:paraId="499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3" w:type="dxa"/>
            <w:vMerge w:val="continue"/>
            <w:vAlign w:val="center"/>
          </w:tcPr>
          <w:p w14:paraId="034B0EB1">
            <w:pPr>
              <w:spacing w:line="240" w:lineRule="exact"/>
              <w:jc w:val="center"/>
              <w:rPr>
                <w:rFonts w:ascii="宋体" w:hAnsi="宋体" w:cs="宋体"/>
                <w:color w:val="auto"/>
                <w:kern w:val="0"/>
                <w:sz w:val="21"/>
                <w:szCs w:val="21"/>
                <w:highlight w:val="none"/>
              </w:rPr>
            </w:pPr>
          </w:p>
        </w:tc>
        <w:tc>
          <w:tcPr>
            <w:tcW w:w="1569" w:type="dxa"/>
            <w:vMerge w:val="continue"/>
            <w:vAlign w:val="center"/>
          </w:tcPr>
          <w:p w14:paraId="1CC59D6B">
            <w:pPr>
              <w:spacing w:line="240" w:lineRule="exact"/>
              <w:rPr>
                <w:rFonts w:ascii="宋体" w:hAnsi="宋体" w:cs="宋体"/>
                <w:color w:val="auto"/>
                <w:kern w:val="0"/>
                <w:sz w:val="21"/>
                <w:szCs w:val="21"/>
                <w:highlight w:val="none"/>
              </w:rPr>
            </w:pPr>
          </w:p>
        </w:tc>
        <w:tc>
          <w:tcPr>
            <w:tcW w:w="1990" w:type="dxa"/>
            <w:vAlign w:val="center"/>
          </w:tcPr>
          <w:p w14:paraId="0053FC2B">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206" w:type="dxa"/>
            <w:vAlign w:val="center"/>
          </w:tcPr>
          <w:p w14:paraId="6190301F">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只能有一个有效报价，不得提交选择性报价。</w:t>
            </w:r>
          </w:p>
        </w:tc>
      </w:tr>
      <w:tr w14:paraId="37E1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73" w:type="dxa"/>
            <w:vAlign w:val="center"/>
          </w:tcPr>
          <w:p w14:paraId="1A96FF5B">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9" w:type="dxa"/>
            <w:vAlign w:val="center"/>
          </w:tcPr>
          <w:p w14:paraId="712E5A37">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90" w:type="dxa"/>
            <w:vAlign w:val="center"/>
          </w:tcPr>
          <w:p w14:paraId="41E58139">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响应文件份数</w:t>
            </w:r>
          </w:p>
        </w:tc>
        <w:tc>
          <w:tcPr>
            <w:tcW w:w="5206" w:type="dxa"/>
            <w:vAlign w:val="center"/>
          </w:tcPr>
          <w:p w14:paraId="1B5998F9">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响应文件正、副本数量（含电子文档）符合竞争性磋商文件要求。</w:t>
            </w:r>
          </w:p>
        </w:tc>
      </w:tr>
      <w:tr w14:paraId="489C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3" w:type="dxa"/>
            <w:vMerge w:val="restart"/>
            <w:vAlign w:val="center"/>
          </w:tcPr>
          <w:p w14:paraId="48A0574C">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9" w:type="dxa"/>
            <w:vMerge w:val="restart"/>
            <w:vAlign w:val="center"/>
          </w:tcPr>
          <w:p w14:paraId="54275ABE">
            <w:pPr>
              <w:spacing w:line="240" w:lineRule="exact"/>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实质性审查</w:t>
            </w:r>
          </w:p>
        </w:tc>
        <w:tc>
          <w:tcPr>
            <w:tcW w:w="1990" w:type="dxa"/>
            <w:vAlign w:val="center"/>
          </w:tcPr>
          <w:p w14:paraId="26868AB9">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5206" w:type="dxa"/>
            <w:vAlign w:val="center"/>
          </w:tcPr>
          <w:p w14:paraId="5D4A3F3A">
            <w:pPr>
              <w:pStyle w:val="11"/>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竞争性磋商文件第二篇、第三篇“※”标注部分。</w:t>
            </w:r>
          </w:p>
        </w:tc>
      </w:tr>
      <w:tr w14:paraId="2250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73" w:type="dxa"/>
            <w:vMerge w:val="continue"/>
            <w:vAlign w:val="center"/>
          </w:tcPr>
          <w:p w14:paraId="4693561D">
            <w:pPr>
              <w:spacing w:line="240" w:lineRule="exact"/>
              <w:jc w:val="center"/>
              <w:rPr>
                <w:rFonts w:ascii="宋体" w:hAnsi="宋体" w:cs="宋体"/>
                <w:color w:val="auto"/>
                <w:kern w:val="0"/>
                <w:sz w:val="21"/>
                <w:szCs w:val="21"/>
                <w:highlight w:val="none"/>
              </w:rPr>
            </w:pPr>
          </w:p>
        </w:tc>
        <w:tc>
          <w:tcPr>
            <w:tcW w:w="1569" w:type="dxa"/>
            <w:vMerge w:val="continue"/>
            <w:vAlign w:val="center"/>
          </w:tcPr>
          <w:p w14:paraId="555AF2C3">
            <w:pPr>
              <w:spacing w:line="240" w:lineRule="exact"/>
              <w:rPr>
                <w:rFonts w:ascii="宋体" w:hAnsi="宋体" w:cs="宋体"/>
                <w:color w:val="auto"/>
                <w:sz w:val="21"/>
                <w:szCs w:val="21"/>
                <w:highlight w:val="none"/>
                <w:lang w:val="zh-CN"/>
              </w:rPr>
            </w:pPr>
          </w:p>
        </w:tc>
        <w:tc>
          <w:tcPr>
            <w:tcW w:w="1990" w:type="dxa"/>
            <w:vAlign w:val="center"/>
          </w:tcPr>
          <w:p w14:paraId="03824F45">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206" w:type="dxa"/>
            <w:vAlign w:val="center"/>
          </w:tcPr>
          <w:p w14:paraId="6556299C">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1F17E7E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式管理暂行办法有关问题的补充通知》（财库〔2015〕124号）采用竞争性磋商</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式采购的政府购买服务项目（含政府和社会资本合作项目），在采购过程中符合要求的供应商（社会资本）只有2家的，竞争性磋商采购活动可以继续进行。</w:t>
      </w:r>
    </w:p>
    <w:p w14:paraId="1E7887B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9592C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FF0052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（五）在磋商过程中磋商的任何一方不得向他人透露与磋商有关的技术资料、价格或其他信息。</w:t>
      </w:r>
    </w:p>
    <w:p w14:paraId="7DA4838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代表确认。对竞争性磋商文件作出的实质性变动是竞争性磋商文件的有效组成部分，磋商小组应当及时以书面形式同时通知所有参加磋商的供应商。</w:t>
      </w:r>
    </w:p>
    <w:p w14:paraId="22C92962">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4F3C925D">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EE3882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p>
    <w:p w14:paraId="6235F27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776139FD">
      <w:pPr>
        <w:pStyle w:val="5"/>
        <w:spacing w:before="0" w:after="0" w:line="440" w:lineRule="exact"/>
        <w:ind w:firstLine="482" w:firstLineChars="200"/>
        <w:rPr>
          <w:rFonts w:hint="eastAsia" w:ascii="宋体" w:hAnsi="宋体" w:cs="宋体"/>
          <w:color w:val="auto"/>
          <w:sz w:val="24"/>
          <w:szCs w:val="24"/>
          <w:highlight w:val="none"/>
        </w:rPr>
      </w:pPr>
      <w:bookmarkStart w:id="122" w:name="_Toc20130549"/>
      <w:bookmarkStart w:id="123" w:name="_Toc1499"/>
      <w:bookmarkStart w:id="124" w:name="_Toc29932"/>
      <w:bookmarkStart w:id="125" w:name="_Toc31646"/>
      <w:bookmarkStart w:id="126" w:name="_Toc18088"/>
      <w:r>
        <w:rPr>
          <w:rFonts w:hint="eastAsia" w:ascii="宋体" w:hAnsi="宋体" w:cs="宋体"/>
          <w:color w:val="auto"/>
          <w:sz w:val="24"/>
          <w:szCs w:val="24"/>
          <w:highlight w:val="none"/>
        </w:rPr>
        <w:t>二、评审标准</w:t>
      </w:r>
      <w:bookmarkEnd w:id="122"/>
      <w:bookmarkEnd w:id="123"/>
      <w:bookmarkEnd w:id="124"/>
      <w:bookmarkEnd w:id="125"/>
      <w:bookmarkEnd w:id="126"/>
    </w:p>
    <w:tbl>
      <w:tblPr>
        <w:tblStyle w:val="1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137"/>
        <w:gridCol w:w="1166"/>
        <w:gridCol w:w="4505"/>
        <w:gridCol w:w="2236"/>
      </w:tblGrid>
      <w:tr w14:paraId="6633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blHeader/>
        </w:trPr>
        <w:tc>
          <w:tcPr>
            <w:tcW w:w="351" w:type="pct"/>
            <w:vAlign w:val="center"/>
          </w:tcPr>
          <w:p w14:paraId="44AC18DB">
            <w:pPr>
              <w:spacing w:line="240" w:lineRule="atLeast"/>
              <w:ind w:firstLine="28" w:firstLineChars="0"/>
              <w:jc w:val="center"/>
              <w:rPr>
                <w:rFonts w:hint="eastAsia" w:eastAsia="宋体"/>
                <w:highlight w:val="none"/>
                <w:vertAlign w:val="baseline"/>
                <w:lang w:val="en-US" w:eastAsia="zh-CN"/>
              </w:rPr>
            </w:pPr>
            <w:r>
              <w:rPr>
                <w:rFonts w:hint="eastAsia" w:ascii="宋体" w:hAnsi="宋体" w:cs="宋体"/>
                <w:b/>
                <w:sz w:val="21"/>
                <w:szCs w:val="21"/>
                <w:highlight w:val="none"/>
              </w:rPr>
              <w:t>序号</w:t>
            </w:r>
          </w:p>
        </w:tc>
        <w:tc>
          <w:tcPr>
            <w:tcW w:w="584" w:type="pct"/>
            <w:vAlign w:val="center"/>
          </w:tcPr>
          <w:p w14:paraId="779CA2F9">
            <w:pPr>
              <w:spacing w:line="240" w:lineRule="atLeast"/>
              <w:ind w:firstLine="28"/>
              <w:jc w:val="center"/>
              <w:rPr>
                <w:rFonts w:ascii="宋体" w:hAnsi="宋体" w:cs="宋体"/>
                <w:b/>
                <w:sz w:val="21"/>
                <w:szCs w:val="21"/>
                <w:highlight w:val="none"/>
              </w:rPr>
            </w:pPr>
            <w:r>
              <w:rPr>
                <w:rFonts w:hint="eastAsia" w:ascii="宋体" w:hAnsi="宋体" w:cs="宋体"/>
                <w:b/>
                <w:sz w:val="21"/>
                <w:szCs w:val="21"/>
                <w:highlight w:val="none"/>
              </w:rPr>
              <w:t>评分因素</w:t>
            </w:r>
          </w:p>
          <w:p w14:paraId="39E81369">
            <w:pPr>
              <w:spacing w:line="240" w:lineRule="atLeast"/>
              <w:ind w:firstLine="28" w:firstLineChars="0"/>
              <w:jc w:val="center"/>
              <w:rPr>
                <w:highlight w:val="none"/>
                <w:vertAlign w:val="baseline"/>
              </w:rPr>
            </w:pPr>
            <w:r>
              <w:rPr>
                <w:rFonts w:hint="eastAsia" w:ascii="宋体" w:hAnsi="宋体" w:cs="宋体"/>
                <w:b/>
                <w:sz w:val="21"/>
                <w:szCs w:val="21"/>
                <w:highlight w:val="none"/>
              </w:rPr>
              <w:t>及权值</w:t>
            </w:r>
          </w:p>
        </w:tc>
        <w:tc>
          <w:tcPr>
            <w:tcW w:w="599" w:type="pct"/>
            <w:vAlign w:val="center"/>
          </w:tcPr>
          <w:p w14:paraId="7369BE50">
            <w:pPr>
              <w:spacing w:line="240" w:lineRule="atLeast"/>
              <w:ind w:firstLine="28" w:firstLineChars="0"/>
              <w:jc w:val="center"/>
              <w:rPr>
                <w:highlight w:val="none"/>
                <w:vertAlign w:val="baseline"/>
              </w:rPr>
            </w:pPr>
            <w:r>
              <w:rPr>
                <w:rFonts w:hint="eastAsia" w:ascii="宋体" w:hAnsi="宋体" w:cs="宋体"/>
                <w:b/>
                <w:sz w:val="21"/>
                <w:szCs w:val="21"/>
                <w:highlight w:val="none"/>
              </w:rPr>
              <w:t>分值</w:t>
            </w:r>
          </w:p>
        </w:tc>
        <w:tc>
          <w:tcPr>
            <w:tcW w:w="2315" w:type="pct"/>
            <w:vAlign w:val="center"/>
          </w:tcPr>
          <w:p w14:paraId="57EC753C">
            <w:pPr>
              <w:spacing w:line="240" w:lineRule="atLeast"/>
              <w:ind w:firstLine="28" w:firstLineChars="0"/>
              <w:jc w:val="center"/>
              <w:rPr>
                <w:highlight w:val="none"/>
                <w:vertAlign w:val="baseline"/>
              </w:rPr>
            </w:pPr>
            <w:r>
              <w:rPr>
                <w:rFonts w:hint="eastAsia" w:ascii="宋体" w:hAnsi="宋体" w:cs="宋体"/>
                <w:b/>
                <w:sz w:val="21"/>
                <w:szCs w:val="21"/>
                <w:highlight w:val="none"/>
              </w:rPr>
              <w:t>评分标准</w:t>
            </w:r>
          </w:p>
        </w:tc>
        <w:tc>
          <w:tcPr>
            <w:tcW w:w="1149" w:type="pct"/>
            <w:vAlign w:val="center"/>
          </w:tcPr>
          <w:p w14:paraId="1E1E97C8">
            <w:pPr>
              <w:pStyle w:val="21"/>
              <w:spacing w:before="0" w:after="0" w:line="240" w:lineRule="atLeast"/>
              <w:rPr>
                <w:highlight w:val="none"/>
                <w:vertAlign w:val="baseline"/>
              </w:rPr>
            </w:pPr>
            <w:r>
              <w:rPr>
                <w:rFonts w:hint="eastAsia" w:ascii="宋体" w:hAnsi="宋体" w:eastAsia="宋体" w:cs="宋体"/>
                <w:sz w:val="21"/>
                <w:szCs w:val="21"/>
                <w:highlight w:val="none"/>
              </w:rPr>
              <w:t>说明</w:t>
            </w:r>
          </w:p>
        </w:tc>
      </w:tr>
      <w:tr w14:paraId="73ED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51" w:type="pct"/>
            <w:vAlign w:val="center"/>
          </w:tcPr>
          <w:p w14:paraId="3CF60588">
            <w:pPr>
              <w:spacing w:line="360" w:lineRule="auto"/>
              <w:ind w:firstLine="28" w:firstLineChars="0"/>
              <w:jc w:val="center"/>
              <w:rPr>
                <w:highlight w:val="none"/>
                <w:vertAlign w:val="baseline"/>
              </w:rPr>
            </w:pPr>
            <w:r>
              <w:rPr>
                <w:rFonts w:hint="eastAsia" w:ascii="宋体" w:hAnsi="宋体" w:cs="宋体"/>
                <w:sz w:val="21"/>
                <w:szCs w:val="21"/>
                <w:highlight w:val="none"/>
              </w:rPr>
              <w:t>1</w:t>
            </w:r>
          </w:p>
        </w:tc>
        <w:tc>
          <w:tcPr>
            <w:tcW w:w="584" w:type="pct"/>
            <w:vAlign w:val="center"/>
          </w:tcPr>
          <w:p w14:paraId="611AEB28">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rPr>
              <w:t>磋商报价</w:t>
            </w:r>
          </w:p>
          <w:p w14:paraId="420E6DF7">
            <w:pPr>
              <w:spacing w:line="360" w:lineRule="auto"/>
              <w:ind w:firstLine="28" w:firstLineChars="0"/>
              <w:jc w:val="center"/>
              <w:rPr>
                <w:highlight w:val="none"/>
                <w:vertAlign w:val="baseli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p>
        </w:tc>
        <w:tc>
          <w:tcPr>
            <w:tcW w:w="599" w:type="pct"/>
            <w:vAlign w:val="center"/>
          </w:tcPr>
          <w:p w14:paraId="68B31930">
            <w:pPr>
              <w:spacing w:line="360" w:lineRule="auto"/>
              <w:ind w:firstLine="28" w:firstLineChars="0"/>
              <w:jc w:val="center"/>
              <w:rPr>
                <w:highlight w:val="none"/>
                <w:vertAlign w:val="baseline"/>
              </w:rPr>
            </w:pP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c>
          <w:tcPr>
            <w:tcW w:w="2315" w:type="pct"/>
            <w:vAlign w:val="center"/>
          </w:tcPr>
          <w:p w14:paraId="0151B4C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满足资格性、符合性要求且最后报价最低的供应商的价格为磋商基准价，其价格分为满分。其他供应商的价格分统一按照下列公式计算：</w:t>
            </w:r>
          </w:p>
          <w:p w14:paraId="1885A15C">
            <w:pPr>
              <w:spacing w:line="360" w:lineRule="auto"/>
              <w:ind w:firstLine="420" w:firstLineChars="200"/>
              <w:rPr>
                <w:highlight w:val="none"/>
                <w:vertAlign w:val="baseline"/>
              </w:rPr>
            </w:pPr>
            <w:r>
              <w:rPr>
                <w:rFonts w:hint="eastAsia" w:ascii="宋体" w:hAnsi="宋体" w:cs="宋体"/>
                <w:sz w:val="21"/>
                <w:szCs w:val="21"/>
                <w:highlight w:val="none"/>
              </w:rPr>
              <w:t>磋商报价得分=（磋商基准价/最后磋商报价）×价格权值×100</w:t>
            </w:r>
          </w:p>
        </w:tc>
        <w:tc>
          <w:tcPr>
            <w:tcW w:w="1149" w:type="pct"/>
            <w:vAlign w:val="center"/>
          </w:tcPr>
          <w:p w14:paraId="7719E5A9">
            <w:pPr>
              <w:spacing w:line="360" w:lineRule="auto"/>
              <w:ind w:left="-38" w:leftChars="0"/>
              <w:rPr>
                <w:highlight w:val="none"/>
                <w:vertAlign w:val="baseline"/>
              </w:rPr>
            </w:pPr>
            <w:r>
              <w:rPr>
                <w:rFonts w:hint="eastAsia" w:ascii="宋体" w:hAnsi="宋体" w:cs="宋体"/>
                <w:sz w:val="21"/>
                <w:szCs w:val="21"/>
                <w:highlight w:val="none"/>
              </w:rPr>
              <w:t>对小微企业的价格用扣除后的价格参与评审，详见“注：关于小微企业报价扣除比例说明”。</w:t>
            </w:r>
          </w:p>
        </w:tc>
      </w:tr>
      <w:tr w14:paraId="0CF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51" w:type="pct"/>
            <w:vMerge w:val="restart"/>
            <w:vAlign w:val="center"/>
          </w:tcPr>
          <w:p w14:paraId="7C59871F">
            <w:pPr>
              <w:spacing w:line="240" w:lineRule="auto"/>
              <w:ind w:firstLine="28" w:firstLineChars="0"/>
              <w:jc w:val="center"/>
              <w:rPr>
                <w:highlight w:val="none"/>
                <w:vertAlign w:val="baseline"/>
              </w:rPr>
            </w:pPr>
            <w:r>
              <w:rPr>
                <w:rFonts w:hint="eastAsia" w:ascii="宋体" w:hAnsi="宋体" w:cs="宋体"/>
                <w:sz w:val="21"/>
                <w:szCs w:val="21"/>
                <w:highlight w:val="none"/>
              </w:rPr>
              <w:t>2</w:t>
            </w:r>
          </w:p>
        </w:tc>
        <w:tc>
          <w:tcPr>
            <w:tcW w:w="584" w:type="pct"/>
            <w:vMerge w:val="restart"/>
            <w:vAlign w:val="center"/>
          </w:tcPr>
          <w:p w14:paraId="4953B193">
            <w:pPr>
              <w:spacing w:line="240" w:lineRule="auto"/>
              <w:ind w:firstLine="28"/>
              <w:jc w:val="center"/>
              <w:rPr>
                <w:rFonts w:ascii="宋体" w:hAnsi="宋体" w:cs="宋体"/>
                <w:sz w:val="21"/>
                <w:szCs w:val="21"/>
                <w:highlight w:val="none"/>
              </w:rPr>
            </w:pPr>
            <w:r>
              <w:rPr>
                <w:rFonts w:hint="eastAsia" w:ascii="宋体" w:hAnsi="宋体" w:cs="宋体"/>
                <w:sz w:val="21"/>
                <w:szCs w:val="21"/>
                <w:highlight w:val="none"/>
              </w:rPr>
              <w:t>技术部分</w:t>
            </w:r>
          </w:p>
          <w:p w14:paraId="52FC00FF">
            <w:pPr>
              <w:spacing w:line="240" w:lineRule="auto"/>
              <w:ind w:firstLine="28" w:firstLineChars="0"/>
              <w:jc w:val="center"/>
              <w:rPr>
                <w:highlight w:val="none"/>
                <w:vertAlign w:val="baseli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74</w:t>
            </w:r>
            <w:r>
              <w:rPr>
                <w:rFonts w:hint="eastAsia" w:ascii="宋体" w:hAnsi="宋体" w:cs="宋体"/>
                <w:sz w:val="21"/>
                <w:szCs w:val="21"/>
                <w:highlight w:val="none"/>
              </w:rPr>
              <w:t>%）</w:t>
            </w:r>
          </w:p>
        </w:tc>
        <w:tc>
          <w:tcPr>
            <w:tcW w:w="599" w:type="pct"/>
            <w:vMerge w:val="restart"/>
            <w:vAlign w:val="center"/>
          </w:tcPr>
          <w:p w14:paraId="5D608DB2">
            <w:pPr>
              <w:spacing w:line="240" w:lineRule="auto"/>
              <w:ind w:firstLine="28" w:firstLineChars="0"/>
              <w:jc w:val="center"/>
              <w:rPr>
                <w:highlight w:val="none"/>
                <w:vertAlign w:val="baseline"/>
              </w:rPr>
            </w:pPr>
            <w:r>
              <w:rPr>
                <w:rFonts w:hint="eastAsia" w:ascii="宋体" w:hAnsi="宋体" w:cs="宋体"/>
                <w:sz w:val="21"/>
                <w:szCs w:val="21"/>
                <w:highlight w:val="none"/>
                <w:lang w:val="en-US" w:eastAsia="zh-CN"/>
              </w:rPr>
              <w:t>74</w:t>
            </w:r>
            <w:r>
              <w:rPr>
                <w:rFonts w:hint="eastAsia" w:ascii="宋体" w:hAnsi="宋体" w:cs="宋体"/>
                <w:sz w:val="21"/>
                <w:szCs w:val="21"/>
                <w:highlight w:val="none"/>
              </w:rPr>
              <w:t>分</w:t>
            </w:r>
          </w:p>
        </w:tc>
        <w:tc>
          <w:tcPr>
            <w:tcW w:w="2315" w:type="pct"/>
            <w:vAlign w:val="center"/>
          </w:tcPr>
          <w:p w14:paraId="077F5C3A">
            <w:pPr>
              <w:spacing w:line="360" w:lineRule="auto"/>
              <w:rPr>
                <w:rFonts w:ascii="宋体" w:hAnsi="宋体" w:cs="宋体"/>
                <w:sz w:val="21"/>
                <w:szCs w:val="21"/>
                <w:highlight w:val="none"/>
              </w:rPr>
            </w:pPr>
            <w:r>
              <w:rPr>
                <w:rFonts w:hint="eastAsia" w:ascii="宋体" w:hAnsi="宋体" w:cs="宋体"/>
                <w:sz w:val="21"/>
                <w:szCs w:val="21"/>
                <w:highlight w:val="none"/>
              </w:rPr>
              <w:t>A</w:t>
            </w:r>
            <w:r>
              <w:rPr>
                <w:rFonts w:hint="eastAsia" w:ascii="宋体" w:hAnsi="宋体" w:cs="宋体"/>
                <w:sz w:val="21"/>
                <w:szCs w:val="21"/>
                <w:highlight w:val="none"/>
                <w:lang w:eastAsia="zh-CN"/>
              </w:rPr>
              <w:t>、</w:t>
            </w:r>
            <w:r>
              <w:rPr>
                <w:rFonts w:hint="eastAsia" w:ascii="宋体" w:hAnsi="宋体" w:cs="宋体"/>
                <w:sz w:val="21"/>
                <w:szCs w:val="21"/>
                <w:highlight w:val="none"/>
              </w:rPr>
              <w:t>起评分：</w:t>
            </w:r>
          </w:p>
          <w:p w14:paraId="6B535C10">
            <w:pPr>
              <w:spacing w:line="360" w:lineRule="auto"/>
              <w:ind w:firstLine="420" w:firstLineChars="200"/>
              <w:rPr>
                <w:highlight w:val="none"/>
                <w:vertAlign w:val="baseline"/>
              </w:rPr>
            </w:pPr>
            <w:r>
              <w:rPr>
                <w:rFonts w:hint="eastAsia" w:ascii="宋体" w:hAnsi="宋体" w:cs="宋体"/>
                <w:sz w:val="21"/>
                <w:szCs w:val="21"/>
                <w:highlight w:val="none"/>
                <w:lang w:val="en-US" w:eastAsia="zh-CN"/>
              </w:rPr>
              <w:t>合格</w:t>
            </w:r>
            <w:r>
              <w:rPr>
                <w:rFonts w:hint="eastAsia" w:ascii="宋体" w:hAnsi="宋体" w:cs="宋体"/>
                <w:sz w:val="21"/>
                <w:szCs w:val="21"/>
                <w:highlight w:val="none"/>
              </w:rPr>
              <w:t>供应商的起评分为</w:t>
            </w:r>
            <w:r>
              <w:rPr>
                <w:rFonts w:hint="eastAsia" w:ascii="宋体" w:hAnsi="宋体" w:cs="宋体"/>
                <w:sz w:val="21"/>
                <w:szCs w:val="21"/>
                <w:highlight w:val="none"/>
                <w:lang w:val="en-US" w:eastAsia="zh-CN"/>
              </w:rPr>
              <w:t>36</w:t>
            </w:r>
            <w:r>
              <w:rPr>
                <w:rFonts w:hint="eastAsia" w:ascii="宋体" w:hAnsi="宋体" w:cs="宋体"/>
                <w:sz w:val="21"/>
                <w:szCs w:val="21"/>
                <w:highlight w:val="none"/>
              </w:rPr>
              <w:t>分。</w:t>
            </w:r>
          </w:p>
        </w:tc>
        <w:tc>
          <w:tcPr>
            <w:tcW w:w="1149" w:type="pct"/>
            <w:vAlign w:val="center"/>
          </w:tcPr>
          <w:p w14:paraId="495FDC52">
            <w:pPr>
              <w:spacing w:line="240" w:lineRule="atLeast"/>
              <w:ind w:left="-38" w:leftChars="0"/>
              <w:rPr>
                <w:highlight w:val="none"/>
                <w:vertAlign w:val="baseline"/>
              </w:rPr>
            </w:pPr>
          </w:p>
        </w:tc>
      </w:tr>
      <w:tr w14:paraId="3076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51" w:type="pct"/>
            <w:vMerge w:val="continue"/>
            <w:vAlign w:val="center"/>
          </w:tcPr>
          <w:p w14:paraId="2124ADB3">
            <w:pPr>
              <w:spacing w:line="240" w:lineRule="atLeast"/>
              <w:ind w:firstLine="28" w:firstLineChars="0"/>
              <w:jc w:val="center"/>
              <w:rPr>
                <w:rFonts w:hint="eastAsia" w:ascii="宋体" w:hAnsi="宋体" w:cs="宋体"/>
                <w:sz w:val="21"/>
                <w:szCs w:val="21"/>
                <w:highlight w:val="none"/>
              </w:rPr>
            </w:pPr>
          </w:p>
        </w:tc>
        <w:tc>
          <w:tcPr>
            <w:tcW w:w="584" w:type="pct"/>
            <w:vMerge w:val="continue"/>
            <w:vAlign w:val="center"/>
          </w:tcPr>
          <w:p w14:paraId="7E5A3C06">
            <w:pPr>
              <w:spacing w:line="240" w:lineRule="atLeast"/>
              <w:ind w:firstLine="28" w:firstLineChars="0"/>
              <w:jc w:val="center"/>
              <w:rPr>
                <w:rFonts w:hint="eastAsia" w:ascii="宋体" w:hAnsi="宋体" w:cs="宋体"/>
                <w:sz w:val="21"/>
                <w:szCs w:val="21"/>
                <w:highlight w:val="none"/>
              </w:rPr>
            </w:pPr>
          </w:p>
        </w:tc>
        <w:tc>
          <w:tcPr>
            <w:tcW w:w="599" w:type="pct"/>
            <w:vMerge w:val="continue"/>
            <w:vAlign w:val="center"/>
          </w:tcPr>
          <w:p w14:paraId="5CBD64BE">
            <w:pPr>
              <w:spacing w:line="240" w:lineRule="atLeast"/>
              <w:ind w:firstLine="28" w:firstLineChars="0"/>
              <w:jc w:val="center"/>
              <w:rPr>
                <w:rFonts w:hint="eastAsia" w:ascii="宋体" w:hAnsi="宋体" w:cs="宋体"/>
                <w:sz w:val="21"/>
                <w:szCs w:val="21"/>
                <w:highlight w:val="none"/>
                <w:lang w:val="en-US" w:eastAsia="zh-CN"/>
              </w:rPr>
            </w:pPr>
          </w:p>
        </w:tc>
        <w:tc>
          <w:tcPr>
            <w:tcW w:w="2315" w:type="pct"/>
            <w:vAlign w:val="center"/>
          </w:tcPr>
          <w:p w14:paraId="7EAB51D1">
            <w:pPr>
              <w:spacing w:line="360" w:lineRule="auto"/>
              <w:rPr>
                <w:rFonts w:ascii="宋体" w:hAnsi="宋体"/>
                <w:color w:val="000000"/>
                <w:sz w:val="21"/>
                <w:szCs w:val="21"/>
                <w:highlight w:val="none"/>
              </w:rPr>
            </w:pPr>
            <w:r>
              <w:rPr>
                <w:rFonts w:ascii="宋体" w:hAnsi="宋体"/>
                <w:color w:val="000000"/>
                <w:sz w:val="21"/>
                <w:szCs w:val="21"/>
                <w:highlight w:val="none"/>
              </w:rPr>
              <w:t>B</w:t>
            </w:r>
            <w:r>
              <w:rPr>
                <w:rFonts w:hint="eastAsia" w:ascii="宋体" w:hAnsi="宋体"/>
                <w:color w:val="000000"/>
                <w:sz w:val="21"/>
                <w:szCs w:val="21"/>
                <w:highlight w:val="none"/>
              </w:rPr>
              <w:t>、扣分条款：</w:t>
            </w:r>
          </w:p>
          <w:p w14:paraId="0291891B">
            <w:pPr>
              <w:spacing w:line="360" w:lineRule="auto"/>
              <w:ind w:firstLine="420" w:firstLineChars="200"/>
              <w:rPr>
                <w:rFonts w:ascii="宋体" w:hAnsi="宋体"/>
                <w:color w:val="000000"/>
                <w:sz w:val="21"/>
                <w:szCs w:val="21"/>
                <w:highlight w:val="none"/>
              </w:rPr>
            </w:pPr>
            <w:r>
              <w:rPr>
                <w:rFonts w:hint="eastAsia" w:ascii="宋体" w:hAnsi="宋体"/>
                <w:color w:val="000000"/>
                <w:sz w:val="21"/>
                <w:szCs w:val="21"/>
                <w:highlight w:val="none"/>
              </w:rPr>
              <w:t>1.重要技术参数（磋商文件第二篇 项目</w:t>
            </w:r>
            <w:r>
              <w:rPr>
                <w:rFonts w:hint="eastAsia" w:ascii="宋体" w:hAnsi="宋体"/>
                <w:color w:val="000000"/>
                <w:sz w:val="21"/>
                <w:szCs w:val="21"/>
                <w:highlight w:val="none"/>
                <w:lang w:val="en-US" w:eastAsia="zh-CN"/>
              </w:rPr>
              <w:t>技术</w:t>
            </w:r>
            <w:r>
              <w:rPr>
                <w:rFonts w:hint="eastAsia" w:ascii="宋体" w:hAnsi="宋体"/>
                <w:color w:val="000000"/>
                <w:sz w:val="21"/>
                <w:szCs w:val="21"/>
                <w:highlight w:val="none"/>
              </w:rPr>
              <w:t>需求 二、采购项目要求中带（</w:t>
            </w:r>
            <w:r>
              <w:rPr>
                <w:rFonts w:hint="eastAsia" w:ascii="宋体" w:hAnsi="宋体"/>
                <w:sz w:val="24"/>
                <w:szCs w:val="24"/>
                <w:highlight w:val="none"/>
              </w:rPr>
              <w:t>★</w:t>
            </w:r>
            <w:r>
              <w:rPr>
                <w:rFonts w:hint="eastAsia" w:ascii="宋体" w:hAnsi="宋体"/>
                <w:color w:val="000000"/>
                <w:sz w:val="21"/>
                <w:szCs w:val="21"/>
                <w:highlight w:val="none"/>
              </w:rPr>
              <w:t>）部分）有一条不满足的，技术部分得分为0分。</w:t>
            </w:r>
          </w:p>
          <w:p w14:paraId="1AA3DD90">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olor w:val="000000"/>
                <w:sz w:val="21"/>
                <w:szCs w:val="21"/>
                <w:highlight w:val="none"/>
              </w:rPr>
              <w:t>2.一般性技术参数（磋商文件第二篇 项目</w:t>
            </w:r>
            <w:r>
              <w:rPr>
                <w:rFonts w:hint="eastAsia" w:ascii="宋体" w:hAnsi="宋体"/>
                <w:color w:val="000000"/>
                <w:sz w:val="21"/>
                <w:szCs w:val="21"/>
                <w:highlight w:val="none"/>
                <w:lang w:val="en-US" w:eastAsia="zh-CN"/>
              </w:rPr>
              <w:t>技术</w:t>
            </w:r>
            <w:r>
              <w:rPr>
                <w:rFonts w:hint="eastAsia" w:ascii="宋体" w:hAnsi="宋体"/>
                <w:color w:val="000000"/>
                <w:sz w:val="21"/>
                <w:szCs w:val="21"/>
                <w:highlight w:val="none"/>
              </w:rPr>
              <w:t>需求 二、采购项目要求中非（</w:t>
            </w:r>
            <w:r>
              <w:rPr>
                <w:rFonts w:hint="eastAsia" w:ascii="宋体" w:hAnsi="宋体"/>
                <w:sz w:val="24"/>
                <w:szCs w:val="24"/>
                <w:highlight w:val="none"/>
              </w:rPr>
              <w:t>★</w:t>
            </w:r>
            <w:r>
              <w:rPr>
                <w:rFonts w:hint="eastAsia" w:ascii="宋体" w:hAnsi="宋体"/>
                <w:color w:val="000000"/>
                <w:sz w:val="21"/>
                <w:szCs w:val="21"/>
                <w:highlight w:val="none"/>
              </w:rPr>
              <w:t>）部分）有一条不满足的,从起评分中扣除3分；有4条及以上不满足的，技术部分得分为0分。</w:t>
            </w:r>
          </w:p>
        </w:tc>
        <w:tc>
          <w:tcPr>
            <w:tcW w:w="1149" w:type="pct"/>
            <w:vAlign w:val="center"/>
          </w:tcPr>
          <w:p w14:paraId="21D9642A">
            <w:pPr>
              <w:spacing w:line="240" w:lineRule="atLeast"/>
              <w:ind w:left="-38" w:leftChars="0"/>
              <w:rPr>
                <w:highlight w:val="none"/>
                <w:vertAlign w:val="baseline"/>
              </w:rPr>
            </w:pPr>
          </w:p>
        </w:tc>
      </w:tr>
      <w:tr w14:paraId="571E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51" w:type="pct"/>
            <w:vMerge w:val="continue"/>
            <w:vAlign w:val="center"/>
          </w:tcPr>
          <w:p w14:paraId="3F90848E">
            <w:pPr>
              <w:spacing w:line="240" w:lineRule="atLeast"/>
              <w:ind w:firstLine="28" w:firstLineChars="0"/>
              <w:jc w:val="center"/>
              <w:rPr>
                <w:rFonts w:hint="eastAsia" w:ascii="宋体" w:hAnsi="宋体" w:cs="宋体"/>
                <w:sz w:val="21"/>
                <w:szCs w:val="21"/>
                <w:highlight w:val="none"/>
              </w:rPr>
            </w:pPr>
          </w:p>
        </w:tc>
        <w:tc>
          <w:tcPr>
            <w:tcW w:w="584" w:type="pct"/>
            <w:vMerge w:val="continue"/>
            <w:vAlign w:val="center"/>
          </w:tcPr>
          <w:p w14:paraId="75FFCD59">
            <w:pPr>
              <w:spacing w:line="240" w:lineRule="atLeast"/>
              <w:ind w:firstLine="28" w:firstLineChars="0"/>
              <w:jc w:val="center"/>
              <w:rPr>
                <w:rFonts w:hint="eastAsia" w:ascii="宋体" w:hAnsi="宋体" w:cs="宋体"/>
                <w:sz w:val="21"/>
                <w:szCs w:val="21"/>
                <w:highlight w:val="none"/>
              </w:rPr>
            </w:pPr>
          </w:p>
        </w:tc>
        <w:tc>
          <w:tcPr>
            <w:tcW w:w="599" w:type="pct"/>
            <w:vMerge w:val="continue"/>
            <w:vAlign w:val="center"/>
          </w:tcPr>
          <w:p w14:paraId="62DA6FAC">
            <w:pPr>
              <w:spacing w:line="240" w:lineRule="atLeast"/>
              <w:ind w:firstLine="28" w:firstLineChars="0"/>
              <w:jc w:val="center"/>
              <w:rPr>
                <w:rFonts w:hint="eastAsia" w:ascii="宋体" w:hAnsi="宋体" w:cs="宋体"/>
                <w:sz w:val="21"/>
                <w:szCs w:val="21"/>
                <w:highlight w:val="none"/>
                <w:lang w:val="en-US" w:eastAsia="zh-CN"/>
              </w:rPr>
            </w:pPr>
          </w:p>
        </w:tc>
        <w:tc>
          <w:tcPr>
            <w:tcW w:w="2315" w:type="pct"/>
            <w:vAlign w:val="center"/>
          </w:tcPr>
          <w:p w14:paraId="0D6B2431">
            <w:pPr>
              <w:widowControl/>
              <w:adjustRightInd/>
              <w:snapToGrid/>
              <w:spacing w:line="360" w:lineRule="auto"/>
              <w:ind w:firstLine="422" w:firstLineChars="200"/>
              <w:jc w:val="left"/>
              <w:rPr>
                <w:b/>
                <w:bCs/>
                <w:highlight w:val="none"/>
              </w:rPr>
            </w:pPr>
            <w:r>
              <w:rPr>
                <w:rFonts w:hint="eastAsia"/>
                <w:b/>
                <w:bCs/>
                <w:highlight w:val="none"/>
                <w:lang w:val="en-US" w:eastAsia="zh-CN"/>
              </w:rPr>
              <w:t>一</w:t>
            </w:r>
            <w:r>
              <w:rPr>
                <w:rFonts w:hint="eastAsia"/>
                <w:b/>
                <w:bCs/>
                <w:highlight w:val="none"/>
              </w:rPr>
              <w:t>、</w:t>
            </w:r>
            <w:r>
              <w:rPr>
                <w:rFonts w:hint="eastAsia"/>
                <w:b/>
                <w:bCs/>
                <w:highlight w:val="none"/>
                <w:lang w:val="en-US" w:eastAsia="zh-CN"/>
              </w:rPr>
              <w:t>技术方案</w:t>
            </w:r>
            <w:r>
              <w:rPr>
                <w:rFonts w:hint="eastAsia"/>
                <w:b/>
                <w:bCs/>
                <w:highlight w:val="none"/>
              </w:rPr>
              <w:t>（</w:t>
            </w:r>
            <w:r>
              <w:rPr>
                <w:rFonts w:hint="eastAsia"/>
                <w:b/>
                <w:bCs/>
                <w:highlight w:val="none"/>
                <w:lang w:val="en-US" w:eastAsia="zh-CN"/>
              </w:rPr>
              <w:t>38</w:t>
            </w:r>
            <w:r>
              <w:rPr>
                <w:rFonts w:hint="eastAsia"/>
                <w:b/>
                <w:bCs/>
                <w:highlight w:val="none"/>
              </w:rPr>
              <w:t>分）</w:t>
            </w:r>
          </w:p>
          <w:p w14:paraId="5DB61802">
            <w:pPr>
              <w:spacing w:line="360" w:lineRule="auto"/>
              <w:ind w:firstLine="422" w:firstLineChars="200"/>
              <w:jc w:val="left"/>
              <w:rPr>
                <w:b/>
                <w:bCs/>
                <w:highlight w:val="none"/>
              </w:rPr>
            </w:pPr>
            <w:r>
              <w:rPr>
                <w:rFonts w:hint="eastAsia"/>
                <w:b/>
                <w:bCs/>
                <w:highlight w:val="none"/>
              </w:rPr>
              <w:t>1．需求分析（</w:t>
            </w:r>
            <w:r>
              <w:rPr>
                <w:rFonts w:hint="eastAsia"/>
                <w:b/>
                <w:bCs/>
                <w:highlight w:val="none"/>
                <w:lang w:val="en-US" w:eastAsia="zh-CN"/>
              </w:rPr>
              <w:t>8</w:t>
            </w:r>
            <w:r>
              <w:rPr>
                <w:rFonts w:hint="eastAsia"/>
                <w:b/>
                <w:bCs/>
                <w:highlight w:val="none"/>
              </w:rPr>
              <w:t>分）</w:t>
            </w:r>
          </w:p>
          <w:p w14:paraId="6CF636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highlight w:val="none"/>
              </w:rPr>
            </w:pPr>
            <w:r>
              <w:rPr>
                <w:rFonts w:hint="eastAsia"/>
                <w:highlight w:val="none"/>
              </w:rPr>
              <w:t>供应商提供书面需求分析报告，应深入理解项目思路和</w:t>
            </w:r>
            <w:r>
              <w:rPr>
                <w:rFonts w:hint="eastAsia"/>
                <w:highlight w:val="none"/>
                <w:lang w:eastAsia="zh-CN"/>
              </w:rPr>
              <w:t>采购人</w:t>
            </w:r>
            <w:r>
              <w:rPr>
                <w:rFonts w:hint="eastAsia"/>
                <w:highlight w:val="none"/>
              </w:rPr>
              <w:t>业务需求，在此基础上完成本项目需求分析报告。</w:t>
            </w:r>
          </w:p>
          <w:p w14:paraId="101DF9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highlight w:val="none"/>
                <w:lang w:eastAsia="zh-CN"/>
              </w:rPr>
            </w:pPr>
            <w:r>
              <w:rPr>
                <w:rFonts w:hint="eastAsia"/>
                <w:highlight w:val="none"/>
              </w:rPr>
              <w:t>需求理解深刻、全面得</w:t>
            </w:r>
            <w:r>
              <w:rPr>
                <w:rFonts w:hint="eastAsia"/>
                <w:highlight w:val="none"/>
                <w:lang w:val="en-US" w:eastAsia="zh-CN"/>
              </w:rPr>
              <w:t>8</w:t>
            </w:r>
            <w:r>
              <w:rPr>
                <w:rFonts w:hint="eastAsia"/>
                <w:highlight w:val="none"/>
              </w:rPr>
              <w:t>分</w:t>
            </w:r>
            <w:r>
              <w:rPr>
                <w:rFonts w:hint="eastAsia"/>
                <w:highlight w:val="none"/>
                <w:lang w:eastAsia="zh-CN"/>
              </w:rPr>
              <w:t>；</w:t>
            </w:r>
          </w:p>
          <w:p w14:paraId="1423921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highlight w:val="none"/>
                <w:lang w:eastAsia="zh-CN"/>
              </w:rPr>
            </w:pPr>
            <w:r>
              <w:rPr>
                <w:rFonts w:hint="eastAsia"/>
                <w:highlight w:val="none"/>
              </w:rPr>
              <w:t>需求理解较深刻、较全面得</w:t>
            </w:r>
            <w:r>
              <w:rPr>
                <w:rFonts w:hint="eastAsia"/>
                <w:highlight w:val="none"/>
                <w:lang w:val="en-US" w:eastAsia="zh-CN"/>
              </w:rPr>
              <w:t>5</w:t>
            </w:r>
            <w:r>
              <w:rPr>
                <w:rFonts w:hint="eastAsia"/>
                <w:highlight w:val="none"/>
              </w:rPr>
              <w:t>分</w:t>
            </w:r>
            <w:r>
              <w:rPr>
                <w:rFonts w:hint="eastAsia"/>
                <w:highlight w:val="none"/>
                <w:lang w:eastAsia="zh-CN"/>
              </w:rPr>
              <w:t>；</w:t>
            </w:r>
          </w:p>
          <w:p w14:paraId="0260BD6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highlight w:val="none"/>
                <w:lang w:eastAsia="zh-CN"/>
              </w:rPr>
            </w:pPr>
            <w:r>
              <w:rPr>
                <w:rFonts w:hint="eastAsia"/>
                <w:highlight w:val="none"/>
              </w:rPr>
              <w:t>需求理解一般得</w:t>
            </w:r>
            <w:r>
              <w:rPr>
                <w:rFonts w:hint="eastAsia"/>
                <w:highlight w:val="none"/>
                <w:lang w:val="en-US" w:eastAsia="zh-CN"/>
              </w:rPr>
              <w:t>3</w:t>
            </w:r>
            <w:r>
              <w:rPr>
                <w:rFonts w:hint="eastAsia"/>
                <w:highlight w:val="none"/>
              </w:rPr>
              <w:t>分</w:t>
            </w:r>
            <w:r>
              <w:rPr>
                <w:rFonts w:hint="eastAsia"/>
                <w:highlight w:val="none"/>
                <w:lang w:eastAsia="zh-CN"/>
              </w:rPr>
              <w:t>；</w:t>
            </w:r>
          </w:p>
          <w:p w14:paraId="250DA1C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highlight w:val="none"/>
              </w:rPr>
            </w:pPr>
            <w:r>
              <w:rPr>
                <w:rFonts w:hint="eastAsia"/>
                <w:highlight w:val="none"/>
              </w:rPr>
              <w:t>需求理解差、片面差或未提供得0分。</w:t>
            </w:r>
          </w:p>
          <w:p w14:paraId="6B24F1A3">
            <w:pPr>
              <w:spacing w:line="360" w:lineRule="auto"/>
              <w:ind w:firstLine="422" w:firstLineChars="200"/>
              <w:jc w:val="left"/>
              <w:rPr>
                <w:rFonts w:hint="eastAsia"/>
                <w:b/>
                <w:bCs/>
                <w:highlight w:val="none"/>
              </w:rPr>
            </w:pPr>
            <w:r>
              <w:rPr>
                <w:rFonts w:hint="eastAsia"/>
                <w:b/>
                <w:bCs/>
                <w:highlight w:val="none"/>
                <w:lang w:val="en-US" w:eastAsia="zh-CN"/>
              </w:rPr>
              <w:t>2</w:t>
            </w:r>
            <w:r>
              <w:rPr>
                <w:rFonts w:hint="eastAsia"/>
                <w:b/>
                <w:bCs/>
                <w:highlight w:val="none"/>
              </w:rPr>
              <w:t>．数据备份</w:t>
            </w:r>
            <w:r>
              <w:rPr>
                <w:rFonts w:hint="eastAsia"/>
                <w:b/>
                <w:bCs/>
                <w:highlight w:val="none"/>
                <w:lang w:val="en-US" w:eastAsia="zh-CN"/>
              </w:rPr>
              <w:t>实施方案</w:t>
            </w:r>
            <w:r>
              <w:rPr>
                <w:rFonts w:hint="eastAsia"/>
                <w:b/>
                <w:bCs/>
                <w:highlight w:val="none"/>
              </w:rPr>
              <w:t>（</w:t>
            </w:r>
            <w:r>
              <w:rPr>
                <w:rFonts w:hint="eastAsia"/>
                <w:b/>
                <w:bCs/>
                <w:highlight w:val="none"/>
                <w:lang w:val="en-US" w:eastAsia="zh-CN"/>
              </w:rPr>
              <w:t>10</w:t>
            </w:r>
            <w:r>
              <w:rPr>
                <w:rFonts w:hint="eastAsia"/>
                <w:b/>
                <w:bCs/>
                <w:highlight w:val="none"/>
              </w:rPr>
              <w:t>分）</w:t>
            </w:r>
          </w:p>
          <w:p w14:paraId="07AB0103">
            <w:pPr>
              <w:spacing w:line="360" w:lineRule="auto"/>
              <w:ind w:firstLine="420" w:firstLineChars="200"/>
              <w:jc w:val="left"/>
              <w:rPr>
                <w:rFonts w:hint="eastAsia"/>
                <w:highlight w:val="none"/>
              </w:rPr>
            </w:pPr>
            <w:r>
              <w:rPr>
                <w:rFonts w:hint="eastAsia"/>
                <w:highlight w:val="none"/>
              </w:rPr>
              <w:t>供应商提供书面</w:t>
            </w:r>
            <w:r>
              <w:rPr>
                <w:rFonts w:hint="eastAsia"/>
                <w:highlight w:val="none"/>
                <w:lang w:val="en-US" w:eastAsia="zh-CN"/>
              </w:rPr>
              <w:t>数据备份方案。方案应包含技术方案、实施步骤</w:t>
            </w:r>
            <w:r>
              <w:rPr>
                <w:rFonts w:hint="eastAsia"/>
                <w:highlight w:val="none"/>
              </w:rPr>
              <w:t>等内容。</w:t>
            </w:r>
          </w:p>
          <w:p w14:paraId="54C0D2C3">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阐述清楚、可操作性强</w:t>
            </w:r>
            <w:r>
              <w:rPr>
                <w:rFonts w:hint="eastAsia"/>
                <w:highlight w:val="none"/>
                <w:lang w:eastAsia="zh-CN"/>
              </w:rPr>
              <w:t>，</w:t>
            </w:r>
            <w:r>
              <w:rPr>
                <w:rFonts w:hint="eastAsia"/>
                <w:highlight w:val="none"/>
                <w:lang w:val="en-US" w:eastAsia="zh-CN"/>
              </w:rPr>
              <w:t>技术方案可行性强，</w:t>
            </w:r>
            <w:r>
              <w:rPr>
                <w:rFonts w:hint="eastAsia"/>
                <w:highlight w:val="none"/>
              </w:rPr>
              <w:t>完全符合</w:t>
            </w:r>
            <w:r>
              <w:rPr>
                <w:rFonts w:hint="eastAsia"/>
                <w:highlight w:val="none"/>
                <w:lang w:eastAsia="zh-CN"/>
              </w:rPr>
              <w:t>采购人</w:t>
            </w:r>
            <w:r>
              <w:rPr>
                <w:rFonts w:hint="eastAsia"/>
                <w:highlight w:val="none"/>
              </w:rPr>
              <w:t>实际情况得</w:t>
            </w:r>
            <w:r>
              <w:rPr>
                <w:rFonts w:hint="eastAsia"/>
                <w:highlight w:val="none"/>
                <w:lang w:val="en-US" w:eastAsia="zh-CN"/>
              </w:rPr>
              <w:t>10</w:t>
            </w:r>
            <w:r>
              <w:rPr>
                <w:rFonts w:hint="eastAsia"/>
                <w:highlight w:val="none"/>
              </w:rPr>
              <w:t>分</w:t>
            </w:r>
            <w:r>
              <w:rPr>
                <w:rFonts w:hint="eastAsia"/>
                <w:highlight w:val="none"/>
                <w:lang w:eastAsia="zh-CN"/>
              </w:rPr>
              <w:t>；</w:t>
            </w:r>
          </w:p>
          <w:p w14:paraId="4475A225">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阐述较清楚、可操作性较强、</w:t>
            </w:r>
            <w:r>
              <w:rPr>
                <w:rFonts w:hint="eastAsia"/>
                <w:highlight w:val="none"/>
                <w:lang w:val="en-US" w:eastAsia="zh-CN"/>
              </w:rPr>
              <w:t>较</w:t>
            </w:r>
            <w:r>
              <w:rPr>
                <w:rFonts w:hint="eastAsia"/>
                <w:highlight w:val="none"/>
              </w:rPr>
              <w:t>符合</w:t>
            </w:r>
            <w:r>
              <w:rPr>
                <w:rFonts w:hint="eastAsia"/>
                <w:highlight w:val="none"/>
                <w:lang w:eastAsia="zh-CN"/>
              </w:rPr>
              <w:t>采购人</w:t>
            </w:r>
            <w:r>
              <w:rPr>
                <w:rFonts w:hint="eastAsia"/>
                <w:highlight w:val="none"/>
              </w:rPr>
              <w:t>实际情况得</w:t>
            </w:r>
            <w:r>
              <w:rPr>
                <w:rFonts w:hint="eastAsia"/>
                <w:highlight w:val="none"/>
                <w:lang w:val="en-US" w:eastAsia="zh-CN"/>
              </w:rPr>
              <w:t>7</w:t>
            </w:r>
            <w:r>
              <w:rPr>
                <w:rFonts w:hint="eastAsia"/>
                <w:highlight w:val="none"/>
              </w:rPr>
              <w:t>分</w:t>
            </w:r>
            <w:r>
              <w:rPr>
                <w:rFonts w:hint="eastAsia"/>
                <w:highlight w:val="none"/>
                <w:lang w:eastAsia="zh-CN"/>
              </w:rPr>
              <w:t>；</w:t>
            </w:r>
          </w:p>
          <w:p w14:paraId="3C3A5F44">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阐述一般、可操作性一般、</w:t>
            </w:r>
            <w:r>
              <w:rPr>
                <w:rFonts w:hint="eastAsia"/>
                <w:highlight w:val="none"/>
                <w:lang w:val="en-US" w:eastAsia="zh-CN"/>
              </w:rPr>
              <w:t>基本</w:t>
            </w:r>
            <w:r>
              <w:rPr>
                <w:rFonts w:hint="eastAsia"/>
                <w:highlight w:val="none"/>
              </w:rPr>
              <w:t>符合</w:t>
            </w:r>
            <w:r>
              <w:rPr>
                <w:rFonts w:hint="eastAsia"/>
                <w:highlight w:val="none"/>
                <w:lang w:eastAsia="zh-CN"/>
              </w:rPr>
              <w:t>采购人</w:t>
            </w:r>
            <w:r>
              <w:rPr>
                <w:rFonts w:hint="eastAsia"/>
                <w:highlight w:val="none"/>
              </w:rPr>
              <w:t>实际情况得</w:t>
            </w:r>
            <w:r>
              <w:rPr>
                <w:rFonts w:hint="eastAsia"/>
                <w:highlight w:val="none"/>
                <w:lang w:val="en-US" w:eastAsia="zh-CN"/>
              </w:rPr>
              <w:t>4</w:t>
            </w:r>
            <w:r>
              <w:rPr>
                <w:rFonts w:hint="eastAsia"/>
                <w:highlight w:val="none"/>
              </w:rPr>
              <w:t>分</w:t>
            </w:r>
            <w:r>
              <w:rPr>
                <w:rFonts w:hint="eastAsia"/>
                <w:highlight w:val="none"/>
                <w:lang w:eastAsia="zh-CN"/>
              </w:rPr>
              <w:t>；</w:t>
            </w:r>
          </w:p>
          <w:p w14:paraId="789782D9">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阐述不清楚、可操作性差、不符合</w:t>
            </w:r>
            <w:r>
              <w:rPr>
                <w:rFonts w:hint="eastAsia"/>
                <w:highlight w:val="none"/>
                <w:lang w:eastAsia="zh-CN"/>
              </w:rPr>
              <w:t>采购人</w:t>
            </w:r>
            <w:r>
              <w:rPr>
                <w:rFonts w:hint="eastAsia"/>
                <w:highlight w:val="none"/>
              </w:rPr>
              <w:t>实际情况或未提供得0分</w:t>
            </w:r>
            <w:r>
              <w:rPr>
                <w:rFonts w:hint="eastAsia"/>
                <w:highlight w:val="none"/>
                <w:lang w:eastAsia="zh-CN"/>
              </w:rPr>
              <w:t>。</w:t>
            </w:r>
          </w:p>
          <w:p w14:paraId="470206DA">
            <w:pPr>
              <w:spacing w:line="360" w:lineRule="auto"/>
              <w:ind w:firstLine="422" w:firstLineChars="200"/>
              <w:jc w:val="left"/>
              <w:rPr>
                <w:rFonts w:hint="eastAsia"/>
                <w:b/>
                <w:bCs/>
                <w:highlight w:val="none"/>
                <w:lang w:val="en-US" w:eastAsia="zh-CN"/>
              </w:rPr>
            </w:pPr>
            <w:r>
              <w:rPr>
                <w:rFonts w:hint="eastAsia"/>
                <w:b/>
                <w:bCs/>
                <w:highlight w:val="none"/>
                <w:lang w:val="en-US" w:eastAsia="zh-CN"/>
              </w:rPr>
              <w:t>3.平台互联保障方案（10分）</w:t>
            </w:r>
          </w:p>
          <w:p w14:paraId="1873287C">
            <w:pPr>
              <w:spacing w:line="360" w:lineRule="auto"/>
              <w:ind w:firstLine="420" w:firstLineChars="200"/>
              <w:jc w:val="left"/>
              <w:rPr>
                <w:rFonts w:hint="eastAsia"/>
                <w:highlight w:val="none"/>
                <w:lang w:eastAsia="zh-CN"/>
              </w:rPr>
            </w:pPr>
            <w:r>
              <w:rPr>
                <w:rFonts w:hint="eastAsia"/>
                <w:highlight w:val="none"/>
                <w:lang w:eastAsia="zh-CN"/>
              </w:rPr>
              <w:t>供应商提供</w:t>
            </w:r>
            <w:r>
              <w:rPr>
                <w:rFonts w:hint="eastAsia"/>
                <w:highlight w:val="none"/>
                <w:lang w:val="en-US" w:eastAsia="zh-CN"/>
              </w:rPr>
              <w:t>书面</w:t>
            </w:r>
            <w:r>
              <w:rPr>
                <w:rFonts w:hint="eastAsia"/>
                <w:highlight w:val="none"/>
                <w:lang w:eastAsia="zh-CN"/>
              </w:rPr>
              <w:t>平台互联保障</w:t>
            </w:r>
            <w:r>
              <w:rPr>
                <w:rFonts w:hint="eastAsia"/>
                <w:highlight w:val="none"/>
                <w:lang w:val="en-US" w:eastAsia="zh-CN"/>
              </w:rPr>
              <w:t>方案</w:t>
            </w:r>
            <w:r>
              <w:rPr>
                <w:rFonts w:hint="eastAsia"/>
                <w:highlight w:val="none"/>
                <w:lang w:eastAsia="zh-CN"/>
              </w:rPr>
              <w:t>。</w:t>
            </w:r>
            <w:r>
              <w:rPr>
                <w:rFonts w:hint="eastAsia"/>
                <w:highlight w:val="none"/>
                <w:lang w:val="en-US" w:eastAsia="zh-CN"/>
              </w:rPr>
              <w:t>方案应包含技术方案、实施步骤</w:t>
            </w:r>
            <w:r>
              <w:rPr>
                <w:rFonts w:hint="eastAsia"/>
                <w:highlight w:val="none"/>
              </w:rPr>
              <w:t>等内容。</w:t>
            </w:r>
          </w:p>
          <w:p w14:paraId="7F3DC8B3">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阐述清楚、可操作性强</w:t>
            </w:r>
            <w:r>
              <w:rPr>
                <w:rFonts w:hint="eastAsia"/>
                <w:highlight w:val="none"/>
                <w:lang w:eastAsia="zh-CN"/>
              </w:rPr>
              <w:t>，</w:t>
            </w:r>
            <w:r>
              <w:rPr>
                <w:rFonts w:hint="eastAsia"/>
                <w:highlight w:val="none"/>
              </w:rPr>
              <w:t>完全符合</w:t>
            </w:r>
            <w:r>
              <w:rPr>
                <w:rFonts w:hint="eastAsia"/>
                <w:highlight w:val="none"/>
                <w:lang w:eastAsia="zh-CN"/>
              </w:rPr>
              <w:t>采购人</w:t>
            </w:r>
            <w:r>
              <w:rPr>
                <w:rFonts w:hint="eastAsia"/>
                <w:highlight w:val="none"/>
              </w:rPr>
              <w:t>实际情况得</w:t>
            </w:r>
            <w:r>
              <w:rPr>
                <w:rFonts w:hint="eastAsia"/>
                <w:highlight w:val="none"/>
                <w:lang w:val="en-US" w:eastAsia="zh-CN"/>
              </w:rPr>
              <w:t>10</w:t>
            </w:r>
            <w:r>
              <w:rPr>
                <w:rFonts w:hint="eastAsia"/>
                <w:highlight w:val="none"/>
              </w:rPr>
              <w:t>分</w:t>
            </w:r>
            <w:r>
              <w:rPr>
                <w:rFonts w:hint="eastAsia"/>
                <w:highlight w:val="none"/>
                <w:lang w:eastAsia="zh-CN"/>
              </w:rPr>
              <w:t>；</w:t>
            </w:r>
          </w:p>
          <w:p w14:paraId="1F1DABA9">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阐述较清楚、可操作性较强、</w:t>
            </w:r>
            <w:r>
              <w:rPr>
                <w:rFonts w:hint="eastAsia"/>
                <w:highlight w:val="none"/>
                <w:lang w:val="en-US" w:eastAsia="zh-CN"/>
              </w:rPr>
              <w:t>较</w:t>
            </w:r>
            <w:r>
              <w:rPr>
                <w:rFonts w:hint="eastAsia"/>
                <w:highlight w:val="none"/>
              </w:rPr>
              <w:t>符合</w:t>
            </w:r>
            <w:r>
              <w:rPr>
                <w:rFonts w:hint="eastAsia"/>
                <w:highlight w:val="none"/>
                <w:lang w:eastAsia="zh-CN"/>
              </w:rPr>
              <w:t>采购人</w:t>
            </w:r>
            <w:r>
              <w:rPr>
                <w:rFonts w:hint="eastAsia"/>
                <w:highlight w:val="none"/>
              </w:rPr>
              <w:t>实际情况得</w:t>
            </w:r>
            <w:r>
              <w:rPr>
                <w:rFonts w:hint="eastAsia"/>
                <w:highlight w:val="none"/>
                <w:lang w:val="en-US" w:eastAsia="zh-CN"/>
              </w:rPr>
              <w:t>7</w:t>
            </w:r>
            <w:r>
              <w:rPr>
                <w:rFonts w:hint="eastAsia"/>
                <w:highlight w:val="none"/>
              </w:rPr>
              <w:t>分</w:t>
            </w:r>
            <w:r>
              <w:rPr>
                <w:rFonts w:hint="eastAsia"/>
                <w:highlight w:val="none"/>
                <w:lang w:eastAsia="zh-CN"/>
              </w:rPr>
              <w:t>；</w:t>
            </w:r>
          </w:p>
          <w:p w14:paraId="37EF230D">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阐述一般、可操作性一般、</w:t>
            </w:r>
            <w:r>
              <w:rPr>
                <w:rFonts w:hint="eastAsia"/>
                <w:highlight w:val="none"/>
                <w:lang w:val="en-US" w:eastAsia="zh-CN"/>
              </w:rPr>
              <w:t>基本符合</w:t>
            </w:r>
            <w:bookmarkStart w:id="298" w:name="_GoBack"/>
            <w:bookmarkEnd w:id="298"/>
            <w:r>
              <w:rPr>
                <w:rFonts w:hint="eastAsia"/>
                <w:highlight w:val="none"/>
                <w:lang w:eastAsia="zh-CN"/>
              </w:rPr>
              <w:t>采购人</w:t>
            </w:r>
            <w:r>
              <w:rPr>
                <w:rFonts w:hint="eastAsia"/>
                <w:highlight w:val="none"/>
              </w:rPr>
              <w:t>实际情况得</w:t>
            </w:r>
            <w:r>
              <w:rPr>
                <w:rFonts w:hint="eastAsia"/>
                <w:highlight w:val="none"/>
                <w:lang w:val="en-US" w:eastAsia="zh-CN"/>
              </w:rPr>
              <w:t>4</w:t>
            </w:r>
            <w:r>
              <w:rPr>
                <w:rFonts w:hint="eastAsia"/>
                <w:highlight w:val="none"/>
              </w:rPr>
              <w:t>分</w:t>
            </w:r>
            <w:r>
              <w:rPr>
                <w:rFonts w:hint="eastAsia"/>
                <w:highlight w:val="none"/>
                <w:lang w:eastAsia="zh-CN"/>
              </w:rPr>
              <w:t>；</w:t>
            </w:r>
          </w:p>
          <w:p w14:paraId="23E6D130">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阐述不清楚、可操作性差、不符合</w:t>
            </w:r>
            <w:r>
              <w:rPr>
                <w:rFonts w:hint="eastAsia"/>
                <w:highlight w:val="none"/>
                <w:lang w:eastAsia="zh-CN"/>
              </w:rPr>
              <w:t>采购人</w:t>
            </w:r>
            <w:r>
              <w:rPr>
                <w:rFonts w:hint="eastAsia"/>
                <w:highlight w:val="none"/>
              </w:rPr>
              <w:t>实际情况或未提供得0分</w:t>
            </w:r>
            <w:r>
              <w:rPr>
                <w:rFonts w:hint="eastAsia"/>
                <w:highlight w:val="none"/>
                <w:lang w:eastAsia="zh-CN"/>
              </w:rPr>
              <w:t>。</w:t>
            </w:r>
          </w:p>
          <w:p w14:paraId="08E3CF0E">
            <w:pPr>
              <w:spacing w:line="360" w:lineRule="auto"/>
              <w:ind w:firstLine="422" w:firstLineChars="200"/>
              <w:jc w:val="left"/>
              <w:rPr>
                <w:rFonts w:hint="eastAsia"/>
                <w:b/>
                <w:bCs/>
                <w:highlight w:val="none"/>
              </w:rPr>
            </w:pPr>
            <w:r>
              <w:rPr>
                <w:rFonts w:hint="eastAsia"/>
                <w:b/>
                <w:bCs/>
                <w:highlight w:val="none"/>
                <w:lang w:val="en-US" w:eastAsia="zh-CN"/>
              </w:rPr>
              <w:t>4</w:t>
            </w:r>
            <w:r>
              <w:rPr>
                <w:rFonts w:hint="eastAsia"/>
                <w:b/>
                <w:bCs/>
                <w:highlight w:val="none"/>
              </w:rPr>
              <w:t>．应用系统集成支撑</w:t>
            </w:r>
            <w:r>
              <w:rPr>
                <w:rFonts w:hint="eastAsia"/>
                <w:b/>
                <w:bCs/>
                <w:highlight w:val="none"/>
                <w:lang w:val="en-US" w:eastAsia="zh-CN"/>
              </w:rPr>
              <w:t>方案</w:t>
            </w:r>
            <w:r>
              <w:rPr>
                <w:rFonts w:hint="eastAsia"/>
                <w:b/>
                <w:bCs/>
                <w:highlight w:val="none"/>
              </w:rPr>
              <w:t>（</w:t>
            </w:r>
            <w:r>
              <w:rPr>
                <w:rFonts w:hint="eastAsia"/>
                <w:b/>
                <w:bCs/>
                <w:highlight w:val="none"/>
                <w:lang w:val="en-US" w:eastAsia="zh-CN"/>
              </w:rPr>
              <w:t>10</w:t>
            </w:r>
            <w:r>
              <w:rPr>
                <w:rFonts w:hint="eastAsia"/>
                <w:b/>
                <w:bCs/>
                <w:highlight w:val="none"/>
              </w:rPr>
              <w:t>分）</w:t>
            </w:r>
          </w:p>
          <w:p w14:paraId="5C88CE60">
            <w:pPr>
              <w:spacing w:line="360" w:lineRule="auto"/>
              <w:ind w:firstLine="420" w:firstLineChars="200"/>
              <w:jc w:val="left"/>
              <w:rPr>
                <w:rFonts w:hint="eastAsia"/>
                <w:highlight w:val="none"/>
              </w:rPr>
            </w:pPr>
            <w:r>
              <w:rPr>
                <w:rFonts w:hint="eastAsia"/>
                <w:highlight w:val="none"/>
              </w:rPr>
              <w:t>供应商提供书面</w:t>
            </w:r>
            <w:r>
              <w:rPr>
                <w:rFonts w:hint="eastAsia"/>
                <w:highlight w:val="none"/>
                <w:lang w:val="en-US" w:eastAsia="zh-CN"/>
              </w:rPr>
              <w:t>应用系统集成支撑方案。方案应包含技术方案、实施步骤</w:t>
            </w:r>
            <w:r>
              <w:rPr>
                <w:rFonts w:hint="eastAsia"/>
                <w:highlight w:val="none"/>
              </w:rPr>
              <w:t>等内容。</w:t>
            </w:r>
          </w:p>
          <w:p w14:paraId="6CA9587F">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阐述清楚、可操作性强</w:t>
            </w:r>
            <w:r>
              <w:rPr>
                <w:rFonts w:hint="eastAsia"/>
                <w:highlight w:val="none"/>
                <w:lang w:eastAsia="zh-CN"/>
              </w:rPr>
              <w:t>，</w:t>
            </w:r>
            <w:r>
              <w:rPr>
                <w:rFonts w:hint="eastAsia"/>
                <w:highlight w:val="none"/>
              </w:rPr>
              <w:t>完全符合</w:t>
            </w:r>
            <w:r>
              <w:rPr>
                <w:rFonts w:hint="eastAsia"/>
                <w:highlight w:val="none"/>
                <w:lang w:eastAsia="zh-CN"/>
              </w:rPr>
              <w:t>采购人</w:t>
            </w:r>
            <w:r>
              <w:rPr>
                <w:rFonts w:hint="eastAsia"/>
                <w:highlight w:val="none"/>
              </w:rPr>
              <w:t>实际情况得</w:t>
            </w:r>
            <w:r>
              <w:rPr>
                <w:rFonts w:hint="eastAsia"/>
                <w:highlight w:val="none"/>
                <w:lang w:val="en-US" w:eastAsia="zh-CN"/>
              </w:rPr>
              <w:t>10</w:t>
            </w:r>
            <w:r>
              <w:rPr>
                <w:rFonts w:hint="eastAsia"/>
                <w:highlight w:val="none"/>
              </w:rPr>
              <w:t>分</w:t>
            </w:r>
            <w:r>
              <w:rPr>
                <w:rFonts w:hint="eastAsia"/>
                <w:highlight w:val="none"/>
                <w:lang w:eastAsia="zh-CN"/>
              </w:rPr>
              <w:t>；</w:t>
            </w:r>
          </w:p>
          <w:p w14:paraId="640C7167">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阐述较清楚、可操作性较强、</w:t>
            </w:r>
            <w:r>
              <w:rPr>
                <w:rFonts w:hint="eastAsia"/>
                <w:highlight w:val="none"/>
                <w:lang w:val="en-US" w:eastAsia="zh-CN"/>
              </w:rPr>
              <w:t>较</w:t>
            </w:r>
            <w:r>
              <w:rPr>
                <w:rFonts w:hint="eastAsia"/>
                <w:highlight w:val="none"/>
              </w:rPr>
              <w:t>符合</w:t>
            </w:r>
            <w:r>
              <w:rPr>
                <w:rFonts w:hint="eastAsia"/>
                <w:highlight w:val="none"/>
                <w:lang w:eastAsia="zh-CN"/>
              </w:rPr>
              <w:t>采购人</w:t>
            </w:r>
            <w:r>
              <w:rPr>
                <w:rFonts w:hint="eastAsia"/>
                <w:highlight w:val="none"/>
              </w:rPr>
              <w:t>实际情况得</w:t>
            </w:r>
            <w:r>
              <w:rPr>
                <w:rFonts w:hint="eastAsia"/>
                <w:highlight w:val="none"/>
                <w:lang w:val="en-US" w:eastAsia="zh-CN"/>
              </w:rPr>
              <w:t>7</w:t>
            </w:r>
            <w:r>
              <w:rPr>
                <w:rFonts w:hint="eastAsia"/>
                <w:highlight w:val="none"/>
              </w:rPr>
              <w:t>分</w:t>
            </w:r>
            <w:r>
              <w:rPr>
                <w:rFonts w:hint="eastAsia"/>
                <w:highlight w:val="none"/>
                <w:lang w:eastAsia="zh-CN"/>
              </w:rPr>
              <w:t>；</w:t>
            </w:r>
          </w:p>
          <w:p w14:paraId="12206A14">
            <w:pPr>
              <w:spacing w:line="360" w:lineRule="auto"/>
              <w:ind w:firstLine="420" w:firstLineChars="200"/>
              <w:jc w:val="left"/>
              <w:rPr>
                <w:rFonts w:hint="eastAsia"/>
                <w:highlight w:val="none"/>
                <w:lang w:eastAsia="zh-CN"/>
              </w:rPr>
            </w:pPr>
            <w:r>
              <w:rPr>
                <w:rFonts w:hint="eastAsia"/>
                <w:highlight w:val="none"/>
                <w:lang w:eastAsia="zh-CN"/>
              </w:rPr>
              <w:t>方案</w:t>
            </w:r>
            <w:r>
              <w:rPr>
                <w:rFonts w:hint="eastAsia"/>
                <w:highlight w:val="none"/>
              </w:rPr>
              <w:t>阐述一般、可操作性一般、</w:t>
            </w:r>
            <w:r>
              <w:rPr>
                <w:rFonts w:hint="eastAsia"/>
                <w:highlight w:val="none"/>
                <w:lang w:val="en-US" w:eastAsia="zh-CN"/>
              </w:rPr>
              <w:t>基本</w:t>
            </w:r>
            <w:r>
              <w:rPr>
                <w:rFonts w:hint="eastAsia"/>
                <w:highlight w:val="none"/>
              </w:rPr>
              <w:t>符合</w:t>
            </w:r>
            <w:r>
              <w:rPr>
                <w:rFonts w:hint="eastAsia"/>
                <w:highlight w:val="none"/>
                <w:lang w:eastAsia="zh-CN"/>
              </w:rPr>
              <w:t>采购人</w:t>
            </w:r>
            <w:r>
              <w:rPr>
                <w:rFonts w:hint="eastAsia"/>
                <w:highlight w:val="none"/>
              </w:rPr>
              <w:t>实际情况得</w:t>
            </w:r>
            <w:r>
              <w:rPr>
                <w:rFonts w:hint="eastAsia"/>
                <w:highlight w:val="none"/>
                <w:lang w:val="en-US" w:eastAsia="zh-CN"/>
              </w:rPr>
              <w:t>4</w:t>
            </w:r>
            <w:r>
              <w:rPr>
                <w:rFonts w:hint="eastAsia"/>
                <w:highlight w:val="none"/>
              </w:rPr>
              <w:t>分</w:t>
            </w:r>
            <w:r>
              <w:rPr>
                <w:rFonts w:hint="eastAsia"/>
                <w:highlight w:val="none"/>
                <w:lang w:eastAsia="zh-CN"/>
              </w:rPr>
              <w:t>；</w:t>
            </w:r>
          </w:p>
          <w:p w14:paraId="508EEB96">
            <w:pPr>
              <w:spacing w:line="360" w:lineRule="auto"/>
              <w:ind w:firstLine="420" w:firstLineChars="200"/>
              <w:jc w:val="left"/>
              <w:rPr>
                <w:rFonts w:hint="default"/>
                <w:highlight w:val="none"/>
                <w:lang w:val="en-US" w:eastAsia="zh-CN"/>
              </w:rPr>
            </w:pPr>
            <w:r>
              <w:rPr>
                <w:rFonts w:hint="eastAsia"/>
                <w:highlight w:val="none"/>
                <w:lang w:eastAsia="zh-CN"/>
              </w:rPr>
              <w:t>方案</w:t>
            </w:r>
            <w:r>
              <w:rPr>
                <w:rFonts w:hint="eastAsia"/>
                <w:highlight w:val="none"/>
              </w:rPr>
              <w:t>阐述不清楚、可操作性差、不符合</w:t>
            </w:r>
            <w:r>
              <w:rPr>
                <w:rFonts w:hint="eastAsia"/>
                <w:highlight w:val="none"/>
                <w:lang w:eastAsia="zh-CN"/>
              </w:rPr>
              <w:t>采购人</w:t>
            </w:r>
            <w:r>
              <w:rPr>
                <w:rFonts w:hint="eastAsia"/>
                <w:highlight w:val="none"/>
              </w:rPr>
              <w:t>实际情况或未提供得0分</w:t>
            </w:r>
            <w:r>
              <w:rPr>
                <w:rFonts w:hint="eastAsia"/>
                <w:highlight w:val="none"/>
                <w:lang w:eastAsia="zh-CN"/>
              </w:rPr>
              <w:t>。</w:t>
            </w:r>
          </w:p>
        </w:tc>
        <w:tc>
          <w:tcPr>
            <w:tcW w:w="1149" w:type="pct"/>
            <w:vAlign w:val="center"/>
          </w:tcPr>
          <w:p w14:paraId="2667B703">
            <w:pPr>
              <w:spacing w:line="360" w:lineRule="auto"/>
              <w:ind w:left="-38" w:leftChars="0"/>
              <w:jc w:val="center"/>
              <w:rPr>
                <w:highlight w:val="none"/>
                <w:vertAlign w:val="baseline"/>
              </w:rPr>
            </w:pPr>
            <w:r>
              <w:rPr>
                <w:rFonts w:hint="eastAsia"/>
                <w:sz w:val="21"/>
                <w:szCs w:val="21"/>
                <w:highlight w:val="none"/>
                <w:vertAlign w:val="baseline"/>
              </w:rPr>
              <w:t>根据供应商的技术方案横向比较打分。</w:t>
            </w:r>
          </w:p>
        </w:tc>
      </w:tr>
      <w:tr w14:paraId="4194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351" w:type="pct"/>
            <w:vAlign w:val="center"/>
          </w:tcPr>
          <w:p w14:paraId="366671DE">
            <w:pPr>
              <w:spacing w:line="360" w:lineRule="auto"/>
              <w:ind w:firstLine="28" w:firstLineChars="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584" w:type="pct"/>
            <w:vAlign w:val="center"/>
          </w:tcPr>
          <w:p w14:paraId="4275E27A">
            <w:pPr>
              <w:spacing w:line="360" w:lineRule="auto"/>
              <w:ind w:firstLine="28" w:firstLineChars="0"/>
              <w:jc w:val="center"/>
              <w:rPr>
                <w:rFonts w:hint="eastAsia" w:ascii="宋体" w:hAnsi="宋体" w:cs="宋体"/>
                <w:sz w:val="21"/>
                <w:szCs w:val="21"/>
                <w:highlight w:val="none"/>
              </w:rPr>
            </w:pPr>
            <w:r>
              <w:rPr>
                <w:rFonts w:hint="eastAsia" w:ascii="宋体" w:hAnsi="宋体" w:cs="宋体"/>
                <w:sz w:val="21"/>
                <w:szCs w:val="21"/>
                <w:highlight w:val="none"/>
              </w:rPr>
              <w:t>商务部分（</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p>
        </w:tc>
        <w:tc>
          <w:tcPr>
            <w:tcW w:w="599" w:type="pct"/>
            <w:vAlign w:val="center"/>
          </w:tcPr>
          <w:p w14:paraId="2AB6F261">
            <w:pPr>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tc>
        <w:tc>
          <w:tcPr>
            <w:tcW w:w="2315" w:type="pct"/>
            <w:vAlign w:val="center"/>
          </w:tcPr>
          <w:p w14:paraId="1CBF83A4">
            <w:pPr>
              <w:numPr>
                <w:ilvl w:val="-1"/>
                <w:numId w:val="0"/>
              </w:numPr>
              <w:spacing w:line="360" w:lineRule="auto"/>
              <w:rPr>
                <w:rFonts w:hint="eastAsia" w:ascii="宋体" w:hAnsi="宋体" w:eastAsiaTheme="minorEastAsia" w:cstheme="minorBidi"/>
                <w:b/>
                <w:bCs/>
                <w:color w:val="000000"/>
                <w:sz w:val="21"/>
                <w:szCs w:val="21"/>
                <w:highlight w:val="none"/>
                <w:lang w:val="en-US" w:eastAsia="zh-CN"/>
              </w:rPr>
            </w:pPr>
            <w:r>
              <w:rPr>
                <w:rFonts w:hint="eastAsia" w:ascii="宋体" w:hAnsi="宋体" w:eastAsiaTheme="minorEastAsia" w:cstheme="minorBidi"/>
                <w:b/>
                <w:bCs/>
                <w:color w:val="000000"/>
                <w:sz w:val="21"/>
                <w:szCs w:val="21"/>
                <w:highlight w:val="none"/>
                <w:lang w:val="en-US" w:eastAsia="zh-CN"/>
              </w:rPr>
              <w:t>一、团队人员（6分）</w:t>
            </w:r>
          </w:p>
          <w:p w14:paraId="2015E894">
            <w:pPr>
              <w:pStyle w:val="2"/>
              <w:numPr>
                <w:ilvl w:val="0"/>
                <w:numId w:val="0"/>
              </w:numPr>
              <w:spacing w:line="360" w:lineRule="auto"/>
              <w:ind w:left="0" w:leftChars="0" w:firstLine="420" w:firstLineChars="200"/>
              <w:rPr>
                <w:rFonts w:hint="eastAsia" w:ascii="仿宋_GB2312" w:eastAsia="仿宋_GB2312" w:hAnsiTheme="minorHAnsi" w:cstheme="minorBidi"/>
                <w:kern w:val="2"/>
                <w:sz w:val="32"/>
                <w:szCs w:val="24"/>
                <w:highlight w:val="none"/>
                <w:lang w:val="en-US" w:eastAsia="zh-CN" w:bidi="ar-SA"/>
              </w:rPr>
            </w:pPr>
            <w:r>
              <w:rPr>
                <w:rFonts w:hint="eastAsia" w:ascii="宋体" w:hAnsi="宋体" w:eastAsiaTheme="minorEastAsia" w:cstheme="minorBidi"/>
                <w:color w:val="000000"/>
                <w:kern w:val="2"/>
                <w:sz w:val="21"/>
                <w:szCs w:val="21"/>
                <w:highlight w:val="none"/>
                <w:lang w:val="en-US" w:eastAsia="zh-CN" w:bidi="ar-SA"/>
              </w:rPr>
              <w:t>供应商项目组成人员中，</w:t>
            </w:r>
            <w:r>
              <w:rPr>
                <w:rFonts w:hint="default" w:ascii="宋体" w:hAnsi="宋体" w:eastAsiaTheme="minorEastAsia" w:cstheme="minorBidi"/>
                <w:color w:val="000000"/>
                <w:kern w:val="2"/>
                <w:sz w:val="21"/>
                <w:szCs w:val="21"/>
                <w:highlight w:val="none"/>
                <w:lang w:val="en-US" w:eastAsia="zh-CN" w:bidi="ar-SA"/>
              </w:rPr>
              <w:t>具有</w:t>
            </w:r>
            <w:r>
              <w:rPr>
                <w:rFonts w:hint="eastAsia" w:ascii="宋体" w:hAnsi="宋体" w:eastAsiaTheme="minorEastAsia" w:cstheme="minorBidi"/>
                <w:color w:val="000000"/>
                <w:kern w:val="2"/>
                <w:sz w:val="21"/>
                <w:szCs w:val="21"/>
                <w:highlight w:val="none"/>
                <w:lang w:val="en-US" w:eastAsia="zh-CN" w:bidi="ar-SA"/>
              </w:rPr>
              <w:t>电子信息或通信类</w:t>
            </w:r>
            <w:r>
              <w:rPr>
                <w:rFonts w:hint="default" w:ascii="宋体" w:hAnsi="宋体" w:eastAsiaTheme="minorEastAsia" w:cstheme="minorBidi"/>
                <w:color w:val="000000"/>
                <w:kern w:val="2"/>
                <w:sz w:val="21"/>
                <w:szCs w:val="21"/>
                <w:highlight w:val="none"/>
                <w:lang w:val="en-US" w:eastAsia="zh-CN" w:bidi="ar-SA"/>
              </w:rPr>
              <w:t>高级工程师或副教授及以上职称</w:t>
            </w:r>
            <w:r>
              <w:rPr>
                <w:rFonts w:hint="eastAsia" w:ascii="宋体" w:hAnsi="宋体" w:eastAsiaTheme="minorEastAsia" w:cstheme="minorBidi"/>
                <w:color w:val="000000"/>
                <w:kern w:val="2"/>
                <w:sz w:val="21"/>
                <w:szCs w:val="21"/>
                <w:highlight w:val="none"/>
                <w:lang w:val="en-US" w:eastAsia="zh-CN" w:bidi="ar-SA"/>
              </w:rPr>
              <w:t>，每</w:t>
            </w:r>
            <w:r>
              <w:rPr>
                <w:rFonts w:hint="default" w:ascii="宋体" w:hAnsi="宋体" w:eastAsiaTheme="minorEastAsia" w:cstheme="minorBidi"/>
                <w:color w:val="000000"/>
                <w:kern w:val="2"/>
                <w:sz w:val="21"/>
                <w:szCs w:val="21"/>
                <w:highlight w:val="none"/>
                <w:lang w:val="en-US" w:eastAsia="zh-CN" w:bidi="ar-SA"/>
              </w:rPr>
              <w:t>提供一个得</w:t>
            </w:r>
            <w:r>
              <w:rPr>
                <w:rFonts w:hint="eastAsia" w:ascii="宋体" w:hAnsi="宋体" w:eastAsiaTheme="minorEastAsia" w:cstheme="minorBidi"/>
                <w:color w:val="000000"/>
                <w:kern w:val="2"/>
                <w:sz w:val="21"/>
                <w:szCs w:val="21"/>
                <w:highlight w:val="none"/>
                <w:lang w:val="en-US" w:eastAsia="zh-CN" w:bidi="ar-SA"/>
              </w:rPr>
              <w:t>3</w:t>
            </w:r>
            <w:r>
              <w:rPr>
                <w:rFonts w:hint="default" w:ascii="宋体" w:hAnsi="宋体" w:eastAsiaTheme="minorEastAsia" w:cstheme="minorBidi"/>
                <w:color w:val="000000"/>
                <w:kern w:val="2"/>
                <w:sz w:val="21"/>
                <w:szCs w:val="21"/>
                <w:highlight w:val="none"/>
                <w:lang w:val="en-US" w:eastAsia="zh-CN" w:bidi="ar-SA"/>
              </w:rPr>
              <w:t>分，满分</w:t>
            </w:r>
            <w:r>
              <w:rPr>
                <w:rFonts w:hint="eastAsia" w:ascii="宋体" w:hAnsi="宋体" w:eastAsiaTheme="minorEastAsia" w:cstheme="minorBidi"/>
                <w:color w:val="000000"/>
                <w:kern w:val="2"/>
                <w:sz w:val="21"/>
                <w:szCs w:val="21"/>
                <w:highlight w:val="none"/>
                <w:lang w:val="en-US" w:eastAsia="zh-CN" w:bidi="ar-SA"/>
              </w:rPr>
              <w:t>6</w:t>
            </w:r>
            <w:r>
              <w:rPr>
                <w:rFonts w:hint="default" w:ascii="宋体" w:hAnsi="宋体" w:eastAsiaTheme="minorEastAsia" w:cstheme="minorBidi"/>
                <w:color w:val="000000"/>
                <w:kern w:val="2"/>
                <w:sz w:val="21"/>
                <w:szCs w:val="21"/>
                <w:highlight w:val="none"/>
                <w:lang w:val="en-US" w:eastAsia="zh-CN" w:bidi="ar-SA"/>
              </w:rPr>
              <w:t>分。</w:t>
            </w:r>
          </w:p>
        </w:tc>
        <w:tc>
          <w:tcPr>
            <w:tcW w:w="1149" w:type="pct"/>
            <w:vAlign w:val="center"/>
          </w:tcPr>
          <w:p w14:paraId="3630B745">
            <w:pPr>
              <w:spacing w:line="360" w:lineRule="auto"/>
              <w:ind w:left="-38" w:leftChars="0"/>
              <w:rPr>
                <w:rFonts w:hint="eastAsia" w:ascii="宋体" w:hAnsi="宋体" w:eastAsiaTheme="minorEastAsia" w:cstheme="minorBidi"/>
                <w:color w:val="000000"/>
                <w:kern w:val="2"/>
                <w:sz w:val="21"/>
                <w:szCs w:val="21"/>
                <w:highlight w:val="none"/>
                <w:lang w:val="en-US" w:eastAsia="zh-CN" w:bidi="ar-SA"/>
              </w:rPr>
            </w:pPr>
            <w:r>
              <w:rPr>
                <w:rFonts w:hint="eastAsia" w:ascii="宋体" w:hAnsi="宋体"/>
                <w:color w:val="000000"/>
                <w:sz w:val="21"/>
                <w:szCs w:val="21"/>
                <w:highlight w:val="none"/>
                <w:lang w:val="en-US" w:eastAsia="zh-CN"/>
              </w:rPr>
              <w:t>提供人员名单、供应商2025年为其缴纳近三个月任意一个月的社保证明、职称证（相关证书）复印件，并加盖供应商公章。</w:t>
            </w:r>
          </w:p>
        </w:tc>
      </w:tr>
    </w:tbl>
    <w:p w14:paraId="19EF06B5">
      <w:pPr>
        <w:pStyle w:val="5"/>
        <w:spacing w:before="0" w:after="0" w:line="500" w:lineRule="exact"/>
        <w:ind w:firstLine="482" w:firstLineChars="200"/>
        <w:rPr>
          <w:rFonts w:hint="eastAsia" w:ascii="宋体" w:hAnsi="宋体" w:cs="宋体" w:eastAsiaTheme="minorEastAsia"/>
          <w:color w:val="auto"/>
          <w:sz w:val="24"/>
          <w:szCs w:val="24"/>
          <w:highlight w:val="none"/>
          <w:lang w:val="en-US" w:eastAsia="zh-CN"/>
        </w:rPr>
      </w:pPr>
      <w:bookmarkStart w:id="127" w:name="_Toc28865"/>
      <w:bookmarkStart w:id="128" w:name="_Toc5402"/>
      <w:bookmarkStart w:id="129" w:name="_Toc3446"/>
      <w:bookmarkStart w:id="130" w:name="_Toc14414"/>
      <w:r>
        <w:rPr>
          <w:rFonts w:hint="eastAsia" w:ascii="宋体" w:hAnsi="宋体" w:cs="宋体"/>
          <w:color w:val="auto"/>
          <w:sz w:val="24"/>
          <w:szCs w:val="24"/>
          <w:highlight w:val="none"/>
        </w:rPr>
        <w:t>注：关于小微企业报价扣除比例说明</w:t>
      </w:r>
      <w:bookmarkEnd w:id="127"/>
      <w:bookmarkEnd w:id="128"/>
      <w:bookmarkEnd w:id="129"/>
      <w:bookmarkEnd w:id="130"/>
    </w:p>
    <w:p w14:paraId="4CA1F7F8">
      <w:pPr>
        <w:pStyle w:val="5"/>
        <w:spacing w:before="0" w:after="0" w:line="500" w:lineRule="exact"/>
        <w:ind w:firstLine="480" w:firstLineChars="200"/>
        <w:rPr>
          <w:rFonts w:ascii="宋体" w:hAnsi="宋体" w:cs="宋体"/>
          <w:b w:val="0"/>
          <w:bCs/>
          <w:color w:val="auto"/>
          <w:sz w:val="24"/>
          <w:szCs w:val="24"/>
          <w:highlight w:val="none"/>
        </w:rPr>
      </w:pPr>
      <w:bookmarkStart w:id="131" w:name="_Toc24118"/>
      <w:bookmarkStart w:id="132" w:name="_Toc16994"/>
      <w:bookmarkStart w:id="133" w:name="_Toc28197"/>
      <w:bookmarkStart w:id="134" w:name="_Toc23700"/>
      <w:r>
        <w:rPr>
          <w:rFonts w:hint="eastAsia" w:ascii="宋体" w:hAnsi="宋体" w:cs="宋体"/>
          <w:b w:val="0"/>
          <w:bCs/>
          <w:color w:val="auto"/>
          <w:sz w:val="24"/>
          <w:szCs w:val="24"/>
          <w:highlight w:val="none"/>
        </w:rPr>
        <w:t>1.供应商参与磋商的，对小微型企业给予</w:t>
      </w:r>
      <w:r>
        <w:rPr>
          <w:rFonts w:hint="eastAsia" w:ascii="宋体" w:hAnsi="宋体" w:cs="宋体"/>
          <w:b w:val="0"/>
          <w:bCs/>
          <w:color w:val="auto"/>
          <w:sz w:val="24"/>
          <w:szCs w:val="24"/>
          <w:highlight w:val="none"/>
          <w:u w:val="single"/>
          <w:lang w:val="en-US" w:eastAsia="zh-CN"/>
        </w:rPr>
        <w:t xml:space="preserve"> 10</w:t>
      </w:r>
      <w:r>
        <w:rPr>
          <w:rFonts w:hint="eastAsia" w:ascii="宋体" w:hAnsi="宋体" w:cs="宋体"/>
          <w:b w:val="0"/>
          <w:bCs/>
          <w:color w:val="auto"/>
          <w:sz w:val="24"/>
          <w:szCs w:val="24"/>
          <w:highlight w:val="none"/>
          <w:u w:val="single"/>
        </w:rPr>
        <w:t>%</w:t>
      </w:r>
      <w:r>
        <w:rPr>
          <w:rFonts w:hint="eastAsia" w:ascii="宋体" w:hAnsi="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rPr>
        <w:t>的扣除，以扣除后的报价参与评审。</w:t>
      </w:r>
      <w:bookmarkEnd w:id="131"/>
      <w:bookmarkEnd w:id="132"/>
      <w:bookmarkEnd w:id="133"/>
      <w:bookmarkEnd w:id="134"/>
    </w:p>
    <w:p w14:paraId="0C93F41A">
      <w:pPr>
        <w:pStyle w:val="5"/>
        <w:spacing w:before="0" w:after="0" w:line="500" w:lineRule="exact"/>
        <w:ind w:firstLine="480" w:firstLineChars="200"/>
        <w:rPr>
          <w:rFonts w:ascii="宋体" w:hAnsi="宋体" w:cs="宋体"/>
          <w:b w:val="0"/>
          <w:bCs/>
          <w:color w:val="auto"/>
          <w:sz w:val="24"/>
          <w:szCs w:val="24"/>
          <w:highlight w:val="none"/>
        </w:rPr>
      </w:pPr>
      <w:bookmarkStart w:id="135" w:name="_Toc12285"/>
      <w:bookmarkStart w:id="136" w:name="_Toc23849"/>
      <w:bookmarkStart w:id="137" w:name="_Toc25444"/>
      <w:bookmarkStart w:id="138" w:name="_Toc30908"/>
      <w:r>
        <w:rPr>
          <w:rFonts w:hint="eastAsia" w:ascii="宋体" w:hAnsi="宋体" w:cs="宋体"/>
          <w:b w:val="0"/>
          <w:bCs/>
          <w:color w:val="auto"/>
          <w:sz w:val="24"/>
          <w:szCs w:val="24"/>
          <w:highlight w:val="none"/>
        </w:rPr>
        <w:t>2.监狱企业、残疾人福利性单位视同小型、微型企业。</w:t>
      </w:r>
      <w:bookmarkEnd w:id="135"/>
      <w:bookmarkEnd w:id="136"/>
      <w:bookmarkEnd w:id="137"/>
      <w:bookmarkEnd w:id="138"/>
    </w:p>
    <w:p w14:paraId="554AC942">
      <w:pPr>
        <w:pStyle w:val="5"/>
        <w:spacing w:before="0" w:after="0" w:line="500" w:lineRule="exact"/>
        <w:ind w:firstLine="482" w:firstLineChars="200"/>
        <w:rPr>
          <w:rFonts w:ascii="宋体" w:hAnsi="宋体" w:cs="宋体"/>
          <w:color w:val="auto"/>
          <w:sz w:val="24"/>
          <w:szCs w:val="24"/>
          <w:highlight w:val="none"/>
        </w:rPr>
      </w:pPr>
      <w:bookmarkStart w:id="139" w:name="_Toc28097"/>
      <w:bookmarkStart w:id="140" w:name="_Toc22929"/>
      <w:bookmarkStart w:id="141" w:name="_Toc3020"/>
      <w:bookmarkStart w:id="142" w:name="_Toc18278"/>
      <w:r>
        <w:rPr>
          <w:rFonts w:hint="eastAsia" w:ascii="宋体" w:hAnsi="宋体" w:cs="宋体"/>
          <w:color w:val="auto"/>
          <w:sz w:val="24"/>
          <w:szCs w:val="24"/>
          <w:highlight w:val="none"/>
        </w:rPr>
        <w:t>三、无效响应</w:t>
      </w:r>
      <w:bookmarkEnd w:id="139"/>
      <w:bookmarkEnd w:id="140"/>
      <w:bookmarkEnd w:id="141"/>
      <w:bookmarkEnd w:id="142"/>
    </w:p>
    <w:p w14:paraId="56870B2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2AEC7BD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696AB26B">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05178F9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61D88A6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0A36E75B">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6A8742F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2D04E87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12BE26E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59C39C1C">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无法接受的条件；</w:t>
      </w:r>
    </w:p>
    <w:p w14:paraId="212D513D">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4227131C">
      <w:pPr>
        <w:pStyle w:val="5"/>
        <w:spacing w:before="0" w:after="0" w:line="500" w:lineRule="exact"/>
        <w:ind w:firstLine="482" w:firstLineChars="200"/>
        <w:rPr>
          <w:rFonts w:ascii="宋体" w:hAnsi="宋体" w:cs="宋体"/>
          <w:color w:val="auto"/>
          <w:sz w:val="24"/>
          <w:szCs w:val="24"/>
          <w:highlight w:val="none"/>
        </w:rPr>
      </w:pPr>
      <w:bookmarkStart w:id="143" w:name="_Toc3758"/>
      <w:bookmarkStart w:id="144" w:name="_Toc26228"/>
      <w:bookmarkStart w:id="145" w:name="_Toc14623"/>
      <w:bookmarkStart w:id="146" w:name="_Toc4208"/>
      <w:r>
        <w:rPr>
          <w:rFonts w:hint="eastAsia" w:ascii="宋体" w:hAnsi="宋体" w:cs="宋体"/>
          <w:color w:val="auto"/>
          <w:sz w:val="24"/>
          <w:szCs w:val="24"/>
          <w:highlight w:val="none"/>
        </w:rPr>
        <w:t>四、采购终止</w:t>
      </w:r>
      <w:bookmarkEnd w:id="143"/>
      <w:bookmarkEnd w:id="144"/>
      <w:bookmarkEnd w:id="145"/>
      <w:bookmarkEnd w:id="146"/>
    </w:p>
    <w:p w14:paraId="43BA14A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或者采购代理机构应当终止竞争性磋商采购活动，发布项目终止公告并说明原因，重新开展采购活动：</w:t>
      </w:r>
    </w:p>
    <w:p w14:paraId="402DBB3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式适用情形的；</w:t>
      </w:r>
    </w:p>
    <w:p w14:paraId="21C679A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4154B023">
      <w:pPr>
        <w:spacing w:line="500" w:lineRule="exact"/>
        <w:ind w:firstLine="480" w:firstLineChars="200"/>
        <w:rPr>
          <w:rFonts w:ascii="宋体" w:hAnsi="宋体" w:cs="宋体"/>
          <w:color w:val="auto"/>
          <w:sz w:val="24"/>
          <w:szCs w:val="24"/>
          <w:highlight w:val="none"/>
        </w:rPr>
        <w:sectPr>
          <w:footerReference r:id="rId7" w:type="default"/>
          <w:footerReference r:id="rId8" w:type="even"/>
          <w:pgSz w:w="11907" w:h="16840"/>
          <w:pgMar w:top="1134" w:right="1191" w:bottom="1134" w:left="1191" w:header="964" w:footer="992" w:gutter="0"/>
          <w:pgNumType w:fmt="numberInDash" w:start="1"/>
          <w:cols w:space="720" w:num="1"/>
          <w:docGrid w:linePitch="312" w:charSpace="0"/>
        </w:sectPr>
      </w:pPr>
      <w:r>
        <w:rPr>
          <w:rFonts w:hint="eastAsia" w:ascii="宋体" w:hAnsi="宋体" w:cs="宋体"/>
          <w:color w:val="auto"/>
          <w:sz w:val="24"/>
          <w:szCs w:val="24"/>
          <w:highlight w:val="none"/>
        </w:rPr>
        <w:t>（三）在采购过程中符合要求的供应商或者报价未超过采购预算的供应商不足3家的，但《政府采购竞争性磋商</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式管理暂行办法》第二十一条第三款规定的情形除外。</w:t>
      </w:r>
    </w:p>
    <w:p w14:paraId="030CA4ED">
      <w:pPr>
        <w:pStyle w:val="4"/>
        <w:pageBreakBefore/>
        <w:spacing w:line="360" w:lineRule="auto"/>
        <w:jc w:val="center"/>
        <w:rPr>
          <w:rFonts w:ascii="宋体" w:hAnsi="宋体" w:eastAsia="宋体" w:cs="宋体"/>
          <w:b w:val="0"/>
          <w:color w:val="auto"/>
          <w:sz w:val="36"/>
          <w:szCs w:val="30"/>
          <w:highlight w:val="none"/>
        </w:rPr>
      </w:pPr>
      <w:bookmarkStart w:id="147" w:name="_Toc102227313"/>
      <w:bookmarkStart w:id="148" w:name="_Toc20130552"/>
      <w:bookmarkStart w:id="149" w:name="_Toc24088"/>
      <w:bookmarkStart w:id="150" w:name="_Toc4940"/>
      <w:bookmarkStart w:id="151" w:name="_Toc4699"/>
      <w:bookmarkStart w:id="152" w:name="_Toc31473"/>
      <w:r>
        <w:rPr>
          <w:rFonts w:hint="eastAsia" w:ascii="宋体" w:hAnsi="宋体" w:eastAsia="宋体" w:cs="宋体"/>
          <w:b w:val="0"/>
          <w:color w:val="auto"/>
          <w:sz w:val="36"/>
          <w:szCs w:val="30"/>
          <w:highlight w:val="none"/>
        </w:rPr>
        <w:t>第五篇  供应商须知</w:t>
      </w:r>
      <w:bookmarkEnd w:id="147"/>
      <w:bookmarkEnd w:id="148"/>
      <w:bookmarkEnd w:id="149"/>
      <w:bookmarkEnd w:id="150"/>
      <w:bookmarkEnd w:id="151"/>
      <w:bookmarkEnd w:id="152"/>
    </w:p>
    <w:p w14:paraId="4977F444">
      <w:pPr>
        <w:pStyle w:val="5"/>
        <w:spacing w:before="0" w:after="0" w:line="500" w:lineRule="exact"/>
        <w:ind w:firstLine="482" w:firstLineChars="200"/>
        <w:rPr>
          <w:rFonts w:ascii="宋体" w:hAnsi="宋体" w:cs="宋体"/>
          <w:color w:val="auto"/>
          <w:sz w:val="24"/>
          <w:szCs w:val="24"/>
          <w:highlight w:val="none"/>
        </w:rPr>
      </w:pPr>
      <w:bookmarkStart w:id="153" w:name="_Toc20549"/>
      <w:bookmarkStart w:id="154" w:name="_Toc20130553"/>
      <w:bookmarkStart w:id="155" w:name="_Toc342913389"/>
      <w:bookmarkStart w:id="156" w:name="_Toc22255"/>
      <w:bookmarkStart w:id="157" w:name="_Toc31801"/>
      <w:bookmarkStart w:id="158" w:name="_Toc6381"/>
      <w:r>
        <w:rPr>
          <w:rFonts w:hint="eastAsia" w:ascii="宋体" w:hAnsi="宋体" w:cs="宋体"/>
          <w:color w:val="auto"/>
          <w:sz w:val="24"/>
          <w:szCs w:val="24"/>
          <w:highlight w:val="none"/>
        </w:rPr>
        <w:t>一、磋商费用</w:t>
      </w:r>
      <w:bookmarkEnd w:id="153"/>
      <w:bookmarkEnd w:id="154"/>
      <w:bookmarkEnd w:id="155"/>
      <w:bookmarkEnd w:id="156"/>
      <w:bookmarkEnd w:id="157"/>
      <w:bookmarkEnd w:id="158"/>
    </w:p>
    <w:p w14:paraId="13AF7185">
      <w:pPr>
        <w:pStyle w:val="22"/>
        <w:spacing w:line="5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w:t>
      </w:r>
      <w:r>
        <w:rPr>
          <w:rFonts w:hint="eastAsia" w:hAnsi="宋体" w:cs="宋体"/>
          <w:color w:val="auto"/>
          <w:sz w:val="24"/>
          <w:szCs w:val="24"/>
          <w:highlight w:val="none"/>
          <w:lang w:eastAsia="zh-CN"/>
        </w:rPr>
        <w:t>采购人</w:t>
      </w:r>
      <w:r>
        <w:rPr>
          <w:rFonts w:hint="eastAsia" w:hAnsi="宋体" w:cs="宋体"/>
          <w:color w:val="auto"/>
          <w:sz w:val="24"/>
          <w:szCs w:val="24"/>
          <w:highlight w:val="none"/>
        </w:rPr>
        <w:t>和采购代理机构在任何情况下无义务也无责任承担这些费用。</w:t>
      </w:r>
    </w:p>
    <w:p w14:paraId="6247FE24">
      <w:pPr>
        <w:pStyle w:val="5"/>
        <w:tabs>
          <w:tab w:val="left" w:pos="2640"/>
        </w:tabs>
        <w:spacing w:before="0" w:after="0" w:line="500" w:lineRule="exact"/>
        <w:ind w:firstLine="482" w:firstLineChars="200"/>
        <w:rPr>
          <w:rFonts w:ascii="宋体" w:hAnsi="宋体" w:cs="宋体"/>
          <w:color w:val="auto"/>
          <w:sz w:val="24"/>
          <w:szCs w:val="24"/>
          <w:highlight w:val="none"/>
        </w:rPr>
      </w:pPr>
      <w:bookmarkStart w:id="159" w:name="_Toc23826"/>
      <w:bookmarkStart w:id="160" w:name="_Toc8371"/>
      <w:bookmarkStart w:id="161" w:name="_Toc21081"/>
      <w:bookmarkStart w:id="162" w:name="_Toc342913391"/>
      <w:bookmarkStart w:id="163" w:name="_Toc20130554"/>
      <w:bookmarkStart w:id="164" w:name="_Toc12423"/>
      <w:r>
        <w:rPr>
          <w:rFonts w:hint="eastAsia" w:ascii="宋体" w:hAnsi="宋体" w:cs="宋体"/>
          <w:color w:val="auto"/>
          <w:sz w:val="24"/>
          <w:szCs w:val="24"/>
          <w:highlight w:val="none"/>
        </w:rPr>
        <w:t>二、竞争性磋商文件</w:t>
      </w:r>
      <w:bookmarkEnd w:id="159"/>
      <w:bookmarkEnd w:id="160"/>
      <w:bookmarkEnd w:id="161"/>
      <w:bookmarkEnd w:id="162"/>
      <w:bookmarkEnd w:id="163"/>
      <w:bookmarkEnd w:id="164"/>
    </w:p>
    <w:p w14:paraId="574FA0B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w:t>
      </w:r>
      <w:r>
        <w:rPr>
          <w:rFonts w:hint="eastAsia" w:ascii="宋体" w:hAnsi="宋体" w:cs="宋体"/>
          <w:color w:val="auto"/>
          <w:sz w:val="24"/>
          <w:szCs w:val="24"/>
          <w:highlight w:val="none"/>
          <w:lang w:val="en-US" w:eastAsia="zh-CN"/>
        </w:rPr>
        <w:t>项目技术</w:t>
      </w:r>
      <w:r>
        <w:rPr>
          <w:rFonts w:hint="eastAsia" w:ascii="宋体" w:hAnsi="宋体" w:cs="宋体"/>
          <w:color w:val="auto"/>
          <w:sz w:val="24"/>
          <w:szCs w:val="24"/>
          <w:highlight w:val="none"/>
        </w:rPr>
        <w:t>需求；</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商务需求；磋商程序及方法、评审标准、无效响应和采购终止；供应商须知；合同草案条款；响应文件编制要求共七部分组成。</w:t>
      </w:r>
    </w:p>
    <w:p w14:paraId="2D38D7D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（或采购代理机构）所作的一切有效的书面通知、修改及补充，都是竞争性磋商文件不可分割的部分。</w:t>
      </w:r>
    </w:p>
    <w:p w14:paraId="1D4CD5F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34809D8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（或采购代理机构）要求澄清，</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65" w:name="_Toc318159160"/>
      <w:bookmarkStart w:id="166" w:name="_Toc318159349"/>
      <w:bookmarkStart w:id="167" w:name="_Toc318159780"/>
      <w:bookmarkStart w:id="168" w:name="_Toc318166429"/>
    </w:p>
    <w:p w14:paraId="52A2520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4178A77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65"/>
    <w:bookmarkEnd w:id="166"/>
    <w:bookmarkEnd w:id="167"/>
    <w:bookmarkEnd w:id="168"/>
    <w:p w14:paraId="6976835D">
      <w:pPr>
        <w:pStyle w:val="5"/>
        <w:spacing w:before="0" w:after="0" w:line="500" w:lineRule="exact"/>
        <w:ind w:firstLine="482" w:firstLineChars="200"/>
        <w:rPr>
          <w:rFonts w:ascii="宋体" w:hAnsi="宋体" w:cs="宋体"/>
          <w:color w:val="auto"/>
          <w:sz w:val="24"/>
          <w:szCs w:val="24"/>
          <w:highlight w:val="none"/>
        </w:rPr>
      </w:pPr>
      <w:bookmarkStart w:id="169" w:name="_Toc342913392"/>
      <w:bookmarkStart w:id="170" w:name="_Toc20130555"/>
      <w:bookmarkStart w:id="171" w:name="_Toc179714297"/>
      <w:bookmarkStart w:id="172" w:name="_Toc2278"/>
      <w:bookmarkStart w:id="173" w:name="_Toc1911"/>
      <w:bookmarkStart w:id="174" w:name="_Toc20823"/>
      <w:bookmarkStart w:id="175" w:name="_Toc102227318"/>
      <w:bookmarkStart w:id="176" w:name="_Toc30592"/>
      <w:r>
        <w:rPr>
          <w:rFonts w:hint="eastAsia" w:ascii="宋体" w:hAnsi="宋体" w:cs="宋体"/>
          <w:color w:val="auto"/>
          <w:sz w:val="24"/>
          <w:szCs w:val="24"/>
          <w:highlight w:val="none"/>
        </w:rPr>
        <w:t>三、磋商要求</w:t>
      </w:r>
      <w:bookmarkEnd w:id="169"/>
      <w:bookmarkEnd w:id="170"/>
      <w:bookmarkEnd w:id="171"/>
      <w:bookmarkEnd w:id="172"/>
      <w:bookmarkEnd w:id="173"/>
      <w:bookmarkEnd w:id="174"/>
      <w:bookmarkEnd w:id="175"/>
      <w:bookmarkEnd w:id="176"/>
    </w:p>
    <w:p w14:paraId="7127237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70AA54D1">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5E9018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1EEFE18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5DA2D5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76A2A3D0">
      <w:pPr>
        <w:spacing w:line="5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本项目不接受联合体磋商。</w:t>
      </w:r>
    </w:p>
    <w:p w14:paraId="31BACFC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1619FBCE">
      <w:pPr>
        <w:pStyle w:val="5"/>
        <w:spacing w:before="0" w:after="0" w:line="500" w:lineRule="exact"/>
        <w:ind w:firstLine="480" w:firstLineChars="200"/>
        <w:rPr>
          <w:rFonts w:ascii="宋体" w:hAnsi="宋体" w:cs="宋体"/>
          <w:b w:val="0"/>
          <w:bCs/>
          <w:color w:val="auto"/>
          <w:sz w:val="24"/>
          <w:szCs w:val="24"/>
          <w:highlight w:val="none"/>
        </w:rPr>
      </w:pPr>
      <w:bookmarkStart w:id="177" w:name="_Toc9186"/>
      <w:bookmarkStart w:id="178" w:name="_Toc23073"/>
      <w:bookmarkStart w:id="179" w:name="_Toc10602"/>
      <w:bookmarkStart w:id="180" w:name="_Toc24593"/>
      <w:bookmarkStart w:id="181" w:name="_Toc20130556"/>
      <w:r>
        <w:rPr>
          <w:rFonts w:hint="eastAsia" w:ascii="宋体" w:hAnsi="宋体" w:cs="宋体"/>
          <w:b w:val="0"/>
          <w:bCs/>
          <w:color w:val="auto"/>
          <w:sz w:val="24"/>
          <w:szCs w:val="24"/>
          <w:highlight w:val="none"/>
        </w:rPr>
        <w:t>（四）修正错误</w:t>
      </w:r>
      <w:bookmarkEnd w:id="177"/>
      <w:bookmarkEnd w:id="178"/>
      <w:bookmarkEnd w:id="179"/>
      <w:bookmarkEnd w:id="180"/>
    </w:p>
    <w:p w14:paraId="60EF576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37C2BEF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8718C97">
      <w:pPr>
        <w:pStyle w:val="5"/>
        <w:spacing w:before="0" w:after="0" w:line="500" w:lineRule="exact"/>
        <w:ind w:firstLine="480" w:firstLineChars="200"/>
        <w:rPr>
          <w:rFonts w:ascii="宋体" w:hAnsi="宋体" w:cs="宋体"/>
          <w:b w:val="0"/>
          <w:bCs/>
          <w:color w:val="auto"/>
          <w:sz w:val="24"/>
          <w:szCs w:val="24"/>
          <w:highlight w:val="none"/>
        </w:rPr>
      </w:pPr>
      <w:bookmarkStart w:id="182" w:name="_Toc10171"/>
      <w:bookmarkStart w:id="183" w:name="_Toc15259"/>
      <w:bookmarkStart w:id="184" w:name="_Toc32424"/>
      <w:bookmarkStart w:id="185" w:name="_Toc31223"/>
      <w:r>
        <w:rPr>
          <w:rFonts w:hint="eastAsia" w:ascii="宋体" w:hAnsi="宋体" w:cs="宋体"/>
          <w:b w:val="0"/>
          <w:bCs/>
          <w:color w:val="auto"/>
          <w:sz w:val="24"/>
          <w:szCs w:val="24"/>
          <w:highlight w:val="none"/>
        </w:rPr>
        <w:t>（五）提交响应文件的份数和签署</w:t>
      </w:r>
      <w:bookmarkEnd w:id="182"/>
      <w:bookmarkEnd w:id="183"/>
      <w:bookmarkEnd w:id="184"/>
      <w:bookmarkEnd w:id="185"/>
    </w:p>
    <w:p w14:paraId="5D080DE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1.响应文件一式四份，其中正本一份，副本二份，电子文档一份（推荐采用光盘为电子文档载体）；副本可为正本的复印件，应与正本一致，如出现不一致情况以正本为准。</w:t>
      </w:r>
    </w:p>
    <w:p w14:paraId="34F1ED9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2.响应文件按竞争性磋商文件“第七篇响应文件编制要求”要求签署或盖章。</w:t>
      </w:r>
    </w:p>
    <w:p w14:paraId="781E5D46">
      <w:pPr>
        <w:pStyle w:val="5"/>
        <w:spacing w:before="0" w:after="0" w:line="500" w:lineRule="exact"/>
        <w:ind w:firstLine="480" w:firstLineChars="200"/>
        <w:rPr>
          <w:rFonts w:ascii="宋体" w:hAnsi="宋体" w:cs="宋体"/>
          <w:b w:val="0"/>
          <w:bCs/>
          <w:color w:val="auto"/>
          <w:sz w:val="24"/>
          <w:szCs w:val="24"/>
          <w:highlight w:val="none"/>
        </w:rPr>
      </w:pPr>
      <w:bookmarkStart w:id="186" w:name="_Toc31599"/>
      <w:bookmarkStart w:id="187" w:name="_Toc18443"/>
      <w:bookmarkStart w:id="188" w:name="_Toc27348"/>
      <w:bookmarkStart w:id="189" w:name="_Toc31873"/>
      <w:r>
        <w:rPr>
          <w:rFonts w:hint="eastAsia" w:ascii="宋体" w:hAnsi="宋体" w:cs="宋体"/>
          <w:b w:val="0"/>
          <w:bCs/>
          <w:color w:val="auto"/>
          <w:sz w:val="24"/>
          <w:szCs w:val="24"/>
          <w:highlight w:val="none"/>
        </w:rPr>
        <w:t>（六）响应文件的递交</w:t>
      </w:r>
      <w:bookmarkEnd w:id="186"/>
      <w:bookmarkEnd w:id="187"/>
      <w:bookmarkEnd w:id="188"/>
      <w:bookmarkEnd w:id="189"/>
    </w:p>
    <w:p w14:paraId="46E19FFF">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5D44176C">
      <w:pPr>
        <w:pStyle w:val="5"/>
        <w:spacing w:before="0" w:after="0" w:line="500" w:lineRule="exact"/>
        <w:ind w:firstLine="480" w:firstLineChars="200"/>
        <w:rPr>
          <w:rFonts w:ascii="宋体" w:hAnsi="宋体" w:cs="宋体"/>
          <w:b w:val="0"/>
          <w:bCs/>
          <w:color w:val="auto"/>
          <w:sz w:val="24"/>
          <w:szCs w:val="24"/>
          <w:highlight w:val="none"/>
        </w:rPr>
      </w:pPr>
      <w:bookmarkStart w:id="190" w:name="_Toc18002"/>
      <w:bookmarkStart w:id="191" w:name="_Toc32036"/>
      <w:bookmarkStart w:id="192" w:name="_Toc2122"/>
      <w:bookmarkStart w:id="193" w:name="_Toc20226"/>
      <w:r>
        <w:rPr>
          <w:rFonts w:hint="eastAsia" w:ascii="宋体" w:hAnsi="宋体" w:cs="宋体"/>
          <w:b w:val="0"/>
          <w:bCs/>
          <w:color w:val="auto"/>
          <w:sz w:val="24"/>
          <w:szCs w:val="24"/>
          <w:highlight w:val="none"/>
        </w:rPr>
        <w:t>（七）供应商参与人员</w:t>
      </w:r>
      <w:bookmarkEnd w:id="190"/>
      <w:bookmarkEnd w:id="191"/>
      <w:bookmarkEnd w:id="192"/>
      <w:bookmarkEnd w:id="193"/>
    </w:p>
    <w:p w14:paraId="31B32E8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5D2B195A">
      <w:pPr>
        <w:pStyle w:val="5"/>
        <w:spacing w:before="0" w:after="0" w:line="500" w:lineRule="exact"/>
        <w:ind w:firstLine="482" w:firstLineChars="200"/>
        <w:rPr>
          <w:rFonts w:ascii="宋体" w:hAnsi="宋体" w:cs="宋体"/>
          <w:color w:val="auto"/>
          <w:sz w:val="24"/>
          <w:szCs w:val="24"/>
          <w:highlight w:val="none"/>
        </w:rPr>
      </w:pPr>
      <w:bookmarkStart w:id="194" w:name="_Toc5462"/>
      <w:bookmarkStart w:id="195" w:name="_Toc29156"/>
      <w:bookmarkStart w:id="196" w:name="_Toc3080"/>
      <w:bookmarkStart w:id="197" w:name="_Toc24163"/>
      <w:r>
        <w:rPr>
          <w:rFonts w:hint="eastAsia" w:ascii="宋体" w:hAnsi="宋体" w:cs="宋体"/>
          <w:color w:val="auto"/>
          <w:sz w:val="24"/>
          <w:szCs w:val="24"/>
          <w:highlight w:val="none"/>
        </w:rPr>
        <w:t>四、成交供应商的确认和变更</w:t>
      </w:r>
      <w:bookmarkEnd w:id="181"/>
      <w:bookmarkEnd w:id="194"/>
      <w:bookmarkEnd w:id="195"/>
      <w:bookmarkEnd w:id="196"/>
      <w:bookmarkEnd w:id="197"/>
    </w:p>
    <w:p w14:paraId="6057C99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33C1D75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确认。</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应当在收到评审报告后5个工作日内，从评审报告提出的成交候选供应商中，按照排序由高到低的原则确定成交供应商，也可以书面授权磋商小组直接确定成交供应商。</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逾期未确定成交供应商且不提出异议的，视为确定评审报告提出的排序第一的供应商为成交供应商。</w:t>
      </w:r>
    </w:p>
    <w:p w14:paraId="06F09672">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5B838E3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成交供应商拒绝与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签订合同的，</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可以按照评标报告推荐的成交候选供应商顺序，确定排名下一位的候选人为成交供应商，也可以重新开展政府采购活动。</w:t>
      </w:r>
    </w:p>
    <w:p w14:paraId="0F4FF27E">
      <w:pPr>
        <w:pStyle w:val="5"/>
        <w:spacing w:before="0" w:after="0" w:line="500" w:lineRule="exact"/>
        <w:ind w:firstLine="482" w:firstLineChars="200"/>
        <w:rPr>
          <w:rFonts w:ascii="宋体" w:hAnsi="宋体" w:cs="宋体"/>
          <w:color w:val="auto"/>
          <w:sz w:val="24"/>
          <w:szCs w:val="24"/>
          <w:highlight w:val="none"/>
        </w:rPr>
      </w:pPr>
      <w:bookmarkStart w:id="198" w:name="_Toc20130557"/>
      <w:bookmarkStart w:id="199" w:name="_Toc102227321"/>
      <w:bookmarkStart w:id="200" w:name="_Toc342913395"/>
      <w:bookmarkStart w:id="201" w:name="_Toc11705"/>
      <w:bookmarkStart w:id="202" w:name="_Toc4970"/>
      <w:bookmarkStart w:id="203" w:name="_Toc19211"/>
      <w:bookmarkStart w:id="204" w:name="_Toc14304"/>
      <w:r>
        <w:rPr>
          <w:rFonts w:hint="eastAsia" w:ascii="宋体" w:hAnsi="宋体" w:cs="宋体"/>
          <w:color w:val="auto"/>
          <w:sz w:val="24"/>
          <w:szCs w:val="24"/>
          <w:highlight w:val="none"/>
        </w:rPr>
        <w:t>五、成交通知</w:t>
      </w:r>
      <w:bookmarkEnd w:id="198"/>
      <w:bookmarkEnd w:id="199"/>
      <w:bookmarkEnd w:id="200"/>
      <w:bookmarkEnd w:id="201"/>
      <w:bookmarkEnd w:id="202"/>
      <w:bookmarkEnd w:id="203"/>
      <w:bookmarkEnd w:id="204"/>
    </w:p>
    <w:p w14:paraId="7A8248D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或采购代理机构将在“重庆市经济和信息化委员会网”（https://jjxxw.cq.gov.cn/）上发布成交结果公告。</w:t>
      </w:r>
    </w:p>
    <w:p w14:paraId="43654D25">
      <w:pPr>
        <w:spacing w:line="500" w:lineRule="exact"/>
        <w:ind w:firstLine="570"/>
        <w:rPr>
          <w:rFonts w:ascii="宋体" w:hAnsi="宋体" w:cs="宋体"/>
          <w:color w:val="auto"/>
          <w:sz w:val="24"/>
          <w:szCs w:val="24"/>
          <w:highlight w:val="none"/>
        </w:rPr>
      </w:pPr>
      <w:bookmarkStart w:id="205" w:name="_Toc20130558"/>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57ABF604">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09529C8">
      <w:pPr>
        <w:pStyle w:val="5"/>
        <w:spacing w:before="0" w:after="0" w:line="500" w:lineRule="exact"/>
        <w:ind w:firstLine="482" w:firstLineChars="200"/>
        <w:rPr>
          <w:rFonts w:ascii="宋体" w:hAnsi="宋体" w:cs="宋体"/>
          <w:color w:val="auto"/>
          <w:sz w:val="24"/>
          <w:szCs w:val="24"/>
          <w:highlight w:val="none"/>
        </w:rPr>
      </w:pPr>
      <w:bookmarkStart w:id="206" w:name="_Toc21738"/>
      <w:bookmarkStart w:id="207" w:name="_Toc6683"/>
      <w:bookmarkStart w:id="208" w:name="_Toc21379"/>
      <w:bookmarkStart w:id="209" w:name="_Toc9042"/>
      <w:r>
        <w:rPr>
          <w:rFonts w:hint="eastAsia" w:ascii="宋体" w:hAnsi="宋体" w:cs="宋体"/>
          <w:color w:val="auto"/>
          <w:sz w:val="24"/>
          <w:szCs w:val="24"/>
          <w:highlight w:val="none"/>
        </w:rPr>
        <w:t>六、关于质疑和投诉</w:t>
      </w:r>
      <w:bookmarkEnd w:id="205"/>
      <w:bookmarkEnd w:id="206"/>
      <w:bookmarkEnd w:id="207"/>
      <w:bookmarkEnd w:id="208"/>
      <w:bookmarkEnd w:id="209"/>
    </w:p>
    <w:p w14:paraId="600F657A">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003EF47C">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或采购代理机构以书面形式提出质疑。</w:t>
      </w:r>
    </w:p>
    <w:p w14:paraId="4340A16E">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390B0E59">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72EFCEF6">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供应商认为采购文件、采购过程、成交结果使自己的权益受到损害的，可以在知道或者应知其权益受到损害之日起7个工作日内，以书面形式向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、采购代理机构提出质疑。</w:t>
      </w:r>
    </w:p>
    <w:p w14:paraId="0886AC0D">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1.2供应商提出质疑应当提交质疑函和必要的证明材料，质疑函应当包括下列内容：</w:t>
      </w:r>
    </w:p>
    <w:p w14:paraId="2C564B16">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1.2.1供应商的姓名或者名称、地址、邮编、联系人及联系电话；</w:t>
      </w:r>
    </w:p>
    <w:p w14:paraId="7D92947B">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1.2.2质疑项目的名称、项目号以及采购执行编号；</w:t>
      </w:r>
    </w:p>
    <w:p w14:paraId="218F7186">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1.2.3具体、明确的质疑事项和与质疑事项相关的请求；</w:t>
      </w:r>
    </w:p>
    <w:p w14:paraId="35727FAC">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1.2.4事实依据；</w:t>
      </w:r>
    </w:p>
    <w:p w14:paraId="54BB8560">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1.2.5必要的法律依据；</w:t>
      </w:r>
    </w:p>
    <w:p w14:paraId="26E9DE20">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1.2.6提出质疑的日期；</w:t>
      </w:r>
    </w:p>
    <w:p w14:paraId="36C1ECCA">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1.2.7营业执照（或事业单位法人证书，或个体工商户营业执照或有效的自然人身份证明）复印件；</w:t>
      </w:r>
    </w:p>
    <w:p w14:paraId="01C05C33">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1.2.8法定代表人授权委托书原件、法定代表人身份证复印件和其授权代表的身份证复印件（供应商为自然人的提供自然人身份证复印件）；</w:t>
      </w:r>
    </w:p>
    <w:p w14:paraId="4B5F1F2A">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ECACE37">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2.质疑答复</w:t>
      </w:r>
    </w:p>
    <w:p w14:paraId="561F5C11">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、采购代理机构应当在收到供应商的书面质疑后七个工作日内作出答复，并以书面形式通知质疑供应商和其他有关供应商。</w:t>
      </w:r>
    </w:p>
    <w:p w14:paraId="21CBD77A">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3.其他</w:t>
      </w:r>
    </w:p>
    <w:p w14:paraId="152DCAD7">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206F4A6F">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1018039E">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（二）投诉</w:t>
      </w:r>
    </w:p>
    <w:p w14:paraId="21E222E3">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1.供应商对</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、采购代理机构的答复不满意，或者</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、采购代理机构未在规定时间内作出答复的，可以在答复期满后15个工作日内按照相关法律法规向财政部门提起投诉。</w:t>
      </w:r>
    </w:p>
    <w:p w14:paraId="3E155C09">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32D9341B">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604622C">
      <w:pPr>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16607F1B">
      <w:pPr>
        <w:pStyle w:val="5"/>
        <w:spacing w:before="0" w:after="0" w:line="500" w:lineRule="exact"/>
        <w:ind w:firstLine="482" w:firstLineChars="200"/>
        <w:rPr>
          <w:rFonts w:ascii="宋体" w:hAnsi="宋体" w:cs="宋体"/>
          <w:color w:val="auto"/>
          <w:sz w:val="24"/>
          <w:szCs w:val="24"/>
          <w:highlight w:val="none"/>
        </w:rPr>
      </w:pPr>
      <w:bookmarkStart w:id="210" w:name="_Toc20130559"/>
      <w:bookmarkStart w:id="211" w:name="_Toc10192"/>
      <w:bookmarkStart w:id="212" w:name="_Toc5241"/>
      <w:bookmarkStart w:id="213" w:name="_Toc18372"/>
      <w:bookmarkStart w:id="214" w:name="_Toc22162"/>
      <w:r>
        <w:rPr>
          <w:rFonts w:hint="eastAsia" w:ascii="宋体" w:hAnsi="宋体" w:cs="宋体"/>
          <w:color w:val="auto"/>
          <w:sz w:val="24"/>
          <w:szCs w:val="24"/>
          <w:highlight w:val="none"/>
        </w:rPr>
        <w:t>七、采购代理服务费</w:t>
      </w:r>
      <w:bookmarkEnd w:id="210"/>
      <w:bookmarkEnd w:id="211"/>
      <w:bookmarkEnd w:id="212"/>
      <w:bookmarkEnd w:id="213"/>
      <w:bookmarkEnd w:id="214"/>
    </w:p>
    <w:p w14:paraId="23BB66CB">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（一）供应商成交后</w:t>
      </w:r>
      <w:r>
        <w:rPr>
          <w:rFonts w:hint="eastAsia" w:ascii="宋体" w:hAnsi="宋体" w:cs="宋体"/>
          <w:color w:val="auto"/>
          <w:sz w:val="24"/>
          <w:highlight w:val="none"/>
        </w:rPr>
        <w:t>向采购代理机构缴纳</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代理服务费的收取标准按照以下服务类标准执行。</w:t>
      </w:r>
    </w:p>
    <w:tbl>
      <w:tblPr>
        <w:tblStyle w:val="16"/>
        <w:tblW w:w="0" w:type="auto"/>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1866"/>
        <w:gridCol w:w="1852"/>
        <w:gridCol w:w="1787"/>
      </w:tblGrid>
      <w:tr w14:paraId="252D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078" w:type="dxa"/>
            <w:tcBorders>
              <w:tl2br w:val="single" w:color="auto" w:sz="4" w:space="0"/>
            </w:tcBorders>
            <w:noWrap w:val="0"/>
            <w:vAlign w:val="top"/>
          </w:tcPr>
          <w:p w14:paraId="49EFB50A">
            <w:pPr>
              <w:keepNext w:val="0"/>
              <w:keepLines w:val="0"/>
              <w:pageBreakBefore w:val="0"/>
              <w:widowControl w:val="0"/>
              <w:kinsoku/>
              <w:wordWrap/>
              <w:overflowPunct/>
              <w:topLinePunct w:val="0"/>
              <w:bidi w:val="0"/>
              <w:spacing w:line="500" w:lineRule="exact"/>
              <w:jc w:val="right"/>
              <w:textAlignment w:val="auto"/>
              <w:rPr>
                <w:rFonts w:hint="eastAsia" w:ascii="宋体" w:hAnsi="宋体" w:eastAsia="宋体" w:cs="宋体"/>
                <w:sz w:val="21"/>
                <w:szCs w:val="21"/>
                <w:highlight w:val="none"/>
              </w:rPr>
            </w:pPr>
            <w:bookmarkStart w:id="215" w:name="_Toc20130560"/>
            <w:bookmarkStart w:id="216" w:name="_Toc2863475"/>
            <w:r>
              <w:rPr>
                <w:rFonts w:hint="default" w:ascii="宋体" w:hAnsi="宋体" w:eastAsia="宋体" w:cs="宋体"/>
                <w:sz w:val="21"/>
                <w:szCs w:val="21"/>
                <w:highlight w:val="none"/>
                <w:lang w:val="en-US"/>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CVts9z&#10;5gEAALg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类型</w:t>
            </w:r>
          </w:p>
          <w:p w14:paraId="16B8C475">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金额（万元）</w:t>
            </w:r>
          </w:p>
        </w:tc>
        <w:tc>
          <w:tcPr>
            <w:tcW w:w="1866" w:type="dxa"/>
            <w:noWrap w:val="0"/>
            <w:vAlign w:val="center"/>
          </w:tcPr>
          <w:p w14:paraId="6DA2B5AC">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852" w:type="dxa"/>
            <w:noWrap w:val="0"/>
            <w:vAlign w:val="center"/>
          </w:tcPr>
          <w:p w14:paraId="1D982B4C">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787" w:type="dxa"/>
            <w:noWrap w:val="0"/>
            <w:vAlign w:val="center"/>
          </w:tcPr>
          <w:p w14:paraId="778EC473">
            <w:pPr>
              <w:pStyle w:val="23"/>
              <w:keepNext w:val="0"/>
              <w:keepLines w:val="0"/>
              <w:pageBreakBefore w:val="0"/>
              <w:widowControl w:val="0"/>
              <w:pBdr>
                <w:left w:val="none" w:color="auto" w:sz="0" w:space="0"/>
                <w:right w:val="none" w:color="auto" w:sz="0" w:space="0"/>
              </w:pBdr>
              <w:kinsoku/>
              <w:wordWrap/>
              <w:overflowPunct/>
              <w:topLinePunct w:val="0"/>
              <w:bidi w:val="0"/>
              <w:spacing w:before="0" w:beforeAutospacing="0" w:after="0" w:afterAutospacing="0" w:line="50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工程招标</w:t>
            </w:r>
          </w:p>
        </w:tc>
      </w:tr>
      <w:tr w14:paraId="682C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noWrap w:val="0"/>
            <w:vAlign w:val="center"/>
          </w:tcPr>
          <w:p w14:paraId="660170CE">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100及以下</w:t>
            </w:r>
          </w:p>
        </w:tc>
        <w:tc>
          <w:tcPr>
            <w:tcW w:w="1866" w:type="dxa"/>
            <w:noWrap w:val="0"/>
            <w:vAlign w:val="center"/>
          </w:tcPr>
          <w:p w14:paraId="5048CA6B">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852" w:type="dxa"/>
            <w:noWrap w:val="0"/>
            <w:vAlign w:val="center"/>
          </w:tcPr>
          <w:p w14:paraId="3151E711">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787" w:type="dxa"/>
            <w:noWrap w:val="0"/>
            <w:vAlign w:val="center"/>
          </w:tcPr>
          <w:p w14:paraId="74786980">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6A05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noWrap w:val="0"/>
            <w:vAlign w:val="center"/>
          </w:tcPr>
          <w:p w14:paraId="730994F1">
            <w:pPr>
              <w:keepNext w:val="0"/>
              <w:keepLines w:val="0"/>
              <w:pageBreakBefore w:val="0"/>
              <w:widowControl w:val="0"/>
              <w:kinsoku/>
              <w:wordWrap/>
              <w:overflowPunct/>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100-</w:t>
            </w:r>
            <w:r>
              <w:rPr>
                <w:rFonts w:hint="eastAsia" w:ascii="宋体" w:hAnsi="宋体" w:cs="宋体"/>
                <w:sz w:val="21"/>
                <w:szCs w:val="21"/>
                <w:highlight w:val="none"/>
                <w:lang w:val="en-US" w:eastAsia="zh-CN"/>
              </w:rPr>
              <w:t>200</w:t>
            </w:r>
          </w:p>
        </w:tc>
        <w:tc>
          <w:tcPr>
            <w:tcW w:w="1866" w:type="dxa"/>
            <w:noWrap w:val="0"/>
            <w:vAlign w:val="center"/>
          </w:tcPr>
          <w:p w14:paraId="10649D76">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852" w:type="dxa"/>
            <w:noWrap w:val="0"/>
            <w:vAlign w:val="center"/>
          </w:tcPr>
          <w:p w14:paraId="368AB618">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787" w:type="dxa"/>
            <w:noWrap w:val="0"/>
            <w:vAlign w:val="center"/>
          </w:tcPr>
          <w:p w14:paraId="7037830A">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14:paraId="0A00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noWrap w:val="0"/>
            <w:vAlign w:val="center"/>
          </w:tcPr>
          <w:p w14:paraId="33B9B1E9">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200</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500</w:t>
            </w:r>
          </w:p>
        </w:tc>
        <w:tc>
          <w:tcPr>
            <w:tcW w:w="1866" w:type="dxa"/>
            <w:noWrap w:val="0"/>
            <w:vAlign w:val="center"/>
          </w:tcPr>
          <w:p w14:paraId="235CFF3B">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08%</w:t>
            </w:r>
          </w:p>
        </w:tc>
        <w:tc>
          <w:tcPr>
            <w:tcW w:w="1852" w:type="dxa"/>
            <w:noWrap w:val="0"/>
            <w:vAlign w:val="center"/>
          </w:tcPr>
          <w:p w14:paraId="3E91A0E5">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w:t>
            </w:r>
            <w:r>
              <w:rPr>
                <w:rFonts w:hint="eastAsia" w:ascii="宋体" w:hAnsi="宋体" w:cs="宋体"/>
                <w:sz w:val="21"/>
                <w:szCs w:val="21"/>
                <w:highlight w:val="none"/>
                <w:lang w:val="en-US" w:eastAsia="zh-CN"/>
              </w:rPr>
              <w:t>78</w:t>
            </w:r>
            <w:r>
              <w:rPr>
                <w:rFonts w:hint="eastAsia" w:ascii="宋体" w:hAnsi="宋体" w:eastAsia="宋体" w:cs="宋体"/>
                <w:sz w:val="21"/>
                <w:szCs w:val="21"/>
                <w:highlight w:val="none"/>
              </w:rPr>
              <w:t>%</w:t>
            </w:r>
          </w:p>
        </w:tc>
        <w:tc>
          <w:tcPr>
            <w:tcW w:w="1787" w:type="dxa"/>
            <w:noWrap w:val="0"/>
            <w:vAlign w:val="center"/>
          </w:tcPr>
          <w:p w14:paraId="2F9A4125">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w:t>
            </w:r>
            <w:r>
              <w:rPr>
                <w:rFonts w:hint="eastAsia" w:ascii="宋体" w:hAnsi="宋体" w:cs="宋体"/>
                <w:sz w:val="21"/>
                <w:szCs w:val="21"/>
                <w:highlight w:val="none"/>
                <w:lang w:val="en-US" w:eastAsia="zh-CN"/>
              </w:rPr>
              <w:t>69</w:t>
            </w:r>
            <w:r>
              <w:rPr>
                <w:rFonts w:hint="eastAsia" w:ascii="宋体" w:hAnsi="宋体" w:eastAsia="宋体" w:cs="宋体"/>
                <w:sz w:val="21"/>
                <w:szCs w:val="21"/>
                <w:highlight w:val="none"/>
              </w:rPr>
              <w:t>%</w:t>
            </w:r>
          </w:p>
        </w:tc>
      </w:tr>
    </w:tbl>
    <w:p w14:paraId="604803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注：采购代理服务收费按差额定率累进法计算。采购代理服务费按上标准计算出不足3500元的，按3500元记取。</w:t>
      </w:r>
    </w:p>
    <w:bookmarkEnd w:id="215"/>
    <w:bookmarkEnd w:id="216"/>
    <w:p w14:paraId="10094126">
      <w:pPr>
        <w:pStyle w:val="5"/>
        <w:spacing w:before="0" w:after="0" w:line="500" w:lineRule="exact"/>
        <w:ind w:firstLine="482" w:firstLineChars="200"/>
        <w:rPr>
          <w:rFonts w:ascii="宋体" w:hAnsi="宋体" w:cs="宋体"/>
          <w:color w:val="auto"/>
          <w:sz w:val="24"/>
          <w:szCs w:val="24"/>
          <w:highlight w:val="none"/>
        </w:rPr>
      </w:pPr>
      <w:bookmarkStart w:id="217" w:name="_Toc102227322"/>
      <w:bookmarkStart w:id="218" w:name="_Toc20130561"/>
      <w:bookmarkStart w:id="219" w:name="_Toc342913396"/>
      <w:bookmarkStart w:id="220" w:name="_Toc30122"/>
      <w:bookmarkStart w:id="221" w:name="_Toc26483"/>
      <w:bookmarkStart w:id="222" w:name="_Toc31272"/>
      <w:bookmarkStart w:id="223" w:name="_Toc9944"/>
      <w:r>
        <w:rPr>
          <w:rFonts w:hint="eastAsia" w:ascii="宋体" w:hAnsi="宋体" w:cs="宋体"/>
          <w:color w:val="auto"/>
          <w:sz w:val="24"/>
          <w:szCs w:val="24"/>
          <w:highlight w:val="none"/>
        </w:rPr>
        <w:t>八、签订</w:t>
      </w:r>
      <w:bookmarkEnd w:id="217"/>
      <w:r>
        <w:rPr>
          <w:rFonts w:hint="eastAsia" w:ascii="宋体" w:hAnsi="宋体" w:cs="宋体"/>
          <w:color w:val="auto"/>
          <w:sz w:val="24"/>
          <w:szCs w:val="24"/>
          <w:highlight w:val="none"/>
        </w:rPr>
        <w:t>合同</w:t>
      </w:r>
      <w:bookmarkEnd w:id="218"/>
      <w:bookmarkEnd w:id="219"/>
      <w:bookmarkEnd w:id="220"/>
      <w:bookmarkEnd w:id="221"/>
      <w:bookmarkEnd w:id="222"/>
      <w:bookmarkEnd w:id="223"/>
    </w:p>
    <w:p w14:paraId="47733332">
      <w:pPr>
        <w:spacing w:line="360" w:lineRule="auto"/>
        <w:ind w:firstLine="480" w:firstLineChars="200"/>
        <w:rPr>
          <w:rFonts w:ascii="宋体" w:hAnsi="宋体" w:cs="宋体"/>
          <w:color w:val="auto"/>
          <w:sz w:val="24"/>
          <w:highlight w:val="none"/>
        </w:rPr>
      </w:pPr>
      <w:bookmarkStart w:id="224" w:name="_Toc455758689"/>
      <w:bookmarkStart w:id="225" w:name="_Toc20130562"/>
      <w:bookmarkStart w:id="226" w:name="_Toc457894815"/>
      <w:bookmarkStart w:id="227" w:name="_Toc2863477"/>
      <w:r>
        <w:rPr>
          <w:rFonts w:hint="eastAsia" w:ascii="宋体" w:hAnsi="宋体" w:cs="宋体"/>
          <w:color w:val="auto"/>
          <w:sz w:val="24"/>
          <w:highlight w:val="none"/>
        </w:rPr>
        <w:t>（一）</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原则上应在成交通知书发出之日起二十日内和成交供应商签订合同，无正当理由不得拒绝或拖延合同签订。所签订的合同不得对竞争性磋商文件和供应商的响应文件作实质性修改。其他未尽事宜由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和成交供应商在采购合同中详细约定。</w:t>
      </w:r>
    </w:p>
    <w:p w14:paraId="3986B9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（二）竞争性磋商文件、供应商的响应文件及澄清文件等，均为签订合同的依据。</w:t>
      </w:r>
    </w:p>
    <w:p w14:paraId="68B6D8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（三）如成交供应商放弃成交项目或在签订合同时擅自改变成交状态的，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将按照相关法律法规处理。</w:t>
      </w:r>
    </w:p>
    <w:p w14:paraId="5E2D96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（四）合同生效条款由供需双方约定，法律、行政法规规定应当办理批准、登记等手续后生效的合同，依照其规定。</w:t>
      </w:r>
    </w:p>
    <w:p w14:paraId="34B915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（五）除不可抗力等因素外，成交通知书发出后，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改变成交结果，或者成交供应商拒绝签订政府采购合同的，应当承担相应的法律责任。</w:t>
      </w:r>
    </w:p>
    <w:bookmarkEnd w:id="224"/>
    <w:bookmarkEnd w:id="225"/>
    <w:bookmarkEnd w:id="226"/>
    <w:bookmarkEnd w:id="227"/>
    <w:p w14:paraId="0D7A0346">
      <w:pPr>
        <w:pStyle w:val="4"/>
        <w:pageBreakBefore/>
        <w:spacing w:line="360" w:lineRule="auto"/>
        <w:jc w:val="center"/>
        <w:rPr>
          <w:rFonts w:ascii="宋体" w:hAnsi="宋体" w:eastAsia="宋体" w:cs="宋体"/>
          <w:b w:val="0"/>
          <w:color w:val="auto"/>
          <w:sz w:val="36"/>
          <w:szCs w:val="30"/>
          <w:highlight w:val="none"/>
        </w:rPr>
      </w:pPr>
      <w:bookmarkStart w:id="228" w:name="_Toc24861"/>
      <w:bookmarkStart w:id="229" w:name="_Toc25284"/>
      <w:bookmarkStart w:id="230" w:name="_Toc27464"/>
      <w:bookmarkStart w:id="231" w:name="_Toc11862"/>
      <w:bookmarkStart w:id="232" w:name="_Toc20130563"/>
      <w:r>
        <w:rPr>
          <w:rFonts w:hint="eastAsia" w:ascii="宋体" w:hAnsi="宋体" w:eastAsia="宋体" w:cs="宋体"/>
          <w:b w:val="0"/>
          <w:color w:val="auto"/>
          <w:sz w:val="36"/>
          <w:szCs w:val="30"/>
          <w:highlight w:val="none"/>
        </w:rPr>
        <w:t>第六篇  合同草案条款</w:t>
      </w:r>
      <w:bookmarkEnd w:id="228"/>
      <w:bookmarkEnd w:id="229"/>
      <w:bookmarkEnd w:id="230"/>
      <w:bookmarkEnd w:id="231"/>
      <w:bookmarkEnd w:id="232"/>
    </w:p>
    <w:p w14:paraId="4B1DA793">
      <w:pPr>
        <w:pStyle w:val="5"/>
        <w:spacing w:before="0" w:after="0" w:line="360" w:lineRule="auto"/>
        <w:ind w:firstLine="482" w:firstLineChars="200"/>
        <w:rPr>
          <w:rFonts w:ascii="宋体" w:hAnsi="宋体" w:cs="宋体"/>
          <w:sz w:val="24"/>
          <w:szCs w:val="24"/>
          <w:highlight w:val="none"/>
        </w:rPr>
      </w:pPr>
      <w:bookmarkStart w:id="233" w:name="_Toc23356"/>
      <w:bookmarkStart w:id="234" w:name="_Toc16324"/>
      <w:bookmarkStart w:id="235" w:name="_Toc78194465"/>
      <w:bookmarkStart w:id="236" w:name="_Toc12964"/>
      <w:bookmarkStart w:id="237" w:name="_Toc15310"/>
      <w:bookmarkStart w:id="238" w:name="_Toc8002"/>
      <w:bookmarkStart w:id="239" w:name="_Toc285722712"/>
      <w:bookmarkStart w:id="240" w:name="_Toc508007737"/>
      <w:bookmarkStart w:id="241" w:name="_Toc277084870"/>
      <w:bookmarkStart w:id="242" w:name="_Toc13482"/>
      <w:bookmarkStart w:id="243" w:name="_Toc12798"/>
      <w:bookmarkStart w:id="244" w:name="_Toc28696"/>
      <w:r>
        <w:rPr>
          <w:rFonts w:hint="eastAsia" w:ascii="宋体" w:hAnsi="宋体" w:cs="宋体"/>
          <w:sz w:val="24"/>
          <w:szCs w:val="24"/>
          <w:highlight w:val="none"/>
        </w:rPr>
        <w:t>一、合同主要条款</w:t>
      </w:r>
      <w:bookmarkEnd w:id="233"/>
      <w:bookmarkEnd w:id="234"/>
      <w:bookmarkEnd w:id="235"/>
      <w:bookmarkEnd w:id="236"/>
      <w:bookmarkEnd w:id="237"/>
      <w:bookmarkEnd w:id="238"/>
      <w:bookmarkEnd w:id="239"/>
      <w:bookmarkEnd w:id="240"/>
      <w:bookmarkEnd w:id="241"/>
      <w:bookmarkEnd w:id="242"/>
      <w:bookmarkEnd w:id="243"/>
      <w:bookmarkEnd w:id="244"/>
    </w:p>
    <w:p w14:paraId="717CC19E">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（一）定义</w:t>
      </w:r>
    </w:p>
    <w:p w14:paraId="0164DA2B">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1.甲方（需方）即</w:t>
      </w:r>
      <w:r>
        <w:rPr>
          <w:rFonts w:hint="eastAsia" w:ascii="宋体" w:hAnsi="宋体" w:cs="宋体"/>
          <w:bCs/>
          <w:sz w:val="24"/>
          <w:highlight w:val="none"/>
          <w:lang w:eastAsia="zh-CN"/>
        </w:rPr>
        <w:t>采购人</w:t>
      </w:r>
      <w:r>
        <w:rPr>
          <w:rFonts w:hint="eastAsia" w:ascii="宋体" w:hAnsi="宋体" w:cs="宋体"/>
          <w:bCs/>
          <w:sz w:val="24"/>
          <w:highlight w:val="none"/>
        </w:rPr>
        <w:t>，是指通过招标采购，接受服务的各级国家机关、事业单位和团体组织。</w:t>
      </w:r>
    </w:p>
    <w:p w14:paraId="0EA05C4C">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2.乙方（供方）即成交供应商，是指中标后提供服务的自然人、法人及其他组织。</w:t>
      </w:r>
    </w:p>
    <w:p w14:paraId="009079D6">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3.合同是指由甲乙双方按照采购文件和响应文件的实质性内容，通过协商一致达成的书面协议。</w:t>
      </w:r>
    </w:p>
    <w:p w14:paraId="4548D091">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4.合同价格指以中标价格为依据，在供方全面履行合同义务后，需方应支付给供方的金额。</w:t>
      </w:r>
    </w:p>
    <w:p w14:paraId="7E5EF64D">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（二）服务内容</w:t>
      </w:r>
    </w:p>
    <w:p w14:paraId="4A8079D4">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 xml:space="preserve">合同包括以下服务内容： </w:t>
      </w:r>
    </w:p>
    <w:p w14:paraId="5299227E">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（三）合同价格</w:t>
      </w:r>
    </w:p>
    <w:p w14:paraId="21CE588F">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1.合同价格即合同总价。</w:t>
      </w:r>
    </w:p>
    <w:p w14:paraId="0DD65A4D">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2.合同价格</w:t>
      </w:r>
      <w:r>
        <w:rPr>
          <w:rFonts w:hint="eastAsia" w:ascii="宋体" w:hAnsi="宋体" w:cs="宋体"/>
          <w:sz w:val="24"/>
          <w:szCs w:val="24"/>
          <w:highlight w:val="none"/>
        </w:rPr>
        <w:t>包括（但不限于）施工费、材料费、运输费（含装卸费）、安装费、调试费、人工费、保险费、税费等所有费用。因乙方供应商自身原因造成漏报、少报皆由其自行承担责任，甲方不再补偿。</w:t>
      </w:r>
    </w:p>
    <w:p w14:paraId="6C15971A">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3.合同价为不变价。</w:t>
      </w:r>
    </w:p>
    <w:p w14:paraId="5629443E">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（四）转包和分包</w:t>
      </w:r>
    </w:p>
    <w:p w14:paraId="4B4EB4A4">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1.本合同</w:t>
      </w:r>
      <w:r>
        <w:rPr>
          <w:rFonts w:hint="eastAsia" w:ascii="宋体" w:hAnsi="宋体" w:cs="宋体"/>
          <w:bCs/>
          <w:sz w:val="24"/>
          <w:highlight w:val="none"/>
          <w:lang w:val="en-US" w:eastAsia="zh-CN"/>
        </w:rPr>
        <w:t>不接受转包和分包</w:t>
      </w:r>
      <w:r>
        <w:rPr>
          <w:rFonts w:hint="eastAsia" w:ascii="宋体" w:hAnsi="宋体" w:cs="宋体"/>
          <w:bCs/>
          <w:sz w:val="24"/>
          <w:highlight w:val="none"/>
        </w:rPr>
        <w:t>。</w:t>
      </w:r>
    </w:p>
    <w:p w14:paraId="210ABA58">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（五）质量保证及售后服务</w:t>
      </w:r>
    </w:p>
    <w:p w14:paraId="356BEDA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1.乙方应按采购文件规定要求向甲方提供服务。</w:t>
      </w:r>
    </w:p>
    <w:p w14:paraId="30C342F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2.在服务期内，乙方应对服务质量负责。</w:t>
      </w:r>
    </w:p>
    <w:p w14:paraId="5D5616E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3.如甲方要求乙方提供履约保证金的，履约保证金的收取和退还应按本项目采购文件第三篇“项目商务要求”的要求处理。</w:t>
      </w:r>
    </w:p>
    <w:p w14:paraId="7837DE7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（六）付款</w:t>
      </w:r>
    </w:p>
    <w:p w14:paraId="263AEB7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1.本合同使用货币币制如未作特别说明均为人民币。</w:t>
      </w:r>
    </w:p>
    <w:p w14:paraId="6F19B7E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2.付款方式：银行转账、现金支票。</w:t>
      </w:r>
    </w:p>
    <w:p w14:paraId="279DAEF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3.付款方法：参照本项目采购文件第三篇“项目商务要求”中关于付款方式的约定。</w:t>
      </w:r>
    </w:p>
    <w:p w14:paraId="068C51A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（七）检查验收</w:t>
      </w:r>
    </w:p>
    <w:p w14:paraId="621441E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（八）索赔</w:t>
      </w:r>
    </w:p>
    <w:p w14:paraId="2F79EFA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供方对服务与合同要求不符负有责任，并且需方已于规定服务内和质量保证期内提出索赔，供方应按需方同意的下述一种或多种方法解决索赔事宜。</w:t>
      </w:r>
    </w:p>
    <w:p w14:paraId="0913B7A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（九）知识产权</w:t>
      </w:r>
    </w:p>
    <w:p w14:paraId="00D48F00">
      <w:pPr>
        <w:adjustRightInd w:val="0"/>
        <w:snapToGrid w:val="0"/>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甲方在中华人民共和国境内使用乙方提供的服务时免受第三方提出的侵犯其专利权或其它知识产权的起诉。如果第三方提出侵权指控，乙方应承担由此而引起的一切法律责任和费用。</w:t>
      </w:r>
    </w:p>
    <w:p w14:paraId="228A655D">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（十）合同争议的解决</w:t>
      </w:r>
    </w:p>
    <w:p w14:paraId="145EA5D3">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1.当事人友好协商达成一致；</w:t>
      </w:r>
    </w:p>
    <w:p w14:paraId="6A1BEF95">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2.在60天内当事人协商不能达成协议的，可提请</w:t>
      </w:r>
      <w:r>
        <w:rPr>
          <w:rFonts w:hint="eastAsia" w:ascii="宋体" w:hAnsi="宋体" w:cs="宋体"/>
          <w:bCs/>
          <w:sz w:val="24"/>
          <w:highlight w:val="none"/>
          <w:lang w:eastAsia="zh-CN"/>
        </w:rPr>
        <w:t>采购人</w:t>
      </w:r>
      <w:r>
        <w:rPr>
          <w:rFonts w:hint="eastAsia" w:ascii="宋体" w:hAnsi="宋体" w:cs="宋体"/>
          <w:bCs/>
          <w:sz w:val="24"/>
          <w:highlight w:val="none"/>
        </w:rPr>
        <w:t>当地仲裁机构仲裁。</w:t>
      </w:r>
    </w:p>
    <w:p w14:paraId="4A597C0F">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（十一）违约责任</w:t>
      </w:r>
    </w:p>
    <w:p w14:paraId="6AF5EE9D">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按《中华人民共和国民法典》、《中华人民共和国政府采购法》有关条款，或由供需双方约定。</w:t>
      </w:r>
    </w:p>
    <w:p w14:paraId="7FCE43B1">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（十二）合同生效及其它</w:t>
      </w:r>
    </w:p>
    <w:p w14:paraId="3CF310D9">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1.合同生效及其效力应符合《中华人民共和国民法典》有关规定。</w:t>
      </w:r>
    </w:p>
    <w:p w14:paraId="4C65E37B">
      <w:pPr>
        <w:snapToGrid w:val="0"/>
        <w:spacing w:line="360" w:lineRule="auto"/>
        <w:ind w:firstLine="480" w:firstLineChars="200"/>
        <w:outlineLvl w:val="0"/>
        <w:rPr>
          <w:rFonts w:hint="eastAsia" w:ascii="宋体" w:hAnsi="宋体" w:eastAsia="宋体" w:cs="宋体"/>
          <w:bCs/>
          <w:sz w:val="24"/>
          <w:highlight w:val="none"/>
        </w:rPr>
      </w:pPr>
      <w:r>
        <w:rPr>
          <w:rFonts w:hint="eastAsia" w:ascii="宋体" w:hAnsi="宋体" w:cs="宋体"/>
          <w:bCs/>
          <w:sz w:val="24"/>
          <w:highlight w:val="none"/>
        </w:rPr>
        <w:t>2.合</w:t>
      </w:r>
      <w:r>
        <w:rPr>
          <w:rFonts w:hint="eastAsia" w:ascii="宋体" w:hAnsi="宋体" w:eastAsia="宋体" w:cs="宋体"/>
          <w:bCs/>
          <w:sz w:val="24"/>
          <w:highlight w:val="none"/>
        </w:rPr>
        <w:t>同应经当事人法定代表人或委托代理人签字，加盖双方合同专用章或公章。</w:t>
      </w:r>
    </w:p>
    <w:p w14:paraId="0B27DE07">
      <w:pPr>
        <w:snapToGrid w:val="0"/>
        <w:spacing w:line="360" w:lineRule="auto"/>
        <w:ind w:firstLine="480" w:firstLineChars="200"/>
        <w:outlineLvl w:val="0"/>
        <w:rPr>
          <w:rFonts w:hint="eastAsia" w:ascii="宋体" w:hAnsi="宋体" w:eastAsia="宋体" w:cs="宋体"/>
          <w:bCs/>
          <w:sz w:val="24"/>
          <w:highlight w:val="none"/>
        </w:rPr>
      </w:pPr>
      <w:r>
        <w:rPr>
          <w:rFonts w:hint="eastAsia" w:ascii="宋体" w:hAnsi="宋体" w:eastAsia="宋体" w:cs="宋体"/>
          <w:bCs/>
          <w:sz w:val="24"/>
          <w:highlight w:val="none"/>
        </w:rPr>
        <w:t>3.合同所包括附件，是合同不可分割的一部分，具有同等法法律效力。</w:t>
      </w:r>
    </w:p>
    <w:p w14:paraId="293EC801">
      <w:pPr>
        <w:tabs>
          <w:tab w:val="left" w:pos="9000"/>
        </w:tabs>
        <w:spacing w:line="276" w:lineRule="auto"/>
        <w:ind w:firstLine="480" w:firstLineChars="200"/>
        <w:jc w:val="center"/>
        <w:rPr>
          <w:rFonts w:ascii="宋体" w:hAnsi="宋体" w:cs="宋体"/>
          <w:color w:val="auto"/>
          <w:sz w:val="21"/>
          <w:szCs w:val="21"/>
          <w:highlight w:val="none"/>
        </w:rPr>
        <w:sectPr>
          <w:footerReference r:id="rId9" w:type="default"/>
          <w:footerReference r:id="rId10" w:type="even"/>
          <w:pgSz w:w="11907" w:h="16840"/>
          <w:pgMar w:top="1417" w:right="1417" w:bottom="1417" w:left="1417" w:header="964" w:footer="992" w:gutter="0"/>
          <w:pgNumType w:fmt="numberInDash"/>
          <w:cols w:space="0" w:num="1"/>
          <w:docGrid w:linePitch="312" w:charSpace="0"/>
        </w:sectPr>
      </w:pPr>
      <w:r>
        <w:rPr>
          <w:rFonts w:hint="eastAsia" w:ascii="宋体" w:hAnsi="宋体" w:eastAsia="宋体" w:cs="宋体"/>
          <w:bCs/>
          <w:sz w:val="24"/>
          <w:highlight w:val="none"/>
        </w:rPr>
        <w:t>4.本合同条件未尽事宜依照《中华人民共和国民法典》，由供需双方共同协商确定</w:t>
      </w:r>
    </w:p>
    <w:p w14:paraId="75C6B6BA">
      <w:pPr>
        <w:pStyle w:val="4"/>
        <w:pageBreakBefore/>
        <w:spacing w:line="360" w:lineRule="auto"/>
        <w:jc w:val="center"/>
        <w:rPr>
          <w:rFonts w:ascii="宋体" w:hAnsi="宋体" w:eastAsia="宋体" w:cs="宋体"/>
          <w:b w:val="0"/>
          <w:color w:val="auto"/>
          <w:sz w:val="36"/>
          <w:szCs w:val="30"/>
          <w:highlight w:val="none"/>
        </w:rPr>
      </w:pPr>
      <w:bookmarkStart w:id="245" w:name="_Hlt41879464"/>
      <w:bookmarkEnd w:id="245"/>
      <w:bookmarkStart w:id="246" w:name="_Toc12789072"/>
      <w:bookmarkStart w:id="247" w:name="_Toc19134"/>
      <w:bookmarkStart w:id="248" w:name="_Toc32094"/>
      <w:bookmarkStart w:id="249" w:name="_Toc12324"/>
      <w:bookmarkStart w:id="250" w:name="_Toc25506"/>
      <w:bookmarkStart w:id="251" w:name="_Toc20130566"/>
      <w:r>
        <w:rPr>
          <w:rFonts w:hint="eastAsia" w:ascii="宋体" w:hAnsi="宋体" w:eastAsia="宋体" w:cs="宋体"/>
          <w:b w:val="0"/>
          <w:color w:val="auto"/>
          <w:sz w:val="36"/>
          <w:szCs w:val="30"/>
          <w:highlight w:val="none"/>
        </w:rPr>
        <w:t xml:space="preserve">第七篇  </w:t>
      </w:r>
      <w:bookmarkEnd w:id="246"/>
      <w:r>
        <w:rPr>
          <w:rFonts w:hint="eastAsia" w:ascii="宋体" w:hAnsi="宋体" w:eastAsia="宋体" w:cs="宋体"/>
          <w:b w:val="0"/>
          <w:color w:val="auto"/>
          <w:sz w:val="36"/>
          <w:szCs w:val="30"/>
          <w:highlight w:val="none"/>
        </w:rPr>
        <w:t>响应文件编制要求</w:t>
      </w:r>
      <w:bookmarkEnd w:id="247"/>
      <w:bookmarkEnd w:id="248"/>
      <w:bookmarkEnd w:id="249"/>
      <w:bookmarkEnd w:id="250"/>
      <w:bookmarkEnd w:id="251"/>
    </w:p>
    <w:p w14:paraId="6B9FCDD9">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一、经济部分</w:t>
      </w:r>
    </w:p>
    <w:p w14:paraId="6B39F4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2B6FA6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（二）最后报价表</w:t>
      </w:r>
    </w:p>
    <w:p w14:paraId="1A6CAF6C">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二、技术部分</w:t>
      </w:r>
    </w:p>
    <w:p w14:paraId="662B9F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1D3C01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（二）技术部分评分所需资料（格式自定）</w:t>
      </w:r>
    </w:p>
    <w:p w14:paraId="31588F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（三）其他资料（格式自定）</w:t>
      </w:r>
    </w:p>
    <w:p w14:paraId="3CC7C449">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三、商务部分</w:t>
      </w:r>
    </w:p>
    <w:p w14:paraId="23F734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65D6D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（二）商务部分评分所需资料（格式自定）</w:t>
      </w:r>
    </w:p>
    <w:p w14:paraId="343301C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（三）其它优惠服务承诺</w:t>
      </w:r>
    </w:p>
    <w:p w14:paraId="44AF5D0C">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四、资格条件及其他</w:t>
      </w:r>
    </w:p>
    <w:p w14:paraId="28DA74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13C43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67F1DF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50BD58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629DFFC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300E98FE">
      <w:pPr>
        <w:spacing w:line="5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五、其他资料</w:t>
      </w:r>
    </w:p>
    <w:p w14:paraId="5ABFD9CA">
      <w:pPr>
        <w:spacing w:line="50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2EAF97C0">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（二）其他与项目有关的资料</w:t>
      </w:r>
    </w:p>
    <w:p w14:paraId="65709174">
      <w:pPr>
        <w:spacing w:line="360" w:lineRule="auto"/>
        <w:ind w:firstLine="480" w:firstLineChars="200"/>
        <w:rPr>
          <w:rFonts w:ascii="宋体" w:hAnsi="宋体" w:cs="宋体"/>
          <w:color w:val="auto"/>
          <w:sz w:val="24"/>
          <w:szCs w:val="24"/>
          <w:highlight w:val="none"/>
        </w:rPr>
      </w:pPr>
    </w:p>
    <w:p w14:paraId="719A0E64">
      <w:pPr>
        <w:spacing w:line="440" w:lineRule="exact"/>
        <w:ind w:firstLine="480" w:firstLineChars="200"/>
        <w:rPr>
          <w:rFonts w:ascii="宋体" w:hAnsi="宋体" w:cs="宋体"/>
          <w:color w:val="auto"/>
          <w:sz w:val="24"/>
          <w:szCs w:val="24"/>
          <w:highlight w:val="none"/>
        </w:rPr>
        <w:sectPr>
          <w:pgSz w:w="11907" w:h="16840"/>
          <w:pgMar w:top="1134" w:right="1191" w:bottom="1134" w:left="1191" w:header="851" w:footer="992" w:gutter="0"/>
          <w:pgNumType w:fmt="numberInDash"/>
          <w:cols w:space="720" w:num="1"/>
          <w:docGrid w:linePitch="380" w:charSpace="-5735"/>
        </w:sectPr>
      </w:pPr>
    </w:p>
    <w:p w14:paraId="110FB551">
      <w:pPr>
        <w:pStyle w:val="5"/>
        <w:spacing w:before="0" w:after="0" w:line="360" w:lineRule="auto"/>
        <w:ind w:firstLine="482" w:firstLineChars="200"/>
        <w:rPr>
          <w:rFonts w:ascii="宋体" w:hAnsi="宋体" w:cs="宋体"/>
          <w:color w:val="auto"/>
          <w:sz w:val="24"/>
          <w:szCs w:val="24"/>
          <w:highlight w:val="none"/>
        </w:rPr>
      </w:pPr>
      <w:bookmarkStart w:id="252" w:name="_Toc16251"/>
      <w:bookmarkStart w:id="253" w:name="_Toc14887"/>
      <w:bookmarkStart w:id="254" w:name="_Toc20130567"/>
      <w:bookmarkStart w:id="255" w:name="_Toc2312"/>
      <w:bookmarkStart w:id="256" w:name="_Toc342913419"/>
      <w:bookmarkStart w:id="257" w:name="_Toc17327"/>
      <w:bookmarkStart w:id="258" w:name="_Toc313008356"/>
      <w:bookmarkStart w:id="259" w:name="_Toc313888360"/>
      <w:bookmarkStart w:id="260" w:name="_Toc283382454"/>
      <w:bookmarkStart w:id="261" w:name="_Toc12789073"/>
      <w:r>
        <w:rPr>
          <w:rFonts w:hint="eastAsia" w:ascii="宋体" w:hAnsi="宋体" w:cs="宋体"/>
          <w:color w:val="auto"/>
          <w:sz w:val="24"/>
          <w:szCs w:val="24"/>
          <w:highlight w:val="none"/>
        </w:rPr>
        <w:t>一、经济部分</w:t>
      </w:r>
      <w:bookmarkEnd w:id="252"/>
      <w:bookmarkEnd w:id="253"/>
      <w:bookmarkEnd w:id="254"/>
      <w:bookmarkEnd w:id="255"/>
      <w:bookmarkEnd w:id="256"/>
      <w:bookmarkEnd w:id="257"/>
      <w:bookmarkEnd w:id="258"/>
      <w:bookmarkEnd w:id="259"/>
    </w:p>
    <w:bookmarkEnd w:id="260"/>
    <w:bookmarkEnd w:id="261"/>
    <w:p w14:paraId="26402455">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4315E2CB">
      <w:pPr>
        <w:tabs>
          <w:tab w:val="left" w:pos="6300"/>
        </w:tabs>
        <w:snapToGrid w:val="0"/>
        <w:spacing w:line="520" w:lineRule="exact"/>
        <w:jc w:val="center"/>
        <w:outlineLvl w:val="0"/>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4C9D99D2">
      <w:pPr>
        <w:tabs>
          <w:tab w:val="left" w:pos="6300"/>
        </w:tabs>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7028AFB7">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我方收到____________________________（项目名称）的竞争性磋商文件，经详细研究，决定参加该项目的磋商。</w:t>
      </w:r>
    </w:p>
    <w:p w14:paraId="2EEC9D33">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76E89C7F">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电子文档</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w:t>
      </w:r>
      <w:r>
        <w:rPr>
          <w:rFonts w:hint="eastAsia" w:ascii="宋体" w:hAnsi="宋体" w:cs="宋体"/>
          <w:color w:val="auto"/>
          <w:sz w:val="24"/>
          <w:szCs w:val="24"/>
          <w:highlight w:val="none"/>
        </w:rPr>
        <w:t>。</w:t>
      </w:r>
    </w:p>
    <w:p w14:paraId="796C8996">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3.我方承诺：本次磋商的有效期为90天。</w:t>
      </w:r>
    </w:p>
    <w:p w14:paraId="3C123605">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2EA52F93">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65FB0B4B">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19D57860">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7.如果我方成为成交供应商，保证在接到成交通知书后，向采购代理机构缴纳竞争性磋商文件规定的采购代理服务费。</w:t>
      </w:r>
    </w:p>
    <w:p w14:paraId="45C7207B">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6CCB0116">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4E4CEA1E">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59C54F1B">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2BB5DBB7">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35CC1660">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3BC53F0B">
      <w:pPr>
        <w:tabs>
          <w:tab w:val="left" w:pos="6300"/>
        </w:tabs>
        <w:snapToGrid w:val="0"/>
        <w:spacing w:line="520" w:lineRule="exact"/>
        <w:ind w:firstLine="570"/>
        <w:rPr>
          <w:rFonts w:ascii="宋体" w:hAnsi="宋体" w:cs="宋体"/>
          <w:color w:val="auto"/>
          <w:sz w:val="24"/>
          <w:szCs w:val="24"/>
          <w:highlight w:val="none"/>
        </w:rPr>
      </w:pPr>
    </w:p>
    <w:p w14:paraId="4121FBC6">
      <w:pPr>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24EF2B4">
      <w:pPr>
        <w:snapToGrid w:val="0"/>
        <w:spacing w:line="520" w:lineRule="exact"/>
        <w:ind w:firstLine="480" w:firstLineChars="200"/>
        <w:rPr>
          <w:rFonts w:ascii="宋体" w:hAnsi="宋体" w:cs="宋体"/>
          <w:color w:val="auto"/>
          <w:sz w:val="24"/>
          <w:szCs w:val="24"/>
          <w:highlight w:val="none"/>
        </w:rPr>
      </w:pPr>
    </w:p>
    <w:p w14:paraId="20E23266">
      <w:pPr>
        <w:snapToGrid w:val="0"/>
        <w:spacing w:line="500" w:lineRule="exact"/>
        <w:ind w:firstLine="480" w:firstLineChars="200"/>
        <w:rPr>
          <w:rFonts w:ascii="宋体" w:hAnsi="宋体" w:cs="宋体"/>
          <w:color w:val="auto"/>
          <w:sz w:val="24"/>
          <w:szCs w:val="24"/>
          <w:highlight w:val="none"/>
        </w:rPr>
        <w:sectPr>
          <w:pgSz w:w="11907" w:h="16840"/>
          <w:pgMar w:top="1134" w:right="1191" w:bottom="1134" w:left="1191" w:header="851" w:footer="992" w:gutter="0"/>
          <w:pgNumType w:fmt="numberInDash"/>
          <w:cols w:space="720" w:num="1"/>
          <w:docGrid w:linePitch="380" w:charSpace="-5735"/>
        </w:sectPr>
      </w:pPr>
    </w:p>
    <w:p w14:paraId="437EDADB">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（二）最后报价表</w:t>
      </w:r>
    </w:p>
    <w:p w14:paraId="70B95E39">
      <w:pPr>
        <w:snapToGrid w:val="0"/>
        <w:spacing w:line="500" w:lineRule="exact"/>
        <w:jc w:val="center"/>
        <w:rPr>
          <w:rFonts w:ascii="宋体" w:hAnsi="宋体" w:cs="宋体"/>
          <w:b/>
          <w:bCs/>
          <w:color w:val="auto"/>
          <w:sz w:val="36"/>
          <w:szCs w:val="36"/>
          <w:highlight w:val="none"/>
        </w:rPr>
      </w:pPr>
      <w:bookmarkStart w:id="262" w:name="_Toc20130568"/>
      <w:bookmarkStart w:id="263" w:name="_Toc342913420"/>
      <w:bookmarkStart w:id="264" w:name="_Toc313008357"/>
      <w:bookmarkStart w:id="265" w:name="_Toc313888361"/>
      <w:r>
        <w:rPr>
          <w:rFonts w:hint="eastAsia" w:ascii="宋体" w:hAnsi="宋体" w:cs="宋体"/>
          <w:b/>
          <w:bCs/>
          <w:color w:val="auto"/>
          <w:sz w:val="36"/>
          <w:szCs w:val="36"/>
          <w:highlight w:val="none"/>
        </w:rPr>
        <w:t>最后报价表</w:t>
      </w:r>
    </w:p>
    <w:p w14:paraId="13B290DF">
      <w:pPr>
        <w:pStyle w:val="24"/>
        <w:rPr>
          <w:rFonts w:hAnsi="宋体" w:cs="宋体"/>
          <w:color w:val="auto"/>
          <w:highlight w:val="none"/>
        </w:rPr>
      </w:pPr>
    </w:p>
    <w:tbl>
      <w:tblPr>
        <w:tblStyle w:val="16"/>
        <w:tblW w:w="9292"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769"/>
      </w:tblGrid>
      <w:tr w14:paraId="520E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523" w:type="dxa"/>
            <w:vAlign w:val="center"/>
          </w:tcPr>
          <w:p w14:paraId="59774E19">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供应商全称</w:t>
            </w:r>
          </w:p>
        </w:tc>
        <w:tc>
          <w:tcPr>
            <w:tcW w:w="7769" w:type="dxa"/>
            <w:vAlign w:val="center"/>
          </w:tcPr>
          <w:p w14:paraId="617CDD23">
            <w:pPr>
              <w:spacing w:line="500" w:lineRule="exact"/>
              <w:jc w:val="center"/>
              <w:rPr>
                <w:rFonts w:ascii="宋体" w:hAnsi="宋体" w:cs="宋体"/>
                <w:color w:val="auto"/>
                <w:sz w:val="24"/>
                <w:szCs w:val="24"/>
                <w:highlight w:val="none"/>
              </w:rPr>
            </w:pPr>
          </w:p>
        </w:tc>
      </w:tr>
      <w:tr w14:paraId="4EB2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9292" w:type="dxa"/>
            <w:gridSpan w:val="2"/>
            <w:vAlign w:val="center"/>
          </w:tcPr>
          <w:p w14:paraId="34E75ED9">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r>
      <w:tr w14:paraId="6C1B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9292" w:type="dxa"/>
            <w:gridSpan w:val="2"/>
            <w:tcBorders>
              <w:bottom w:val="single" w:color="auto" w:sz="4" w:space="0"/>
            </w:tcBorders>
            <w:vAlign w:val="center"/>
          </w:tcPr>
          <w:p w14:paraId="045C352F">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总价报价（大写）：                        小写：         元                         </w:t>
            </w:r>
          </w:p>
        </w:tc>
      </w:tr>
      <w:tr w14:paraId="3B5B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9292" w:type="dxa"/>
            <w:gridSpan w:val="2"/>
            <w:vAlign w:val="center"/>
          </w:tcPr>
          <w:p w14:paraId="598274FB">
            <w:pPr>
              <w:pStyle w:val="11"/>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备注：</w:t>
            </w:r>
          </w:p>
        </w:tc>
      </w:tr>
    </w:tbl>
    <w:p w14:paraId="0E99A195">
      <w:pPr>
        <w:pStyle w:val="26"/>
        <w:rPr>
          <w:rFonts w:ascii="宋体" w:hAnsi="宋体" w:cs="宋体"/>
          <w:color w:val="auto"/>
          <w:sz w:val="24"/>
          <w:szCs w:val="24"/>
          <w:highlight w:val="none"/>
        </w:rPr>
      </w:pPr>
    </w:p>
    <w:p w14:paraId="57979AAF">
      <w:pPr>
        <w:pStyle w:val="26"/>
        <w:rPr>
          <w:rFonts w:ascii="宋体" w:hAnsi="宋体" w:cs="宋体"/>
          <w:color w:val="auto"/>
          <w:sz w:val="24"/>
          <w:szCs w:val="24"/>
          <w:highlight w:val="none"/>
        </w:rPr>
      </w:pPr>
    </w:p>
    <w:p w14:paraId="6ADBA702">
      <w:pPr>
        <w:snapToGrid w:val="0"/>
        <w:spacing w:line="500" w:lineRule="exact"/>
        <w:ind w:firstLine="570"/>
        <w:jc w:val="center"/>
        <w:rPr>
          <w:rFonts w:ascii="宋体" w:hAnsi="宋体" w:cs="宋体"/>
          <w:b/>
          <w:bCs/>
          <w:color w:val="auto"/>
          <w:sz w:val="24"/>
          <w:szCs w:val="24"/>
          <w:highlight w:val="none"/>
        </w:rPr>
      </w:pPr>
    </w:p>
    <w:p w14:paraId="24D2B410">
      <w:pPr>
        <w:spacing w:line="500" w:lineRule="exact"/>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供应商：                            法定代表人（或其授权代表）或自然人：</w:t>
      </w:r>
    </w:p>
    <w:p w14:paraId="3A151610">
      <w:pPr>
        <w:spacing w:line="500" w:lineRule="exact"/>
        <w:rPr>
          <w:rFonts w:ascii="宋体" w:hAnsi="宋体" w:cs="宋体"/>
          <w:color w:val="auto"/>
          <w:sz w:val="24"/>
          <w:szCs w:val="24"/>
          <w:highlight w:val="none"/>
        </w:rPr>
      </w:pPr>
      <w:r>
        <w:rPr>
          <w:rFonts w:hint="eastAsia" w:ascii="宋体" w:hAnsi="宋体" w:cs="宋体"/>
          <w:b/>
          <w:bCs/>
          <w:color w:val="auto"/>
          <w:sz w:val="24"/>
          <w:szCs w:val="24"/>
          <w:highlight w:val="none"/>
        </w:rPr>
        <w:t xml:space="preserve">                               </w:t>
      </w:r>
    </w:p>
    <w:p w14:paraId="0B3CD35D">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64D2E97">
      <w:pPr>
        <w:snapToGrid w:val="0"/>
        <w:spacing w:line="500" w:lineRule="exact"/>
        <w:ind w:firstLine="480" w:firstLineChars="200"/>
        <w:rPr>
          <w:rFonts w:ascii="宋体" w:hAnsi="宋体" w:cs="宋体"/>
          <w:color w:val="auto"/>
          <w:sz w:val="24"/>
          <w:szCs w:val="24"/>
          <w:highlight w:val="none"/>
        </w:rPr>
      </w:pPr>
    </w:p>
    <w:p w14:paraId="7E97A899">
      <w:pPr>
        <w:snapToGrid w:val="0"/>
        <w:spacing w:line="500" w:lineRule="exact"/>
        <w:ind w:firstLine="480" w:firstLineChars="200"/>
        <w:rPr>
          <w:rFonts w:ascii="宋体" w:hAnsi="宋体" w:cs="宋体"/>
          <w:color w:val="auto"/>
          <w:sz w:val="24"/>
          <w:szCs w:val="24"/>
          <w:highlight w:val="none"/>
        </w:rPr>
      </w:pPr>
    </w:p>
    <w:p w14:paraId="13914E63">
      <w:pPr>
        <w:pStyle w:val="5"/>
        <w:spacing w:before="0" w:after="0" w:line="360" w:lineRule="auto"/>
        <w:ind w:firstLine="480" w:firstLineChars="200"/>
        <w:rPr>
          <w:rFonts w:hint="eastAsia" w:ascii="宋体" w:hAnsi="宋体" w:cs="宋体"/>
          <w:b w:val="0"/>
          <w:bCs/>
          <w:sz w:val="24"/>
          <w:szCs w:val="24"/>
          <w:highlight w:val="none"/>
        </w:rPr>
      </w:pPr>
      <w:bookmarkStart w:id="266" w:name="_Toc17584"/>
      <w:bookmarkStart w:id="267" w:name="_Toc19409"/>
      <w:bookmarkStart w:id="268" w:name="_Toc23609"/>
      <w:bookmarkStart w:id="269" w:name="_Toc18164"/>
    </w:p>
    <w:p w14:paraId="177F6741">
      <w:pPr>
        <w:pStyle w:val="5"/>
        <w:spacing w:before="0" w:after="0" w:line="360" w:lineRule="auto"/>
        <w:ind w:firstLine="480" w:firstLineChars="200"/>
        <w:rPr>
          <w:rFonts w:ascii="宋体" w:hAnsi="宋体" w:cs="宋体"/>
          <w:b w:val="0"/>
          <w:bCs/>
          <w:color w:val="auto"/>
          <w:sz w:val="24"/>
          <w:szCs w:val="24"/>
          <w:highlight w:val="none"/>
        </w:rPr>
        <w:sectPr>
          <w:pgSz w:w="11907" w:h="16840"/>
          <w:pgMar w:top="1134" w:right="1191" w:bottom="1134" w:left="1191" w:header="851" w:footer="992" w:gutter="0"/>
          <w:pgNumType w:fmt="numberInDash"/>
          <w:cols w:space="720" w:num="1"/>
          <w:docGrid w:linePitch="380" w:charSpace="-5735"/>
        </w:sectPr>
      </w:pPr>
      <w:r>
        <w:rPr>
          <w:rFonts w:hint="eastAsia" w:ascii="宋体" w:hAnsi="宋体" w:cs="宋体"/>
          <w:b w:val="0"/>
          <w:bCs/>
          <w:sz w:val="24"/>
          <w:szCs w:val="24"/>
          <w:highlight w:val="none"/>
        </w:rPr>
        <w:t>请各供应商将最后报价表单独打印（响应文件中不提供本表），并随身携带到</w:t>
      </w:r>
      <w:r>
        <w:rPr>
          <w:rFonts w:hint="eastAsia" w:ascii="宋体" w:hAnsi="宋体" w:cs="宋体"/>
          <w:b w:val="0"/>
          <w:bCs/>
          <w:sz w:val="24"/>
          <w:szCs w:val="24"/>
          <w:highlight w:val="none"/>
          <w:lang w:val="en-US" w:eastAsia="zh-CN"/>
        </w:rPr>
        <w:t>磋商</w:t>
      </w:r>
      <w:r>
        <w:rPr>
          <w:rFonts w:hint="eastAsia" w:ascii="宋体" w:hAnsi="宋体" w:cs="宋体"/>
          <w:b w:val="0"/>
          <w:bCs/>
          <w:sz w:val="24"/>
          <w:szCs w:val="24"/>
          <w:highlight w:val="none"/>
        </w:rPr>
        <w:t>现场，通过磋商后，在</w:t>
      </w:r>
      <w:r>
        <w:rPr>
          <w:rFonts w:hint="eastAsia" w:ascii="宋体" w:hAnsi="宋体" w:cs="宋体"/>
          <w:b w:val="0"/>
          <w:bCs/>
          <w:sz w:val="24"/>
          <w:szCs w:val="24"/>
          <w:highlight w:val="none"/>
          <w:lang w:val="en-US" w:eastAsia="zh-CN"/>
        </w:rPr>
        <w:t>磋商</w:t>
      </w:r>
      <w:r>
        <w:rPr>
          <w:rFonts w:hint="eastAsia" w:ascii="宋体" w:hAnsi="宋体" w:cs="宋体"/>
          <w:b w:val="0"/>
          <w:bCs/>
          <w:sz w:val="24"/>
          <w:szCs w:val="24"/>
          <w:highlight w:val="none"/>
        </w:rPr>
        <w:t>现场填写最后报价表，务必填写清楚，准确无误。</w:t>
      </w:r>
      <w:r>
        <w:rPr>
          <w:rFonts w:ascii="宋体" w:hAnsi="宋体" w:cs="宋体"/>
          <w:b w:val="0"/>
          <w:bCs/>
          <w:sz w:val="24"/>
          <w:szCs w:val="24"/>
          <w:highlight w:val="none"/>
        </w:rPr>
        <w:t>已提交响应文件但未在规定时间内进行最后报价的供应商，视为放弃最后报价，以供应商响应文件中的报价为准</w:t>
      </w:r>
      <w:r>
        <w:rPr>
          <w:rFonts w:hint="eastAsia" w:ascii="宋体" w:hAnsi="宋体" w:cs="宋体"/>
          <w:b w:val="0"/>
          <w:bCs/>
          <w:color w:val="auto"/>
          <w:sz w:val="24"/>
          <w:szCs w:val="24"/>
          <w:highlight w:val="none"/>
        </w:rPr>
        <w:t>。</w:t>
      </w:r>
      <w:bookmarkEnd w:id="266"/>
      <w:bookmarkEnd w:id="267"/>
      <w:bookmarkEnd w:id="268"/>
      <w:bookmarkEnd w:id="269"/>
    </w:p>
    <w:p w14:paraId="2CEDF4CB">
      <w:pPr>
        <w:pStyle w:val="5"/>
        <w:spacing w:before="0" w:after="0" w:line="360" w:lineRule="auto"/>
        <w:ind w:firstLine="482" w:firstLineChars="200"/>
        <w:rPr>
          <w:rFonts w:ascii="宋体" w:hAnsi="宋体" w:cs="宋体"/>
          <w:color w:val="auto"/>
          <w:sz w:val="24"/>
          <w:szCs w:val="24"/>
          <w:highlight w:val="none"/>
        </w:rPr>
      </w:pPr>
      <w:bookmarkStart w:id="270" w:name="_Toc30292"/>
      <w:bookmarkStart w:id="271" w:name="_Toc30329"/>
      <w:bookmarkStart w:id="272" w:name="_Toc3372"/>
      <w:bookmarkStart w:id="273" w:name="_Toc12741"/>
      <w:r>
        <w:rPr>
          <w:rFonts w:hint="eastAsia" w:ascii="宋体" w:hAnsi="宋体" w:cs="宋体"/>
          <w:color w:val="auto"/>
          <w:sz w:val="24"/>
          <w:szCs w:val="24"/>
          <w:highlight w:val="none"/>
        </w:rPr>
        <w:t>二、技术部分</w:t>
      </w:r>
      <w:bookmarkEnd w:id="262"/>
      <w:bookmarkEnd w:id="263"/>
      <w:bookmarkEnd w:id="264"/>
      <w:bookmarkEnd w:id="265"/>
      <w:bookmarkEnd w:id="270"/>
      <w:bookmarkEnd w:id="271"/>
      <w:bookmarkEnd w:id="272"/>
      <w:bookmarkEnd w:id="273"/>
    </w:p>
    <w:p w14:paraId="788E5465">
      <w:pPr>
        <w:tabs>
          <w:tab w:val="left" w:pos="6300"/>
        </w:tabs>
        <w:snapToGrid w:val="0"/>
        <w:spacing w:line="5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（一）技术响应偏离表</w:t>
      </w:r>
    </w:p>
    <w:p w14:paraId="4F1AEB7A">
      <w:pPr>
        <w:pStyle w:val="11"/>
        <w:tabs>
          <w:tab w:val="left" w:pos="6300"/>
        </w:tabs>
        <w:snapToGrid w:val="0"/>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项目号：</w:t>
      </w:r>
    </w:p>
    <w:p w14:paraId="355E5EA4">
      <w:pPr>
        <w:pStyle w:val="11"/>
        <w:tabs>
          <w:tab w:val="left" w:pos="6300"/>
        </w:tabs>
        <w:snapToGrid w:val="0"/>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磋商项目名称：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AFA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4FB4E72">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658" w:type="dxa"/>
            <w:vAlign w:val="center"/>
          </w:tcPr>
          <w:p w14:paraId="570F953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2759" w:type="dxa"/>
            <w:vAlign w:val="center"/>
          </w:tcPr>
          <w:p w14:paraId="708F5A7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067" w:type="dxa"/>
            <w:vAlign w:val="center"/>
          </w:tcPr>
          <w:p w14:paraId="292AFAC1">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5AB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4B6E95F">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67D0D4A8">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4BBD739E">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2F6A1D22">
            <w:pPr>
              <w:tabs>
                <w:tab w:val="left" w:pos="6300"/>
              </w:tabs>
              <w:snapToGrid w:val="0"/>
              <w:spacing w:line="500" w:lineRule="exact"/>
              <w:jc w:val="center"/>
              <w:outlineLvl w:val="0"/>
              <w:rPr>
                <w:rFonts w:ascii="宋体" w:hAnsi="宋体" w:cs="宋体"/>
                <w:color w:val="auto"/>
                <w:sz w:val="21"/>
                <w:szCs w:val="21"/>
                <w:highlight w:val="none"/>
              </w:rPr>
            </w:pPr>
          </w:p>
        </w:tc>
      </w:tr>
      <w:tr w14:paraId="2BD3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3CB3F34">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768A0AD7">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1B76EFF6">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7C1C8C90">
            <w:pPr>
              <w:tabs>
                <w:tab w:val="left" w:pos="6300"/>
              </w:tabs>
              <w:snapToGrid w:val="0"/>
              <w:spacing w:line="500" w:lineRule="exact"/>
              <w:jc w:val="center"/>
              <w:outlineLvl w:val="0"/>
              <w:rPr>
                <w:rFonts w:ascii="宋体" w:hAnsi="宋体" w:cs="宋体"/>
                <w:color w:val="auto"/>
                <w:sz w:val="21"/>
                <w:szCs w:val="21"/>
                <w:highlight w:val="none"/>
              </w:rPr>
            </w:pPr>
          </w:p>
        </w:tc>
      </w:tr>
      <w:tr w14:paraId="1AF4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D0B1D30">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2D0D70C4">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38C75AEE">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76035242">
            <w:pPr>
              <w:tabs>
                <w:tab w:val="left" w:pos="6300"/>
              </w:tabs>
              <w:snapToGrid w:val="0"/>
              <w:spacing w:line="500" w:lineRule="exact"/>
              <w:jc w:val="center"/>
              <w:outlineLvl w:val="0"/>
              <w:rPr>
                <w:rFonts w:ascii="宋体" w:hAnsi="宋体" w:cs="宋体"/>
                <w:color w:val="auto"/>
                <w:sz w:val="21"/>
                <w:szCs w:val="21"/>
                <w:highlight w:val="none"/>
              </w:rPr>
            </w:pPr>
          </w:p>
        </w:tc>
      </w:tr>
      <w:tr w14:paraId="7B6A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36401F0">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4B6954FA">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1CC11C54">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01251341">
            <w:pPr>
              <w:tabs>
                <w:tab w:val="left" w:pos="6300"/>
              </w:tabs>
              <w:snapToGrid w:val="0"/>
              <w:spacing w:line="500" w:lineRule="exact"/>
              <w:jc w:val="center"/>
              <w:outlineLvl w:val="0"/>
              <w:rPr>
                <w:rFonts w:ascii="宋体" w:hAnsi="宋体" w:cs="宋体"/>
                <w:color w:val="auto"/>
                <w:sz w:val="21"/>
                <w:szCs w:val="21"/>
                <w:highlight w:val="none"/>
              </w:rPr>
            </w:pPr>
          </w:p>
        </w:tc>
      </w:tr>
      <w:tr w14:paraId="575E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C70AD8">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34B62AA9">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2804A284">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6CCF1104">
            <w:pPr>
              <w:tabs>
                <w:tab w:val="left" w:pos="6300"/>
              </w:tabs>
              <w:snapToGrid w:val="0"/>
              <w:spacing w:line="500" w:lineRule="exact"/>
              <w:jc w:val="center"/>
              <w:outlineLvl w:val="0"/>
              <w:rPr>
                <w:rFonts w:ascii="宋体" w:hAnsi="宋体" w:cs="宋体"/>
                <w:color w:val="auto"/>
                <w:sz w:val="21"/>
                <w:szCs w:val="21"/>
                <w:highlight w:val="none"/>
              </w:rPr>
            </w:pPr>
          </w:p>
        </w:tc>
      </w:tr>
      <w:tr w14:paraId="4A9E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3E6468F">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73417E69">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5CF089C1">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0F6BFC76">
            <w:pPr>
              <w:tabs>
                <w:tab w:val="left" w:pos="6300"/>
              </w:tabs>
              <w:snapToGrid w:val="0"/>
              <w:spacing w:line="500" w:lineRule="exact"/>
              <w:jc w:val="center"/>
              <w:outlineLvl w:val="0"/>
              <w:rPr>
                <w:rFonts w:ascii="宋体" w:hAnsi="宋体" w:cs="宋体"/>
                <w:color w:val="auto"/>
                <w:sz w:val="21"/>
                <w:szCs w:val="21"/>
                <w:highlight w:val="none"/>
              </w:rPr>
            </w:pPr>
          </w:p>
        </w:tc>
      </w:tr>
      <w:tr w14:paraId="56C8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C9A105">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7A3AE1AA">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4E54608E">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4A4ACC82">
            <w:pPr>
              <w:tabs>
                <w:tab w:val="left" w:pos="6300"/>
              </w:tabs>
              <w:snapToGrid w:val="0"/>
              <w:spacing w:line="500" w:lineRule="exact"/>
              <w:jc w:val="center"/>
              <w:outlineLvl w:val="0"/>
              <w:rPr>
                <w:rFonts w:ascii="宋体" w:hAnsi="宋体" w:cs="宋体"/>
                <w:color w:val="auto"/>
                <w:sz w:val="21"/>
                <w:szCs w:val="21"/>
                <w:highlight w:val="none"/>
              </w:rPr>
            </w:pPr>
          </w:p>
        </w:tc>
      </w:tr>
      <w:tr w14:paraId="4CC1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1504B78">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759A3FFE">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77F2362B">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2736F1BB">
            <w:pPr>
              <w:tabs>
                <w:tab w:val="left" w:pos="6300"/>
              </w:tabs>
              <w:snapToGrid w:val="0"/>
              <w:spacing w:line="500" w:lineRule="exact"/>
              <w:jc w:val="center"/>
              <w:outlineLvl w:val="0"/>
              <w:rPr>
                <w:rFonts w:ascii="宋体" w:hAnsi="宋体" w:cs="宋体"/>
                <w:color w:val="auto"/>
                <w:sz w:val="21"/>
                <w:szCs w:val="21"/>
                <w:highlight w:val="none"/>
              </w:rPr>
            </w:pPr>
          </w:p>
        </w:tc>
      </w:tr>
    </w:tbl>
    <w:p w14:paraId="14C4F7BE">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sz w:val="24"/>
          <w:szCs w:val="28"/>
          <w:highlight w:val="none"/>
        </w:rPr>
        <w:t xml:space="preserve"> </w:t>
      </w:r>
      <w:r>
        <w:rPr>
          <w:rFonts w:hint="eastAsia" w:ascii="宋体" w:hAnsi="宋体" w:eastAsia="宋体" w:cs="宋体"/>
          <w:sz w:val="24"/>
          <w:szCs w:val="28"/>
          <w:highlight w:val="none"/>
        </w:rPr>
        <w:t>法定代表人（或其授权代表）或自然人</w:t>
      </w:r>
      <w:r>
        <w:rPr>
          <w:rFonts w:hint="eastAsia" w:ascii="宋体" w:hAnsi="宋体" w:cs="宋体"/>
          <w:color w:val="auto"/>
          <w:sz w:val="24"/>
          <w:szCs w:val="28"/>
          <w:highlight w:val="none"/>
        </w:rPr>
        <w:t>：</w:t>
      </w:r>
    </w:p>
    <w:p w14:paraId="68C5D0EC">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21D458E">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413EE01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69FEBA5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47667CB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1.本表即为对本项目“第二篇  项目技术需求”中所列条款进行比较和响应；</w:t>
      </w:r>
    </w:p>
    <w:p w14:paraId="37BDB6EE">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p>
    <w:p w14:paraId="4B1C9773">
      <w:pPr>
        <w:tabs>
          <w:tab w:val="left" w:pos="6300"/>
        </w:tabs>
        <w:snapToGrid w:val="0"/>
        <w:spacing w:line="500" w:lineRule="exact"/>
        <w:rPr>
          <w:rFonts w:ascii="宋体" w:hAnsi="宋体" w:cs="宋体"/>
          <w:color w:val="auto"/>
          <w:sz w:val="24"/>
          <w:szCs w:val="24"/>
          <w:highlight w:val="none"/>
        </w:rPr>
      </w:pPr>
    </w:p>
    <w:p w14:paraId="789BA2D6">
      <w:pPr>
        <w:pStyle w:val="5"/>
        <w:spacing w:before="0" w:after="0" w:line="360" w:lineRule="auto"/>
        <w:ind w:firstLine="482" w:firstLineChars="200"/>
        <w:rPr>
          <w:rFonts w:ascii="宋体" w:hAnsi="宋体" w:cs="宋体"/>
          <w:color w:val="auto"/>
          <w:sz w:val="24"/>
          <w:szCs w:val="24"/>
          <w:highlight w:val="none"/>
        </w:rPr>
        <w:sectPr>
          <w:pgSz w:w="11907" w:h="16840"/>
          <w:pgMar w:top="1134" w:right="1191" w:bottom="1134" w:left="1191" w:header="851" w:footer="992" w:gutter="0"/>
          <w:pgNumType w:fmt="numberInDash"/>
          <w:cols w:space="720" w:num="1"/>
          <w:docGrid w:linePitch="380" w:charSpace="-5735"/>
        </w:sectPr>
      </w:pPr>
      <w:bookmarkStart w:id="274" w:name="_Toc20130569"/>
      <w:bookmarkStart w:id="275" w:name="_Toc342913421"/>
      <w:bookmarkStart w:id="276" w:name="_Toc313008358"/>
      <w:bookmarkStart w:id="277" w:name="_Toc313888362"/>
    </w:p>
    <w:p w14:paraId="01CBD242">
      <w:pPr>
        <w:tabs>
          <w:tab w:val="left" w:pos="6300"/>
        </w:tabs>
        <w:snapToGrid w:val="0"/>
        <w:spacing w:line="500" w:lineRule="exact"/>
        <w:ind w:firstLine="480" w:firstLineChars="200"/>
        <w:rPr>
          <w:rFonts w:ascii="宋体" w:hAnsi="宋体" w:cs="宋体"/>
          <w:color w:val="auto"/>
          <w:sz w:val="24"/>
          <w:szCs w:val="24"/>
          <w:highlight w:val="none"/>
        </w:rPr>
        <w:sectPr>
          <w:pgSz w:w="11907" w:h="16840"/>
          <w:pgMar w:top="1134" w:right="1191" w:bottom="1134" w:left="1191" w:header="851" w:footer="992" w:gutter="0"/>
          <w:pgNumType w:fmt="numberInDash"/>
          <w:cols w:space="720" w:num="1"/>
          <w:docGrid w:linePitch="380" w:charSpace="-5735"/>
        </w:sectPr>
      </w:pPr>
      <w:r>
        <w:rPr>
          <w:rFonts w:hint="eastAsia" w:ascii="宋体" w:hAnsi="宋体" w:cs="宋体"/>
          <w:color w:val="auto"/>
          <w:sz w:val="24"/>
          <w:szCs w:val="24"/>
          <w:highlight w:val="none"/>
        </w:rPr>
        <w:t>（二）技术部分评分所需资料（格式自定）</w:t>
      </w:r>
    </w:p>
    <w:p w14:paraId="5B8246E1">
      <w:pPr>
        <w:tabs>
          <w:tab w:val="left" w:pos="6300"/>
        </w:tabs>
        <w:snapToGrid w:val="0"/>
        <w:spacing w:line="500" w:lineRule="exact"/>
        <w:ind w:firstLine="480" w:firstLineChars="200"/>
        <w:rPr>
          <w:rFonts w:ascii="宋体" w:hAnsi="宋体" w:cs="宋体"/>
          <w:color w:val="auto"/>
          <w:sz w:val="24"/>
          <w:szCs w:val="24"/>
          <w:highlight w:val="none"/>
        </w:rPr>
        <w:sectPr>
          <w:pgSz w:w="11907" w:h="16840"/>
          <w:pgMar w:top="1134" w:right="1191" w:bottom="1134" w:left="1191" w:header="851" w:footer="992" w:gutter="0"/>
          <w:pgNumType w:fmt="numberInDash"/>
          <w:cols w:space="720" w:num="1"/>
          <w:docGrid w:linePitch="380" w:charSpace="-5735"/>
        </w:sectPr>
      </w:pPr>
      <w:r>
        <w:rPr>
          <w:rFonts w:hint="eastAsia" w:ascii="宋体" w:hAnsi="宋体" w:cs="宋体"/>
          <w:color w:val="auto"/>
          <w:sz w:val="24"/>
          <w:szCs w:val="24"/>
          <w:highlight w:val="none"/>
        </w:rPr>
        <w:t>（三））其他资料（格式自定）</w:t>
      </w:r>
    </w:p>
    <w:p w14:paraId="7FDE2AD3">
      <w:pPr>
        <w:pStyle w:val="5"/>
        <w:spacing w:before="0" w:after="0" w:line="360" w:lineRule="auto"/>
        <w:ind w:firstLine="482" w:firstLineChars="200"/>
        <w:rPr>
          <w:rFonts w:ascii="宋体" w:hAnsi="宋体" w:cs="宋体"/>
          <w:color w:val="auto"/>
          <w:sz w:val="24"/>
          <w:szCs w:val="24"/>
          <w:highlight w:val="none"/>
        </w:rPr>
      </w:pPr>
      <w:bookmarkStart w:id="278" w:name="_Toc19664"/>
      <w:bookmarkStart w:id="279" w:name="_Toc6538"/>
      <w:bookmarkStart w:id="280" w:name="_Toc5005"/>
      <w:bookmarkStart w:id="281" w:name="_Toc14023"/>
      <w:r>
        <w:rPr>
          <w:rFonts w:hint="eastAsia" w:ascii="宋体" w:hAnsi="宋体" w:cs="宋体"/>
          <w:color w:val="auto"/>
          <w:sz w:val="24"/>
          <w:szCs w:val="24"/>
          <w:highlight w:val="none"/>
        </w:rPr>
        <w:t>三、商务部分</w:t>
      </w:r>
      <w:bookmarkEnd w:id="274"/>
      <w:bookmarkEnd w:id="275"/>
      <w:bookmarkEnd w:id="276"/>
      <w:bookmarkEnd w:id="277"/>
      <w:bookmarkEnd w:id="278"/>
      <w:bookmarkEnd w:id="279"/>
      <w:bookmarkEnd w:id="280"/>
      <w:bookmarkEnd w:id="281"/>
    </w:p>
    <w:p w14:paraId="7E54AF2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B71A7B8">
      <w:pPr>
        <w:pStyle w:val="11"/>
        <w:tabs>
          <w:tab w:val="left" w:pos="6300"/>
        </w:tabs>
        <w:snapToGrid w:val="0"/>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项目号：</w:t>
      </w:r>
    </w:p>
    <w:p w14:paraId="5E387046">
      <w:pPr>
        <w:pStyle w:val="11"/>
        <w:tabs>
          <w:tab w:val="left" w:pos="6300"/>
        </w:tabs>
        <w:snapToGrid w:val="0"/>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磋商项目名称：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914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F8BE076">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658" w:type="dxa"/>
            <w:vAlign w:val="center"/>
          </w:tcPr>
          <w:p w14:paraId="685410DB">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2759" w:type="dxa"/>
            <w:vAlign w:val="center"/>
          </w:tcPr>
          <w:p w14:paraId="6CE05DEB">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067" w:type="dxa"/>
            <w:vAlign w:val="center"/>
          </w:tcPr>
          <w:p w14:paraId="385163F4">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27D4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39F206E">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2274E368">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5585F98C">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154F8094">
            <w:pPr>
              <w:tabs>
                <w:tab w:val="left" w:pos="6300"/>
              </w:tabs>
              <w:snapToGrid w:val="0"/>
              <w:spacing w:line="500" w:lineRule="exact"/>
              <w:jc w:val="center"/>
              <w:outlineLvl w:val="0"/>
              <w:rPr>
                <w:rFonts w:ascii="宋体" w:hAnsi="宋体" w:cs="宋体"/>
                <w:color w:val="auto"/>
                <w:sz w:val="21"/>
                <w:szCs w:val="21"/>
                <w:highlight w:val="none"/>
              </w:rPr>
            </w:pPr>
          </w:p>
        </w:tc>
      </w:tr>
      <w:tr w14:paraId="08DE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65DDA22">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54AE970D">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1446C827">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78F4A695">
            <w:pPr>
              <w:tabs>
                <w:tab w:val="left" w:pos="6300"/>
              </w:tabs>
              <w:snapToGrid w:val="0"/>
              <w:spacing w:line="500" w:lineRule="exact"/>
              <w:jc w:val="center"/>
              <w:outlineLvl w:val="0"/>
              <w:rPr>
                <w:rFonts w:ascii="宋体" w:hAnsi="宋体" w:cs="宋体"/>
                <w:color w:val="auto"/>
                <w:sz w:val="21"/>
                <w:szCs w:val="21"/>
                <w:highlight w:val="none"/>
              </w:rPr>
            </w:pPr>
          </w:p>
        </w:tc>
      </w:tr>
      <w:tr w14:paraId="6BFE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41F9C2">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6CF98A91">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001B8458">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55704131">
            <w:pPr>
              <w:tabs>
                <w:tab w:val="left" w:pos="6300"/>
              </w:tabs>
              <w:snapToGrid w:val="0"/>
              <w:spacing w:line="500" w:lineRule="exact"/>
              <w:jc w:val="center"/>
              <w:outlineLvl w:val="0"/>
              <w:rPr>
                <w:rFonts w:ascii="宋体" w:hAnsi="宋体" w:cs="宋体"/>
                <w:color w:val="auto"/>
                <w:sz w:val="21"/>
                <w:szCs w:val="21"/>
                <w:highlight w:val="none"/>
              </w:rPr>
            </w:pPr>
          </w:p>
        </w:tc>
      </w:tr>
      <w:tr w14:paraId="55B6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B77460">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38C8F093">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341A7835">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600A31BA">
            <w:pPr>
              <w:tabs>
                <w:tab w:val="left" w:pos="6300"/>
              </w:tabs>
              <w:snapToGrid w:val="0"/>
              <w:spacing w:line="500" w:lineRule="exact"/>
              <w:jc w:val="center"/>
              <w:outlineLvl w:val="0"/>
              <w:rPr>
                <w:rFonts w:ascii="宋体" w:hAnsi="宋体" w:cs="宋体"/>
                <w:color w:val="auto"/>
                <w:sz w:val="21"/>
                <w:szCs w:val="21"/>
                <w:highlight w:val="none"/>
              </w:rPr>
            </w:pPr>
          </w:p>
        </w:tc>
      </w:tr>
      <w:tr w14:paraId="392A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BF51E1B">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26C6EAE5">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6F70685B">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4387F7D5">
            <w:pPr>
              <w:tabs>
                <w:tab w:val="left" w:pos="6300"/>
              </w:tabs>
              <w:snapToGrid w:val="0"/>
              <w:spacing w:line="500" w:lineRule="exact"/>
              <w:jc w:val="center"/>
              <w:outlineLvl w:val="0"/>
              <w:rPr>
                <w:rFonts w:ascii="宋体" w:hAnsi="宋体" w:cs="宋体"/>
                <w:color w:val="auto"/>
                <w:sz w:val="21"/>
                <w:szCs w:val="21"/>
                <w:highlight w:val="none"/>
              </w:rPr>
            </w:pPr>
          </w:p>
        </w:tc>
      </w:tr>
      <w:tr w14:paraId="3E59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30EC997">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6965A6BA">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5CAA33B1">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577CBC6A">
            <w:pPr>
              <w:tabs>
                <w:tab w:val="left" w:pos="6300"/>
              </w:tabs>
              <w:snapToGrid w:val="0"/>
              <w:spacing w:line="500" w:lineRule="exact"/>
              <w:jc w:val="center"/>
              <w:outlineLvl w:val="0"/>
              <w:rPr>
                <w:rFonts w:ascii="宋体" w:hAnsi="宋体" w:cs="宋体"/>
                <w:color w:val="auto"/>
                <w:sz w:val="21"/>
                <w:szCs w:val="21"/>
                <w:highlight w:val="none"/>
              </w:rPr>
            </w:pPr>
          </w:p>
        </w:tc>
      </w:tr>
      <w:tr w14:paraId="291B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B35781E">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5145331D">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3026A1C5">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3497E455">
            <w:pPr>
              <w:tabs>
                <w:tab w:val="left" w:pos="6300"/>
              </w:tabs>
              <w:snapToGrid w:val="0"/>
              <w:spacing w:line="500" w:lineRule="exact"/>
              <w:jc w:val="center"/>
              <w:outlineLvl w:val="0"/>
              <w:rPr>
                <w:rFonts w:ascii="宋体" w:hAnsi="宋体" w:cs="宋体"/>
                <w:color w:val="auto"/>
                <w:sz w:val="21"/>
                <w:szCs w:val="21"/>
                <w:highlight w:val="none"/>
              </w:rPr>
            </w:pPr>
          </w:p>
        </w:tc>
      </w:tr>
      <w:tr w14:paraId="12E4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3EE9B47">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005A7CAB">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6C439B5B">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0A7EEE0E">
            <w:pPr>
              <w:tabs>
                <w:tab w:val="left" w:pos="6300"/>
              </w:tabs>
              <w:snapToGrid w:val="0"/>
              <w:spacing w:line="500" w:lineRule="exact"/>
              <w:jc w:val="center"/>
              <w:outlineLvl w:val="0"/>
              <w:rPr>
                <w:rFonts w:ascii="宋体" w:hAnsi="宋体" w:cs="宋体"/>
                <w:color w:val="auto"/>
                <w:sz w:val="21"/>
                <w:szCs w:val="21"/>
                <w:highlight w:val="none"/>
              </w:rPr>
            </w:pPr>
          </w:p>
        </w:tc>
      </w:tr>
    </w:tbl>
    <w:p w14:paraId="47197E51">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eastAsia="宋体" w:cs="宋体"/>
          <w:sz w:val="24"/>
          <w:szCs w:val="28"/>
          <w:highlight w:val="none"/>
        </w:rPr>
        <w:t>法定代表人（或其授权代表）或自然人</w:t>
      </w:r>
      <w:r>
        <w:rPr>
          <w:rFonts w:hint="eastAsia" w:ascii="宋体" w:hAnsi="宋体" w:cs="宋体"/>
          <w:color w:val="auto"/>
          <w:sz w:val="24"/>
          <w:szCs w:val="28"/>
          <w:highlight w:val="none"/>
        </w:rPr>
        <w:t>：</w:t>
      </w:r>
    </w:p>
    <w:p w14:paraId="24F19167">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E388916">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16104BB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4530ABA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4ECD134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篇  项目商务需求”中所列条款进行比较和响应；</w:t>
      </w:r>
    </w:p>
    <w:p w14:paraId="1C1501D5">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p>
    <w:p w14:paraId="545FC25A">
      <w:pPr>
        <w:spacing w:line="360" w:lineRule="auto"/>
        <w:rPr>
          <w:rFonts w:ascii="宋体" w:hAnsi="宋体" w:cs="宋体"/>
          <w:color w:val="auto"/>
          <w:highlight w:val="none"/>
        </w:rPr>
        <w:sectPr>
          <w:pgSz w:w="11907" w:h="16840"/>
          <w:pgMar w:top="1134" w:right="1191" w:bottom="1134" w:left="1191" w:header="851" w:footer="992" w:gutter="0"/>
          <w:pgNumType w:fmt="numberInDash"/>
          <w:cols w:space="720" w:num="1"/>
          <w:docGrid w:linePitch="380" w:charSpace="-5735"/>
        </w:sectPr>
      </w:pPr>
    </w:p>
    <w:p w14:paraId="1EA7C66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（二）商务部分评分所需资料（格式自定）</w:t>
      </w:r>
    </w:p>
    <w:p w14:paraId="18B5C0A6">
      <w:pPr>
        <w:snapToGrid w:val="0"/>
        <w:spacing w:line="360" w:lineRule="auto"/>
        <w:ind w:firstLine="480" w:firstLineChars="200"/>
        <w:rPr>
          <w:rFonts w:ascii="宋体" w:hAnsi="宋体" w:cs="宋体"/>
          <w:color w:val="auto"/>
          <w:sz w:val="24"/>
          <w:szCs w:val="24"/>
          <w:highlight w:val="none"/>
        </w:rPr>
        <w:sectPr>
          <w:pgSz w:w="11907" w:h="16840"/>
          <w:pgMar w:top="1134" w:right="1191" w:bottom="1134" w:left="1191" w:header="851" w:footer="992" w:gutter="0"/>
          <w:pgNumType w:fmt="numberInDash"/>
          <w:cols w:space="720" w:num="1"/>
          <w:docGrid w:linePitch="380" w:charSpace="-5735"/>
        </w:sectPr>
      </w:pPr>
    </w:p>
    <w:p w14:paraId="29F02C97">
      <w:pPr>
        <w:snapToGrid w:val="0"/>
        <w:spacing w:line="360" w:lineRule="auto"/>
        <w:ind w:firstLine="480" w:firstLineChars="200"/>
        <w:rPr>
          <w:rFonts w:ascii="宋体" w:hAnsi="宋体" w:cs="宋体"/>
          <w:color w:val="auto"/>
          <w:sz w:val="24"/>
          <w:szCs w:val="24"/>
          <w:highlight w:val="none"/>
        </w:rPr>
        <w:sectPr>
          <w:pgSz w:w="11907" w:h="16840"/>
          <w:pgMar w:top="1134" w:right="1191" w:bottom="1134" w:left="1191" w:header="851" w:footer="992" w:gutter="0"/>
          <w:pgNumType w:fmt="numberInDash"/>
          <w:cols w:space="720" w:num="1"/>
          <w:docGrid w:linePitch="380" w:charSpace="-5735"/>
        </w:sectPr>
      </w:pPr>
      <w:r>
        <w:rPr>
          <w:rFonts w:hint="eastAsia" w:ascii="宋体" w:hAnsi="宋体" w:cs="宋体"/>
          <w:color w:val="auto"/>
          <w:sz w:val="24"/>
          <w:szCs w:val="24"/>
          <w:highlight w:val="none"/>
        </w:rPr>
        <w:t>（三）其它优惠服务承诺</w:t>
      </w:r>
    </w:p>
    <w:p w14:paraId="46FCB516">
      <w:pPr>
        <w:pStyle w:val="4"/>
        <w:adjustRightInd w:val="0"/>
        <w:snapToGrid w:val="0"/>
        <w:spacing w:before="0" w:after="0" w:line="400" w:lineRule="exact"/>
        <w:ind w:firstLine="480" w:firstLineChars="200"/>
        <w:rPr>
          <w:rFonts w:ascii="宋体" w:hAnsi="宋体" w:eastAsia="宋体" w:cs="宋体"/>
          <w:color w:val="auto"/>
          <w:sz w:val="24"/>
          <w:highlight w:val="none"/>
        </w:rPr>
      </w:pPr>
      <w:bookmarkStart w:id="282" w:name="_Toc106030909"/>
      <w:bookmarkStart w:id="283" w:name="_Toc14735"/>
      <w:bookmarkStart w:id="284" w:name="_Toc313888363"/>
      <w:bookmarkStart w:id="285" w:name="_Toc342913422"/>
      <w:bookmarkStart w:id="286" w:name="_Toc76462353"/>
      <w:bookmarkStart w:id="287" w:name="_Toc17069"/>
      <w:bookmarkStart w:id="288" w:name="_Toc32206"/>
      <w:bookmarkStart w:id="289" w:name="_Toc313008359"/>
      <w:bookmarkStart w:id="290" w:name="_Toc22703"/>
      <w:r>
        <w:rPr>
          <w:rFonts w:hint="eastAsia" w:ascii="宋体" w:hAnsi="宋体" w:eastAsia="宋体" w:cs="宋体"/>
          <w:color w:val="auto"/>
          <w:sz w:val="24"/>
          <w:highlight w:val="none"/>
        </w:rPr>
        <w:t>四、资格条件</w:t>
      </w:r>
      <w:bookmarkEnd w:id="282"/>
      <w:bookmarkEnd w:id="283"/>
      <w:bookmarkEnd w:id="284"/>
      <w:bookmarkEnd w:id="285"/>
      <w:bookmarkEnd w:id="286"/>
      <w:bookmarkEnd w:id="287"/>
      <w:bookmarkEnd w:id="288"/>
      <w:bookmarkEnd w:id="289"/>
      <w:bookmarkEnd w:id="290"/>
    </w:p>
    <w:p w14:paraId="5EA7DABF">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3D5ECE5A">
      <w:pPr>
        <w:tabs>
          <w:tab w:val="left" w:pos="6300"/>
        </w:tabs>
        <w:snapToGrid w:val="0"/>
        <w:spacing w:line="400" w:lineRule="exact"/>
        <w:ind w:firstLine="570"/>
        <w:rPr>
          <w:rFonts w:ascii="宋体" w:hAnsi="宋体" w:cs="宋体"/>
          <w:color w:val="auto"/>
          <w:highlight w:val="none"/>
        </w:rPr>
      </w:pPr>
    </w:p>
    <w:p w14:paraId="14223E2F">
      <w:pPr>
        <w:tabs>
          <w:tab w:val="left" w:pos="6300"/>
        </w:tabs>
        <w:snapToGrid w:val="0"/>
        <w:spacing w:line="500" w:lineRule="exact"/>
        <w:ind w:firstLine="570"/>
        <w:rPr>
          <w:rFonts w:ascii="宋体" w:hAnsi="宋体" w:cs="宋体"/>
          <w:color w:val="auto"/>
          <w:highlight w:val="none"/>
        </w:rPr>
      </w:pPr>
    </w:p>
    <w:p w14:paraId="1058225B">
      <w:pPr>
        <w:tabs>
          <w:tab w:val="left" w:pos="6300"/>
        </w:tabs>
        <w:snapToGrid w:val="0"/>
        <w:spacing w:line="500" w:lineRule="exact"/>
        <w:ind w:firstLine="570"/>
        <w:rPr>
          <w:rFonts w:ascii="宋体" w:hAnsi="宋体" w:cs="宋体"/>
          <w:color w:val="auto"/>
          <w:highlight w:val="none"/>
        </w:rPr>
      </w:pPr>
    </w:p>
    <w:p w14:paraId="7062ADD9">
      <w:pPr>
        <w:tabs>
          <w:tab w:val="left" w:pos="6300"/>
        </w:tabs>
        <w:snapToGrid w:val="0"/>
        <w:spacing w:line="500" w:lineRule="exact"/>
        <w:ind w:firstLine="570"/>
        <w:rPr>
          <w:rFonts w:ascii="宋体" w:hAnsi="宋体" w:cs="宋体"/>
          <w:color w:val="auto"/>
          <w:highlight w:val="none"/>
        </w:rPr>
      </w:pPr>
    </w:p>
    <w:p w14:paraId="5BCD82C5">
      <w:pPr>
        <w:tabs>
          <w:tab w:val="left" w:pos="6300"/>
        </w:tabs>
        <w:snapToGrid w:val="0"/>
        <w:spacing w:line="500" w:lineRule="exact"/>
        <w:ind w:firstLine="570"/>
        <w:rPr>
          <w:rFonts w:ascii="宋体" w:hAnsi="宋体" w:cs="宋体"/>
          <w:color w:val="auto"/>
          <w:highlight w:val="none"/>
        </w:rPr>
      </w:pPr>
    </w:p>
    <w:p w14:paraId="641A60DB">
      <w:pPr>
        <w:snapToGrid w:val="0"/>
        <w:spacing w:line="400" w:lineRule="exact"/>
        <w:ind w:firstLine="42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65EEC713">
      <w:pPr>
        <w:tabs>
          <w:tab w:val="left" w:pos="6300"/>
        </w:tabs>
        <w:snapToGrid w:val="0"/>
        <w:spacing w:line="500" w:lineRule="exact"/>
        <w:ind w:firstLine="570"/>
        <w:rPr>
          <w:rFonts w:ascii="宋体" w:hAnsi="宋体" w:cs="宋体"/>
          <w:color w:val="auto"/>
          <w:sz w:val="24"/>
          <w:highlight w:val="none"/>
        </w:rPr>
      </w:pPr>
    </w:p>
    <w:p w14:paraId="60E9D27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0D37358D">
      <w:pPr>
        <w:tabs>
          <w:tab w:val="left" w:pos="6300"/>
        </w:tabs>
        <w:snapToGrid w:val="0"/>
        <w:spacing w:line="500" w:lineRule="exact"/>
        <w:ind w:firstLine="570"/>
        <w:rPr>
          <w:rFonts w:ascii="宋体" w:hAnsi="宋体" w:cs="宋体"/>
          <w:color w:val="auto"/>
          <w:sz w:val="24"/>
          <w:highlight w:val="none"/>
        </w:rPr>
      </w:pPr>
    </w:p>
    <w:p w14:paraId="5210A8F9">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7F1F75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527E1FD0">
      <w:pPr>
        <w:tabs>
          <w:tab w:val="left" w:pos="6300"/>
        </w:tabs>
        <w:snapToGrid w:val="0"/>
        <w:spacing w:line="500" w:lineRule="exact"/>
        <w:ind w:firstLine="570"/>
        <w:rPr>
          <w:rFonts w:ascii="宋体" w:hAnsi="宋体" w:cs="宋体"/>
          <w:color w:val="auto"/>
          <w:sz w:val="24"/>
          <w:highlight w:val="none"/>
        </w:rPr>
      </w:pPr>
    </w:p>
    <w:p w14:paraId="12E6579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036E1715">
      <w:pPr>
        <w:tabs>
          <w:tab w:val="left" w:pos="6300"/>
        </w:tabs>
        <w:snapToGrid w:val="0"/>
        <w:spacing w:line="500" w:lineRule="exact"/>
        <w:ind w:firstLine="570"/>
        <w:rPr>
          <w:rFonts w:ascii="宋体" w:hAnsi="宋体" w:cs="宋体"/>
          <w:color w:val="auto"/>
          <w:sz w:val="24"/>
          <w:highlight w:val="none"/>
        </w:rPr>
      </w:pPr>
    </w:p>
    <w:p w14:paraId="7EA5CC4D">
      <w:pPr>
        <w:tabs>
          <w:tab w:val="left" w:pos="6300"/>
        </w:tabs>
        <w:snapToGrid w:val="0"/>
        <w:spacing w:line="500" w:lineRule="exact"/>
        <w:ind w:firstLine="570"/>
        <w:rPr>
          <w:rFonts w:ascii="宋体" w:hAnsi="宋体" w:cs="宋体"/>
          <w:color w:val="auto"/>
          <w:sz w:val="24"/>
          <w:highlight w:val="none"/>
        </w:rPr>
      </w:pPr>
    </w:p>
    <w:p w14:paraId="748AAA66">
      <w:pPr>
        <w:tabs>
          <w:tab w:val="left" w:pos="6300"/>
        </w:tabs>
        <w:snapToGrid w:val="0"/>
        <w:spacing w:line="500" w:lineRule="exact"/>
        <w:ind w:firstLine="570"/>
        <w:rPr>
          <w:rFonts w:ascii="宋体" w:hAnsi="宋体" w:cs="宋体"/>
          <w:color w:val="auto"/>
          <w:sz w:val="24"/>
          <w:highlight w:val="none"/>
        </w:rPr>
      </w:pPr>
    </w:p>
    <w:p w14:paraId="6EE457C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775C1C88">
      <w:pPr>
        <w:tabs>
          <w:tab w:val="left" w:pos="6300"/>
        </w:tabs>
        <w:snapToGrid w:val="0"/>
        <w:spacing w:line="500" w:lineRule="exact"/>
        <w:ind w:firstLine="570"/>
        <w:rPr>
          <w:rFonts w:ascii="宋体" w:hAnsi="宋体" w:cs="宋体"/>
          <w:color w:val="auto"/>
          <w:sz w:val="24"/>
          <w:highlight w:val="none"/>
        </w:rPr>
      </w:pPr>
    </w:p>
    <w:p w14:paraId="4D3CA89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7E5B962F">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6D9C187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34E1176E">
      <w:pPr>
        <w:tabs>
          <w:tab w:val="left" w:pos="6300"/>
        </w:tabs>
        <w:snapToGrid w:val="0"/>
        <w:spacing w:line="500" w:lineRule="exact"/>
        <w:ind w:firstLine="570"/>
        <w:rPr>
          <w:rFonts w:ascii="宋体" w:hAnsi="宋体" w:cs="宋体"/>
          <w:color w:val="auto"/>
          <w:sz w:val="24"/>
          <w:highlight w:val="none"/>
        </w:rPr>
      </w:pPr>
    </w:p>
    <w:p w14:paraId="07D2257F">
      <w:pPr>
        <w:tabs>
          <w:tab w:val="left" w:pos="6300"/>
        </w:tabs>
        <w:snapToGrid w:val="0"/>
        <w:spacing w:line="500" w:lineRule="exact"/>
        <w:ind w:firstLine="570"/>
        <w:rPr>
          <w:rFonts w:ascii="宋体" w:hAnsi="宋体" w:cs="宋体"/>
          <w:color w:val="auto"/>
          <w:sz w:val="24"/>
          <w:highlight w:val="none"/>
        </w:rPr>
      </w:pPr>
    </w:p>
    <w:p w14:paraId="776CE79F">
      <w:pPr>
        <w:tabs>
          <w:tab w:val="left" w:pos="6300"/>
        </w:tabs>
        <w:snapToGrid w:val="0"/>
        <w:spacing w:line="500" w:lineRule="exact"/>
        <w:ind w:firstLine="570"/>
        <w:rPr>
          <w:rFonts w:ascii="宋体" w:hAnsi="宋体" w:cs="宋体"/>
          <w:color w:val="auto"/>
          <w:sz w:val="24"/>
          <w:highlight w:val="none"/>
        </w:rPr>
      </w:pPr>
    </w:p>
    <w:p w14:paraId="68D95E7C">
      <w:pPr>
        <w:tabs>
          <w:tab w:val="left" w:pos="6300"/>
        </w:tabs>
        <w:snapToGrid w:val="0"/>
        <w:spacing w:line="500" w:lineRule="exact"/>
        <w:ind w:firstLine="570"/>
        <w:rPr>
          <w:rFonts w:ascii="宋体" w:hAnsi="宋体" w:cs="宋体"/>
          <w:color w:val="auto"/>
          <w:sz w:val="24"/>
          <w:highlight w:val="none"/>
        </w:rPr>
      </w:pPr>
    </w:p>
    <w:p w14:paraId="47E051A4">
      <w:pPr>
        <w:tabs>
          <w:tab w:val="left" w:pos="6300"/>
        </w:tabs>
        <w:snapToGrid w:val="0"/>
        <w:spacing w:line="500" w:lineRule="exact"/>
        <w:ind w:firstLine="570"/>
        <w:rPr>
          <w:rFonts w:ascii="宋体" w:hAnsi="宋体" w:cs="宋体"/>
          <w:color w:val="auto"/>
          <w:sz w:val="24"/>
          <w:highlight w:val="none"/>
        </w:rPr>
      </w:pPr>
    </w:p>
    <w:p w14:paraId="5497707B">
      <w:pPr>
        <w:tabs>
          <w:tab w:val="left" w:pos="6300"/>
        </w:tabs>
        <w:snapToGrid w:val="0"/>
        <w:spacing w:line="500" w:lineRule="exact"/>
        <w:ind w:firstLine="570"/>
        <w:rPr>
          <w:rFonts w:ascii="宋体" w:hAnsi="宋体" w:cs="宋体"/>
          <w:color w:val="auto"/>
          <w:sz w:val="24"/>
          <w:highlight w:val="none"/>
        </w:rPr>
      </w:pPr>
    </w:p>
    <w:p w14:paraId="54167E80">
      <w:pPr>
        <w:snapToGrid w:val="0"/>
        <w:spacing w:line="400" w:lineRule="exact"/>
        <w:ind w:firstLine="42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757984DF">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607F4B5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3592A0F">
      <w:pPr>
        <w:tabs>
          <w:tab w:val="left" w:pos="6300"/>
        </w:tabs>
        <w:snapToGrid w:val="0"/>
        <w:spacing w:line="500" w:lineRule="exact"/>
        <w:ind w:firstLine="570"/>
        <w:rPr>
          <w:rFonts w:ascii="宋体" w:hAnsi="宋体" w:cs="宋体"/>
          <w:color w:val="auto"/>
          <w:sz w:val="24"/>
          <w:highlight w:val="none"/>
        </w:rPr>
      </w:pPr>
    </w:p>
    <w:p w14:paraId="2D429347">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421EB5B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05F2FBA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7D4DE7D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F11027A">
      <w:pPr>
        <w:tabs>
          <w:tab w:val="left" w:pos="6300"/>
        </w:tabs>
        <w:snapToGrid w:val="0"/>
        <w:spacing w:line="500" w:lineRule="exact"/>
        <w:ind w:firstLine="570"/>
        <w:rPr>
          <w:rFonts w:ascii="宋体" w:hAnsi="宋体" w:cs="宋体"/>
          <w:color w:val="auto"/>
          <w:sz w:val="24"/>
          <w:highlight w:val="none"/>
        </w:rPr>
      </w:pPr>
    </w:p>
    <w:p w14:paraId="7C0DE7ED">
      <w:pPr>
        <w:tabs>
          <w:tab w:val="left" w:pos="6300"/>
        </w:tabs>
        <w:snapToGrid w:val="0"/>
        <w:spacing w:line="500" w:lineRule="exact"/>
        <w:ind w:firstLine="570"/>
        <w:rPr>
          <w:rFonts w:ascii="宋体" w:hAnsi="宋体" w:cs="宋体"/>
          <w:color w:val="auto"/>
          <w:sz w:val="24"/>
          <w:highlight w:val="none"/>
        </w:rPr>
      </w:pPr>
    </w:p>
    <w:p w14:paraId="6F97E71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55C0A64F">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1EF545B4">
      <w:pPr>
        <w:tabs>
          <w:tab w:val="left" w:pos="6300"/>
        </w:tabs>
        <w:snapToGrid w:val="0"/>
        <w:spacing w:line="500" w:lineRule="exact"/>
        <w:ind w:firstLine="570"/>
        <w:rPr>
          <w:rFonts w:ascii="宋体" w:hAnsi="宋体" w:cs="宋体"/>
          <w:color w:val="auto"/>
          <w:sz w:val="24"/>
          <w:szCs w:val="28"/>
          <w:highlight w:val="none"/>
        </w:rPr>
      </w:pPr>
    </w:p>
    <w:p w14:paraId="02CAA62F">
      <w:pPr>
        <w:tabs>
          <w:tab w:val="left" w:pos="6300"/>
        </w:tabs>
        <w:snapToGrid w:val="0"/>
        <w:spacing w:line="500" w:lineRule="exact"/>
        <w:ind w:firstLine="570"/>
        <w:rPr>
          <w:rFonts w:ascii="宋体" w:hAnsi="宋体" w:cs="宋体"/>
          <w:color w:val="auto"/>
          <w:sz w:val="24"/>
          <w:highlight w:val="none"/>
        </w:rPr>
      </w:pPr>
    </w:p>
    <w:p w14:paraId="559B460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2A376FDC">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4BCE585C">
      <w:pPr>
        <w:tabs>
          <w:tab w:val="left" w:pos="6300"/>
        </w:tabs>
        <w:snapToGrid w:val="0"/>
        <w:spacing w:line="500" w:lineRule="exact"/>
        <w:ind w:firstLine="570"/>
        <w:rPr>
          <w:rFonts w:ascii="宋体" w:hAnsi="宋体" w:cs="宋体"/>
          <w:color w:val="auto"/>
          <w:sz w:val="24"/>
          <w:highlight w:val="none"/>
        </w:rPr>
      </w:pPr>
    </w:p>
    <w:p w14:paraId="699CB13A">
      <w:pPr>
        <w:tabs>
          <w:tab w:val="left" w:pos="6300"/>
        </w:tabs>
        <w:snapToGrid w:val="0"/>
        <w:spacing w:line="500" w:lineRule="exact"/>
        <w:ind w:firstLine="570"/>
        <w:rPr>
          <w:rFonts w:ascii="宋体" w:hAnsi="宋体" w:cs="宋体"/>
          <w:color w:val="auto"/>
          <w:sz w:val="24"/>
          <w:highlight w:val="none"/>
        </w:rPr>
      </w:pPr>
    </w:p>
    <w:p w14:paraId="475C5D2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48031F7D">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55868F56">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33BDC44F">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07AAFBF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2763B4F0">
      <w:pPr>
        <w:tabs>
          <w:tab w:val="left" w:pos="6300"/>
        </w:tabs>
        <w:snapToGrid w:val="0"/>
        <w:spacing w:line="500" w:lineRule="exact"/>
        <w:ind w:firstLine="570"/>
        <w:rPr>
          <w:rFonts w:ascii="宋体" w:hAnsi="宋体" w:cs="宋体"/>
          <w:color w:val="auto"/>
          <w:sz w:val="24"/>
          <w:highlight w:val="none"/>
        </w:rPr>
      </w:pPr>
    </w:p>
    <w:p w14:paraId="6BCBB257">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45D0151F">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2457E9AB">
      <w:pPr>
        <w:tabs>
          <w:tab w:val="left" w:pos="6300"/>
        </w:tabs>
        <w:snapToGrid w:val="0"/>
        <w:spacing w:line="530" w:lineRule="exact"/>
        <w:rPr>
          <w:rFonts w:ascii="宋体" w:hAnsi="宋体" w:cs="宋体"/>
          <w:color w:val="auto"/>
          <w:sz w:val="24"/>
          <w:highlight w:val="none"/>
        </w:rPr>
      </w:pPr>
    </w:p>
    <w:p w14:paraId="5C80B8C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E71B6A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2F0EC15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54FE58C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37E5EB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、采购代理机构的检查验证，配合提供相关证明材料，证明符合《中华人民共和国政府采购法》规定的供应商基本资格条件。</w:t>
      </w:r>
    </w:p>
    <w:p w14:paraId="5C0018A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1D53346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58C20257">
      <w:pPr>
        <w:tabs>
          <w:tab w:val="left" w:pos="6300"/>
        </w:tabs>
        <w:snapToGrid w:val="0"/>
        <w:spacing w:line="500" w:lineRule="exact"/>
        <w:ind w:firstLine="480" w:firstLineChars="200"/>
        <w:rPr>
          <w:rFonts w:ascii="宋体" w:hAnsi="宋体" w:cs="宋体"/>
          <w:color w:val="auto"/>
          <w:sz w:val="24"/>
          <w:highlight w:val="none"/>
        </w:rPr>
      </w:pPr>
    </w:p>
    <w:p w14:paraId="46740495">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7DD6D8DF">
      <w:pPr>
        <w:tabs>
          <w:tab w:val="left" w:pos="6300"/>
        </w:tabs>
        <w:snapToGrid w:val="0"/>
        <w:spacing w:line="500" w:lineRule="exact"/>
        <w:jc w:val="right"/>
        <w:rPr>
          <w:rFonts w:ascii="宋体" w:hAnsi="宋体" w:cs="宋体"/>
          <w:color w:val="auto"/>
          <w:sz w:val="24"/>
          <w:szCs w:val="24"/>
          <w:highlight w:val="none"/>
        </w:rPr>
      </w:pPr>
      <w:r>
        <w:rPr>
          <w:rFonts w:hint="eastAsia" w:ascii="宋体" w:hAnsi="宋体" w:cs="宋体"/>
          <w:color w:val="auto"/>
          <w:sz w:val="24"/>
          <w:highlight w:val="none"/>
        </w:rPr>
        <w:t>年   月   日</w:t>
      </w:r>
    </w:p>
    <w:p w14:paraId="653B2578">
      <w:pPr>
        <w:snapToGrid w:val="0"/>
        <w:spacing w:line="400" w:lineRule="exact"/>
        <w:ind w:firstLine="42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（五）特定资格条件证明文件</w:t>
      </w:r>
    </w:p>
    <w:p w14:paraId="695C4034">
      <w:pPr>
        <w:tabs>
          <w:tab w:val="left" w:pos="6300"/>
        </w:tabs>
        <w:snapToGrid w:val="0"/>
        <w:spacing w:line="400" w:lineRule="exact"/>
        <w:ind w:firstLine="480" w:firstLineChars="200"/>
        <w:rPr>
          <w:rFonts w:ascii="宋体" w:hAnsi="宋体" w:cs="宋体"/>
          <w:color w:val="auto"/>
          <w:sz w:val="24"/>
          <w:szCs w:val="24"/>
          <w:highlight w:val="none"/>
        </w:rPr>
      </w:pPr>
    </w:p>
    <w:p w14:paraId="73224575">
      <w:pPr>
        <w:pStyle w:val="4"/>
        <w:adjustRightInd w:val="0"/>
        <w:snapToGrid w:val="0"/>
        <w:spacing w:before="0" w:after="0" w:line="400" w:lineRule="exact"/>
        <w:ind w:firstLine="560" w:firstLineChars="200"/>
        <w:rPr>
          <w:rFonts w:ascii="宋体" w:hAnsi="宋体" w:eastAsia="宋体" w:cs="宋体"/>
          <w:color w:val="auto"/>
          <w:sz w:val="24"/>
          <w:highlight w:val="none"/>
        </w:rPr>
      </w:pPr>
      <w:bookmarkStart w:id="291" w:name="_Toc14422"/>
      <w:r>
        <w:rPr>
          <w:rFonts w:hint="eastAsia" w:ascii="宋体" w:hAnsi="宋体" w:eastAsia="宋体" w:cs="宋体"/>
          <w:b w:val="0"/>
          <w:color w:val="auto"/>
          <w:sz w:val="28"/>
          <w:highlight w:val="none"/>
        </w:rPr>
        <w:br w:type="page"/>
      </w:r>
      <w:bookmarkStart w:id="292" w:name="_Toc106030910"/>
      <w:bookmarkStart w:id="293" w:name="_Toc76462354"/>
      <w:bookmarkStart w:id="294" w:name="_Toc29510"/>
      <w:bookmarkStart w:id="295" w:name="_Toc21669"/>
      <w:bookmarkStart w:id="296" w:name="_Toc19306"/>
      <w:bookmarkStart w:id="297" w:name="_Toc24045"/>
      <w:r>
        <w:rPr>
          <w:rFonts w:hint="eastAsia" w:ascii="宋体" w:hAnsi="宋体" w:eastAsia="宋体" w:cs="宋体"/>
          <w:color w:val="auto"/>
          <w:sz w:val="24"/>
          <w:highlight w:val="none"/>
        </w:rPr>
        <w:t>五、其他资料</w:t>
      </w:r>
      <w:bookmarkEnd w:id="291"/>
      <w:bookmarkEnd w:id="292"/>
      <w:bookmarkEnd w:id="293"/>
      <w:bookmarkEnd w:id="294"/>
      <w:bookmarkEnd w:id="295"/>
      <w:bookmarkEnd w:id="296"/>
      <w:bookmarkEnd w:id="297"/>
    </w:p>
    <w:p w14:paraId="1932CB2F">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55A27097">
      <w:pPr>
        <w:tabs>
          <w:tab w:val="left" w:pos="6300"/>
        </w:tabs>
        <w:snapToGrid w:val="0"/>
        <w:spacing w:line="500" w:lineRule="exact"/>
        <w:ind w:firstLine="420" w:firstLineChars="200"/>
        <w:jc w:val="center"/>
        <w:rPr>
          <w:rFonts w:ascii="宋体" w:hAnsi="宋体" w:cs="宋体"/>
          <w:color w:val="auto"/>
          <w:highlight w:val="none"/>
        </w:rPr>
      </w:pPr>
      <w:r>
        <w:rPr>
          <w:rFonts w:hint="eastAsia" w:ascii="宋体" w:hAnsi="宋体" w:cs="宋体"/>
          <w:color w:val="auto"/>
          <w:highlight w:val="none"/>
        </w:rPr>
        <w:t>中小企业声明函</w:t>
      </w:r>
    </w:p>
    <w:p w14:paraId="39CB105E">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本公司郑重声明，根据《政府采购促进中小企业发展管理办法》（</w:t>
      </w:r>
      <w:r>
        <w:rPr>
          <w:rFonts w:hint="eastAsia" w:ascii="宋体" w:hAnsi="宋体" w:cs="宋体"/>
          <w:color w:val="auto"/>
          <w:sz w:val="24"/>
          <w:szCs w:val="24"/>
          <w:highlight w:val="none"/>
        </w:rPr>
        <w:t>财库〔2020〕46号</w:t>
      </w:r>
      <w:r>
        <w:rPr>
          <w:rFonts w:hint="eastAsia" w:ascii="宋体" w:hAnsi="宋体" w:cs="宋体"/>
          <w:color w:val="auto"/>
          <w:sz w:val="24"/>
          <w:szCs w:val="28"/>
          <w:highlight w:val="none"/>
        </w:rPr>
        <w:t>）的规定，本公司参加</w:t>
      </w:r>
      <w:r>
        <w:rPr>
          <w:rFonts w:hint="eastAsia" w:ascii="宋体" w:hAnsi="宋体" w:cs="宋体"/>
          <w:i/>
          <w:color w:val="auto"/>
          <w:sz w:val="24"/>
          <w:szCs w:val="28"/>
          <w:highlight w:val="none"/>
          <w:u w:val="single"/>
        </w:rPr>
        <w:t>（</w:t>
      </w:r>
      <w:r>
        <w:rPr>
          <w:rFonts w:hint="eastAsia" w:ascii="宋体" w:hAnsi="宋体" w:cs="宋体"/>
          <w:i/>
          <w:color w:val="auto"/>
          <w:sz w:val="24"/>
          <w:szCs w:val="28"/>
          <w:highlight w:val="none"/>
          <w:u w:val="single"/>
          <w:lang w:eastAsia="zh-CN"/>
        </w:rPr>
        <w:t>采购人</w:t>
      </w:r>
      <w:r>
        <w:rPr>
          <w:rFonts w:hint="eastAsia" w:ascii="宋体" w:hAnsi="宋体" w:cs="宋体"/>
          <w:i/>
          <w:color w:val="auto"/>
          <w:sz w:val="24"/>
          <w:szCs w:val="28"/>
          <w:highlight w:val="none"/>
          <w:u w:val="single"/>
        </w:rPr>
        <w:t>单位名称）</w:t>
      </w:r>
      <w:r>
        <w:rPr>
          <w:rFonts w:hint="eastAsia" w:ascii="宋体" w:hAnsi="宋体" w:cs="宋体"/>
          <w:color w:val="auto"/>
          <w:sz w:val="24"/>
          <w:szCs w:val="28"/>
          <w:highlight w:val="none"/>
        </w:rPr>
        <w:t>的</w:t>
      </w:r>
      <w:r>
        <w:rPr>
          <w:rFonts w:hint="eastAsia" w:ascii="宋体" w:hAnsi="宋体" w:cs="宋体"/>
          <w:i/>
          <w:color w:val="auto"/>
          <w:sz w:val="24"/>
          <w:szCs w:val="28"/>
          <w:highlight w:val="none"/>
          <w:u w:val="single"/>
        </w:rPr>
        <w:t>（项目名称）</w:t>
      </w:r>
      <w:r>
        <w:rPr>
          <w:rFonts w:hint="eastAsia" w:ascii="宋体" w:hAnsi="宋体" w:cs="宋体"/>
          <w:color w:val="auto"/>
          <w:sz w:val="24"/>
          <w:szCs w:val="28"/>
          <w:highlight w:val="none"/>
        </w:rPr>
        <w:t>采购活动，服务全部由符合政策要求的中小企业承接。相关企业的具体情况如下：</w:t>
      </w:r>
    </w:p>
    <w:p w14:paraId="2A2676F9">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w:t>
      </w:r>
      <w:r>
        <w:rPr>
          <w:rFonts w:hint="eastAsia" w:ascii="宋体" w:hAnsi="宋体" w:cs="宋体"/>
          <w:i/>
          <w:color w:val="auto"/>
          <w:sz w:val="24"/>
          <w:szCs w:val="28"/>
          <w:highlight w:val="none"/>
          <w:u w:val="single"/>
        </w:rPr>
        <w:t>（标的名称）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6E1AF096">
      <w:pPr>
        <w:tabs>
          <w:tab w:val="left" w:pos="6300"/>
        </w:tabs>
        <w:snapToGrid w:val="0"/>
        <w:spacing w:line="500" w:lineRule="exact"/>
        <w:ind w:firstLine="480" w:firstLineChars="200"/>
        <w:rPr>
          <w:rFonts w:hint="eastAsia" w:ascii="宋体" w:hAnsi="宋体" w:cs="宋体" w:eastAsiaTheme="minorEastAsia"/>
          <w:color w:val="auto"/>
          <w:sz w:val="24"/>
          <w:szCs w:val="28"/>
          <w:highlight w:val="none"/>
          <w:lang w:eastAsia="zh-CN"/>
        </w:rPr>
      </w:pPr>
      <w:r>
        <w:rPr>
          <w:rFonts w:hint="eastAsia" w:ascii="宋体" w:hAnsi="宋体" w:cs="宋体"/>
          <w:sz w:val="24"/>
          <w:szCs w:val="28"/>
          <w:highlight w:val="none"/>
        </w:rPr>
        <w:t>为本标的提供的服务人员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人，其中与本企业签订劳动合同</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人，其他人员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人。有其他人员的不符合中小企业扶持政策</w:t>
      </w:r>
      <w:r>
        <w:rPr>
          <w:rFonts w:hint="eastAsia" w:ascii="宋体" w:hAnsi="宋体" w:cs="宋体"/>
          <w:sz w:val="24"/>
          <w:szCs w:val="28"/>
          <w:highlight w:val="none"/>
          <w:lang w:eastAsia="zh-CN"/>
        </w:rPr>
        <w:t>。</w:t>
      </w:r>
    </w:p>
    <w:p w14:paraId="5F02401C">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w:t>
      </w:r>
      <w:r>
        <w:rPr>
          <w:rFonts w:hint="eastAsia" w:ascii="宋体" w:hAnsi="宋体" w:cs="宋体"/>
          <w:i/>
          <w:color w:val="auto"/>
          <w:sz w:val="24"/>
          <w:szCs w:val="28"/>
          <w:highlight w:val="none"/>
          <w:u w:val="single"/>
        </w:rPr>
        <w:t xml:space="preserve"> （标的名称）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0F44B54B">
      <w:pPr>
        <w:tabs>
          <w:tab w:val="left" w:pos="6300"/>
        </w:tabs>
        <w:snapToGrid w:val="0"/>
        <w:spacing w:line="500" w:lineRule="exact"/>
        <w:ind w:firstLine="480" w:firstLineChars="200"/>
        <w:rPr>
          <w:rFonts w:hint="eastAsia" w:ascii="宋体" w:hAnsi="宋体" w:cs="宋体" w:eastAsiaTheme="minorEastAsia"/>
          <w:color w:val="auto"/>
          <w:sz w:val="24"/>
          <w:szCs w:val="28"/>
          <w:highlight w:val="none"/>
          <w:lang w:eastAsia="zh-CN"/>
        </w:rPr>
      </w:pPr>
      <w:r>
        <w:rPr>
          <w:rFonts w:hint="eastAsia" w:ascii="宋体" w:hAnsi="宋体" w:cs="宋体"/>
          <w:sz w:val="24"/>
          <w:szCs w:val="28"/>
          <w:highlight w:val="none"/>
        </w:rPr>
        <w:t>为本标的提供的服务人员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人，其中与本企业签订劳动合同</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人，其他人员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人。有其他人员的不符合中小企业扶持政策</w:t>
      </w:r>
      <w:r>
        <w:rPr>
          <w:rFonts w:hint="eastAsia" w:ascii="宋体" w:hAnsi="宋体" w:cs="宋体"/>
          <w:sz w:val="24"/>
          <w:szCs w:val="28"/>
          <w:highlight w:val="none"/>
          <w:lang w:eastAsia="zh-CN"/>
        </w:rPr>
        <w:t>。</w:t>
      </w:r>
    </w:p>
    <w:p w14:paraId="09E0BEA0">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w:t>
      </w:r>
    </w:p>
    <w:p w14:paraId="69B05D30">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以上企业，不属于大企业的分支机构，不存在控股股东为大企业的情形，也不存在与大企业的负责人为同一人的情形。</w:t>
      </w:r>
    </w:p>
    <w:p w14:paraId="3B899025">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本企业对上述声明内容的真实性负责。如有虚假，将依法承担相应责任。</w:t>
      </w:r>
    </w:p>
    <w:p w14:paraId="46166201">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495643DE">
      <w:pPr>
        <w:tabs>
          <w:tab w:val="left" w:pos="6300"/>
        </w:tabs>
        <w:snapToGrid w:val="0"/>
        <w:spacing w:line="500" w:lineRule="exact"/>
        <w:ind w:firstLine="6120" w:firstLineChars="2550"/>
        <w:rPr>
          <w:rFonts w:ascii="宋体" w:hAnsi="宋体" w:cs="宋体"/>
          <w:color w:val="auto"/>
          <w:sz w:val="24"/>
          <w:szCs w:val="28"/>
          <w:highlight w:val="none"/>
        </w:rPr>
      </w:pPr>
      <w:r>
        <w:rPr>
          <w:rFonts w:hint="eastAsia" w:ascii="宋体" w:hAnsi="宋体" w:cs="宋体"/>
          <w:color w:val="auto"/>
          <w:sz w:val="24"/>
          <w:szCs w:val="28"/>
          <w:highlight w:val="none"/>
        </w:rPr>
        <w:t xml:space="preserve">企业名称（盖章）： </w:t>
      </w:r>
    </w:p>
    <w:p w14:paraId="2F61204B">
      <w:pPr>
        <w:tabs>
          <w:tab w:val="left" w:pos="6300"/>
        </w:tabs>
        <w:snapToGrid w:val="0"/>
        <w:spacing w:line="500" w:lineRule="exact"/>
        <w:ind w:right="784" w:firstLine="6120" w:firstLineChars="2550"/>
        <w:rPr>
          <w:rFonts w:ascii="宋体" w:hAnsi="宋体" w:cs="宋体"/>
          <w:color w:val="auto"/>
          <w:sz w:val="24"/>
          <w:highlight w:val="none"/>
        </w:rPr>
      </w:pPr>
      <w:r>
        <w:rPr>
          <w:rFonts w:hint="eastAsia" w:ascii="宋体" w:hAnsi="宋体" w:cs="宋体"/>
          <w:color w:val="auto"/>
          <w:sz w:val="24"/>
          <w:szCs w:val="28"/>
          <w:highlight w:val="none"/>
        </w:rPr>
        <w:t>日期：</w:t>
      </w:r>
    </w:p>
    <w:p w14:paraId="26810887">
      <w:pPr>
        <w:tabs>
          <w:tab w:val="left" w:pos="6300"/>
        </w:tabs>
        <w:snapToGrid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填写时应注意以下事项：</w:t>
      </w:r>
    </w:p>
    <w:p w14:paraId="452D1C58">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1.从业人员、营业收入、资产总额填报上一年度数据，无上一年度数据的新成立企业可不填报。</w:t>
      </w:r>
    </w:p>
    <w:p w14:paraId="7CA4D30B">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2.中小企业应当按照《中小企业划型标准规定》（工信部联企业〔2011〕300号），如实填写并提交《中小企业声明函》。</w:t>
      </w:r>
    </w:p>
    <w:p w14:paraId="2AEBBC6B">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30ABBE55">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4.本声明函“企业名称（盖章）”处为供应商盖章。</w:t>
      </w:r>
    </w:p>
    <w:p w14:paraId="364454A2">
      <w:pPr>
        <w:tabs>
          <w:tab w:val="left" w:pos="6300"/>
        </w:tabs>
        <w:snapToGrid w:val="0"/>
        <w:ind w:firstLine="420" w:firstLineChars="200"/>
        <w:rPr>
          <w:rFonts w:ascii="宋体" w:hAnsi="宋体" w:cs="宋体"/>
          <w:color w:val="auto"/>
          <w:kern w:val="0"/>
          <w:sz w:val="21"/>
          <w:szCs w:val="21"/>
          <w:highlight w:val="none"/>
        </w:rPr>
        <w:sectPr>
          <w:pgSz w:w="11907" w:h="16840"/>
          <w:pgMar w:top="1417" w:right="1417" w:bottom="1417" w:left="1417" w:header="851" w:footer="992" w:gutter="0"/>
          <w:pgNumType w:fmt="numberInDash"/>
          <w:cols w:space="0" w:num="1"/>
          <w:docGrid w:linePitch="380" w:charSpace="0"/>
        </w:sectPr>
      </w:pPr>
    </w:p>
    <w:p w14:paraId="47C1C5A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注：各行业划型标准：</w:t>
      </w:r>
    </w:p>
    <w:p w14:paraId="06246783">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F18F5DA">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8EAE74">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A5756B3">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AA30C8">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9E482C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15F0B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7D0488E">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17039EB">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EDDFE0">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B7AEE7">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9CE5D4F">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3011A9D">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2C0C82">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AF10A7">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1E6BBCC">
      <w:pPr>
        <w:tabs>
          <w:tab w:val="left" w:pos="6300"/>
        </w:tabs>
        <w:snapToGrid w:val="0"/>
        <w:spacing w:line="360" w:lineRule="auto"/>
        <w:ind w:firstLine="570"/>
        <w:jc w:val="left"/>
        <w:rPr>
          <w:rFonts w:ascii="宋体" w:hAnsi="宋体" w:cs="宋体"/>
          <w:color w:val="auto"/>
          <w:sz w:val="24"/>
          <w:szCs w:val="24"/>
          <w:highlight w:val="none"/>
        </w:rPr>
      </w:pPr>
      <w:r>
        <w:rPr>
          <w:rFonts w:hint="eastAsia" w:ascii="宋体" w:hAnsi="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568B134C">
      <w:pPr>
        <w:tabs>
          <w:tab w:val="left" w:pos="6300"/>
        </w:tabs>
        <w:snapToGrid w:val="0"/>
        <w:spacing w:line="360" w:lineRule="auto"/>
        <w:ind w:firstLine="570"/>
        <w:jc w:val="left"/>
        <w:rPr>
          <w:rFonts w:ascii="宋体" w:hAnsi="宋体" w:cs="宋体"/>
          <w:color w:val="auto"/>
          <w:sz w:val="24"/>
          <w:szCs w:val="24"/>
          <w:highlight w:val="none"/>
        </w:rPr>
      </w:pPr>
    </w:p>
    <w:p w14:paraId="5103F4CC">
      <w:pPr>
        <w:tabs>
          <w:tab w:val="left" w:pos="6300"/>
        </w:tabs>
        <w:snapToGrid w:val="0"/>
        <w:spacing w:line="360" w:lineRule="auto"/>
        <w:ind w:firstLine="570"/>
        <w:jc w:val="left"/>
        <w:rPr>
          <w:rFonts w:ascii="宋体" w:hAnsi="宋体" w:cs="宋体"/>
          <w:color w:val="auto"/>
          <w:sz w:val="24"/>
          <w:szCs w:val="24"/>
          <w:highlight w:val="none"/>
        </w:rPr>
      </w:pPr>
    </w:p>
    <w:p w14:paraId="176D288A">
      <w:pPr>
        <w:tabs>
          <w:tab w:val="left" w:pos="6300"/>
        </w:tabs>
        <w:snapToGrid w:val="0"/>
        <w:spacing w:line="500" w:lineRule="exact"/>
        <w:ind w:firstLine="420" w:firstLineChars="200"/>
        <w:jc w:val="center"/>
        <w:rPr>
          <w:rFonts w:hint="eastAsia" w:ascii="宋体" w:hAnsi="宋体" w:cs="宋体"/>
          <w:color w:val="auto"/>
          <w:highlight w:val="none"/>
        </w:rPr>
        <w:sectPr>
          <w:pgSz w:w="11906" w:h="16838"/>
          <w:pgMar w:top="1440" w:right="1463" w:bottom="1440" w:left="1576" w:header="851" w:footer="992" w:gutter="0"/>
          <w:cols w:space="425" w:num="1"/>
          <w:docGrid w:type="lines" w:linePitch="312" w:charSpace="0"/>
        </w:sectPr>
      </w:pPr>
    </w:p>
    <w:p w14:paraId="32342E5D">
      <w:pPr>
        <w:tabs>
          <w:tab w:val="left" w:pos="6300"/>
        </w:tabs>
        <w:snapToGrid w:val="0"/>
        <w:spacing w:line="500" w:lineRule="exact"/>
        <w:ind w:firstLine="562" w:firstLineChars="200"/>
        <w:jc w:val="center"/>
        <w:rPr>
          <w:rFonts w:ascii="宋体" w:hAnsi="宋体" w:cs="宋体"/>
          <w:color w:val="auto"/>
          <w:highlight w:val="none"/>
        </w:rPr>
      </w:pPr>
      <w:r>
        <w:rPr>
          <w:rFonts w:hint="eastAsia" w:ascii="宋体" w:hAnsi="宋体" w:cs="宋体"/>
          <w:b/>
          <w:bCs/>
          <w:color w:val="auto"/>
          <w:sz w:val="28"/>
          <w:szCs w:val="28"/>
          <w:highlight w:val="none"/>
        </w:rPr>
        <w:t>监狱企业证明文件</w:t>
      </w:r>
    </w:p>
    <w:p w14:paraId="580153F0">
      <w:pPr>
        <w:tabs>
          <w:tab w:val="left" w:pos="6300"/>
        </w:tabs>
        <w:snapToGrid w:val="0"/>
        <w:spacing w:line="400" w:lineRule="exact"/>
        <w:ind w:firstLine="480" w:firstLineChars="200"/>
        <w:rPr>
          <w:rFonts w:hint="eastAsia" w:ascii="宋体" w:hAnsi="宋体" w:cs="宋体"/>
          <w:color w:val="auto"/>
          <w:sz w:val="24"/>
          <w:highlight w:val="none"/>
        </w:rPr>
      </w:pPr>
    </w:p>
    <w:p w14:paraId="14941E8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25357CB5">
      <w:pPr>
        <w:tabs>
          <w:tab w:val="left" w:pos="6300"/>
        </w:tabs>
        <w:snapToGrid w:val="0"/>
        <w:spacing w:line="500" w:lineRule="exact"/>
        <w:ind w:firstLine="480" w:firstLineChars="200"/>
        <w:jc w:val="center"/>
        <w:rPr>
          <w:rFonts w:ascii="宋体" w:hAnsi="宋体" w:cs="宋体"/>
          <w:color w:val="auto"/>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残疾人福利性单位声明函</w:t>
      </w:r>
    </w:p>
    <w:p w14:paraId="70C453D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2543A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0942CE2">
      <w:pPr>
        <w:tabs>
          <w:tab w:val="left" w:pos="6300"/>
        </w:tabs>
        <w:snapToGrid w:val="0"/>
        <w:spacing w:line="500" w:lineRule="exact"/>
        <w:ind w:firstLine="480" w:firstLineChars="200"/>
        <w:rPr>
          <w:rFonts w:ascii="宋体" w:hAnsi="宋体" w:cs="宋体"/>
          <w:color w:val="auto"/>
          <w:sz w:val="24"/>
          <w:highlight w:val="none"/>
        </w:rPr>
      </w:pPr>
    </w:p>
    <w:p w14:paraId="27D99E1D">
      <w:pPr>
        <w:tabs>
          <w:tab w:val="left" w:pos="6300"/>
        </w:tabs>
        <w:snapToGrid w:val="0"/>
        <w:spacing w:line="500" w:lineRule="exact"/>
        <w:ind w:firstLine="480" w:firstLineChars="200"/>
        <w:rPr>
          <w:rFonts w:ascii="宋体" w:hAnsi="宋体" w:cs="宋体"/>
          <w:color w:val="auto"/>
          <w:sz w:val="24"/>
          <w:highlight w:val="none"/>
        </w:rPr>
      </w:pPr>
    </w:p>
    <w:p w14:paraId="7F1A8C0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供应商名称（盖章）：</w:t>
      </w:r>
    </w:p>
    <w:p w14:paraId="336E6250">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日  期：</w:t>
      </w:r>
    </w:p>
    <w:p w14:paraId="12254488">
      <w:pPr>
        <w:snapToGrid w:val="0"/>
        <w:spacing w:line="440" w:lineRule="exact"/>
        <w:ind w:firstLine="480" w:firstLineChars="200"/>
        <w:rPr>
          <w:rFonts w:ascii="宋体" w:hAnsi="宋体" w:cs="宋体"/>
          <w:color w:val="auto"/>
          <w:sz w:val="24"/>
          <w:highlight w:val="none"/>
        </w:rPr>
      </w:pPr>
    </w:p>
    <w:p w14:paraId="1807B573">
      <w:pPr>
        <w:snapToGrid w:val="0"/>
        <w:spacing w:line="440" w:lineRule="exact"/>
        <w:ind w:firstLine="480" w:firstLineChars="200"/>
        <w:rPr>
          <w:rFonts w:ascii="宋体" w:hAnsi="宋体" w:cs="宋体"/>
          <w:color w:val="auto"/>
          <w:sz w:val="24"/>
          <w:highlight w:val="none"/>
        </w:rPr>
      </w:pPr>
    </w:p>
    <w:p w14:paraId="65F9EAFC">
      <w:pPr>
        <w:snapToGrid w:val="0"/>
        <w:spacing w:line="440" w:lineRule="exact"/>
        <w:ind w:firstLine="480" w:firstLineChars="200"/>
        <w:rPr>
          <w:rFonts w:ascii="宋体" w:hAnsi="宋体" w:cs="宋体"/>
          <w:color w:val="auto"/>
          <w:sz w:val="24"/>
          <w:highlight w:val="none"/>
        </w:rPr>
      </w:pPr>
    </w:p>
    <w:p w14:paraId="2E0F68F2">
      <w:pPr>
        <w:snapToGrid w:val="0"/>
        <w:spacing w:line="440" w:lineRule="exact"/>
        <w:ind w:firstLine="480" w:firstLineChars="200"/>
        <w:rPr>
          <w:rFonts w:ascii="宋体" w:hAnsi="宋体" w:cs="宋体"/>
          <w:color w:val="auto"/>
          <w:sz w:val="24"/>
          <w:highlight w:val="none"/>
        </w:rPr>
      </w:pPr>
    </w:p>
    <w:p w14:paraId="25CCBFAD">
      <w:pPr>
        <w:snapToGrid w:val="0"/>
        <w:spacing w:line="440" w:lineRule="exact"/>
        <w:ind w:firstLine="480" w:firstLineChars="200"/>
        <w:rPr>
          <w:rFonts w:ascii="宋体" w:hAnsi="宋体" w:cs="宋体"/>
          <w:color w:val="auto"/>
          <w:sz w:val="24"/>
          <w:highlight w:val="none"/>
        </w:rPr>
      </w:pPr>
    </w:p>
    <w:p w14:paraId="2FD75026">
      <w:pPr>
        <w:snapToGrid w:val="0"/>
        <w:spacing w:line="440" w:lineRule="exact"/>
        <w:ind w:firstLine="480" w:firstLineChars="200"/>
        <w:rPr>
          <w:rFonts w:ascii="宋体" w:hAnsi="宋体" w:cs="宋体"/>
          <w:color w:val="auto"/>
          <w:sz w:val="24"/>
          <w:highlight w:val="none"/>
        </w:rPr>
      </w:pPr>
    </w:p>
    <w:p w14:paraId="3179CBD7">
      <w:pPr>
        <w:snapToGrid w:val="0"/>
        <w:spacing w:line="440" w:lineRule="exact"/>
        <w:ind w:firstLine="480" w:firstLineChars="200"/>
        <w:rPr>
          <w:rFonts w:ascii="宋体" w:hAnsi="宋体" w:cs="宋体"/>
          <w:color w:val="auto"/>
          <w:sz w:val="24"/>
          <w:highlight w:val="none"/>
        </w:rPr>
      </w:pPr>
    </w:p>
    <w:p w14:paraId="01ED0740">
      <w:pPr>
        <w:snapToGrid w:val="0"/>
        <w:spacing w:line="440" w:lineRule="exact"/>
        <w:ind w:firstLine="480" w:firstLineChars="200"/>
        <w:rPr>
          <w:rFonts w:ascii="宋体" w:hAnsi="宋体" w:cs="宋体"/>
          <w:color w:val="auto"/>
          <w:sz w:val="24"/>
          <w:highlight w:val="none"/>
        </w:rPr>
      </w:pPr>
    </w:p>
    <w:p w14:paraId="0345CFA2">
      <w:pPr>
        <w:snapToGrid w:val="0"/>
        <w:spacing w:line="440" w:lineRule="exact"/>
        <w:ind w:firstLine="480" w:firstLineChars="200"/>
        <w:rPr>
          <w:rFonts w:ascii="宋体" w:hAnsi="宋体" w:cs="宋体"/>
          <w:color w:val="auto"/>
          <w:sz w:val="24"/>
          <w:highlight w:val="none"/>
        </w:rPr>
      </w:pPr>
    </w:p>
    <w:p w14:paraId="669953A8">
      <w:pPr>
        <w:snapToGrid w:val="0"/>
        <w:spacing w:line="440" w:lineRule="exact"/>
        <w:ind w:firstLine="480" w:firstLineChars="200"/>
        <w:rPr>
          <w:rFonts w:ascii="宋体" w:hAnsi="宋体" w:cs="宋体"/>
          <w:color w:val="auto"/>
          <w:sz w:val="24"/>
          <w:highlight w:val="none"/>
        </w:rPr>
      </w:pPr>
    </w:p>
    <w:p w14:paraId="562137FC">
      <w:pPr>
        <w:snapToGrid w:val="0"/>
        <w:spacing w:line="440" w:lineRule="exact"/>
        <w:ind w:firstLine="480" w:firstLineChars="200"/>
        <w:rPr>
          <w:rFonts w:ascii="宋体" w:hAnsi="宋体" w:cs="宋体"/>
          <w:color w:val="auto"/>
          <w:sz w:val="24"/>
          <w:highlight w:val="none"/>
        </w:rPr>
      </w:pPr>
    </w:p>
    <w:p w14:paraId="248E84A2">
      <w:pPr>
        <w:snapToGrid w:val="0"/>
        <w:spacing w:line="440" w:lineRule="exact"/>
        <w:ind w:firstLine="480" w:firstLineChars="200"/>
        <w:rPr>
          <w:rFonts w:ascii="宋体" w:hAnsi="宋体" w:cs="宋体"/>
          <w:color w:val="auto"/>
          <w:sz w:val="24"/>
          <w:highlight w:val="none"/>
        </w:rPr>
      </w:pPr>
    </w:p>
    <w:p w14:paraId="5D0E7516">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若成交供应商为残疾人福利性单位的，将在结果公告时公告其《残疾人福利性单位声明函》。</w:t>
      </w:r>
    </w:p>
    <w:p w14:paraId="7EEFB8E9">
      <w:pPr>
        <w:snapToGrid w:val="0"/>
        <w:spacing w:line="440" w:lineRule="exact"/>
        <w:ind w:firstLine="480" w:firstLineChars="200"/>
        <w:rPr>
          <w:rFonts w:ascii="宋体" w:hAnsi="宋体" w:cs="宋体"/>
          <w:color w:val="auto"/>
          <w:sz w:val="24"/>
          <w:highlight w:val="none"/>
        </w:rPr>
      </w:pPr>
    </w:p>
    <w:p w14:paraId="5741415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（二）其他与项目有关的资料</w:t>
      </w:r>
    </w:p>
    <w:p w14:paraId="70F47D6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13BE818A">
      <w:pPr>
        <w:spacing w:line="360" w:lineRule="auto"/>
        <w:ind w:firstLine="480" w:firstLineChars="200"/>
        <w:rPr>
          <w:rFonts w:ascii="宋体" w:hAnsi="宋体" w:cs="宋体"/>
          <w:color w:val="auto"/>
          <w:sz w:val="24"/>
          <w:szCs w:val="24"/>
          <w:highlight w:val="none"/>
        </w:rPr>
      </w:pPr>
    </w:p>
    <w:p w14:paraId="328034FE">
      <w:pPr>
        <w:spacing w:line="360" w:lineRule="auto"/>
        <w:ind w:firstLine="480" w:firstLineChars="200"/>
        <w:jc w:val="center"/>
        <w:rPr>
          <w:rFonts w:ascii="宋体" w:hAnsi="宋体" w:cs="宋体"/>
          <w:color w:val="auto"/>
          <w:sz w:val="24"/>
          <w:szCs w:val="24"/>
          <w:highlight w:val="none"/>
        </w:rPr>
      </w:pPr>
    </w:p>
    <w:p w14:paraId="208624E0">
      <w:pPr>
        <w:spacing w:line="360" w:lineRule="auto"/>
        <w:ind w:firstLine="480" w:firstLineChars="200"/>
        <w:jc w:val="center"/>
        <w:rPr>
          <w:rFonts w:ascii="宋体" w:hAnsi="宋体" w:cs="宋体"/>
          <w:color w:val="auto"/>
          <w:sz w:val="24"/>
          <w:szCs w:val="24"/>
          <w:highlight w:val="none"/>
        </w:rPr>
      </w:pPr>
    </w:p>
    <w:p w14:paraId="64D173DB">
      <w:pPr>
        <w:spacing w:line="360" w:lineRule="auto"/>
        <w:ind w:firstLine="480" w:firstLineChars="200"/>
        <w:jc w:val="center"/>
        <w:rPr>
          <w:rFonts w:ascii="宋体" w:hAnsi="宋体" w:cs="宋体"/>
          <w:color w:val="auto"/>
          <w:sz w:val="24"/>
          <w:szCs w:val="24"/>
          <w:highlight w:val="none"/>
        </w:rPr>
      </w:pPr>
    </w:p>
    <w:p w14:paraId="61B3DB67">
      <w:pPr>
        <w:spacing w:line="360" w:lineRule="auto"/>
        <w:ind w:firstLine="480" w:firstLineChars="200"/>
        <w:jc w:val="center"/>
        <w:rPr>
          <w:rFonts w:ascii="宋体" w:hAnsi="宋体" w:cs="宋体"/>
          <w:color w:val="auto"/>
          <w:sz w:val="24"/>
          <w:szCs w:val="24"/>
          <w:highlight w:val="none"/>
        </w:rPr>
      </w:pPr>
    </w:p>
    <w:p w14:paraId="7A9D47EB">
      <w:pPr>
        <w:spacing w:line="360" w:lineRule="auto"/>
        <w:ind w:firstLine="480" w:firstLineChars="200"/>
        <w:jc w:val="center"/>
        <w:rPr>
          <w:rFonts w:ascii="宋体" w:hAnsi="宋体" w:cs="宋体"/>
          <w:color w:val="auto"/>
          <w:sz w:val="24"/>
          <w:szCs w:val="24"/>
          <w:highlight w:val="none"/>
        </w:rPr>
      </w:pPr>
    </w:p>
    <w:p w14:paraId="03BC982A">
      <w:pPr>
        <w:spacing w:line="360" w:lineRule="auto"/>
        <w:ind w:firstLine="480" w:firstLineChars="200"/>
        <w:jc w:val="center"/>
        <w:rPr>
          <w:rFonts w:ascii="宋体" w:hAnsi="宋体" w:cs="宋体"/>
          <w:color w:val="auto"/>
          <w:sz w:val="24"/>
          <w:szCs w:val="24"/>
          <w:highlight w:val="none"/>
        </w:rPr>
      </w:pPr>
    </w:p>
    <w:p w14:paraId="3D942B62">
      <w:pPr>
        <w:spacing w:line="360" w:lineRule="auto"/>
        <w:ind w:firstLine="480" w:firstLineChars="200"/>
        <w:jc w:val="center"/>
        <w:rPr>
          <w:rFonts w:ascii="宋体" w:hAnsi="宋体" w:cs="宋体"/>
          <w:color w:val="auto"/>
          <w:sz w:val="24"/>
          <w:szCs w:val="24"/>
          <w:highlight w:val="none"/>
        </w:rPr>
      </w:pPr>
    </w:p>
    <w:p w14:paraId="62C8CBCC">
      <w:pPr>
        <w:spacing w:line="360" w:lineRule="auto"/>
        <w:ind w:firstLine="480" w:firstLineChars="200"/>
        <w:jc w:val="center"/>
        <w:rPr>
          <w:rFonts w:ascii="宋体" w:hAnsi="宋体" w:cs="宋体"/>
          <w:color w:val="auto"/>
          <w:sz w:val="24"/>
          <w:szCs w:val="24"/>
          <w:highlight w:val="none"/>
        </w:rPr>
      </w:pPr>
    </w:p>
    <w:p w14:paraId="4FF4FB5C">
      <w:pPr>
        <w:spacing w:line="360" w:lineRule="auto"/>
        <w:ind w:firstLine="480" w:firstLineChars="200"/>
        <w:jc w:val="center"/>
        <w:rPr>
          <w:rFonts w:ascii="宋体" w:hAnsi="宋体" w:cs="宋体"/>
          <w:color w:val="auto"/>
          <w:sz w:val="24"/>
          <w:szCs w:val="24"/>
          <w:highlight w:val="none"/>
        </w:rPr>
      </w:pPr>
    </w:p>
    <w:p w14:paraId="64788980">
      <w:pPr>
        <w:spacing w:line="360" w:lineRule="auto"/>
        <w:ind w:firstLine="480" w:firstLineChars="200"/>
        <w:jc w:val="center"/>
        <w:rPr>
          <w:rFonts w:ascii="宋体" w:hAnsi="宋体" w:cs="宋体"/>
          <w:color w:val="auto"/>
          <w:sz w:val="24"/>
          <w:szCs w:val="24"/>
          <w:highlight w:val="none"/>
        </w:rPr>
      </w:pPr>
    </w:p>
    <w:p w14:paraId="6ED3D2A5">
      <w:pPr>
        <w:spacing w:line="360" w:lineRule="auto"/>
        <w:ind w:firstLine="480" w:firstLineChars="200"/>
        <w:jc w:val="center"/>
        <w:rPr>
          <w:rFonts w:ascii="宋体" w:hAnsi="宋体" w:cs="宋体"/>
          <w:color w:val="auto"/>
          <w:sz w:val="24"/>
          <w:szCs w:val="24"/>
          <w:highlight w:val="none"/>
        </w:rPr>
      </w:pPr>
    </w:p>
    <w:p w14:paraId="6F7FDAD7">
      <w:pPr>
        <w:spacing w:line="360" w:lineRule="auto"/>
        <w:ind w:firstLine="480" w:firstLineChars="200"/>
        <w:jc w:val="center"/>
        <w:outlineLvl w:val="0"/>
        <w:rPr>
          <w:rFonts w:ascii="宋体" w:hAnsi="宋体" w:cs="宋体"/>
          <w:color w:val="auto"/>
          <w:highlight w:val="none"/>
        </w:rPr>
      </w:pPr>
      <w:r>
        <w:rPr>
          <w:rFonts w:hint="eastAsia" w:ascii="宋体" w:hAnsi="宋体" w:cs="宋体"/>
          <w:color w:val="auto"/>
          <w:sz w:val="24"/>
          <w:szCs w:val="24"/>
          <w:highlight w:val="none"/>
        </w:rPr>
        <w:t>（结束）</w:t>
      </w:r>
    </w:p>
    <w:p w14:paraId="13A879B1">
      <w:pPr>
        <w:tabs>
          <w:tab w:val="left" w:pos="6300"/>
        </w:tabs>
        <w:snapToGrid w:val="0"/>
        <w:spacing w:line="500" w:lineRule="exact"/>
        <w:ind w:firstLine="4560" w:firstLineChars="1900"/>
        <w:rPr>
          <w:rFonts w:ascii="宋体" w:hAnsi="宋体" w:cs="宋体"/>
          <w:color w:val="auto"/>
          <w:sz w:val="24"/>
          <w:szCs w:val="24"/>
          <w:highlight w:val="none"/>
        </w:rPr>
      </w:pPr>
    </w:p>
    <w:p w14:paraId="30DA3E36">
      <w:pPr>
        <w:rPr>
          <w:rFonts w:ascii="宋体" w:hAnsi="宋体" w:cs="宋体"/>
          <w:color w:val="auto"/>
          <w:highlight w:val="none"/>
        </w:rPr>
      </w:pPr>
    </w:p>
    <w:p w14:paraId="32C554C3">
      <w:pPr>
        <w:pageBreakBefore w:val="0"/>
        <w:widowControl w:val="0"/>
        <w:kinsoku/>
        <w:wordWrap/>
        <w:overflowPunct/>
        <w:topLinePunct w:val="0"/>
        <w:autoSpaceDE/>
        <w:autoSpaceDN/>
        <w:bidi w:val="0"/>
        <w:snapToGrid w:val="0"/>
        <w:spacing w:line="500" w:lineRule="exact"/>
        <w:textAlignment w:val="auto"/>
        <w:rPr>
          <w:rFonts w:hint="default" w:ascii="宋体" w:hAnsi="宋体" w:eastAsia="宋体" w:cs="宋体"/>
          <w:color w:val="auto"/>
          <w:sz w:val="24"/>
          <w:szCs w:val="24"/>
          <w:highlight w:val="none"/>
          <w:lang w:val="en-US" w:eastAsia="zh-CN"/>
        </w:rPr>
      </w:pPr>
    </w:p>
    <w:sectPr>
      <w:pgSz w:w="11906" w:h="16838"/>
      <w:pgMar w:top="1440" w:right="1463"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DE27">
    <w:pPr>
      <w:pStyle w:val="12"/>
      <w:framePr w:wrap="around" w:vAnchor="text" w:hAnchor="margin" w:xAlign="center" w:y="1"/>
      <w:rPr>
        <w:rStyle w:val="20"/>
      </w:rPr>
    </w:pPr>
    <w:r>
      <w:fldChar w:fldCharType="begin"/>
    </w:r>
    <w:r>
      <w:rPr>
        <w:rStyle w:val="20"/>
      </w:rPr>
      <w:instrText xml:space="preserve">PAGE  </w:instrText>
    </w:r>
    <w:r>
      <w:fldChar w:fldCharType="end"/>
    </w:r>
  </w:p>
  <w:p w14:paraId="21D5CFD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0818">
    <w:pPr>
      <w:pStyle w:val="12"/>
      <w:framePr w:wrap="around" w:vAnchor="text" w:hAnchor="margin" w:xAlign="center" w:y="1"/>
      <w:rPr>
        <w:rStyle w:val="20"/>
      </w:rPr>
    </w:pPr>
  </w:p>
  <w:p w14:paraId="34622827">
    <w:pPr>
      <w:pStyle w:val="12"/>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40234">
    <w:pPr>
      <w:pStyle w:val="12"/>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A8D9E">
                          <w:pPr>
                            <w:pStyle w:val="12"/>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F3A8D9E">
                    <w:pPr>
                      <w:pStyle w:val="12"/>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0B319">
    <w:pPr>
      <w:pStyle w:val="12"/>
      <w:framePr w:wrap="around" w:vAnchor="text" w:hAnchor="margin" w:xAlign="center" w:y="1"/>
      <w:rPr>
        <w:rStyle w:val="20"/>
      </w:rPr>
    </w:pPr>
    <w:r>
      <w:fldChar w:fldCharType="begin"/>
    </w:r>
    <w:r>
      <w:rPr>
        <w:rStyle w:val="20"/>
      </w:rPr>
      <w:instrText xml:space="preserve">PAGE  </w:instrText>
    </w:r>
    <w:r>
      <w:fldChar w:fldCharType="end"/>
    </w:r>
  </w:p>
  <w:p w14:paraId="55FA839F">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E561">
    <w:pPr>
      <w:pStyle w:val="12"/>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9A1BE">
                          <w:pPr>
                            <w:pStyle w:val="12"/>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669A1BE">
                    <w:pPr>
                      <w:pStyle w:val="12"/>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AE574">
    <w:pPr>
      <w:pStyle w:val="12"/>
      <w:framePr w:wrap="around" w:vAnchor="text" w:hAnchor="margin" w:xAlign="center" w:y="1"/>
      <w:rPr>
        <w:rStyle w:val="20"/>
      </w:rPr>
    </w:pPr>
    <w:r>
      <w:fldChar w:fldCharType="begin"/>
    </w:r>
    <w:r>
      <w:rPr>
        <w:rStyle w:val="20"/>
      </w:rPr>
      <w:instrText xml:space="preserve">PAGE  </w:instrText>
    </w:r>
    <w:r>
      <w:fldChar w:fldCharType="end"/>
    </w:r>
  </w:p>
  <w:p w14:paraId="32BE9351">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4535">
    <w:pPr>
      <w:pStyle w:val="13"/>
      <w:jc w:val="both"/>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攀钢集团工科工程咨询有限公司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BA2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33EDA"/>
    <w:multiLevelType w:val="multilevel"/>
    <w:tmpl w:val="BE033EDA"/>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6"/>
      <w:isLgl/>
      <w:lvlText w:val="%1.%2.%3.%4."/>
      <w:lvlJc w:val="left"/>
      <w:pPr>
        <w:ind w:left="149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F7F15123"/>
    <w:multiLevelType w:val="singleLevel"/>
    <w:tmpl w:val="F7F1512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2E9E"/>
    <w:rsid w:val="01737070"/>
    <w:rsid w:val="02263C32"/>
    <w:rsid w:val="024E43D4"/>
    <w:rsid w:val="02B97306"/>
    <w:rsid w:val="02D731C5"/>
    <w:rsid w:val="03AC1AEC"/>
    <w:rsid w:val="043C3A50"/>
    <w:rsid w:val="062C27E6"/>
    <w:rsid w:val="063F3750"/>
    <w:rsid w:val="068218BB"/>
    <w:rsid w:val="06B16B87"/>
    <w:rsid w:val="081E2961"/>
    <w:rsid w:val="08210B17"/>
    <w:rsid w:val="083C410F"/>
    <w:rsid w:val="09623EF2"/>
    <w:rsid w:val="0A0D3A97"/>
    <w:rsid w:val="0ADF252B"/>
    <w:rsid w:val="0B3221FF"/>
    <w:rsid w:val="0CA86D2C"/>
    <w:rsid w:val="0E3B40E5"/>
    <w:rsid w:val="0E9D4189"/>
    <w:rsid w:val="0EF52146"/>
    <w:rsid w:val="0F001E18"/>
    <w:rsid w:val="0F01062B"/>
    <w:rsid w:val="0F434B9B"/>
    <w:rsid w:val="0FC834C3"/>
    <w:rsid w:val="10CF4CD1"/>
    <w:rsid w:val="10FB0921"/>
    <w:rsid w:val="11162294"/>
    <w:rsid w:val="1154735C"/>
    <w:rsid w:val="118B13BF"/>
    <w:rsid w:val="1299596E"/>
    <w:rsid w:val="12FC7CAB"/>
    <w:rsid w:val="13490E13"/>
    <w:rsid w:val="13EA2665"/>
    <w:rsid w:val="13EB79AD"/>
    <w:rsid w:val="15B912F9"/>
    <w:rsid w:val="16373B88"/>
    <w:rsid w:val="168E1562"/>
    <w:rsid w:val="17DD07F3"/>
    <w:rsid w:val="17FCE291"/>
    <w:rsid w:val="182F6239"/>
    <w:rsid w:val="18BC58C8"/>
    <w:rsid w:val="1AFEB76A"/>
    <w:rsid w:val="1B272DFF"/>
    <w:rsid w:val="1BDF3EA4"/>
    <w:rsid w:val="1BE1664A"/>
    <w:rsid w:val="1CF71A15"/>
    <w:rsid w:val="1D5020A4"/>
    <w:rsid w:val="1D525720"/>
    <w:rsid w:val="1D6152DA"/>
    <w:rsid w:val="1D9B6CA0"/>
    <w:rsid w:val="1E6B09D5"/>
    <w:rsid w:val="1EF52281"/>
    <w:rsid w:val="1F4F75EB"/>
    <w:rsid w:val="1F7A4B56"/>
    <w:rsid w:val="1FBE80D5"/>
    <w:rsid w:val="1FC85FB0"/>
    <w:rsid w:val="1FFC63F1"/>
    <w:rsid w:val="218E591C"/>
    <w:rsid w:val="21F42BC1"/>
    <w:rsid w:val="220C0769"/>
    <w:rsid w:val="22197A7E"/>
    <w:rsid w:val="2232642A"/>
    <w:rsid w:val="23E228ED"/>
    <w:rsid w:val="24703456"/>
    <w:rsid w:val="24812305"/>
    <w:rsid w:val="25805811"/>
    <w:rsid w:val="26F84C2A"/>
    <w:rsid w:val="285F5C4A"/>
    <w:rsid w:val="29041583"/>
    <w:rsid w:val="290D45D8"/>
    <w:rsid w:val="2A8904DD"/>
    <w:rsid w:val="2B22031C"/>
    <w:rsid w:val="2D1FC9DF"/>
    <w:rsid w:val="2E052700"/>
    <w:rsid w:val="2EA119F7"/>
    <w:rsid w:val="2ED11F1A"/>
    <w:rsid w:val="2F9E62EE"/>
    <w:rsid w:val="2FC407B0"/>
    <w:rsid w:val="2FF98B7F"/>
    <w:rsid w:val="31E65393"/>
    <w:rsid w:val="32030CDB"/>
    <w:rsid w:val="345A2591"/>
    <w:rsid w:val="346B6210"/>
    <w:rsid w:val="36F7C4C1"/>
    <w:rsid w:val="373F5273"/>
    <w:rsid w:val="37D13F7A"/>
    <w:rsid w:val="37EC48E8"/>
    <w:rsid w:val="3881631A"/>
    <w:rsid w:val="38AF73EA"/>
    <w:rsid w:val="391E61C3"/>
    <w:rsid w:val="393F1F4E"/>
    <w:rsid w:val="39A4507A"/>
    <w:rsid w:val="39F630C5"/>
    <w:rsid w:val="3A980263"/>
    <w:rsid w:val="3C3D3B62"/>
    <w:rsid w:val="3C56470C"/>
    <w:rsid w:val="3C801E2F"/>
    <w:rsid w:val="3D5C2934"/>
    <w:rsid w:val="3D6C3AFB"/>
    <w:rsid w:val="3D6F51D8"/>
    <w:rsid w:val="3DF50CB0"/>
    <w:rsid w:val="3E924036"/>
    <w:rsid w:val="3EE939DC"/>
    <w:rsid w:val="3F342053"/>
    <w:rsid w:val="3F3449A1"/>
    <w:rsid w:val="3F7F469E"/>
    <w:rsid w:val="405C7E57"/>
    <w:rsid w:val="408731EC"/>
    <w:rsid w:val="408A4171"/>
    <w:rsid w:val="421871BB"/>
    <w:rsid w:val="42DA224D"/>
    <w:rsid w:val="434B593B"/>
    <w:rsid w:val="44293363"/>
    <w:rsid w:val="45B820B6"/>
    <w:rsid w:val="45E26E49"/>
    <w:rsid w:val="46272ADF"/>
    <w:rsid w:val="4642189D"/>
    <w:rsid w:val="466C5FBF"/>
    <w:rsid w:val="475412BF"/>
    <w:rsid w:val="47A16BED"/>
    <w:rsid w:val="47E65112"/>
    <w:rsid w:val="4823534F"/>
    <w:rsid w:val="48845E5F"/>
    <w:rsid w:val="4B1E25CC"/>
    <w:rsid w:val="4C7279FA"/>
    <w:rsid w:val="4DB07082"/>
    <w:rsid w:val="4DB35E08"/>
    <w:rsid w:val="4E531FA2"/>
    <w:rsid w:val="4EF763FE"/>
    <w:rsid w:val="4F2321DE"/>
    <w:rsid w:val="4F5D212A"/>
    <w:rsid w:val="4F6129E4"/>
    <w:rsid w:val="4FC000E6"/>
    <w:rsid w:val="4FFF99C1"/>
    <w:rsid w:val="500FF179"/>
    <w:rsid w:val="50F751DA"/>
    <w:rsid w:val="513A7953"/>
    <w:rsid w:val="515F488B"/>
    <w:rsid w:val="52A32CCA"/>
    <w:rsid w:val="538F23A6"/>
    <w:rsid w:val="53FF8333"/>
    <w:rsid w:val="54D23DEC"/>
    <w:rsid w:val="5507090D"/>
    <w:rsid w:val="55141C52"/>
    <w:rsid w:val="556829A3"/>
    <w:rsid w:val="562744C0"/>
    <w:rsid w:val="567468E6"/>
    <w:rsid w:val="57297B92"/>
    <w:rsid w:val="574C021E"/>
    <w:rsid w:val="579D66BF"/>
    <w:rsid w:val="58BF51A6"/>
    <w:rsid w:val="59903300"/>
    <w:rsid w:val="5AA5317A"/>
    <w:rsid w:val="5AB046DC"/>
    <w:rsid w:val="5AFEB3FA"/>
    <w:rsid w:val="5B7E1BE5"/>
    <w:rsid w:val="5BAECEE1"/>
    <w:rsid w:val="5C155C35"/>
    <w:rsid w:val="5C483556"/>
    <w:rsid w:val="5CCB27CD"/>
    <w:rsid w:val="5CE16520"/>
    <w:rsid w:val="5D207CD9"/>
    <w:rsid w:val="5DD419D0"/>
    <w:rsid w:val="5E340A9B"/>
    <w:rsid w:val="5E9D09BA"/>
    <w:rsid w:val="5F1FBCA8"/>
    <w:rsid w:val="5F91425A"/>
    <w:rsid w:val="5FBE9F5B"/>
    <w:rsid w:val="5FBF1F35"/>
    <w:rsid w:val="5FEBE25B"/>
    <w:rsid w:val="5FF419D9"/>
    <w:rsid w:val="60CD3FF8"/>
    <w:rsid w:val="60CECD1A"/>
    <w:rsid w:val="611C17E3"/>
    <w:rsid w:val="612452FA"/>
    <w:rsid w:val="63220C33"/>
    <w:rsid w:val="632927BC"/>
    <w:rsid w:val="635A0E92"/>
    <w:rsid w:val="63845454"/>
    <w:rsid w:val="63E46773"/>
    <w:rsid w:val="64C74B36"/>
    <w:rsid w:val="65220379"/>
    <w:rsid w:val="652D5A76"/>
    <w:rsid w:val="65CF362C"/>
    <w:rsid w:val="66071E01"/>
    <w:rsid w:val="669C44B1"/>
    <w:rsid w:val="66A504F5"/>
    <w:rsid w:val="66C04922"/>
    <w:rsid w:val="66FDCEB8"/>
    <w:rsid w:val="673B4841"/>
    <w:rsid w:val="677D77CF"/>
    <w:rsid w:val="68710A65"/>
    <w:rsid w:val="68A51B98"/>
    <w:rsid w:val="69365903"/>
    <w:rsid w:val="696F6090"/>
    <w:rsid w:val="69B92C0E"/>
    <w:rsid w:val="69D736B4"/>
    <w:rsid w:val="6A655190"/>
    <w:rsid w:val="6AC972F4"/>
    <w:rsid w:val="6BFB3534"/>
    <w:rsid w:val="6BFB400E"/>
    <w:rsid w:val="6C496EB7"/>
    <w:rsid w:val="6C6E6603"/>
    <w:rsid w:val="6D727570"/>
    <w:rsid w:val="6DDE6F4D"/>
    <w:rsid w:val="6DF40E20"/>
    <w:rsid w:val="6E670045"/>
    <w:rsid w:val="6E8537DF"/>
    <w:rsid w:val="6EC262C6"/>
    <w:rsid w:val="6EF7A814"/>
    <w:rsid w:val="6F186D51"/>
    <w:rsid w:val="6F193452"/>
    <w:rsid w:val="6F3D54BC"/>
    <w:rsid w:val="6F51652A"/>
    <w:rsid w:val="6F7FEFEF"/>
    <w:rsid w:val="6F9D29DC"/>
    <w:rsid w:val="6FCE5372"/>
    <w:rsid w:val="70D43728"/>
    <w:rsid w:val="716F835C"/>
    <w:rsid w:val="71B84FDC"/>
    <w:rsid w:val="71BB3015"/>
    <w:rsid w:val="72CF006A"/>
    <w:rsid w:val="72DE424A"/>
    <w:rsid w:val="736F8A75"/>
    <w:rsid w:val="73E65030"/>
    <w:rsid w:val="74235ED3"/>
    <w:rsid w:val="742E34AA"/>
    <w:rsid w:val="75A40753"/>
    <w:rsid w:val="76F92F9F"/>
    <w:rsid w:val="7777D2CD"/>
    <w:rsid w:val="777ED994"/>
    <w:rsid w:val="77EF5D28"/>
    <w:rsid w:val="77FD3924"/>
    <w:rsid w:val="77FF4F3F"/>
    <w:rsid w:val="782B18E2"/>
    <w:rsid w:val="787F6299"/>
    <w:rsid w:val="78B53705"/>
    <w:rsid w:val="78D7E9B9"/>
    <w:rsid w:val="794D3C44"/>
    <w:rsid w:val="79577020"/>
    <w:rsid w:val="79FC7CA3"/>
    <w:rsid w:val="7A920C25"/>
    <w:rsid w:val="7AC5AB9C"/>
    <w:rsid w:val="7B7AEB98"/>
    <w:rsid w:val="7BE17025"/>
    <w:rsid w:val="7C641BF9"/>
    <w:rsid w:val="7C925E9A"/>
    <w:rsid w:val="7CC27062"/>
    <w:rsid w:val="7CE92338"/>
    <w:rsid w:val="7D42788D"/>
    <w:rsid w:val="7D732FB1"/>
    <w:rsid w:val="7D7C2559"/>
    <w:rsid w:val="7D96DF93"/>
    <w:rsid w:val="7D972197"/>
    <w:rsid w:val="7DA86E47"/>
    <w:rsid w:val="7DBFE95B"/>
    <w:rsid w:val="7DEDEE92"/>
    <w:rsid w:val="7DF6E6CB"/>
    <w:rsid w:val="7E7F592E"/>
    <w:rsid w:val="7EDE11F1"/>
    <w:rsid w:val="7F1D4179"/>
    <w:rsid w:val="7F3FF70B"/>
    <w:rsid w:val="7F750A58"/>
    <w:rsid w:val="7F8C5987"/>
    <w:rsid w:val="7FDF9B94"/>
    <w:rsid w:val="7FE10469"/>
    <w:rsid w:val="7FF760D1"/>
    <w:rsid w:val="7FFA1E45"/>
    <w:rsid w:val="7FFF11F3"/>
    <w:rsid w:val="7FFF54E4"/>
    <w:rsid w:val="7FFFDDB9"/>
    <w:rsid w:val="836DF487"/>
    <w:rsid w:val="85FD6E87"/>
    <w:rsid w:val="9D7FAE47"/>
    <w:rsid w:val="9DB0BE64"/>
    <w:rsid w:val="9DD18CBD"/>
    <w:rsid w:val="9FA786F9"/>
    <w:rsid w:val="A7FB6FF7"/>
    <w:rsid w:val="ACFF0BEB"/>
    <w:rsid w:val="AFF79707"/>
    <w:rsid w:val="B59F00D4"/>
    <w:rsid w:val="B6FA0808"/>
    <w:rsid w:val="BD3B85E9"/>
    <w:rsid w:val="BDF30A6B"/>
    <w:rsid w:val="BDFB881F"/>
    <w:rsid w:val="BED3308A"/>
    <w:rsid w:val="BF7F5BDD"/>
    <w:rsid w:val="BFEB916E"/>
    <w:rsid w:val="CBF5B1B3"/>
    <w:rsid w:val="CE7DDED7"/>
    <w:rsid w:val="CEEFE2C8"/>
    <w:rsid w:val="D7FFBFA4"/>
    <w:rsid w:val="DE1FEC69"/>
    <w:rsid w:val="DE7B7A40"/>
    <w:rsid w:val="DEEB1A11"/>
    <w:rsid w:val="DFBF95DD"/>
    <w:rsid w:val="DFF95B8C"/>
    <w:rsid w:val="EBB90100"/>
    <w:rsid w:val="EBCB43F5"/>
    <w:rsid w:val="EDAA8498"/>
    <w:rsid w:val="EF142DC2"/>
    <w:rsid w:val="F3EBF6CA"/>
    <w:rsid w:val="F5FE1705"/>
    <w:rsid w:val="F6D2C2D3"/>
    <w:rsid w:val="F9FBA42A"/>
    <w:rsid w:val="FA7BCDE4"/>
    <w:rsid w:val="FB5AC43B"/>
    <w:rsid w:val="FBAF5115"/>
    <w:rsid w:val="FBEFB541"/>
    <w:rsid w:val="FBFFDDA5"/>
    <w:rsid w:val="FCB750A0"/>
    <w:rsid w:val="FCFFA589"/>
    <w:rsid w:val="FDEE7C61"/>
    <w:rsid w:val="FE6FA8B7"/>
    <w:rsid w:val="FEEF5520"/>
    <w:rsid w:val="FEEFC059"/>
    <w:rsid w:val="FEF39ECF"/>
    <w:rsid w:val="FEFDD10A"/>
    <w:rsid w:val="FFCF9A01"/>
    <w:rsid w:val="FFF7462F"/>
    <w:rsid w:val="FFFB516E"/>
    <w:rsid w:val="FFFF8421"/>
    <w:rsid w:val="FFFFC130"/>
    <w:rsid w:val="FFFFF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9"/>
    <w:pPr>
      <w:keepNext/>
      <w:keepLines/>
      <w:spacing w:before="120" w:line="415" w:lineRule="auto"/>
      <w:outlineLvl w:val="2"/>
    </w:pPr>
    <w:rPr>
      <w:b/>
      <w:bCs/>
      <w:szCs w:val="32"/>
    </w:rPr>
  </w:style>
  <w:style w:type="paragraph" w:styleId="6">
    <w:name w:val="heading 4"/>
    <w:basedOn w:val="1"/>
    <w:next w:val="1"/>
    <w:unhideWhenUsed/>
    <w:qFormat/>
    <w:uiPriority w:val="9"/>
    <w:pPr>
      <w:keepNext/>
      <w:keepLines/>
      <w:numPr>
        <w:ilvl w:val="3"/>
        <w:numId w:val="1"/>
      </w:numPr>
      <w:spacing w:before="280" w:after="290" w:line="376" w:lineRule="auto"/>
      <w:ind w:left="864" w:hanging="864"/>
      <w:outlineLvl w:val="3"/>
    </w:pPr>
    <w:rPr>
      <w:rFonts w:asciiTheme="majorHAnsi" w:hAnsiTheme="majorHAnsi" w:eastAsiaTheme="majorEastAsia" w:cstheme="majorBidi"/>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index 7"/>
    <w:basedOn w:val="1"/>
    <w:next w:val="1"/>
    <w:qFormat/>
    <w:uiPriority w:val="0"/>
    <w:pPr>
      <w:ind w:left="2520"/>
    </w:pPr>
  </w:style>
  <w:style w:type="paragraph" w:styleId="7">
    <w:name w:val="annotation text"/>
    <w:basedOn w:val="1"/>
    <w:qFormat/>
    <w:uiPriority w:val="0"/>
    <w:pPr>
      <w:jc w:val="left"/>
    </w:pPr>
  </w:style>
  <w:style w:type="paragraph" w:styleId="8">
    <w:name w:val="Body Text Indent"/>
    <w:basedOn w:val="1"/>
    <w:qFormat/>
    <w:uiPriority w:val="0"/>
    <w:pPr>
      <w:spacing w:line="700" w:lineRule="exact"/>
      <w:ind w:left="960"/>
    </w:pPr>
    <w:rPr>
      <w:sz w:val="44"/>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 w:val="21"/>
    </w:rPr>
  </w:style>
  <w:style w:type="paragraph" w:styleId="11">
    <w:name w:val="Date"/>
    <w:basedOn w:val="1"/>
    <w:next w:val="1"/>
    <w:qFormat/>
    <w:uiPriority w:val="0"/>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2"/>
    <w:basedOn w:val="1"/>
    <w:next w:val="1"/>
    <w:qFormat/>
    <w:uiPriority w:val="39"/>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qFormat/>
    <w:uiPriority w:val="0"/>
  </w:style>
  <w:style w:type="paragraph" w:customStyle="1" w:styleId="2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
    <w:name w:val="1"/>
    <w:basedOn w:val="1"/>
    <w:next w:val="10"/>
    <w:qFormat/>
    <w:uiPriority w:val="0"/>
    <w:rPr>
      <w:rFonts w:ascii="宋体" w:hAnsi="Courier New"/>
      <w:sz w:val="21"/>
    </w:rPr>
  </w:style>
  <w:style w:type="paragraph" w:customStyle="1" w:styleId="23">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4">
    <w:name w:val="Default"/>
    <w:next w:val="25"/>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6">
    <w:name w:val="无间隔2"/>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6375</Words>
  <Characters>6691</Characters>
  <Lines>0</Lines>
  <Paragraphs>0</Paragraphs>
  <TotalTime>23</TotalTime>
  <ScaleCrop>false</ScaleCrop>
  <LinksUpToDate>false</LinksUpToDate>
  <CharactersWithSpaces>6792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2025-05-16T08:02:00Z</dcterms:created>
  <dc:creator>65116</dc:creator>
  <cp:lastModifiedBy>Balalala</cp:lastModifiedBy>
  <dcterms:modified xsi:type="dcterms:W3CDTF">2025-10-21T09:16:26Z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eyJoZGlkIjoiMDJmNzQxMmMwMDliNTM3M2M4ODVlYWE5YmRhMGZlZmMiLCJ1c2VySWQiOiIyNDk1MTA5OTQifQ==</vt:lpwstr>
  </property>
  <property fmtid="{D5CDD505-2E9C-101B-9397-08002B2CF9AE}" pid="4" name="ICV">
    <vt:lpwstr>52E5CA9BCECA4078AEAAEB9D9FEF938B_13</vt:lpwstr>
  </property>
</Properties>
</file>